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A5" w:rsidRPr="00E81EA5" w:rsidRDefault="00E81EA5" w:rsidP="00E81E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EA5">
        <w:rPr>
          <w:rFonts w:ascii="Times New Roman" w:hAnsi="Times New Roman" w:cs="Times New Roman"/>
          <w:b/>
          <w:bCs/>
          <w:sz w:val="24"/>
          <w:szCs w:val="24"/>
        </w:rPr>
        <w:t>Incidence calculations at Soweto site: supplementary information</w:t>
      </w:r>
    </w:p>
    <w:p w:rsidR="00181FAE" w:rsidRDefault="00E81EA5" w:rsidP="00181FAE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Calculation of incidence was conducted at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this surveillance site as 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population denominator data were available.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Chris Hani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Baragwanath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Academic H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ospital </w:t>
      </w:r>
      <w:r w:rsidR="00FA4C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(CHBAH) 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 the only public hospital serving </w:t>
      </w:r>
      <w:r w:rsidR="00FA4C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Soweto community 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amongst whom 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7E"/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>10% have private medical insurance.</w:t>
      </w:r>
      <w:r w:rsidR="00FA4C28" w:rsidRPr="00FA4C28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="00FA4C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E81E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vast majority (&gt;80%) of uninsured individuals and approximately 10% of medically-insured individuals seek care at public hospitals, consequently the majority of individuals requiring hospitalisation from this community are admitted to CHBAH. </w:t>
      </w:r>
    </w:p>
    <w:p w:rsidR="00181FAE" w:rsidRDefault="00181FAE" w:rsidP="00181FA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uring February 2009 to December 2012, 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enrolment of adult patients was limited to </w:t>
      </w:r>
      <w:r>
        <w:rPr>
          <w:rFonts w:ascii="Times New Roman" w:hAnsi="Times New Roman" w:cs="Times New Roman"/>
          <w:bCs/>
          <w:sz w:val="24"/>
          <w:szCs w:val="24"/>
        </w:rPr>
        <w:t>two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of every </w:t>
      </w:r>
      <w:r>
        <w:rPr>
          <w:rFonts w:ascii="Times New Roman" w:hAnsi="Times New Roman" w:cs="Times New Roman"/>
          <w:bCs/>
          <w:sz w:val="24"/>
          <w:szCs w:val="24"/>
        </w:rPr>
        <w:t>five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working days due to high patient numbers and limited resources. </w:t>
      </w:r>
      <w:r>
        <w:rPr>
          <w:rFonts w:ascii="Times New Roman" w:hAnsi="Times New Roman"/>
          <w:sz w:val="24"/>
          <w:lang w:val="en-GB"/>
        </w:rPr>
        <w:t>E</w:t>
      </w:r>
      <w:r w:rsidRPr="008F5BA4">
        <w:rPr>
          <w:rFonts w:ascii="Times New Roman" w:hAnsi="Times New Roman"/>
          <w:sz w:val="24"/>
          <w:lang w:val="en-GB"/>
        </w:rPr>
        <w:t xml:space="preserve">nrolment days varied systematically according to the intake days of the </w:t>
      </w:r>
      <w:r>
        <w:rPr>
          <w:rFonts w:ascii="Times New Roman" w:hAnsi="Times New Roman"/>
          <w:sz w:val="24"/>
          <w:lang w:val="en-GB"/>
        </w:rPr>
        <w:t xml:space="preserve">two </w:t>
      </w:r>
      <w:r w:rsidRPr="008F5BA4">
        <w:rPr>
          <w:rFonts w:ascii="Times New Roman" w:hAnsi="Times New Roman"/>
          <w:sz w:val="24"/>
          <w:lang w:val="en-GB"/>
        </w:rPr>
        <w:t>participating wards</w:t>
      </w:r>
      <w:r>
        <w:rPr>
          <w:rFonts w:ascii="Times New Roman" w:hAnsi="Times New Roman"/>
          <w:sz w:val="24"/>
          <w:lang w:val="en-GB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EA5">
        <w:rPr>
          <w:rFonts w:ascii="Times New Roman" w:hAnsi="Times New Roman" w:cs="Times New Roman"/>
          <w:bCs/>
          <w:sz w:val="24"/>
          <w:szCs w:val="24"/>
        </w:rPr>
        <w:t>In 2013 enrolment at th</w:t>
      </w:r>
      <w:r>
        <w:rPr>
          <w:rFonts w:ascii="Times New Roman" w:hAnsi="Times New Roman" w:cs="Times New Roman"/>
          <w:bCs/>
          <w:sz w:val="24"/>
          <w:szCs w:val="24"/>
        </w:rPr>
        <w:t>e Soweto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site was further down-scaled, with enrolment of paediatric patients limited to </w:t>
      </w:r>
      <w:r>
        <w:rPr>
          <w:rFonts w:ascii="Times New Roman" w:hAnsi="Times New Roman" w:cs="Times New Roman"/>
          <w:bCs/>
          <w:sz w:val="24"/>
          <w:szCs w:val="24"/>
        </w:rPr>
        <w:t>two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Cs/>
          <w:sz w:val="24"/>
          <w:szCs w:val="24"/>
        </w:rPr>
        <w:t>five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working days and adult patients to </w:t>
      </w:r>
      <w:r>
        <w:rPr>
          <w:rFonts w:ascii="Times New Roman" w:hAnsi="Times New Roman" w:cs="Times New Roman"/>
          <w:bCs/>
          <w:sz w:val="24"/>
          <w:szCs w:val="24"/>
        </w:rPr>
        <w:t>one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Cs/>
          <w:sz w:val="24"/>
          <w:szCs w:val="24"/>
        </w:rPr>
        <w:t>five</w:t>
      </w:r>
      <w:r w:rsidRPr="00E81EA5">
        <w:rPr>
          <w:rFonts w:ascii="Times New Roman" w:hAnsi="Times New Roman" w:cs="Times New Roman"/>
          <w:bCs/>
          <w:sz w:val="24"/>
          <w:szCs w:val="24"/>
        </w:rPr>
        <w:t xml:space="preserve"> working </w:t>
      </w:r>
      <w:r>
        <w:rPr>
          <w:rFonts w:ascii="Times New Roman" w:hAnsi="Times New Roman" w:cs="Times New Roman"/>
          <w:bCs/>
          <w:sz w:val="24"/>
          <w:szCs w:val="24"/>
        </w:rPr>
        <w:t xml:space="preserve">days. </w:t>
      </w:r>
      <w:r w:rsidRPr="00DA611D">
        <w:rPr>
          <w:rFonts w:ascii="Times New Roman" w:hAnsi="Times New Roman" w:cs="Times New Roman"/>
          <w:bCs/>
          <w:sz w:val="24"/>
          <w:szCs w:val="24"/>
        </w:rPr>
        <w:t>Incidence estimates were calculated for the period 2009−2012 (2013 was not included as enrolmen</w:t>
      </w:r>
      <w:r>
        <w:rPr>
          <w:rFonts w:ascii="Times New Roman" w:hAnsi="Times New Roman" w:cs="Times New Roman"/>
          <w:bCs/>
          <w:sz w:val="24"/>
          <w:szCs w:val="24"/>
        </w:rPr>
        <w:t xml:space="preserve">t was down-scaled in this year). </w:t>
      </w:r>
    </w:p>
    <w:p w:rsidR="00FA4C28" w:rsidRPr="00181FAE" w:rsidRDefault="00181FAE" w:rsidP="00E81EA5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daily total number of hospitalisations, number meeting eligibility criteria and number enrolled were recorded throughout the study period by means of study logs. </w:t>
      </w:r>
      <w:bookmarkStart w:id="0" w:name="_GoBack"/>
      <w:bookmarkEnd w:id="0"/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estimated the total number of SARI </w:t>
      </w:r>
      <w:proofErr w:type="spellStart"/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>hospitalisations</w:t>
      </w:r>
      <w:proofErr w:type="spellEnd"/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the number of enrolled individuals adjusting for non-enrollment in three of five adult wards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as well as non-enrolment</w:t>
      </w:r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during weekends and refusal to participate 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(for adults and children) </w:t>
      </w:r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using information from </w:t>
      </w:r>
      <w:r w:rsidR="001058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E81EA5"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logs. </w:t>
      </w:r>
    </w:p>
    <w:p w:rsidR="001058C1" w:rsidRDefault="00E81EA5" w:rsidP="00E81EA5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total number of SARI hospitalizations at CHBAH was obtained using the following formula: </w:t>
      </w:r>
    </w:p>
    <w:p w:rsidR="001058C1" w:rsidRDefault="001058C1" w:rsidP="00E81EA5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Adults: </w:t>
      </w:r>
      <w:proofErr w:type="spellStart"/>
      <w:r w:rsidR="00E81EA5"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="00E81EA5"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Totali</w:t>
      </w:r>
      <w:proofErr w:type="gramStart"/>
      <w:r w:rsidR="00E81EA5"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,j</w:t>
      </w:r>
      <w:proofErr w:type="spellEnd"/>
      <w:proofErr w:type="gramEnd"/>
      <w:r w:rsidR="00E81EA5"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 xml:space="preserve"> </w:t>
      </w:r>
      <w:r w:rsidR="00E81EA5"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proofErr w:type="spellStart"/>
      <w:r w:rsidR="00E81EA5"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="00E81EA5"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Enrolledi,j</w:t>
      </w:r>
      <w:proofErr w:type="spellEnd"/>
      <w:r w:rsidR="00E81EA5"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* (5/2)*(7/5</w:t>
      </w:r>
      <w:r w:rsidR="00E81EA5" w:rsidRPr="00E81EA5">
        <w:rPr>
          <w:rFonts w:ascii="Times New Roman" w:hAnsi="Times New Roman" w:cs="Times New Roman"/>
          <w:bCs/>
          <w:i/>
          <w:sz w:val="24"/>
          <w:szCs w:val="24"/>
        </w:rPr>
        <w:t>)*(1/</w:t>
      </w:r>
      <w:proofErr w:type="spellStart"/>
      <w:r w:rsidR="00E81EA5" w:rsidRPr="00E81EA5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E81EA5"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i,j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1058C1" w:rsidRDefault="001058C1" w:rsidP="001058C1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Children: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Totali</w:t>
      </w:r>
      <w:proofErr w:type="gramStart"/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,j</w:t>
      </w:r>
      <w:proofErr w:type="spellEnd"/>
      <w:proofErr w:type="gramEnd"/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 xml:space="preserve"> </w:t>
      </w:r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Enrolledi,j</w:t>
      </w:r>
      <w:proofErr w:type="spellEnd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*(7/5</w:t>
      </w:r>
      <w:r w:rsidRPr="00E81EA5">
        <w:rPr>
          <w:rFonts w:ascii="Times New Roman" w:hAnsi="Times New Roman" w:cs="Times New Roman"/>
          <w:bCs/>
          <w:i/>
          <w:sz w:val="24"/>
          <w:szCs w:val="24"/>
        </w:rPr>
        <w:t>)*(1/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i,j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1058C1" w:rsidRDefault="00E81EA5" w:rsidP="001058C1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Where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Totali,j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the estimated total number of SARI </w:t>
      </w:r>
      <w:proofErr w:type="spellStart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hospitali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ation</w:t>
      </w:r>
      <w:r w:rsidR="001058C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year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(2009-2012) and age group </w:t>
      </w:r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&lt;1, 1, 2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2D"/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4,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2D"/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FA4C28">
        <w:rPr>
          <w:rFonts w:ascii="Times New Roman" w:hAnsi="Times New Roman" w:cs="Times New Roman"/>
          <w:bCs/>
          <w:sz w:val="24"/>
          <w:szCs w:val="24"/>
          <w:lang w:val="en-US"/>
        </w:rPr>
        <w:t>18-4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4, 45-64 and ≥65 years of age);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SARI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Enrolledi,j</w:t>
      </w:r>
      <w:proofErr w:type="spellEnd"/>
      <w:r w:rsidRPr="00E81EA5" w:rsidDel="00973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the number of SARI cases enrolled in year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age group </w:t>
      </w:r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j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5/2 is the coefficient used to adjust for enrolment of patients in 2/5 adult wards; 7/5 is the coefficient used to adjust for non-enrolment over weekends; and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E81EA5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i,j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the proportion of all eligible cases that were enrolled in year </w:t>
      </w:r>
      <w:proofErr w:type="spellStart"/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age group </w:t>
      </w:r>
      <w:r w:rsidRPr="00E81EA5">
        <w:rPr>
          <w:rFonts w:ascii="Times New Roman" w:hAnsi="Times New Roman" w:cs="Times New Roman"/>
          <w:bCs/>
          <w:i/>
          <w:sz w:val="24"/>
          <w:szCs w:val="24"/>
          <w:lang w:val="en-US"/>
        </w:rPr>
        <w:t>j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The adjustment factor varied from 2.2 to 7.9 depending on the age-group and year of enrolment. We estimated incidence of SARI </w:t>
      </w:r>
      <w:proofErr w:type="spellStart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hospitalisations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 </w:t>
      </w:r>
      <w:r w:rsidR="002231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100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000 </w:t>
      </w:r>
      <w:r w:rsidR="00760C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person-years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age groups and HIV status using the adjusted number of SARI </w:t>
      </w:r>
      <w:proofErr w:type="spellStart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hospitalisations</w:t>
      </w:r>
      <w:proofErr w:type="spellEnd"/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divided by the mid-year total population estimates for each year</w:t>
      </w:r>
      <w:r w:rsidR="001058C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058C1" w:rsidRPr="001058C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="001058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multiplied by </w:t>
      </w:r>
      <w:r w:rsidR="001058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100 </w:t>
      </w:r>
      <w:r w:rsidRPr="00E81EA5">
        <w:rPr>
          <w:rFonts w:ascii="Times New Roman" w:hAnsi="Times New Roman" w:cs="Times New Roman"/>
          <w:bCs/>
          <w:sz w:val="24"/>
          <w:szCs w:val="24"/>
          <w:lang w:val="en-US"/>
        </w:rPr>
        <w:t>000.</w:t>
      </w:r>
    </w:p>
    <w:p w:rsidR="00FA4C28" w:rsidRPr="001058C1" w:rsidRDefault="00FA4C28" w:rsidP="001058C1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58C1">
        <w:rPr>
          <w:rFonts w:ascii="Times New Roman" w:hAnsi="Times New Roman" w:cs="Times New Roman"/>
          <w:sz w:val="24"/>
          <w:szCs w:val="24"/>
        </w:rPr>
        <w:t xml:space="preserve">Day C and </w:t>
      </w:r>
      <w:proofErr w:type="spellStart"/>
      <w:r w:rsidRPr="001058C1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1058C1">
        <w:rPr>
          <w:rFonts w:ascii="Times New Roman" w:hAnsi="Times New Roman" w:cs="Times New Roman"/>
          <w:sz w:val="24"/>
          <w:szCs w:val="24"/>
        </w:rPr>
        <w:t xml:space="preserve"> A (2013) Health and Related Indicators. South African Health Review.</w:t>
      </w:r>
    </w:p>
    <w:p w:rsidR="00FA4C28" w:rsidRPr="00973843" w:rsidRDefault="00FA4C28" w:rsidP="001058C1">
      <w:pPr>
        <w:pStyle w:val="EndNoteBibliography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3843">
        <w:rPr>
          <w:rFonts w:ascii="Times New Roman" w:hAnsi="Times New Roman" w:cs="Times New Roman"/>
          <w:sz w:val="24"/>
          <w:szCs w:val="24"/>
        </w:rPr>
        <w:t>Statistics South A (2008) STATSSA, Mid-year population estimates 2003-2008. Statistics South Africa.</w:t>
      </w:r>
    </w:p>
    <w:p w:rsidR="00FC0B43" w:rsidRDefault="00FC0B43" w:rsidP="001058C1">
      <w:pPr>
        <w:spacing w:line="480" w:lineRule="auto"/>
      </w:pPr>
    </w:p>
    <w:sectPr w:rsidR="00FC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1FCA"/>
    <w:multiLevelType w:val="hybridMultilevel"/>
    <w:tmpl w:val="8474C5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C"/>
    <w:rsid w:val="00021A97"/>
    <w:rsid w:val="00023A1F"/>
    <w:rsid w:val="0003761F"/>
    <w:rsid w:val="00037B63"/>
    <w:rsid w:val="00046E58"/>
    <w:rsid w:val="00086F85"/>
    <w:rsid w:val="00087957"/>
    <w:rsid w:val="000B3867"/>
    <w:rsid w:val="000C60D6"/>
    <w:rsid w:val="000D7AA9"/>
    <w:rsid w:val="000F0D64"/>
    <w:rsid w:val="000F40B2"/>
    <w:rsid w:val="000F4726"/>
    <w:rsid w:val="000F77B9"/>
    <w:rsid w:val="001058C1"/>
    <w:rsid w:val="00110E70"/>
    <w:rsid w:val="001152DE"/>
    <w:rsid w:val="001178EF"/>
    <w:rsid w:val="00122F1C"/>
    <w:rsid w:val="00123143"/>
    <w:rsid w:val="001252B6"/>
    <w:rsid w:val="00147AD8"/>
    <w:rsid w:val="0017506A"/>
    <w:rsid w:val="001773D0"/>
    <w:rsid w:val="00181FAE"/>
    <w:rsid w:val="00181FEA"/>
    <w:rsid w:val="001827F0"/>
    <w:rsid w:val="00184529"/>
    <w:rsid w:val="00191BC6"/>
    <w:rsid w:val="00192034"/>
    <w:rsid w:val="0019545B"/>
    <w:rsid w:val="0019555B"/>
    <w:rsid w:val="001955AF"/>
    <w:rsid w:val="00195B03"/>
    <w:rsid w:val="001C1D3A"/>
    <w:rsid w:val="001C2859"/>
    <w:rsid w:val="001C2BEA"/>
    <w:rsid w:val="001C721C"/>
    <w:rsid w:val="001D71AA"/>
    <w:rsid w:val="001E294E"/>
    <w:rsid w:val="001E7AB3"/>
    <w:rsid w:val="001F3674"/>
    <w:rsid w:val="00206781"/>
    <w:rsid w:val="0022310A"/>
    <w:rsid w:val="0022379F"/>
    <w:rsid w:val="00224A54"/>
    <w:rsid w:val="00241953"/>
    <w:rsid w:val="00252B28"/>
    <w:rsid w:val="00261ACB"/>
    <w:rsid w:val="0026213A"/>
    <w:rsid w:val="00267770"/>
    <w:rsid w:val="00270D2E"/>
    <w:rsid w:val="00292629"/>
    <w:rsid w:val="002A567E"/>
    <w:rsid w:val="002A7E8A"/>
    <w:rsid w:val="002B362E"/>
    <w:rsid w:val="002B58FA"/>
    <w:rsid w:val="002C00B4"/>
    <w:rsid w:val="002C6968"/>
    <w:rsid w:val="002F08DE"/>
    <w:rsid w:val="0030592F"/>
    <w:rsid w:val="003077DC"/>
    <w:rsid w:val="00312EE9"/>
    <w:rsid w:val="00320962"/>
    <w:rsid w:val="003230E8"/>
    <w:rsid w:val="00337FE5"/>
    <w:rsid w:val="00347280"/>
    <w:rsid w:val="00352874"/>
    <w:rsid w:val="003530D9"/>
    <w:rsid w:val="003561AA"/>
    <w:rsid w:val="003749DA"/>
    <w:rsid w:val="00382E16"/>
    <w:rsid w:val="00385666"/>
    <w:rsid w:val="003A61A9"/>
    <w:rsid w:val="003A7B51"/>
    <w:rsid w:val="003B22FD"/>
    <w:rsid w:val="003B425F"/>
    <w:rsid w:val="003F14BA"/>
    <w:rsid w:val="004024A2"/>
    <w:rsid w:val="00406A34"/>
    <w:rsid w:val="00423590"/>
    <w:rsid w:val="00430BB3"/>
    <w:rsid w:val="00442CB9"/>
    <w:rsid w:val="00446B5F"/>
    <w:rsid w:val="00450C82"/>
    <w:rsid w:val="00451D34"/>
    <w:rsid w:val="00464A9E"/>
    <w:rsid w:val="0046593A"/>
    <w:rsid w:val="0047339E"/>
    <w:rsid w:val="004841DA"/>
    <w:rsid w:val="00486BF7"/>
    <w:rsid w:val="00486C28"/>
    <w:rsid w:val="00490B7C"/>
    <w:rsid w:val="004920B6"/>
    <w:rsid w:val="004941AE"/>
    <w:rsid w:val="004A302A"/>
    <w:rsid w:val="004A4C9C"/>
    <w:rsid w:val="004A54A9"/>
    <w:rsid w:val="004D5D7F"/>
    <w:rsid w:val="004D6684"/>
    <w:rsid w:val="004E3CD1"/>
    <w:rsid w:val="004E4A01"/>
    <w:rsid w:val="004E5E4B"/>
    <w:rsid w:val="005004E2"/>
    <w:rsid w:val="005041C7"/>
    <w:rsid w:val="00504F30"/>
    <w:rsid w:val="005139E7"/>
    <w:rsid w:val="00517E3A"/>
    <w:rsid w:val="00520180"/>
    <w:rsid w:val="00523D80"/>
    <w:rsid w:val="00527AE6"/>
    <w:rsid w:val="00531DA0"/>
    <w:rsid w:val="00537879"/>
    <w:rsid w:val="00541BD4"/>
    <w:rsid w:val="00546962"/>
    <w:rsid w:val="00546D4C"/>
    <w:rsid w:val="00595B34"/>
    <w:rsid w:val="005A1C42"/>
    <w:rsid w:val="005A3AAA"/>
    <w:rsid w:val="005B39D6"/>
    <w:rsid w:val="005C108C"/>
    <w:rsid w:val="005C6335"/>
    <w:rsid w:val="005C69CB"/>
    <w:rsid w:val="005D1BC8"/>
    <w:rsid w:val="005D365D"/>
    <w:rsid w:val="005D505B"/>
    <w:rsid w:val="00603DCB"/>
    <w:rsid w:val="0060785B"/>
    <w:rsid w:val="006109BE"/>
    <w:rsid w:val="006173FB"/>
    <w:rsid w:val="0062313C"/>
    <w:rsid w:val="00632376"/>
    <w:rsid w:val="00634FA6"/>
    <w:rsid w:val="0065010E"/>
    <w:rsid w:val="00651095"/>
    <w:rsid w:val="00651718"/>
    <w:rsid w:val="0066298D"/>
    <w:rsid w:val="006729CF"/>
    <w:rsid w:val="006843BF"/>
    <w:rsid w:val="0069050F"/>
    <w:rsid w:val="00693415"/>
    <w:rsid w:val="006950CE"/>
    <w:rsid w:val="006954E2"/>
    <w:rsid w:val="006B5C46"/>
    <w:rsid w:val="006E4823"/>
    <w:rsid w:val="006E7CA6"/>
    <w:rsid w:val="00702B64"/>
    <w:rsid w:val="00717F65"/>
    <w:rsid w:val="00721310"/>
    <w:rsid w:val="00734840"/>
    <w:rsid w:val="00741744"/>
    <w:rsid w:val="00741B74"/>
    <w:rsid w:val="00741E49"/>
    <w:rsid w:val="0074605A"/>
    <w:rsid w:val="00754242"/>
    <w:rsid w:val="00760C42"/>
    <w:rsid w:val="0076496B"/>
    <w:rsid w:val="007721A6"/>
    <w:rsid w:val="00772E74"/>
    <w:rsid w:val="00773AAB"/>
    <w:rsid w:val="00774DD5"/>
    <w:rsid w:val="00785597"/>
    <w:rsid w:val="007855CC"/>
    <w:rsid w:val="00787D53"/>
    <w:rsid w:val="007B0FAB"/>
    <w:rsid w:val="007C2307"/>
    <w:rsid w:val="007C3A14"/>
    <w:rsid w:val="007D1ACD"/>
    <w:rsid w:val="007D3104"/>
    <w:rsid w:val="007D4CC0"/>
    <w:rsid w:val="007D5CE0"/>
    <w:rsid w:val="007E1325"/>
    <w:rsid w:val="007F1238"/>
    <w:rsid w:val="007F268A"/>
    <w:rsid w:val="007F45E4"/>
    <w:rsid w:val="007F4FC6"/>
    <w:rsid w:val="00823E82"/>
    <w:rsid w:val="00834B9B"/>
    <w:rsid w:val="008538E0"/>
    <w:rsid w:val="00886C76"/>
    <w:rsid w:val="00891BBF"/>
    <w:rsid w:val="008937EF"/>
    <w:rsid w:val="008956DE"/>
    <w:rsid w:val="008A157F"/>
    <w:rsid w:val="008A3752"/>
    <w:rsid w:val="008A4E08"/>
    <w:rsid w:val="008A5088"/>
    <w:rsid w:val="008B2E6E"/>
    <w:rsid w:val="008B5864"/>
    <w:rsid w:val="008C3678"/>
    <w:rsid w:val="008D0202"/>
    <w:rsid w:val="008D4E08"/>
    <w:rsid w:val="008E6D6E"/>
    <w:rsid w:val="008F0988"/>
    <w:rsid w:val="008F2A7D"/>
    <w:rsid w:val="009007EB"/>
    <w:rsid w:val="00900C67"/>
    <w:rsid w:val="00914AE1"/>
    <w:rsid w:val="0092018C"/>
    <w:rsid w:val="009408BA"/>
    <w:rsid w:val="00941F2F"/>
    <w:rsid w:val="00957854"/>
    <w:rsid w:val="009618D9"/>
    <w:rsid w:val="00963797"/>
    <w:rsid w:val="00971DCE"/>
    <w:rsid w:val="0097775C"/>
    <w:rsid w:val="00977DCE"/>
    <w:rsid w:val="00993EF9"/>
    <w:rsid w:val="00997A56"/>
    <w:rsid w:val="009A0175"/>
    <w:rsid w:val="009A24DA"/>
    <w:rsid w:val="009A5888"/>
    <w:rsid w:val="009B2B56"/>
    <w:rsid w:val="009B3024"/>
    <w:rsid w:val="009B583A"/>
    <w:rsid w:val="009B6D2D"/>
    <w:rsid w:val="009D5499"/>
    <w:rsid w:val="009E3061"/>
    <w:rsid w:val="009F0AB6"/>
    <w:rsid w:val="009F257E"/>
    <w:rsid w:val="009F5200"/>
    <w:rsid w:val="00A01119"/>
    <w:rsid w:val="00A01918"/>
    <w:rsid w:val="00A23C21"/>
    <w:rsid w:val="00A26E77"/>
    <w:rsid w:val="00A27818"/>
    <w:rsid w:val="00A31C25"/>
    <w:rsid w:val="00A35199"/>
    <w:rsid w:val="00A559DB"/>
    <w:rsid w:val="00A57F97"/>
    <w:rsid w:val="00A70F73"/>
    <w:rsid w:val="00A8632C"/>
    <w:rsid w:val="00A938EF"/>
    <w:rsid w:val="00A954F2"/>
    <w:rsid w:val="00AA393D"/>
    <w:rsid w:val="00AA7A7D"/>
    <w:rsid w:val="00AB275F"/>
    <w:rsid w:val="00AB4434"/>
    <w:rsid w:val="00AC5935"/>
    <w:rsid w:val="00AE31F5"/>
    <w:rsid w:val="00AE5CF0"/>
    <w:rsid w:val="00B005D2"/>
    <w:rsid w:val="00B013B8"/>
    <w:rsid w:val="00B01FA0"/>
    <w:rsid w:val="00B03744"/>
    <w:rsid w:val="00B0375C"/>
    <w:rsid w:val="00B1041E"/>
    <w:rsid w:val="00B44C1E"/>
    <w:rsid w:val="00B4714B"/>
    <w:rsid w:val="00B477CA"/>
    <w:rsid w:val="00B50634"/>
    <w:rsid w:val="00B51E4F"/>
    <w:rsid w:val="00B61801"/>
    <w:rsid w:val="00B73CFB"/>
    <w:rsid w:val="00B875BC"/>
    <w:rsid w:val="00B90BC9"/>
    <w:rsid w:val="00BB07A2"/>
    <w:rsid w:val="00BB469C"/>
    <w:rsid w:val="00BB4ECD"/>
    <w:rsid w:val="00BC7941"/>
    <w:rsid w:val="00BD23F8"/>
    <w:rsid w:val="00BD3FD6"/>
    <w:rsid w:val="00BD48EE"/>
    <w:rsid w:val="00BF39B0"/>
    <w:rsid w:val="00BF3EB7"/>
    <w:rsid w:val="00BF45EC"/>
    <w:rsid w:val="00BF4BB6"/>
    <w:rsid w:val="00C011F4"/>
    <w:rsid w:val="00C22377"/>
    <w:rsid w:val="00C36659"/>
    <w:rsid w:val="00C46AD5"/>
    <w:rsid w:val="00C53FBB"/>
    <w:rsid w:val="00C7797E"/>
    <w:rsid w:val="00C8392B"/>
    <w:rsid w:val="00C86357"/>
    <w:rsid w:val="00C86C11"/>
    <w:rsid w:val="00C902F7"/>
    <w:rsid w:val="00CA3DA4"/>
    <w:rsid w:val="00CC57DC"/>
    <w:rsid w:val="00CF26CA"/>
    <w:rsid w:val="00D02CB5"/>
    <w:rsid w:val="00D100FE"/>
    <w:rsid w:val="00D2252C"/>
    <w:rsid w:val="00D22CBB"/>
    <w:rsid w:val="00D231CA"/>
    <w:rsid w:val="00D3011A"/>
    <w:rsid w:val="00D4080E"/>
    <w:rsid w:val="00D47AAE"/>
    <w:rsid w:val="00D5161C"/>
    <w:rsid w:val="00D57617"/>
    <w:rsid w:val="00D60CC2"/>
    <w:rsid w:val="00D832B4"/>
    <w:rsid w:val="00D834BD"/>
    <w:rsid w:val="00D841E0"/>
    <w:rsid w:val="00D96DFB"/>
    <w:rsid w:val="00DC6391"/>
    <w:rsid w:val="00DD7E29"/>
    <w:rsid w:val="00DE395C"/>
    <w:rsid w:val="00E00E45"/>
    <w:rsid w:val="00E015BF"/>
    <w:rsid w:val="00E016D4"/>
    <w:rsid w:val="00E21C95"/>
    <w:rsid w:val="00E2505C"/>
    <w:rsid w:val="00E35DAE"/>
    <w:rsid w:val="00E374D0"/>
    <w:rsid w:val="00E47808"/>
    <w:rsid w:val="00E5276F"/>
    <w:rsid w:val="00E63AB9"/>
    <w:rsid w:val="00E71653"/>
    <w:rsid w:val="00E81EA5"/>
    <w:rsid w:val="00EA43FD"/>
    <w:rsid w:val="00EC2158"/>
    <w:rsid w:val="00EC5520"/>
    <w:rsid w:val="00ED0A7B"/>
    <w:rsid w:val="00ED1235"/>
    <w:rsid w:val="00EF544F"/>
    <w:rsid w:val="00EF64E6"/>
    <w:rsid w:val="00F02B5C"/>
    <w:rsid w:val="00F04045"/>
    <w:rsid w:val="00F12F81"/>
    <w:rsid w:val="00F2339D"/>
    <w:rsid w:val="00F276E3"/>
    <w:rsid w:val="00F36402"/>
    <w:rsid w:val="00F45206"/>
    <w:rsid w:val="00F53F1F"/>
    <w:rsid w:val="00F566E1"/>
    <w:rsid w:val="00F63302"/>
    <w:rsid w:val="00F63B2F"/>
    <w:rsid w:val="00F64E18"/>
    <w:rsid w:val="00F66904"/>
    <w:rsid w:val="00F70AB8"/>
    <w:rsid w:val="00F710DA"/>
    <w:rsid w:val="00F73D97"/>
    <w:rsid w:val="00F75F5C"/>
    <w:rsid w:val="00F77F78"/>
    <w:rsid w:val="00F800DF"/>
    <w:rsid w:val="00F80C61"/>
    <w:rsid w:val="00FA4C28"/>
    <w:rsid w:val="00FA7FA0"/>
    <w:rsid w:val="00FB0D4E"/>
    <w:rsid w:val="00FB1DA0"/>
    <w:rsid w:val="00FB6AC6"/>
    <w:rsid w:val="00FC0B43"/>
    <w:rsid w:val="00FD23FD"/>
    <w:rsid w:val="00FE0F58"/>
    <w:rsid w:val="00FF025F"/>
    <w:rsid w:val="00FF22EC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81EA5"/>
  </w:style>
  <w:style w:type="paragraph" w:customStyle="1" w:styleId="EndNoteBibliography">
    <w:name w:val="EndNote Bibliography"/>
    <w:basedOn w:val="Normal"/>
    <w:link w:val="EndNoteBibliographyChar"/>
    <w:rsid w:val="00FA4C28"/>
    <w:pPr>
      <w:spacing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4C28"/>
    <w:rPr>
      <w:rFonts w:ascii="Calibri" w:eastAsiaTheme="minorEastAsia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10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81EA5"/>
  </w:style>
  <w:style w:type="paragraph" w:customStyle="1" w:styleId="EndNoteBibliography">
    <w:name w:val="EndNote Bibliography"/>
    <w:basedOn w:val="Normal"/>
    <w:link w:val="EndNoteBibliographyChar"/>
    <w:rsid w:val="00FA4C28"/>
    <w:pPr>
      <w:spacing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4C28"/>
    <w:rPr>
      <w:rFonts w:ascii="Calibri" w:eastAsiaTheme="minorEastAsia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10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2015-01-12T08:14:00Z</dcterms:created>
  <dcterms:modified xsi:type="dcterms:W3CDTF">2015-01-13T06:55:00Z</dcterms:modified>
</cp:coreProperties>
</file>