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8A4417" w14:textId="152A0070" w:rsidR="000A1747" w:rsidRPr="00647A59" w:rsidRDefault="00A078C1">
      <w:pPr>
        <w:rPr>
          <w:rFonts w:ascii="Helvetica" w:hAnsi="Helvetica"/>
          <w:b/>
        </w:rPr>
      </w:pPr>
      <w:r w:rsidRPr="00647A59">
        <w:rPr>
          <w:rFonts w:ascii="Helvetica" w:hAnsi="Helvetica"/>
          <w:b/>
        </w:rPr>
        <w:t>Supp</w:t>
      </w:r>
      <w:r w:rsidR="00AB031C" w:rsidRPr="00647A59">
        <w:rPr>
          <w:rFonts w:ascii="Helvetica" w:hAnsi="Helvetica"/>
          <w:b/>
        </w:rPr>
        <w:t>orting</w:t>
      </w:r>
      <w:r w:rsidRPr="00647A59">
        <w:rPr>
          <w:rFonts w:ascii="Helvetica" w:hAnsi="Helvetica"/>
          <w:b/>
        </w:rPr>
        <w:t xml:space="preserve"> Material</w:t>
      </w:r>
      <w:r w:rsidR="000A1747" w:rsidRPr="00647A59">
        <w:rPr>
          <w:rFonts w:ascii="Helvetica" w:hAnsi="Helvetica"/>
          <w:b/>
        </w:rPr>
        <w:t>s</w:t>
      </w:r>
    </w:p>
    <w:p w14:paraId="5A110F93" w14:textId="76DA5587" w:rsidR="00A078C1" w:rsidRPr="00647A59" w:rsidRDefault="000A1747" w:rsidP="00647A59">
      <w:pPr>
        <w:pStyle w:val="NoSpacing"/>
        <w:rPr>
          <w:rFonts w:ascii="Helvetica" w:hAnsi="Helvetica"/>
          <w:b/>
        </w:rPr>
      </w:pPr>
      <w:r w:rsidRPr="00647A59">
        <w:rPr>
          <w:rFonts w:ascii="Helvetica" w:hAnsi="Helvetica"/>
          <w:b/>
        </w:rPr>
        <w:t>Methods</w:t>
      </w:r>
      <w:r w:rsidR="00647A59" w:rsidRPr="00647A59">
        <w:rPr>
          <w:rFonts w:ascii="Helvetica" w:hAnsi="Helvetica"/>
          <w:b/>
        </w:rPr>
        <w:br/>
      </w:r>
      <w:r w:rsidR="00A078C1" w:rsidRPr="00647A59">
        <w:rPr>
          <w:rFonts w:ascii="Helvetica" w:hAnsi="Helvetica"/>
          <w:i/>
        </w:rPr>
        <w:t>Computational Simulations</w:t>
      </w:r>
    </w:p>
    <w:p w14:paraId="5B8F71E9" w14:textId="77777777" w:rsidR="00A078C1" w:rsidRPr="00647A59" w:rsidRDefault="00A078C1" w:rsidP="00A078C1">
      <w:pPr>
        <w:pStyle w:val="Normal1"/>
        <w:ind w:firstLine="720"/>
        <w:rPr>
          <w:rFonts w:ascii="Helvetica" w:hAnsi="Helvetica"/>
        </w:rPr>
      </w:pPr>
      <w:r w:rsidRPr="00647A59">
        <w:rPr>
          <w:rFonts w:ascii="Helvetica" w:hAnsi="Helvetica"/>
        </w:rPr>
        <w:t xml:space="preserve">Monte Carlo simulations were performed to assess the effects of the diffusion filter pulse b-value on relative signal from intra- and extra-axonal compartments using the Camino toolkit </w:t>
      </w:r>
      <w:r w:rsidRPr="00647A59">
        <w:rPr>
          <w:rFonts w:ascii="Helvetica" w:hAnsi="Helvetica"/>
        </w:rPr>
        <w:fldChar w:fldCharType="begin">
          <w:fldData xml:space="preserve">PEVuZE5vdGU+PENpdGU+PEF1dGhvcj5IYWxsPC9BdXRob3I+PFllYXI+MjAwOTwvWWVhcj48UmVj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==
</w:fldData>
        </w:fldChar>
      </w:r>
      <w:r w:rsidR="00173255" w:rsidRPr="00647A59">
        <w:rPr>
          <w:rFonts w:ascii="Helvetica" w:hAnsi="Helvetica"/>
        </w:rPr>
        <w:instrText xml:space="preserve"> ADDIN EN.CITE </w:instrText>
      </w:r>
      <w:r w:rsidR="00173255" w:rsidRPr="00647A59">
        <w:rPr>
          <w:rFonts w:ascii="Helvetica" w:hAnsi="Helvetica"/>
        </w:rPr>
        <w:fldChar w:fldCharType="begin">
          <w:fldData xml:space="preserve">PEVuZE5vdGU+PENpdGU+PEF1dGhvcj5IYWxsPC9BdXRob3I+PFllYXI+MjAwOTwvWWVhcj48UmVj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==
</w:fldData>
        </w:fldChar>
      </w:r>
      <w:r w:rsidR="00173255" w:rsidRPr="00647A59">
        <w:rPr>
          <w:rFonts w:ascii="Helvetica" w:hAnsi="Helvetica"/>
        </w:rPr>
        <w:instrText xml:space="preserve"> ADDIN EN.CITE.DATA </w:instrText>
      </w:r>
      <w:r w:rsidR="00173255" w:rsidRPr="00647A59">
        <w:rPr>
          <w:rFonts w:ascii="Helvetica" w:hAnsi="Helvetica"/>
        </w:rPr>
      </w:r>
      <w:r w:rsidR="00173255" w:rsidRPr="00647A59">
        <w:rPr>
          <w:rFonts w:ascii="Helvetica" w:hAnsi="Helvetica"/>
        </w:rPr>
        <w:fldChar w:fldCharType="end"/>
      </w:r>
      <w:r w:rsidRPr="00647A59">
        <w:rPr>
          <w:rFonts w:ascii="Helvetica" w:hAnsi="Helvetica"/>
        </w:rPr>
      </w:r>
      <w:r w:rsidRPr="00647A59">
        <w:rPr>
          <w:rFonts w:ascii="Helvetica" w:hAnsi="Helvetica"/>
        </w:rPr>
        <w:fldChar w:fldCharType="separate"/>
      </w:r>
      <w:r w:rsidR="00173255" w:rsidRPr="00647A59">
        <w:rPr>
          <w:rFonts w:ascii="Helvetica" w:hAnsi="Helvetica"/>
          <w:noProof/>
        </w:rPr>
        <w:t>(1)</w:t>
      </w:r>
      <w:r w:rsidRPr="00647A59">
        <w:rPr>
          <w:rFonts w:ascii="Helvetica" w:hAnsi="Helvetica"/>
        </w:rPr>
        <w:fldChar w:fldCharType="end"/>
      </w:r>
      <w:r w:rsidRPr="00647A59">
        <w:rPr>
          <w:rFonts w:ascii="Helvetica" w:hAnsi="Helvetica"/>
        </w:rPr>
        <w:t xml:space="preserve">.  The geometry consisted of impermeable, aligned cylinders with a gamma distribution of diameters </w:t>
      </w:r>
      <w:r w:rsidRPr="00647A59">
        <w:rPr>
          <w:rFonts w:ascii="Helvetica" w:hAnsi="Helvetica"/>
        </w:rPr>
        <w:fldChar w:fldCharType="begin"/>
      </w:r>
      <w:r w:rsidR="00173255" w:rsidRPr="00647A59">
        <w:rPr>
          <w:rFonts w:ascii="Helvetica" w:hAnsi="Helvetica"/>
        </w:rPr>
        <w:instrText xml:space="preserve"> ADDIN EN.CITE &lt;EndNote&gt;&lt;Cite&gt;&lt;Author&gt;Skinner&lt;/Author&gt;&lt;Year&gt;2015&lt;/Year&gt;&lt;RecNum&gt;21&lt;/RecNum&gt;&lt;DisplayText&gt;(2)&lt;/DisplayText&gt;&lt;record&gt;&lt;rec-number&gt;21&lt;/rec-number&gt;&lt;foreign-keys&gt;&lt;key app="EN" db-id="ewsdp55f329vzie52rbx5fabxt2wvxw52xaz" timestamp="1441978047"&gt;21&lt;/key&gt;&lt;/foreign-keys&gt;&lt;ref-type name="Journal Article"&gt;17&lt;/ref-type&gt;&lt;contributors&gt;&lt;authors&gt;&lt;author&gt;Skinner, N. P.&lt;/author&gt;&lt;author&gt;Kurpad, S. N.&lt;/author&gt;&lt;author&gt;Schmit, B. D.&lt;/author&gt;&lt;author&gt;Budde, M. D.&lt;/author&gt;&lt;/authors&gt;&lt;/contributors&gt;&lt;titles&gt;&lt;title&gt;Detecting Acute Nervous System Injury with Advanced Diffusion Weighted MRI: A Simulation and Sensitivity Analysis&lt;/title&gt;&lt;secondary-title&gt;NMR Biomed&lt;/secondary-title&gt;&lt;/titles&gt;&lt;periodical&gt;&lt;full-title&gt;NMR Biomed&lt;/full-title&gt;&lt;/periodical&gt;&lt;pages&gt;1489-1506&lt;/pages&gt;&lt;volume&gt;28&lt;/volume&gt;&lt;number&gt;11&lt;/number&gt;&lt;dates&gt;&lt;year&gt;2015&lt;/year&gt;&lt;/dates&gt;&lt;urls&gt;&lt;/urls&gt;&lt;/record&gt;&lt;/Cite&gt;&lt;/EndNote&gt;</w:instrText>
      </w:r>
      <w:r w:rsidRPr="00647A59">
        <w:rPr>
          <w:rFonts w:ascii="Helvetica" w:hAnsi="Helvetica"/>
        </w:rPr>
        <w:fldChar w:fldCharType="separate"/>
      </w:r>
      <w:r w:rsidR="00173255" w:rsidRPr="00647A59">
        <w:rPr>
          <w:rFonts w:ascii="Helvetica" w:hAnsi="Helvetica"/>
          <w:noProof/>
        </w:rPr>
        <w:t>(2)</w:t>
      </w:r>
      <w:r w:rsidRPr="00647A59">
        <w:rPr>
          <w:rFonts w:ascii="Helvetica" w:hAnsi="Helvetica"/>
        </w:rPr>
        <w:fldChar w:fldCharType="end"/>
      </w:r>
      <w:r w:rsidRPr="00647A59">
        <w:rPr>
          <w:rFonts w:ascii="Helvetica" w:hAnsi="Helvetica"/>
        </w:rPr>
        <w:t xml:space="preserve"> and an intracellular volume fraction of 0.62, which was equal to the restricted fraction derived from the rat spinal cord white matter.  The timing and strength of the diffusion gradients were identical to the </w:t>
      </w:r>
      <w:r w:rsidRPr="00647A59">
        <w:rPr>
          <w:rFonts w:ascii="Helvetica" w:hAnsi="Helvetica"/>
          <w:i/>
        </w:rPr>
        <w:t xml:space="preserve">in vivo </w:t>
      </w:r>
      <w:r w:rsidRPr="00647A59">
        <w:rPr>
          <w:rFonts w:ascii="Helvetica" w:hAnsi="Helvetica"/>
        </w:rPr>
        <w:t>PGSE sequence, with diffusion gradients applied perpendicular to the cylinders at b-values ranging from 0 to 4000 s/mm</w:t>
      </w:r>
      <w:r w:rsidRPr="00647A59">
        <w:rPr>
          <w:rFonts w:ascii="Helvetica" w:hAnsi="Helvetica"/>
          <w:vertAlign w:val="superscript"/>
        </w:rPr>
        <w:t>2</w:t>
      </w:r>
      <w:r w:rsidRPr="00647A59">
        <w:rPr>
          <w:rFonts w:ascii="Helvetica" w:hAnsi="Helvetica"/>
        </w:rPr>
        <w:t>.  The signal was obtained separately from the intra- and extracellular spins and was expressed as a fraction of the combined signal normalized to the non-diffusion weighted signal.</w:t>
      </w:r>
    </w:p>
    <w:p w14:paraId="2911ECFC" w14:textId="77777777" w:rsidR="008F0571" w:rsidRPr="00647A59" w:rsidRDefault="008F0571" w:rsidP="008F0571">
      <w:pPr>
        <w:pStyle w:val="Normal1"/>
        <w:ind w:firstLine="720"/>
        <w:rPr>
          <w:rFonts w:ascii="Helvetica" w:hAnsi="Helvetica"/>
        </w:rPr>
      </w:pPr>
    </w:p>
    <w:p w14:paraId="2FBD4442" w14:textId="77777777" w:rsidR="008F0571" w:rsidRPr="00647A59" w:rsidRDefault="008F0571" w:rsidP="008F0571">
      <w:pPr>
        <w:pStyle w:val="Normal1"/>
        <w:rPr>
          <w:rFonts w:ascii="Helvetica" w:hAnsi="Helvetica"/>
        </w:rPr>
      </w:pPr>
      <w:r w:rsidRPr="00647A59">
        <w:rPr>
          <w:rFonts w:ascii="Helvetica" w:hAnsi="Helvetica"/>
          <w:i/>
        </w:rPr>
        <w:t>DDE-PRESS Model Fitting</w:t>
      </w:r>
    </w:p>
    <w:p w14:paraId="0AF0611C" w14:textId="77777777" w:rsidR="008F0571" w:rsidRPr="00647A59" w:rsidRDefault="008F0571" w:rsidP="008F0571">
      <w:pPr>
        <w:pStyle w:val="Normal1"/>
        <w:ind w:firstLine="720"/>
        <w:rPr>
          <w:rFonts w:ascii="Helvetica" w:hAnsi="Helvetica"/>
        </w:rPr>
      </w:pPr>
      <w:r w:rsidRPr="00647A59">
        <w:rPr>
          <w:rFonts w:ascii="Helvetica" w:hAnsi="Helvetica"/>
        </w:rPr>
        <w:t xml:space="preserve">To evaluate the fitting accuracy of the different signal models, the corrected </w:t>
      </w:r>
      <w:proofErr w:type="spellStart"/>
      <w:r w:rsidRPr="00647A59">
        <w:rPr>
          <w:rFonts w:ascii="Helvetica" w:hAnsi="Helvetica"/>
        </w:rPr>
        <w:t>Akaike’s</w:t>
      </w:r>
      <w:proofErr w:type="spellEnd"/>
      <w:r w:rsidRPr="00647A59">
        <w:rPr>
          <w:rFonts w:ascii="Helvetica" w:hAnsi="Helvetica"/>
        </w:rPr>
        <w:t xml:space="preserve"> Information Criterion (</w:t>
      </w:r>
      <w:proofErr w:type="spellStart"/>
      <w:r w:rsidRPr="00647A59">
        <w:rPr>
          <w:rFonts w:ascii="Helvetica" w:hAnsi="Helvetica"/>
        </w:rPr>
        <w:t>AICc</w:t>
      </w:r>
      <w:proofErr w:type="spellEnd"/>
      <w:r w:rsidRPr="00647A59">
        <w:rPr>
          <w:rFonts w:ascii="Helvetica" w:hAnsi="Helvetica"/>
        </w:rPr>
        <w:t>) was calculated as a measure of model performance according to the equation:</w:t>
      </w:r>
    </w:p>
    <w:p w14:paraId="42CA2D70" w14:textId="77777777" w:rsidR="008F0571" w:rsidRPr="00647A59" w:rsidRDefault="008F0571" w:rsidP="008F0571">
      <w:pPr>
        <w:pStyle w:val="Normal1"/>
        <w:ind w:firstLine="720"/>
        <w:rPr>
          <w:rFonts w:ascii="Helvetica" w:hAnsi="Helvetica"/>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5"/>
        <w:gridCol w:w="8050"/>
        <w:gridCol w:w="655"/>
      </w:tblGrid>
      <w:tr w:rsidR="008F0571" w:rsidRPr="00647A59" w14:paraId="6D84875B" w14:textId="77777777" w:rsidTr="00D9441C">
        <w:tc>
          <w:tcPr>
            <w:tcW w:w="350" w:type="pct"/>
          </w:tcPr>
          <w:p w14:paraId="613DF95A" w14:textId="77777777" w:rsidR="008F0571" w:rsidRPr="00647A59" w:rsidRDefault="008F0571" w:rsidP="00D9441C">
            <w:pPr>
              <w:pStyle w:val="Normal1"/>
              <w:rPr>
                <w:rFonts w:ascii="Helvetica" w:hAnsi="Helvetica"/>
              </w:rPr>
            </w:pPr>
          </w:p>
        </w:tc>
        <w:tc>
          <w:tcPr>
            <w:tcW w:w="4300" w:type="pct"/>
          </w:tcPr>
          <w:p w14:paraId="2193DF78" w14:textId="77777777" w:rsidR="008F0571" w:rsidRPr="00647A59" w:rsidRDefault="008F0571" w:rsidP="00D9441C">
            <w:pPr>
              <w:pStyle w:val="Normal1"/>
              <w:rPr>
                <w:rFonts w:ascii="Helvetica" w:hAnsi="Helvetica"/>
              </w:rPr>
            </w:pPr>
            <m:oMathPara>
              <m:oMath>
                <m:r>
                  <w:rPr>
                    <w:rFonts w:ascii="Cambria Math" w:hAnsi="Cambria Math"/>
                  </w:rPr>
                  <m:t>AICc = 2k - 2</m:t>
                </m:r>
                <m:func>
                  <m:funcPr>
                    <m:ctrlPr>
                      <w:rPr>
                        <w:rFonts w:ascii="Cambria Math" w:hAnsi="Cambria Math"/>
                        <w:i/>
                      </w:rPr>
                    </m:ctrlPr>
                  </m:funcPr>
                  <m:fName>
                    <m:r>
                      <m:rPr>
                        <m:sty m:val="p"/>
                      </m:rPr>
                      <w:rPr>
                        <w:rFonts w:ascii="Cambria Math" w:hAnsi="Cambria Math"/>
                      </w:rPr>
                      <m:t>ln</m:t>
                    </m:r>
                  </m:fName>
                  <m:e>
                    <m:r>
                      <w:rPr>
                        <w:rFonts w:ascii="Cambria Math" w:hAnsi="Cambria Math"/>
                      </w:rPr>
                      <m:t>(L)</m:t>
                    </m:r>
                  </m:e>
                </m:func>
                <m:r>
                  <w:rPr>
                    <w:rFonts w:ascii="Cambria Math" w:hAnsi="Cambria Math"/>
                  </w:rPr>
                  <m:t xml:space="preserve"> + </m:t>
                </m:r>
                <m:f>
                  <m:fPr>
                    <m:ctrlPr>
                      <w:rPr>
                        <w:rFonts w:ascii="Cambria Math" w:hAnsi="Cambria Math"/>
                      </w:rPr>
                    </m:ctrlPr>
                  </m:fPr>
                  <m:num>
                    <m:r>
                      <w:rPr>
                        <w:rFonts w:ascii="Cambria Math" w:hAnsi="Cambria Math"/>
                      </w:rPr>
                      <m:t>2k(k+1)</m:t>
                    </m:r>
                  </m:num>
                  <m:den>
                    <m:r>
                      <w:rPr>
                        <w:rFonts w:ascii="Cambria Math" w:hAnsi="Cambria Math"/>
                      </w:rPr>
                      <m:t>n-k-1</m:t>
                    </m:r>
                  </m:den>
                </m:f>
              </m:oMath>
            </m:oMathPara>
          </w:p>
        </w:tc>
        <w:tc>
          <w:tcPr>
            <w:tcW w:w="350" w:type="pct"/>
            <w:vAlign w:val="center"/>
          </w:tcPr>
          <w:p w14:paraId="40F0B60A" w14:textId="77777777" w:rsidR="008F0571" w:rsidRPr="00647A59" w:rsidRDefault="008F0571" w:rsidP="00D9441C">
            <w:pPr>
              <w:pStyle w:val="Normal1"/>
              <w:jc w:val="right"/>
              <w:rPr>
                <w:rFonts w:ascii="Helvetica" w:hAnsi="Helvetica"/>
              </w:rPr>
            </w:pPr>
            <w:r w:rsidRPr="00647A59">
              <w:rPr>
                <w:rFonts w:ascii="Helvetica" w:hAnsi="Helvetica"/>
              </w:rPr>
              <w:t>[4]</w:t>
            </w:r>
          </w:p>
        </w:tc>
      </w:tr>
    </w:tbl>
    <w:p w14:paraId="10499337" w14:textId="77777777" w:rsidR="008F0571" w:rsidRPr="00647A59" w:rsidRDefault="008F0571" w:rsidP="008F0571">
      <w:pPr>
        <w:pStyle w:val="Normal1"/>
        <w:rPr>
          <w:rFonts w:ascii="Helvetica" w:hAnsi="Helvetica"/>
        </w:rPr>
      </w:pPr>
    </w:p>
    <w:p w14:paraId="71A160D8" w14:textId="77777777" w:rsidR="008F0571" w:rsidRPr="00647A59" w:rsidRDefault="008F0571" w:rsidP="008F0571">
      <w:pPr>
        <w:pStyle w:val="Normal1"/>
        <w:rPr>
          <w:rFonts w:ascii="Helvetica" w:hAnsi="Helvetica"/>
        </w:rPr>
      </w:pPr>
      <w:r w:rsidRPr="00647A59">
        <w:rPr>
          <w:rFonts w:ascii="Helvetica" w:hAnsi="Helvetica"/>
        </w:rPr>
        <w:t xml:space="preserve">where k is the number of parameters, L is the likelihood for the function, and n is the number of data points, with lower values indicating improved goodness-of-fit </w:t>
      </w:r>
      <w:r w:rsidRPr="00647A59">
        <w:rPr>
          <w:rFonts w:ascii="Helvetica" w:hAnsi="Helvetica"/>
        </w:rPr>
        <w:fldChar w:fldCharType="begin"/>
      </w:r>
      <w:r w:rsidR="00173255" w:rsidRPr="00647A59">
        <w:rPr>
          <w:rFonts w:ascii="Helvetica" w:hAnsi="Helvetica"/>
        </w:rPr>
        <w:instrText xml:space="preserve"> ADDIN EN.CITE &lt;EndNote&gt;&lt;Cite&gt;&lt;Author&gt;Cavanaugh&lt;/Author&gt;&lt;Year&gt;1997&lt;/Year&gt;&lt;RecNum&gt;10&lt;/RecNum&gt;&lt;DisplayText&gt;(3)&lt;/DisplayText&gt;&lt;record&gt;&lt;rec-number&gt;10&lt;/rec-number&gt;&lt;foreign-keys&gt;&lt;key app="EN" db-id="ewsdp55f329vzie52rbx5fabxt2wvxw52xaz" timestamp="1441974428"&gt;10&lt;/key&gt;&lt;key app="ENWeb" db-id=""&gt;0&lt;/key&gt;&lt;/foreign-keys&gt;&lt;ref-type name="Journal Article"&gt;17&lt;/ref-type&gt;&lt;contributors&gt;&lt;authors&gt;&lt;author&gt;Cavanaugh, J. E.&lt;/author&gt;&lt;/authors&gt;&lt;/contributors&gt;&lt;titles&gt;&lt;title&gt;Unifying the Derivations for the Akaike and Corrected Akaike Information Criteria&lt;/title&gt;&lt;secondary-title&gt;Statist. Probab. Lett.&lt;/secondary-title&gt;&lt;/titles&gt;&lt;periodical&gt;&lt;full-title&gt;Statist. Probab. Lett.&lt;/full-title&gt;&lt;/periodical&gt;&lt;pages&gt;201-208&lt;/pages&gt;&lt;volume&gt;33&lt;/volume&gt;&lt;number&gt;2&lt;/number&gt;&lt;dates&gt;&lt;year&gt;1997&lt;/year&gt;&lt;/dates&gt;&lt;urls&gt;&lt;/urls&gt;&lt;electronic-resource-num&gt;10.1016/S0167-7152(96)00128-9&lt;/electronic-resource-num&gt;&lt;/record&gt;&lt;/Cite&gt;&lt;/EndNote&gt;</w:instrText>
      </w:r>
      <w:r w:rsidRPr="00647A59">
        <w:rPr>
          <w:rFonts w:ascii="Helvetica" w:hAnsi="Helvetica"/>
        </w:rPr>
        <w:fldChar w:fldCharType="separate"/>
      </w:r>
      <w:r w:rsidR="00173255" w:rsidRPr="00647A59">
        <w:rPr>
          <w:rFonts w:ascii="Helvetica" w:hAnsi="Helvetica"/>
          <w:noProof/>
        </w:rPr>
        <w:t>(3)</w:t>
      </w:r>
      <w:r w:rsidRPr="00647A59">
        <w:rPr>
          <w:rFonts w:ascii="Helvetica" w:hAnsi="Helvetica"/>
        </w:rPr>
        <w:fldChar w:fldCharType="end"/>
      </w:r>
      <w:r w:rsidRPr="00647A59">
        <w:rPr>
          <w:rFonts w:ascii="Helvetica" w:hAnsi="Helvetica"/>
        </w:rPr>
        <w:t>.</w:t>
      </w:r>
    </w:p>
    <w:p w14:paraId="570D43B1" w14:textId="77777777" w:rsidR="00A078C1" w:rsidRPr="00647A59" w:rsidRDefault="00A078C1">
      <w:pPr>
        <w:rPr>
          <w:rFonts w:ascii="Helvetica" w:hAnsi="Helvetica"/>
          <w:b/>
        </w:rPr>
      </w:pPr>
    </w:p>
    <w:p w14:paraId="42F1F934" w14:textId="57F21D8D" w:rsidR="00647A59" w:rsidRPr="00647A59" w:rsidRDefault="000A1747" w:rsidP="00647A59">
      <w:pPr>
        <w:pStyle w:val="NoSpacing"/>
        <w:rPr>
          <w:rFonts w:ascii="Helvetica" w:hAnsi="Helvetica"/>
          <w:b/>
        </w:rPr>
      </w:pPr>
      <w:r w:rsidRPr="00647A59">
        <w:rPr>
          <w:rFonts w:ascii="Helvetica" w:hAnsi="Helvetica"/>
          <w:b/>
        </w:rPr>
        <w:t>Results</w:t>
      </w:r>
    </w:p>
    <w:p w14:paraId="71473455" w14:textId="77777777" w:rsidR="000A1747" w:rsidRPr="00647A59" w:rsidRDefault="000A1747" w:rsidP="00647A59">
      <w:pPr>
        <w:pStyle w:val="NoSpacing"/>
        <w:rPr>
          <w:rFonts w:ascii="Helvetica" w:hAnsi="Helvetica"/>
        </w:rPr>
      </w:pPr>
      <w:r w:rsidRPr="00647A59">
        <w:rPr>
          <w:rFonts w:ascii="Helvetica" w:hAnsi="Helvetica"/>
          <w:i/>
        </w:rPr>
        <w:t>Computational Simulations</w:t>
      </w:r>
      <w:r w:rsidRPr="00647A59">
        <w:rPr>
          <w:rFonts w:ascii="Helvetica" w:hAnsi="Helvetica"/>
        </w:rPr>
        <w:t xml:space="preserve"> </w:t>
      </w:r>
    </w:p>
    <w:p w14:paraId="53AFA653" w14:textId="357E13AF" w:rsidR="00A078C1" w:rsidRPr="00647A59" w:rsidRDefault="00A078C1" w:rsidP="00A078C1">
      <w:pPr>
        <w:pStyle w:val="Normal1"/>
        <w:ind w:firstLine="720"/>
        <w:rPr>
          <w:rFonts w:ascii="Helvetica" w:hAnsi="Helvetica"/>
        </w:rPr>
      </w:pPr>
      <w:r w:rsidRPr="00647A59">
        <w:rPr>
          <w:rFonts w:ascii="Helvetica" w:hAnsi="Helvetica"/>
        </w:rPr>
        <w:t>Monte Carlo diffusion simulations in non-exchanging cylinders were consistent with t</w:t>
      </w:r>
      <w:r w:rsidR="00173255" w:rsidRPr="00647A59">
        <w:rPr>
          <w:rFonts w:ascii="Helvetica" w:hAnsi="Helvetica"/>
        </w:rPr>
        <w:t xml:space="preserve">he </w:t>
      </w:r>
      <w:r w:rsidR="00AB031C" w:rsidRPr="00647A59">
        <w:rPr>
          <w:rFonts w:ascii="Helvetica" w:hAnsi="Helvetica"/>
        </w:rPr>
        <w:t>experimental results (Fig</w:t>
      </w:r>
      <w:r w:rsidR="00173255" w:rsidRPr="00647A59">
        <w:rPr>
          <w:rFonts w:ascii="Helvetica" w:hAnsi="Helvetica"/>
        </w:rPr>
        <w:t>. 2B</w:t>
      </w:r>
      <w:r w:rsidRPr="00647A59">
        <w:rPr>
          <w:rFonts w:ascii="Helvetica" w:hAnsi="Helvetica"/>
        </w:rPr>
        <w:t>).  With diffusion weighting and geometrical factors similar to the experimental data, the fraction of the total signal originating from the intracellular (restricting) space did not substantially change with b-values above 2000 s/mm</w:t>
      </w:r>
      <w:r w:rsidRPr="00647A59">
        <w:rPr>
          <w:rFonts w:ascii="Helvetica" w:hAnsi="Helvetica"/>
          <w:vertAlign w:val="superscript"/>
        </w:rPr>
        <w:t>2</w:t>
      </w:r>
      <w:r w:rsidR="00173255" w:rsidRPr="00647A59">
        <w:rPr>
          <w:rFonts w:ascii="Helvetica" w:hAnsi="Helvetica"/>
        </w:rPr>
        <w:t xml:space="preserve"> (</w:t>
      </w:r>
      <w:r w:rsidR="00AB031C" w:rsidRPr="00647A59">
        <w:rPr>
          <w:rFonts w:ascii="Helvetica" w:hAnsi="Helvetica"/>
        </w:rPr>
        <w:t xml:space="preserve">Sup. </w:t>
      </w:r>
      <w:r w:rsidR="00173255" w:rsidRPr="00647A59">
        <w:rPr>
          <w:rFonts w:ascii="Helvetica" w:hAnsi="Helvetica"/>
        </w:rPr>
        <w:t>Fig</w:t>
      </w:r>
      <w:r w:rsidR="00AB031C" w:rsidRPr="00647A59">
        <w:rPr>
          <w:rFonts w:ascii="Helvetica" w:hAnsi="Helvetica"/>
        </w:rPr>
        <w:t>.</w:t>
      </w:r>
      <w:r w:rsidR="00173255" w:rsidRPr="00647A59">
        <w:rPr>
          <w:rFonts w:ascii="Helvetica" w:hAnsi="Helvetica"/>
        </w:rPr>
        <w:t xml:space="preserve"> S1)</w:t>
      </w:r>
      <w:r w:rsidRPr="00647A59">
        <w:rPr>
          <w:rFonts w:ascii="Helvetica" w:hAnsi="Helvetica"/>
        </w:rPr>
        <w:t>.</w:t>
      </w:r>
    </w:p>
    <w:p w14:paraId="148CAB53" w14:textId="77777777" w:rsidR="00A078C1" w:rsidRPr="00647A59" w:rsidRDefault="00A078C1" w:rsidP="000D4ABD">
      <w:pPr>
        <w:spacing w:line="240" w:lineRule="auto"/>
        <w:rPr>
          <w:rFonts w:ascii="Helvetica" w:hAnsi="Helvetica"/>
        </w:rPr>
      </w:pPr>
    </w:p>
    <w:p w14:paraId="73955B94" w14:textId="77777777" w:rsidR="000D4ABD" w:rsidRPr="00647A59" w:rsidRDefault="000D4ABD" w:rsidP="000D4ABD">
      <w:pPr>
        <w:spacing w:after="0" w:line="240" w:lineRule="auto"/>
        <w:rPr>
          <w:rFonts w:ascii="Helvetica" w:hAnsi="Helvetica"/>
          <w:i/>
        </w:rPr>
      </w:pPr>
      <w:r w:rsidRPr="00647A59">
        <w:rPr>
          <w:rFonts w:ascii="Helvetica" w:hAnsi="Helvetica"/>
          <w:i/>
        </w:rPr>
        <w:t>DTI Region of Interest Analysis</w:t>
      </w:r>
    </w:p>
    <w:p w14:paraId="43E72118" w14:textId="77777777" w:rsidR="000D4ABD" w:rsidRDefault="000D4ABD" w:rsidP="000D4ABD">
      <w:pPr>
        <w:spacing w:after="0" w:line="240" w:lineRule="auto"/>
        <w:ind w:firstLine="720"/>
        <w:rPr>
          <w:rFonts w:ascii="Helvetica" w:hAnsi="Helvetica"/>
        </w:rPr>
      </w:pPr>
      <w:r w:rsidRPr="00647A59">
        <w:rPr>
          <w:rFonts w:ascii="Helvetica" w:hAnsi="Helvetica"/>
        </w:rPr>
        <w:t xml:space="preserve">As described in the main text, several different ROI </w:t>
      </w:r>
      <w:proofErr w:type="gramStart"/>
      <w:r w:rsidRPr="00647A59">
        <w:rPr>
          <w:rFonts w:ascii="Helvetica" w:hAnsi="Helvetica"/>
        </w:rPr>
        <w:t>analysis</w:t>
      </w:r>
      <w:proofErr w:type="gramEnd"/>
      <w:r w:rsidRPr="00647A59">
        <w:rPr>
          <w:rFonts w:ascii="Helvetica" w:hAnsi="Helvetica"/>
        </w:rPr>
        <w:t xml:space="preserve"> were performed on the DTI data, including a whole-cord manual ROI and a perpendicular-weighted ROI masked with either the PRESS voxel geometry or the whole cord.  Additionally, the weighted, whole-cord ROI was applied to either the DW images prior to DTI estimation, or to the DTI parameter maps after </w:t>
      </w:r>
      <w:proofErr w:type="spellStart"/>
      <w:r w:rsidRPr="00647A59">
        <w:rPr>
          <w:rFonts w:ascii="Helvetica" w:hAnsi="Helvetica"/>
        </w:rPr>
        <w:t>voxelwise</w:t>
      </w:r>
      <w:proofErr w:type="spellEnd"/>
      <w:r w:rsidRPr="00647A59">
        <w:rPr>
          <w:rFonts w:ascii="Helvetica" w:hAnsi="Helvetica"/>
        </w:rPr>
        <w:t xml:space="preserve"> estimation.  The results of the regression analysis with injury severity are shown below in the table to highlight how different ROI methods can induce different results. Briefly, perpendicular-weighted ROIs considerable improve the sensitivity to injury severity for all measures expect RD (as expected, since its contribution to the DTI results are minimized with perpendicular weighting).  Moreover, the difference between PRESS masking and whole-cord masking are minor, particularly for AD, suggesting the non-cord signals do not significantly contribute to the sensitivity of the DTI results.  </w:t>
      </w:r>
      <w:r w:rsidR="00A27A7F" w:rsidRPr="00647A59">
        <w:rPr>
          <w:rFonts w:ascii="Helvetica" w:hAnsi="Helvetica"/>
        </w:rPr>
        <w:t>Overall, these results demonstrate that ROI analysis of DTI data as a marker of injury severity is heavily influenced by the methodology used, which has important implications to maximize sensitivity and ensure consistency across studies.</w:t>
      </w:r>
    </w:p>
    <w:p w14:paraId="21C0535C" w14:textId="77777777" w:rsidR="003E7362" w:rsidRDefault="003E7362" w:rsidP="000D4ABD">
      <w:pPr>
        <w:spacing w:after="0" w:line="240" w:lineRule="auto"/>
        <w:ind w:firstLine="720"/>
        <w:rPr>
          <w:rFonts w:ascii="Helvetica" w:hAnsi="Helvetica"/>
        </w:rPr>
      </w:pPr>
    </w:p>
    <w:p w14:paraId="6A4AA325" w14:textId="77777777" w:rsidR="003E7362" w:rsidRPr="00647A59" w:rsidRDefault="003E7362" w:rsidP="000D4ABD">
      <w:pPr>
        <w:spacing w:after="0" w:line="240" w:lineRule="auto"/>
        <w:ind w:firstLine="720"/>
        <w:rPr>
          <w:rFonts w:ascii="Helvetica" w:hAnsi="Helvetica"/>
        </w:rPr>
      </w:pPr>
    </w:p>
    <w:tbl>
      <w:tblPr>
        <w:tblW w:w="11460" w:type="dxa"/>
        <w:tblInd w:w="45" w:type="dxa"/>
        <w:tblLook w:val="04A0" w:firstRow="1" w:lastRow="0" w:firstColumn="1" w:lastColumn="0" w:noHBand="0" w:noVBand="1"/>
      </w:tblPr>
      <w:tblGrid>
        <w:gridCol w:w="1350"/>
        <w:gridCol w:w="1039"/>
        <w:gridCol w:w="1211"/>
        <w:gridCol w:w="1560"/>
        <w:gridCol w:w="1005"/>
        <w:gridCol w:w="555"/>
        <w:gridCol w:w="60"/>
        <w:gridCol w:w="1500"/>
        <w:gridCol w:w="60"/>
        <w:gridCol w:w="1500"/>
        <w:gridCol w:w="60"/>
        <w:gridCol w:w="1560"/>
      </w:tblGrid>
      <w:tr w:rsidR="000D4ABD" w:rsidRPr="00647A59" w14:paraId="67527EB6" w14:textId="77777777" w:rsidTr="00ED6FB1">
        <w:trPr>
          <w:trHeight w:val="558"/>
        </w:trPr>
        <w:tc>
          <w:tcPr>
            <w:tcW w:w="6165" w:type="dxa"/>
            <w:gridSpan w:val="5"/>
            <w:tcBorders>
              <w:top w:val="nil"/>
              <w:left w:val="nil"/>
              <w:bottom w:val="nil"/>
              <w:right w:val="nil"/>
            </w:tcBorders>
            <w:shd w:val="clear" w:color="auto" w:fill="auto"/>
            <w:noWrap/>
            <w:vAlign w:val="bottom"/>
            <w:hideMark/>
          </w:tcPr>
          <w:p w14:paraId="14ED77F4" w14:textId="77777777" w:rsidR="000D4ABD" w:rsidRPr="00647A59" w:rsidRDefault="000D4ABD" w:rsidP="000D4ABD">
            <w:pPr>
              <w:spacing w:after="0" w:line="240" w:lineRule="auto"/>
              <w:rPr>
                <w:rFonts w:ascii="Helvetica" w:eastAsia="Times New Roman" w:hAnsi="Helvetica" w:cs="Times New Roman"/>
                <w:color w:val="000000"/>
              </w:rPr>
            </w:pPr>
          </w:p>
          <w:p w14:paraId="751F8422" w14:textId="6AB33C50" w:rsidR="000D4ABD" w:rsidRPr="00647A59" w:rsidRDefault="00AB031C" w:rsidP="000D4ABD">
            <w:pPr>
              <w:spacing w:after="0" w:line="240" w:lineRule="auto"/>
              <w:rPr>
                <w:rFonts w:ascii="Helvetica" w:eastAsia="Times New Roman" w:hAnsi="Helvetica" w:cs="Times New Roman"/>
                <w:color w:val="000000"/>
              </w:rPr>
            </w:pPr>
            <w:r w:rsidRPr="00647A59">
              <w:rPr>
                <w:rFonts w:ascii="Helvetica" w:eastAsia="Times New Roman" w:hAnsi="Helvetica" w:cs="Times New Roman"/>
                <w:color w:val="000000"/>
              </w:rPr>
              <w:t xml:space="preserve">Supporting </w:t>
            </w:r>
            <w:r w:rsidR="00F95999" w:rsidRPr="00647A59">
              <w:rPr>
                <w:rFonts w:ascii="Helvetica" w:eastAsia="Times New Roman" w:hAnsi="Helvetica" w:cs="Times New Roman"/>
                <w:color w:val="000000"/>
              </w:rPr>
              <w:t xml:space="preserve">Table S1. </w:t>
            </w:r>
            <w:r w:rsidR="00A27A7F" w:rsidRPr="00647A59">
              <w:rPr>
                <w:rFonts w:ascii="Helvetica" w:eastAsia="Times New Roman" w:hAnsi="Helvetica" w:cs="Times New Roman"/>
                <w:color w:val="000000"/>
              </w:rPr>
              <w:t>Regression</w:t>
            </w:r>
            <w:r w:rsidR="000D4ABD" w:rsidRPr="00647A59">
              <w:rPr>
                <w:rFonts w:ascii="Helvetica" w:eastAsia="Times New Roman" w:hAnsi="Helvetica" w:cs="Times New Roman"/>
                <w:color w:val="000000"/>
              </w:rPr>
              <w:t xml:space="preserve"> with Severity: R</w:t>
            </w:r>
            <w:r w:rsidR="000D4ABD" w:rsidRPr="00647A59">
              <w:rPr>
                <w:rFonts w:ascii="Helvetica" w:eastAsia="Times New Roman" w:hAnsi="Helvetica" w:cs="Times New Roman"/>
                <w:color w:val="000000"/>
                <w:vertAlign w:val="superscript"/>
              </w:rPr>
              <w:t>2</w:t>
            </w:r>
            <w:r w:rsidR="000D4ABD" w:rsidRPr="00647A59">
              <w:rPr>
                <w:rFonts w:ascii="Helvetica" w:eastAsia="Times New Roman" w:hAnsi="Helvetica" w:cs="Times New Roman"/>
                <w:color w:val="000000"/>
              </w:rPr>
              <w:t xml:space="preserve"> (p-value)</w:t>
            </w:r>
          </w:p>
        </w:tc>
        <w:tc>
          <w:tcPr>
            <w:tcW w:w="615" w:type="dxa"/>
            <w:gridSpan w:val="2"/>
            <w:tcBorders>
              <w:top w:val="nil"/>
              <w:left w:val="nil"/>
              <w:bottom w:val="nil"/>
              <w:right w:val="nil"/>
            </w:tcBorders>
            <w:shd w:val="clear" w:color="auto" w:fill="auto"/>
            <w:noWrap/>
            <w:vAlign w:val="bottom"/>
            <w:hideMark/>
          </w:tcPr>
          <w:p w14:paraId="551D0AE8" w14:textId="77777777" w:rsidR="000D4ABD" w:rsidRPr="00647A59" w:rsidRDefault="000D4ABD" w:rsidP="000D4ABD">
            <w:pPr>
              <w:spacing w:after="0" w:line="240" w:lineRule="auto"/>
              <w:rPr>
                <w:rFonts w:ascii="Helvetica" w:eastAsia="Times New Roman" w:hAnsi="Helvetica" w:cs="Times New Roman"/>
                <w:color w:val="000000"/>
              </w:rPr>
            </w:pPr>
          </w:p>
        </w:tc>
        <w:tc>
          <w:tcPr>
            <w:tcW w:w="1560" w:type="dxa"/>
            <w:gridSpan w:val="2"/>
            <w:tcBorders>
              <w:top w:val="nil"/>
              <w:left w:val="nil"/>
              <w:bottom w:val="nil"/>
              <w:right w:val="nil"/>
            </w:tcBorders>
            <w:shd w:val="clear" w:color="auto" w:fill="auto"/>
            <w:noWrap/>
            <w:vAlign w:val="bottom"/>
            <w:hideMark/>
          </w:tcPr>
          <w:p w14:paraId="5638382D" w14:textId="77777777" w:rsidR="000D4ABD" w:rsidRPr="00647A59" w:rsidRDefault="000D4ABD" w:rsidP="000D4ABD">
            <w:pPr>
              <w:spacing w:after="0" w:line="240" w:lineRule="auto"/>
              <w:rPr>
                <w:rFonts w:ascii="Helvetica" w:eastAsia="Times New Roman" w:hAnsi="Helvetica" w:cs="Times New Roman"/>
              </w:rPr>
            </w:pPr>
          </w:p>
        </w:tc>
        <w:tc>
          <w:tcPr>
            <w:tcW w:w="1560" w:type="dxa"/>
            <w:gridSpan w:val="2"/>
            <w:tcBorders>
              <w:top w:val="nil"/>
              <w:left w:val="nil"/>
              <w:bottom w:val="nil"/>
              <w:right w:val="nil"/>
            </w:tcBorders>
            <w:shd w:val="clear" w:color="auto" w:fill="auto"/>
            <w:noWrap/>
            <w:vAlign w:val="bottom"/>
            <w:hideMark/>
          </w:tcPr>
          <w:p w14:paraId="45D004A4" w14:textId="77777777" w:rsidR="000D4ABD" w:rsidRPr="00647A59" w:rsidRDefault="000D4ABD" w:rsidP="000D4ABD">
            <w:pPr>
              <w:spacing w:after="0" w:line="240" w:lineRule="auto"/>
              <w:rPr>
                <w:rFonts w:ascii="Helvetica" w:eastAsia="Times New Roman" w:hAnsi="Helvetica" w:cs="Times New Roman"/>
              </w:rPr>
            </w:pPr>
          </w:p>
        </w:tc>
        <w:tc>
          <w:tcPr>
            <w:tcW w:w="1560" w:type="dxa"/>
            <w:tcBorders>
              <w:top w:val="nil"/>
              <w:left w:val="nil"/>
              <w:bottom w:val="nil"/>
              <w:right w:val="nil"/>
            </w:tcBorders>
            <w:shd w:val="clear" w:color="auto" w:fill="auto"/>
            <w:noWrap/>
            <w:vAlign w:val="bottom"/>
            <w:hideMark/>
          </w:tcPr>
          <w:p w14:paraId="584EEFCD" w14:textId="77777777" w:rsidR="000D4ABD" w:rsidRPr="00647A59" w:rsidRDefault="000D4ABD" w:rsidP="000D4ABD">
            <w:pPr>
              <w:spacing w:after="0" w:line="240" w:lineRule="auto"/>
              <w:rPr>
                <w:rFonts w:ascii="Helvetica" w:eastAsia="Times New Roman" w:hAnsi="Helvetica" w:cs="Times New Roman"/>
              </w:rPr>
            </w:pPr>
          </w:p>
        </w:tc>
      </w:tr>
      <w:tr w:rsidR="000D4ABD" w:rsidRPr="00647A59" w14:paraId="20CD2093" w14:textId="77777777" w:rsidTr="00AB031C">
        <w:trPr>
          <w:gridAfter w:val="2"/>
          <w:wAfter w:w="1620" w:type="dxa"/>
          <w:trHeight w:val="315"/>
        </w:trPr>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D3F3E4" w14:textId="77777777" w:rsidR="000D4ABD" w:rsidRPr="00647A59" w:rsidRDefault="000D4ABD" w:rsidP="000D4ABD">
            <w:pPr>
              <w:spacing w:after="0" w:line="240" w:lineRule="auto"/>
              <w:rPr>
                <w:rFonts w:ascii="Helvetica" w:eastAsia="Times New Roman" w:hAnsi="Helvetica" w:cs="Times New Roman"/>
                <w:b/>
                <w:bCs/>
                <w:color w:val="000000"/>
              </w:rPr>
            </w:pPr>
            <w:proofErr w:type="spellStart"/>
            <w:r w:rsidRPr="00647A59">
              <w:rPr>
                <w:rFonts w:ascii="Helvetica" w:eastAsia="Times New Roman" w:hAnsi="Helvetica" w:cs="Times New Roman"/>
                <w:b/>
                <w:bCs/>
                <w:color w:val="000000"/>
              </w:rPr>
              <w:t>Perp</w:t>
            </w:r>
            <w:proofErr w:type="spellEnd"/>
            <w:r w:rsidRPr="00647A59">
              <w:rPr>
                <w:rFonts w:ascii="Helvetica" w:eastAsia="Times New Roman" w:hAnsi="Helvetica" w:cs="Times New Roman"/>
                <w:b/>
                <w:bCs/>
                <w:color w:val="000000"/>
              </w:rPr>
              <w:t>-Weighted</w:t>
            </w:r>
          </w:p>
        </w:tc>
        <w:tc>
          <w:tcPr>
            <w:tcW w:w="1039" w:type="dxa"/>
            <w:tcBorders>
              <w:top w:val="single" w:sz="4" w:space="0" w:color="auto"/>
              <w:left w:val="nil"/>
              <w:bottom w:val="single" w:sz="4" w:space="0" w:color="auto"/>
              <w:right w:val="single" w:sz="4" w:space="0" w:color="auto"/>
            </w:tcBorders>
            <w:shd w:val="clear" w:color="auto" w:fill="auto"/>
            <w:noWrap/>
            <w:vAlign w:val="bottom"/>
            <w:hideMark/>
          </w:tcPr>
          <w:p w14:paraId="7840619E" w14:textId="77777777" w:rsidR="000D4ABD" w:rsidRPr="00647A59" w:rsidRDefault="000D4ABD" w:rsidP="000D4ABD">
            <w:pPr>
              <w:spacing w:after="0" w:line="240" w:lineRule="auto"/>
              <w:rPr>
                <w:rFonts w:ascii="Helvetica" w:eastAsia="Times New Roman" w:hAnsi="Helvetica" w:cs="Times New Roman"/>
                <w:b/>
                <w:bCs/>
                <w:color w:val="000000"/>
              </w:rPr>
            </w:pPr>
            <w:r w:rsidRPr="00647A59">
              <w:rPr>
                <w:rFonts w:ascii="Helvetica" w:eastAsia="Times New Roman" w:hAnsi="Helvetica" w:cs="Times New Roman"/>
                <w:b/>
                <w:bCs/>
                <w:color w:val="000000"/>
              </w:rPr>
              <w:t>Mask</w:t>
            </w:r>
          </w:p>
        </w:tc>
        <w:tc>
          <w:tcPr>
            <w:tcW w:w="1211" w:type="dxa"/>
            <w:tcBorders>
              <w:top w:val="single" w:sz="4" w:space="0" w:color="auto"/>
              <w:left w:val="nil"/>
              <w:bottom w:val="single" w:sz="4" w:space="0" w:color="auto"/>
              <w:right w:val="single" w:sz="4" w:space="0" w:color="auto"/>
            </w:tcBorders>
            <w:shd w:val="clear" w:color="auto" w:fill="auto"/>
            <w:noWrap/>
            <w:vAlign w:val="bottom"/>
            <w:hideMark/>
          </w:tcPr>
          <w:p w14:paraId="58EDEAE6" w14:textId="4F3DE93F" w:rsidR="000D4ABD" w:rsidRPr="00647A59" w:rsidRDefault="00647A59" w:rsidP="000D4ABD">
            <w:pPr>
              <w:spacing w:after="0" w:line="240" w:lineRule="auto"/>
              <w:rPr>
                <w:rFonts w:ascii="Helvetica" w:eastAsia="Times New Roman" w:hAnsi="Helvetica" w:cs="Times New Roman"/>
                <w:b/>
                <w:bCs/>
                <w:color w:val="000000"/>
              </w:rPr>
            </w:pPr>
            <w:r>
              <w:rPr>
                <w:rFonts w:ascii="Helvetica" w:eastAsia="Times New Roman" w:hAnsi="Helvetica" w:cs="Times New Roman"/>
                <w:b/>
                <w:bCs/>
                <w:color w:val="000000"/>
              </w:rPr>
              <w:t>DTI F</w:t>
            </w:r>
            <w:r w:rsidR="000D4ABD" w:rsidRPr="00647A59">
              <w:rPr>
                <w:rFonts w:ascii="Helvetica" w:eastAsia="Times New Roman" w:hAnsi="Helvetica" w:cs="Times New Roman"/>
                <w:b/>
                <w:bCs/>
                <w:color w:val="000000"/>
              </w:rPr>
              <w:t>it</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14:paraId="3A59672D" w14:textId="77777777" w:rsidR="000D4ABD" w:rsidRPr="00647A59" w:rsidRDefault="000D4ABD" w:rsidP="000D4ABD">
            <w:pPr>
              <w:spacing w:after="0" w:line="240" w:lineRule="auto"/>
              <w:rPr>
                <w:rFonts w:ascii="Helvetica" w:eastAsia="Times New Roman" w:hAnsi="Helvetica" w:cs="Times New Roman"/>
                <w:b/>
                <w:bCs/>
                <w:color w:val="000000"/>
              </w:rPr>
            </w:pPr>
            <w:r w:rsidRPr="00647A59">
              <w:rPr>
                <w:rFonts w:ascii="Helvetica" w:eastAsia="Times New Roman" w:hAnsi="Helvetica" w:cs="Times New Roman"/>
                <w:b/>
                <w:bCs/>
                <w:color w:val="000000"/>
              </w:rPr>
              <w:t>FA</w:t>
            </w:r>
          </w:p>
        </w:tc>
        <w:tc>
          <w:tcPr>
            <w:tcW w:w="15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12D7F939" w14:textId="77777777" w:rsidR="000D4ABD" w:rsidRPr="00647A59" w:rsidRDefault="000D4ABD" w:rsidP="000D4ABD">
            <w:pPr>
              <w:spacing w:after="0" w:line="240" w:lineRule="auto"/>
              <w:rPr>
                <w:rFonts w:ascii="Helvetica" w:eastAsia="Times New Roman" w:hAnsi="Helvetica" w:cs="Times New Roman"/>
                <w:b/>
                <w:bCs/>
                <w:color w:val="000000"/>
              </w:rPr>
            </w:pPr>
            <w:r w:rsidRPr="00647A59">
              <w:rPr>
                <w:rFonts w:ascii="Helvetica" w:eastAsia="Times New Roman" w:hAnsi="Helvetica" w:cs="Times New Roman"/>
                <w:b/>
                <w:bCs/>
                <w:color w:val="000000"/>
              </w:rPr>
              <w:t>AD</w:t>
            </w:r>
          </w:p>
        </w:tc>
        <w:tc>
          <w:tcPr>
            <w:tcW w:w="15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0280CB50" w14:textId="77777777" w:rsidR="000D4ABD" w:rsidRPr="00647A59" w:rsidRDefault="000D4ABD" w:rsidP="000D4ABD">
            <w:pPr>
              <w:spacing w:after="0" w:line="240" w:lineRule="auto"/>
              <w:rPr>
                <w:rFonts w:ascii="Helvetica" w:eastAsia="Times New Roman" w:hAnsi="Helvetica" w:cs="Times New Roman"/>
                <w:b/>
                <w:bCs/>
                <w:color w:val="000000"/>
              </w:rPr>
            </w:pPr>
            <w:r w:rsidRPr="00647A59">
              <w:rPr>
                <w:rFonts w:ascii="Helvetica" w:eastAsia="Times New Roman" w:hAnsi="Helvetica" w:cs="Times New Roman"/>
                <w:b/>
                <w:bCs/>
                <w:color w:val="000000"/>
              </w:rPr>
              <w:t>MD</w:t>
            </w:r>
          </w:p>
        </w:tc>
        <w:tc>
          <w:tcPr>
            <w:tcW w:w="15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22047A1B" w14:textId="77777777" w:rsidR="000D4ABD" w:rsidRPr="00647A59" w:rsidRDefault="000D4ABD" w:rsidP="000D4ABD">
            <w:pPr>
              <w:spacing w:after="0" w:line="240" w:lineRule="auto"/>
              <w:rPr>
                <w:rFonts w:ascii="Helvetica" w:eastAsia="Times New Roman" w:hAnsi="Helvetica" w:cs="Times New Roman"/>
                <w:b/>
                <w:bCs/>
                <w:color w:val="000000"/>
              </w:rPr>
            </w:pPr>
            <w:r w:rsidRPr="00647A59">
              <w:rPr>
                <w:rFonts w:ascii="Helvetica" w:eastAsia="Times New Roman" w:hAnsi="Helvetica" w:cs="Times New Roman"/>
                <w:b/>
                <w:bCs/>
                <w:color w:val="000000"/>
              </w:rPr>
              <w:t>RD</w:t>
            </w:r>
          </w:p>
        </w:tc>
      </w:tr>
      <w:tr w:rsidR="00F95999" w:rsidRPr="00647A59" w14:paraId="5CCCB97C" w14:textId="77777777" w:rsidTr="00AB031C">
        <w:trPr>
          <w:gridAfter w:val="2"/>
          <w:wAfter w:w="1620" w:type="dxa"/>
          <w:trHeight w:val="315"/>
        </w:trPr>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676BCF" w14:textId="77777777" w:rsidR="00F95999" w:rsidRPr="00647A59" w:rsidRDefault="00F95999" w:rsidP="00F95999">
            <w:pPr>
              <w:rPr>
                <w:rFonts w:ascii="Helvetica" w:hAnsi="Helvetica"/>
                <w:color w:val="000000"/>
              </w:rPr>
            </w:pPr>
            <w:r w:rsidRPr="00647A59">
              <w:rPr>
                <w:rFonts w:ascii="Helvetica" w:hAnsi="Helvetica"/>
                <w:color w:val="000000"/>
              </w:rPr>
              <w:t>No</w:t>
            </w:r>
          </w:p>
        </w:tc>
        <w:tc>
          <w:tcPr>
            <w:tcW w:w="1039" w:type="dxa"/>
            <w:tcBorders>
              <w:top w:val="single" w:sz="4" w:space="0" w:color="auto"/>
              <w:left w:val="nil"/>
              <w:bottom w:val="single" w:sz="4" w:space="0" w:color="auto"/>
              <w:right w:val="single" w:sz="4" w:space="0" w:color="auto"/>
            </w:tcBorders>
            <w:shd w:val="clear" w:color="auto" w:fill="auto"/>
            <w:noWrap/>
            <w:vAlign w:val="bottom"/>
            <w:hideMark/>
          </w:tcPr>
          <w:p w14:paraId="329FDE2F" w14:textId="77777777" w:rsidR="00F95999" w:rsidRPr="00647A59" w:rsidRDefault="00F95999" w:rsidP="00F95999">
            <w:pPr>
              <w:rPr>
                <w:rFonts w:ascii="Helvetica" w:hAnsi="Helvetica"/>
                <w:color w:val="000000"/>
              </w:rPr>
            </w:pPr>
            <w:r w:rsidRPr="00647A59">
              <w:rPr>
                <w:rFonts w:ascii="Helvetica" w:hAnsi="Helvetica"/>
                <w:color w:val="000000"/>
              </w:rPr>
              <w:t>Cord</w:t>
            </w:r>
          </w:p>
        </w:tc>
        <w:tc>
          <w:tcPr>
            <w:tcW w:w="1211" w:type="dxa"/>
            <w:tcBorders>
              <w:top w:val="single" w:sz="4" w:space="0" w:color="auto"/>
              <w:left w:val="nil"/>
              <w:bottom w:val="single" w:sz="4" w:space="0" w:color="auto"/>
              <w:right w:val="single" w:sz="4" w:space="0" w:color="auto"/>
            </w:tcBorders>
            <w:shd w:val="clear" w:color="auto" w:fill="auto"/>
            <w:noWrap/>
            <w:vAlign w:val="bottom"/>
            <w:hideMark/>
          </w:tcPr>
          <w:p w14:paraId="3A1B7FD3" w14:textId="77777777" w:rsidR="00F95999" w:rsidRPr="00647A59" w:rsidRDefault="00F95999" w:rsidP="00F95999">
            <w:pPr>
              <w:rPr>
                <w:rFonts w:ascii="Helvetica" w:hAnsi="Helvetica"/>
                <w:color w:val="000000"/>
              </w:rPr>
            </w:pPr>
            <w:proofErr w:type="spellStart"/>
            <w:r w:rsidRPr="00647A59">
              <w:rPr>
                <w:rFonts w:ascii="Helvetica" w:hAnsi="Helvetica"/>
                <w:color w:val="000000"/>
              </w:rPr>
              <w:t>Voxelwise</w:t>
            </w:r>
            <w:proofErr w:type="spellEnd"/>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14:paraId="4C0397D2" w14:textId="77777777" w:rsidR="00F95999" w:rsidRPr="00647A59" w:rsidRDefault="00F95999" w:rsidP="00F95999">
            <w:pPr>
              <w:jc w:val="center"/>
              <w:rPr>
                <w:rFonts w:ascii="Helvetica" w:hAnsi="Helvetica"/>
                <w:color w:val="000000"/>
              </w:rPr>
            </w:pPr>
            <w:r w:rsidRPr="00647A59">
              <w:rPr>
                <w:rFonts w:ascii="Helvetica" w:hAnsi="Helvetica"/>
                <w:color w:val="000000"/>
              </w:rPr>
              <w:t>0.31 (0.010)</w:t>
            </w:r>
          </w:p>
        </w:tc>
        <w:tc>
          <w:tcPr>
            <w:tcW w:w="15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40E428C8" w14:textId="77777777" w:rsidR="00F95999" w:rsidRPr="00647A59" w:rsidRDefault="00F95999" w:rsidP="00F95999">
            <w:pPr>
              <w:jc w:val="center"/>
              <w:rPr>
                <w:rFonts w:ascii="Helvetica" w:hAnsi="Helvetica"/>
                <w:color w:val="000000"/>
              </w:rPr>
            </w:pPr>
            <w:r w:rsidRPr="00647A59">
              <w:rPr>
                <w:rFonts w:ascii="Helvetica" w:hAnsi="Helvetica"/>
                <w:color w:val="000000"/>
              </w:rPr>
              <w:t>0.14 (0.102)</w:t>
            </w:r>
          </w:p>
        </w:tc>
        <w:tc>
          <w:tcPr>
            <w:tcW w:w="15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0BFD642A" w14:textId="77777777" w:rsidR="00F95999" w:rsidRPr="00647A59" w:rsidRDefault="00F95999" w:rsidP="00F95999">
            <w:pPr>
              <w:jc w:val="center"/>
              <w:rPr>
                <w:rFonts w:ascii="Helvetica" w:hAnsi="Helvetica"/>
                <w:color w:val="000000"/>
              </w:rPr>
            </w:pPr>
            <w:r w:rsidRPr="00647A59">
              <w:rPr>
                <w:rFonts w:ascii="Helvetica" w:hAnsi="Helvetica"/>
                <w:color w:val="000000"/>
              </w:rPr>
              <w:t>0.00 (0.814)</w:t>
            </w:r>
          </w:p>
        </w:tc>
        <w:tc>
          <w:tcPr>
            <w:tcW w:w="15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12F85B21" w14:textId="77777777" w:rsidR="00F95999" w:rsidRPr="00647A59" w:rsidRDefault="00F95999" w:rsidP="00F95999">
            <w:pPr>
              <w:jc w:val="center"/>
              <w:rPr>
                <w:rFonts w:ascii="Helvetica" w:hAnsi="Helvetica"/>
                <w:color w:val="000000"/>
              </w:rPr>
            </w:pPr>
            <w:r w:rsidRPr="00647A59">
              <w:rPr>
                <w:rFonts w:ascii="Helvetica" w:hAnsi="Helvetica"/>
                <w:color w:val="000000"/>
              </w:rPr>
              <w:t>0.15 (0.088)</w:t>
            </w:r>
          </w:p>
        </w:tc>
      </w:tr>
      <w:tr w:rsidR="00F95999" w:rsidRPr="00647A59" w14:paraId="7805197A" w14:textId="77777777" w:rsidTr="00AB031C">
        <w:trPr>
          <w:gridAfter w:val="2"/>
          <w:wAfter w:w="1620" w:type="dxa"/>
          <w:trHeight w:val="315"/>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34F4A23D" w14:textId="77777777" w:rsidR="00F95999" w:rsidRPr="00647A59" w:rsidRDefault="00F95999" w:rsidP="00F95999">
            <w:pPr>
              <w:rPr>
                <w:rFonts w:ascii="Helvetica" w:hAnsi="Helvetica"/>
                <w:color w:val="000000"/>
              </w:rPr>
            </w:pPr>
            <w:r w:rsidRPr="00647A59">
              <w:rPr>
                <w:rFonts w:ascii="Helvetica" w:hAnsi="Helvetica"/>
                <w:color w:val="000000"/>
              </w:rPr>
              <w:t>Yes</w:t>
            </w:r>
          </w:p>
        </w:tc>
        <w:tc>
          <w:tcPr>
            <w:tcW w:w="1039" w:type="dxa"/>
            <w:tcBorders>
              <w:top w:val="nil"/>
              <w:left w:val="nil"/>
              <w:bottom w:val="single" w:sz="4" w:space="0" w:color="auto"/>
              <w:right w:val="single" w:sz="4" w:space="0" w:color="auto"/>
            </w:tcBorders>
            <w:shd w:val="clear" w:color="auto" w:fill="auto"/>
            <w:noWrap/>
            <w:vAlign w:val="bottom"/>
            <w:hideMark/>
          </w:tcPr>
          <w:p w14:paraId="2800CFFC" w14:textId="77777777" w:rsidR="00F95999" w:rsidRPr="00647A59" w:rsidRDefault="00F95999" w:rsidP="00F95999">
            <w:pPr>
              <w:rPr>
                <w:rFonts w:ascii="Helvetica" w:hAnsi="Helvetica"/>
                <w:color w:val="000000"/>
              </w:rPr>
            </w:pPr>
            <w:r w:rsidRPr="00647A59">
              <w:rPr>
                <w:rFonts w:ascii="Helvetica" w:hAnsi="Helvetica"/>
                <w:color w:val="000000"/>
              </w:rPr>
              <w:t>PRESS</w:t>
            </w:r>
          </w:p>
        </w:tc>
        <w:tc>
          <w:tcPr>
            <w:tcW w:w="1211" w:type="dxa"/>
            <w:tcBorders>
              <w:top w:val="nil"/>
              <w:left w:val="nil"/>
              <w:bottom w:val="single" w:sz="4" w:space="0" w:color="auto"/>
              <w:right w:val="single" w:sz="4" w:space="0" w:color="auto"/>
            </w:tcBorders>
            <w:shd w:val="clear" w:color="auto" w:fill="auto"/>
            <w:noWrap/>
            <w:vAlign w:val="bottom"/>
            <w:hideMark/>
          </w:tcPr>
          <w:p w14:paraId="4237B783" w14:textId="77777777" w:rsidR="00F95999" w:rsidRPr="00647A59" w:rsidRDefault="00F95999" w:rsidP="00F95999">
            <w:pPr>
              <w:rPr>
                <w:rFonts w:ascii="Helvetica" w:hAnsi="Helvetica"/>
                <w:color w:val="000000"/>
              </w:rPr>
            </w:pPr>
            <w:r w:rsidRPr="00647A59">
              <w:rPr>
                <w:rFonts w:ascii="Helvetica" w:hAnsi="Helvetica"/>
                <w:color w:val="000000"/>
              </w:rPr>
              <w:t>ROI signal</w:t>
            </w:r>
          </w:p>
        </w:tc>
        <w:tc>
          <w:tcPr>
            <w:tcW w:w="1560" w:type="dxa"/>
            <w:tcBorders>
              <w:top w:val="nil"/>
              <w:left w:val="nil"/>
              <w:bottom w:val="single" w:sz="4" w:space="0" w:color="auto"/>
              <w:right w:val="single" w:sz="4" w:space="0" w:color="auto"/>
            </w:tcBorders>
            <w:shd w:val="clear" w:color="auto" w:fill="auto"/>
            <w:noWrap/>
            <w:vAlign w:val="bottom"/>
            <w:hideMark/>
          </w:tcPr>
          <w:p w14:paraId="6E87E292" w14:textId="77777777" w:rsidR="00F95999" w:rsidRPr="00647A59" w:rsidRDefault="00F95999" w:rsidP="00F95999">
            <w:pPr>
              <w:jc w:val="center"/>
              <w:rPr>
                <w:rFonts w:ascii="Helvetica" w:hAnsi="Helvetica"/>
                <w:color w:val="000000"/>
              </w:rPr>
            </w:pPr>
            <w:r w:rsidRPr="00647A59">
              <w:rPr>
                <w:rFonts w:ascii="Helvetica" w:hAnsi="Helvetica"/>
                <w:color w:val="000000"/>
              </w:rPr>
              <w:t>0.41 (0.002)</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6E0BEDE7" w14:textId="77777777" w:rsidR="00F95999" w:rsidRPr="00647A59" w:rsidRDefault="00F95999" w:rsidP="00F95999">
            <w:pPr>
              <w:jc w:val="center"/>
              <w:rPr>
                <w:rFonts w:ascii="Helvetica" w:hAnsi="Helvetica"/>
                <w:color w:val="000000"/>
              </w:rPr>
            </w:pPr>
            <w:r w:rsidRPr="00647A59">
              <w:rPr>
                <w:rFonts w:ascii="Helvetica" w:hAnsi="Helvetica"/>
                <w:color w:val="000000"/>
              </w:rPr>
              <w:t>0.44 (0.001)</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5AB2A24A" w14:textId="77777777" w:rsidR="00F95999" w:rsidRPr="00647A59" w:rsidRDefault="00F95999" w:rsidP="00F95999">
            <w:pPr>
              <w:jc w:val="center"/>
              <w:rPr>
                <w:rFonts w:ascii="Helvetica" w:hAnsi="Helvetica"/>
                <w:color w:val="000000"/>
              </w:rPr>
            </w:pPr>
            <w:r w:rsidRPr="00647A59">
              <w:rPr>
                <w:rFonts w:ascii="Helvetica" w:hAnsi="Helvetica"/>
                <w:color w:val="000000"/>
              </w:rPr>
              <w:t>0.10 (0.163)</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1208D5F7" w14:textId="77777777" w:rsidR="00F95999" w:rsidRPr="00647A59" w:rsidRDefault="00F95999" w:rsidP="00F95999">
            <w:pPr>
              <w:jc w:val="center"/>
              <w:rPr>
                <w:rFonts w:ascii="Helvetica" w:hAnsi="Helvetica"/>
                <w:color w:val="000000"/>
              </w:rPr>
            </w:pPr>
            <w:r w:rsidRPr="00647A59">
              <w:rPr>
                <w:rFonts w:ascii="Helvetica" w:hAnsi="Helvetica"/>
                <w:color w:val="000000"/>
              </w:rPr>
              <w:t>0.01 (0.592)</w:t>
            </w:r>
          </w:p>
        </w:tc>
      </w:tr>
      <w:tr w:rsidR="00F95999" w:rsidRPr="00647A59" w14:paraId="6CBEFB61" w14:textId="77777777" w:rsidTr="00AB031C">
        <w:trPr>
          <w:gridAfter w:val="2"/>
          <w:wAfter w:w="1620" w:type="dxa"/>
          <w:trHeight w:val="315"/>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76AF58B9" w14:textId="77777777" w:rsidR="00F95999" w:rsidRPr="00647A59" w:rsidRDefault="00F95999" w:rsidP="00F95999">
            <w:pPr>
              <w:rPr>
                <w:rFonts w:ascii="Helvetica" w:hAnsi="Helvetica"/>
                <w:color w:val="000000"/>
              </w:rPr>
            </w:pPr>
            <w:r w:rsidRPr="00647A59">
              <w:rPr>
                <w:rFonts w:ascii="Helvetica" w:hAnsi="Helvetica"/>
                <w:color w:val="000000"/>
              </w:rPr>
              <w:t>Yes</w:t>
            </w:r>
          </w:p>
        </w:tc>
        <w:tc>
          <w:tcPr>
            <w:tcW w:w="1039" w:type="dxa"/>
            <w:tcBorders>
              <w:top w:val="nil"/>
              <w:left w:val="nil"/>
              <w:bottom w:val="single" w:sz="4" w:space="0" w:color="auto"/>
              <w:right w:val="single" w:sz="4" w:space="0" w:color="auto"/>
            </w:tcBorders>
            <w:shd w:val="clear" w:color="auto" w:fill="auto"/>
            <w:noWrap/>
            <w:vAlign w:val="bottom"/>
            <w:hideMark/>
          </w:tcPr>
          <w:p w14:paraId="3FEBB7B4" w14:textId="77777777" w:rsidR="00F95999" w:rsidRPr="00647A59" w:rsidRDefault="00F95999" w:rsidP="00F95999">
            <w:pPr>
              <w:rPr>
                <w:rFonts w:ascii="Helvetica" w:hAnsi="Helvetica"/>
                <w:color w:val="000000"/>
              </w:rPr>
            </w:pPr>
            <w:r w:rsidRPr="00647A59">
              <w:rPr>
                <w:rFonts w:ascii="Helvetica" w:hAnsi="Helvetica"/>
                <w:color w:val="000000"/>
              </w:rPr>
              <w:t>Cord</w:t>
            </w:r>
          </w:p>
        </w:tc>
        <w:tc>
          <w:tcPr>
            <w:tcW w:w="1211" w:type="dxa"/>
            <w:tcBorders>
              <w:top w:val="nil"/>
              <w:left w:val="nil"/>
              <w:bottom w:val="single" w:sz="4" w:space="0" w:color="auto"/>
              <w:right w:val="single" w:sz="4" w:space="0" w:color="auto"/>
            </w:tcBorders>
            <w:shd w:val="clear" w:color="auto" w:fill="auto"/>
            <w:noWrap/>
            <w:vAlign w:val="bottom"/>
            <w:hideMark/>
          </w:tcPr>
          <w:p w14:paraId="50F35007" w14:textId="77777777" w:rsidR="00F95999" w:rsidRPr="00647A59" w:rsidRDefault="00F95999" w:rsidP="00F95999">
            <w:pPr>
              <w:rPr>
                <w:rFonts w:ascii="Helvetica" w:hAnsi="Helvetica"/>
                <w:color w:val="000000"/>
              </w:rPr>
            </w:pPr>
            <w:r w:rsidRPr="00647A59">
              <w:rPr>
                <w:rFonts w:ascii="Helvetica" w:hAnsi="Helvetica"/>
                <w:color w:val="000000"/>
              </w:rPr>
              <w:t>ROI signal</w:t>
            </w:r>
          </w:p>
        </w:tc>
        <w:tc>
          <w:tcPr>
            <w:tcW w:w="1560" w:type="dxa"/>
            <w:tcBorders>
              <w:top w:val="nil"/>
              <w:left w:val="nil"/>
              <w:bottom w:val="single" w:sz="4" w:space="0" w:color="auto"/>
              <w:right w:val="single" w:sz="4" w:space="0" w:color="auto"/>
            </w:tcBorders>
            <w:shd w:val="clear" w:color="auto" w:fill="auto"/>
            <w:noWrap/>
            <w:vAlign w:val="bottom"/>
            <w:hideMark/>
          </w:tcPr>
          <w:p w14:paraId="2151FC01" w14:textId="77777777" w:rsidR="00F95999" w:rsidRPr="00647A59" w:rsidRDefault="00F95999" w:rsidP="00F95999">
            <w:pPr>
              <w:jc w:val="center"/>
              <w:rPr>
                <w:rFonts w:ascii="Helvetica" w:hAnsi="Helvetica"/>
                <w:color w:val="000000"/>
              </w:rPr>
            </w:pPr>
            <w:r w:rsidRPr="00647A59">
              <w:rPr>
                <w:rFonts w:ascii="Helvetica" w:hAnsi="Helvetica"/>
                <w:color w:val="000000"/>
              </w:rPr>
              <w:t>0.60 (&lt;0.001)</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613D7592" w14:textId="77777777" w:rsidR="00F95999" w:rsidRPr="00647A59" w:rsidRDefault="00F95999" w:rsidP="00F95999">
            <w:pPr>
              <w:jc w:val="center"/>
              <w:rPr>
                <w:rFonts w:ascii="Helvetica" w:hAnsi="Helvetica"/>
                <w:color w:val="000000"/>
              </w:rPr>
            </w:pPr>
            <w:r w:rsidRPr="00647A59">
              <w:rPr>
                <w:rFonts w:ascii="Helvetica" w:hAnsi="Helvetica"/>
                <w:color w:val="000000"/>
              </w:rPr>
              <w:t>0.56 (&lt;0.001)</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0DD45F9F" w14:textId="77777777" w:rsidR="00F95999" w:rsidRPr="00647A59" w:rsidRDefault="00F95999" w:rsidP="00F95999">
            <w:pPr>
              <w:jc w:val="center"/>
              <w:rPr>
                <w:rFonts w:ascii="Helvetica" w:hAnsi="Helvetica"/>
                <w:color w:val="000000"/>
              </w:rPr>
            </w:pPr>
            <w:r w:rsidRPr="00647A59">
              <w:rPr>
                <w:rFonts w:ascii="Helvetica" w:hAnsi="Helvetica"/>
                <w:color w:val="000000"/>
              </w:rPr>
              <w:t>0.34 (0.006)</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27651AB9" w14:textId="77777777" w:rsidR="00F95999" w:rsidRPr="00647A59" w:rsidRDefault="00F95999" w:rsidP="00F95999">
            <w:pPr>
              <w:jc w:val="center"/>
              <w:rPr>
                <w:rFonts w:ascii="Helvetica" w:hAnsi="Helvetica"/>
                <w:color w:val="000000"/>
              </w:rPr>
            </w:pPr>
            <w:r w:rsidRPr="00647A59">
              <w:rPr>
                <w:rFonts w:ascii="Helvetica" w:hAnsi="Helvetica"/>
                <w:color w:val="000000"/>
              </w:rPr>
              <w:t>0.05 (0.328)</w:t>
            </w:r>
          </w:p>
        </w:tc>
      </w:tr>
      <w:tr w:rsidR="00F95999" w:rsidRPr="00647A59" w14:paraId="3046481D" w14:textId="77777777" w:rsidTr="00AB031C">
        <w:trPr>
          <w:gridAfter w:val="2"/>
          <w:wAfter w:w="1620" w:type="dxa"/>
          <w:trHeight w:val="315"/>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75BE9FB6" w14:textId="77777777" w:rsidR="00F95999" w:rsidRPr="00647A59" w:rsidRDefault="00F95999" w:rsidP="00F95999">
            <w:pPr>
              <w:rPr>
                <w:rFonts w:ascii="Helvetica" w:hAnsi="Helvetica"/>
                <w:color w:val="000000"/>
              </w:rPr>
            </w:pPr>
            <w:r w:rsidRPr="00647A59">
              <w:rPr>
                <w:rFonts w:ascii="Helvetica" w:hAnsi="Helvetica"/>
                <w:color w:val="000000"/>
              </w:rPr>
              <w:t>Yes</w:t>
            </w:r>
          </w:p>
        </w:tc>
        <w:tc>
          <w:tcPr>
            <w:tcW w:w="1039" w:type="dxa"/>
            <w:tcBorders>
              <w:top w:val="nil"/>
              <w:left w:val="nil"/>
              <w:bottom w:val="single" w:sz="4" w:space="0" w:color="auto"/>
              <w:right w:val="single" w:sz="4" w:space="0" w:color="auto"/>
            </w:tcBorders>
            <w:shd w:val="clear" w:color="auto" w:fill="auto"/>
            <w:noWrap/>
            <w:vAlign w:val="bottom"/>
            <w:hideMark/>
          </w:tcPr>
          <w:p w14:paraId="2D02037A" w14:textId="77777777" w:rsidR="00F95999" w:rsidRPr="00647A59" w:rsidRDefault="00F95999" w:rsidP="00F95999">
            <w:pPr>
              <w:rPr>
                <w:rFonts w:ascii="Helvetica" w:hAnsi="Helvetica"/>
                <w:color w:val="000000"/>
              </w:rPr>
            </w:pPr>
            <w:r w:rsidRPr="00647A59">
              <w:rPr>
                <w:rFonts w:ascii="Helvetica" w:hAnsi="Helvetica"/>
                <w:color w:val="000000"/>
              </w:rPr>
              <w:t>Cord</w:t>
            </w:r>
          </w:p>
        </w:tc>
        <w:tc>
          <w:tcPr>
            <w:tcW w:w="1211" w:type="dxa"/>
            <w:tcBorders>
              <w:top w:val="nil"/>
              <w:left w:val="nil"/>
              <w:bottom w:val="single" w:sz="4" w:space="0" w:color="auto"/>
              <w:right w:val="single" w:sz="4" w:space="0" w:color="auto"/>
            </w:tcBorders>
            <w:shd w:val="clear" w:color="auto" w:fill="auto"/>
            <w:noWrap/>
            <w:vAlign w:val="bottom"/>
            <w:hideMark/>
          </w:tcPr>
          <w:p w14:paraId="414C2AA0" w14:textId="77777777" w:rsidR="00F95999" w:rsidRPr="00647A59" w:rsidRDefault="00F95999" w:rsidP="00F95999">
            <w:pPr>
              <w:rPr>
                <w:rFonts w:ascii="Helvetica" w:hAnsi="Helvetica"/>
                <w:color w:val="000000"/>
              </w:rPr>
            </w:pPr>
            <w:proofErr w:type="spellStart"/>
            <w:r w:rsidRPr="00647A59">
              <w:rPr>
                <w:rFonts w:ascii="Helvetica" w:hAnsi="Helvetica"/>
                <w:color w:val="000000"/>
              </w:rPr>
              <w:t>Voxelwise</w:t>
            </w:r>
            <w:proofErr w:type="spellEnd"/>
          </w:p>
        </w:tc>
        <w:tc>
          <w:tcPr>
            <w:tcW w:w="1560" w:type="dxa"/>
            <w:tcBorders>
              <w:top w:val="nil"/>
              <w:left w:val="nil"/>
              <w:bottom w:val="single" w:sz="4" w:space="0" w:color="auto"/>
              <w:right w:val="single" w:sz="4" w:space="0" w:color="auto"/>
            </w:tcBorders>
            <w:shd w:val="clear" w:color="auto" w:fill="auto"/>
            <w:noWrap/>
            <w:vAlign w:val="bottom"/>
            <w:hideMark/>
          </w:tcPr>
          <w:p w14:paraId="220C04A8" w14:textId="77777777" w:rsidR="00F95999" w:rsidRPr="00647A59" w:rsidRDefault="00F95999" w:rsidP="00F95999">
            <w:pPr>
              <w:jc w:val="center"/>
              <w:rPr>
                <w:rFonts w:ascii="Helvetica" w:hAnsi="Helvetica"/>
                <w:color w:val="000000"/>
              </w:rPr>
            </w:pPr>
            <w:r w:rsidRPr="00647A59">
              <w:rPr>
                <w:rFonts w:ascii="Helvetica" w:hAnsi="Helvetica"/>
                <w:color w:val="000000"/>
              </w:rPr>
              <w:t>0.55 (&lt;0.001)</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421B7447" w14:textId="77777777" w:rsidR="00F95999" w:rsidRPr="00647A59" w:rsidRDefault="00F95999" w:rsidP="00F95999">
            <w:pPr>
              <w:jc w:val="center"/>
              <w:rPr>
                <w:rFonts w:ascii="Helvetica" w:hAnsi="Helvetica"/>
                <w:color w:val="000000"/>
              </w:rPr>
            </w:pPr>
            <w:r w:rsidRPr="00647A59">
              <w:rPr>
                <w:rFonts w:ascii="Helvetica" w:hAnsi="Helvetica"/>
                <w:color w:val="000000"/>
              </w:rPr>
              <w:t>0.57 (&lt;0.001)</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32489A11" w14:textId="77777777" w:rsidR="00F95999" w:rsidRPr="00647A59" w:rsidRDefault="00F95999" w:rsidP="00F95999">
            <w:pPr>
              <w:jc w:val="center"/>
              <w:rPr>
                <w:rFonts w:ascii="Helvetica" w:hAnsi="Helvetica"/>
                <w:color w:val="000000"/>
              </w:rPr>
            </w:pPr>
            <w:r w:rsidRPr="00647A59">
              <w:rPr>
                <w:rFonts w:ascii="Helvetica" w:hAnsi="Helvetica"/>
                <w:color w:val="000000"/>
              </w:rPr>
              <w:t>0.33 (0.007)</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264B4296" w14:textId="77777777" w:rsidR="00F95999" w:rsidRPr="00647A59" w:rsidRDefault="00F95999" w:rsidP="00F95999">
            <w:pPr>
              <w:jc w:val="center"/>
              <w:rPr>
                <w:rFonts w:ascii="Helvetica" w:hAnsi="Helvetica"/>
                <w:color w:val="000000"/>
              </w:rPr>
            </w:pPr>
            <w:r w:rsidRPr="00647A59">
              <w:rPr>
                <w:rFonts w:ascii="Helvetica" w:hAnsi="Helvetica"/>
                <w:color w:val="000000"/>
              </w:rPr>
              <w:t>0.00 (0.766)</w:t>
            </w:r>
          </w:p>
        </w:tc>
      </w:tr>
    </w:tbl>
    <w:p w14:paraId="13494F4A" w14:textId="77777777" w:rsidR="000D4ABD" w:rsidRPr="00647A59" w:rsidRDefault="000D4ABD">
      <w:pPr>
        <w:rPr>
          <w:rFonts w:ascii="Helvetica" w:hAnsi="Helvetica"/>
        </w:rPr>
      </w:pPr>
    </w:p>
    <w:p w14:paraId="7E7379AF" w14:textId="77777777" w:rsidR="000D4ABD" w:rsidRPr="00647A59" w:rsidRDefault="000D4ABD">
      <w:pPr>
        <w:rPr>
          <w:rFonts w:ascii="Helvetica" w:hAnsi="Helvetica"/>
        </w:rPr>
      </w:pPr>
    </w:p>
    <w:p w14:paraId="44407542" w14:textId="77777777" w:rsidR="00647A59" w:rsidRDefault="00647A59">
      <w:pPr>
        <w:rPr>
          <w:rFonts w:ascii="Helvetica" w:hAnsi="Helvetica"/>
          <w:b/>
        </w:rPr>
      </w:pPr>
    </w:p>
    <w:p w14:paraId="77DF4F39" w14:textId="77777777" w:rsidR="00647A59" w:rsidRDefault="00647A59">
      <w:pPr>
        <w:rPr>
          <w:rFonts w:ascii="Helvetica" w:hAnsi="Helvetica"/>
          <w:b/>
        </w:rPr>
      </w:pPr>
    </w:p>
    <w:p w14:paraId="40D11F16" w14:textId="5356CE98" w:rsidR="00173255" w:rsidRPr="00647A59" w:rsidRDefault="00647A59">
      <w:pPr>
        <w:rPr>
          <w:rFonts w:ascii="Helvetica" w:hAnsi="Helvetica"/>
          <w:b/>
        </w:rPr>
      </w:pPr>
      <w:r>
        <w:rPr>
          <w:rFonts w:ascii="Helvetica" w:hAnsi="Helvetica"/>
          <w:b/>
        </w:rPr>
        <w:t>References</w:t>
      </w:r>
    </w:p>
    <w:p w14:paraId="22E624EF" w14:textId="77777777" w:rsidR="00ED6FB1" w:rsidRPr="00647A59" w:rsidRDefault="00173255" w:rsidP="00ED6FB1">
      <w:pPr>
        <w:pStyle w:val="EndNoteBibliography"/>
        <w:spacing w:after="0"/>
        <w:ind w:left="720" w:hanging="720"/>
        <w:rPr>
          <w:noProof/>
        </w:rPr>
      </w:pPr>
      <w:r w:rsidRPr="00647A59">
        <w:rPr>
          <w:b/>
        </w:rPr>
        <w:fldChar w:fldCharType="begin"/>
      </w:r>
      <w:r w:rsidRPr="00647A59">
        <w:rPr>
          <w:b/>
        </w:rPr>
        <w:instrText xml:space="preserve"> ADDIN EN.REFLIST </w:instrText>
      </w:r>
      <w:r w:rsidRPr="00647A59">
        <w:rPr>
          <w:b/>
        </w:rPr>
        <w:fldChar w:fldCharType="separate"/>
      </w:r>
      <w:r w:rsidR="00ED6FB1" w:rsidRPr="00647A59">
        <w:rPr>
          <w:noProof/>
        </w:rPr>
        <w:t>1.</w:t>
      </w:r>
      <w:r w:rsidR="00ED6FB1" w:rsidRPr="00647A59">
        <w:rPr>
          <w:noProof/>
        </w:rPr>
        <w:tab/>
        <w:t>Hall MG, Alexander DC. Convergence and parameter choice for Monte-Carlo simulations of diffusion MRI. IEEE Trans Med Imaging 2009;28(9):1354-1364.</w:t>
      </w:r>
    </w:p>
    <w:p w14:paraId="0C4944DF" w14:textId="77777777" w:rsidR="00ED6FB1" w:rsidRPr="00647A59" w:rsidRDefault="00ED6FB1" w:rsidP="00ED6FB1">
      <w:pPr>
        <w:pStyle w:val="EndNoteBibliography"/>
        <w:spacing w:after="0"/>
        <w:ind w:left="720" w:hanging="720"/>
        <w:rPr>
          <w:noProof/>
        </w:rPr>
      </w:pPr>
      <w:r w:rsidRPr="00647A59">
        <w:rPr>
          <w:noProof/>
        </w:rPr>
        <w:t>2.</w:t>
      </w:r>
      <w:r w:rsidRPr="00647A59">
        <w:rPr>
          <w:noProof/>
        </w:rPr>
        <w:tab/>
        <w:t>Skinner NP, Kurpad SN, Schmit BD, Budde MD. Detecting Acute Nervous System Injury with Advanced Diffusion Weighted MRI: A Simulation and Sensitivity Analysis. NMR Biomed 2015;28(11):1489-1506.</w:t>
      </w:r>
    </w:p>
    <w:p w14:paraId="4E78DB47" w14:textId="77777777" w:rsidR="00ED6FB1" w:rsidRPr="00647A59" w:rsidRDefault="00ED6FB1" w:rsidP="00ED6FB1">
      <w:pPr>
        <w:pStyle w:val="EndNoteBibliography"/>
        <w:ind w:left="720" w:hanging="720"/>
        <w:rPr>
          <w:noProof/>
        </w:rPr>
      </w:pPr>
      <w:r w:rsidRPr="00647A59">
        <w:rPr>
          <w:noProof/>
        </w:rPr>
        <w:t>3.</w:t>
      </w:r>
      <w:r w:rsidRPr="00647A59">
        <w:rPr>
          <w:noProof/>
        </w:rPr>
        <w:tab/>
        <w:t>Cavanaugh JE. Unifying the Derivations for the Akaike and Corrected Akaike Information Criteria. Statist Probab Lett 1997;33(2):201-208.</w:t>
      </w:r>
    </w:p>
    <w:p w14:paraId="15A58209" w14:textId="77777777" w:rsidR="00ED6FB1" w:rsidRPr="00647A59" w:rsidRDefault="00173255" w:rsidP="00ED6FB1">
      <w:pPr>
        <w:rPr>
          <w:rFonts w:ascii="Helvetica" w:hAnsi="Helvetica"/>
          <w:b/>
        </w:rPr>
      </w:pPr>
      <w:r w:rsidRPr="00647A59">
        <w:rPr>
          <w:rFonts w:ascii="Helvetica" w:hAnsi="Helvetica"/>
          <w:b/>
        </w:rPr>
        <w:fldChar w:fldCharType="end"/>
      </w:r>
    </w:p>
    <w:p w14:paraId="361DBAD9" w14:textId="77777777" w:rsidR="00ED6FB1" w:rsidRPr="00647A59" w:rsidRDefault="00ED6FB1">
      <w:pPr>
        <w:rPr>
          <w:rFonts w:ascii="Helvetica" w:hAnsi="Helvetica"/>
          <w:b/>
        </w:rPr>
      </w:pPr>
      <w:r w:rsidRPr="00647A59">
        <w:rPr>
          <w:rFonts w:ascii="Helvetica" w:hAnsi="Helvetica"/>
          <w:b/>
        </w:rPr>
        <w:br w:type="page"/>
      </w:r>
    </w:p>
    <w:p w14:paraId="022CBABD" w14:textId="097A5BBB" w:rsidR="00ED6FB1" w:rsidRDefault="00ED6FB1" w:rsidP="00ED6FB1">
      <w:pPr>
        <w:rPr>
          <w:rFonts w:ascii="Helvetica" w:hAnsi="Helvetica"/>
          <w:b/>
        </w:rPr>
      </w:pPr>
      <w:r w:rsidRPr="00647A59">
        <w:rPr>
          <w:rFonts w:ascii="Helvetica" w:hAnsi="Helvetica"/>
          <w:b/>
        </w:rPr>
        <w:lastRenderedPageBreak/>
        <w:t>Figures</w:t>
      </w:r>
    </w:p>
    <w:p w14:paraId="0A3F0C7A" w14:textId="77777777" w:rsidR="003E7362" w:rsidRDefault="003E7362" w:rsidP="00ED6FB1">
      <w:pPr>
        <w:rPr>
          <w:rFonts w:ascii="Helvetica" w:hAnsi="Helvetica"/>
          <w:b/>
        </w:rPr>
      </w:pPr>
    </w:p>
    <w:p w14:paraId="2FCE4B36" w14:textId="77777777" w:rsidR="003E7362" w:rsidRDefault="003E7362" w:rsidP="00ED6FB1">
      <w:pPr>
        <w:rPr>
          <w:rFonts w:ascii="Helvetica" w:hAnsi="Helvetica"/>
          <w:b/>
        </w:rPr>
      </w:pPr>
    </w:p>
    <w:p w14:paraId="169B5F7B" w14:textId="3FD49518" w:rsidR="003E7362" w:rsidRPr="00647A59" w:rsidRDefault="003E7362" w:rsidP="00ED6FB1">
      <w:pPr>
        <w:rPr>
          <w:rFonts w:ascii="Helvetica" w:hAnsi="Helvetica"/>
          <w:b/>
        </w:rPr>
      </w:pPr>
      <w:r w:rsidRPr="003E7362">
        <w:rPr>
          <w:rFonts w:ascii="Helvetica" w:hAnsi="Helvetica"/>
          <w:b/>
          <w:noProof/>
        </w:rPr>
        <w:drawing>
          <wp:inline distT="0" distB="0" distL="0" distR="0" wp14:anchorId="59689042" wp14:editId="1B732C50">
            <wp:extent cx="3709035" cy="2812968"/>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3713886" cy="2816647"/>
                    </a:xfrm>
                    <a:prstGeom prst="rect">
                      <a:avLst/>
                    </a:prstGeom>
                  </pic:spPr>
                </pic:pic>
              </a:graphicData>
            </a:graphic>
          </wp:inline>
        </w:drawing>
      </w:r>
    </w:p>
    <w:p w14:paraId="0DE06454" w14:textId="2C77C7F7" w:rsidR="00ED6FB1" w:rsidRPr="003E7362" w:rsidRDefault="00ED6FB1" w:rsidP="00ED6FB1">
      <w:pPr>
        <w:rPr>
          <w:rFonts w:ascii="Helvetica" w:hAnsi="Helvetica"/>
        </w:rPr>
      </w:pPr>
      <w:r w:rsidRPr="00647A59">
        <w:rPr>
          <w:rFonts w:ascii="Helvetica" w:hAnsi="Helvetica"/>
          <w:b/>
        </w:rPr>
        <w:t>Supporting Figure S1.</w:t>
      </w:r>
      <w:r w:rsidRPr="00647A59">
        <w:rPr>
          <w:rFonts w:ascii="Helvetica" w:hAnsi="Helvetica"/>
        </w:rPr>
        <w:t xml:space="preserve">  A simulated PGSE experiment in aligned axons further emphasized that increasing the b-value greater than 2000 s/mm</w:t>
      </w:r>
      <w:r w:rsidRPr="00647A59">
        <w:rPr>
          <w:rFonts w:ascii="Helvetica" w:hAnsi="Helvetica"/>
          <w:vertAlign w:val="superscript"/>
        </w:rPr>
        <w:t>2</w:t>
      </w:r>
      <w:r w:rsidRPr="00647A59">
        <w:rPr>
          <w:rFonts w:ascii="Helvetica" w:hAnsi="Helvetica"/>
        </w:rPr>
        <w:t xml:space="preserve"> does not substantially improve the selective attenuation of the extra-axonal component.</w:t>
      </w:r>
    </w:p>
    <w:p w14:paraId="747595F6" w14:textId="77777777" w:rsidR="00ED6FB1" w:rsidRPr="00647A59" w:rsidRDefault="00ED6FB1" w:rsidP="00ED6FB1">
      <w:pPr>
        <w:rPr>
          <w:rFonts w:ascii="Helvetica" w:hAnsi="Helvetica"/>
          <w:b/>
        </w:rPr>
      </w:pPr>
    </w:p>
    <w:p w14:paraId="5E06FCCF" w14:textId="77777777" w:rsidR="00ED6FB1" w:rsidRPr="00647A59" w:rsidRDefault="00ED6FB1" w:rsidP="00ED6FB1">
      <w:pPr>
        <w:rPr>
          <w:rFonts w:ascii="Helvetica" w:hAnsi="Helvetica"/>
          <w:b/>
        </w:rPr>
      </w:pPr>
    </w:p>
    <w:p w14:paraId="4D1D6BC9" w14:textId="77777777" w:rsidR="00ED6FB1" w:rsidRPr="00647A59" w:rsidRDefault="00ED6FB1" w:rsidP="00ED6FB1">
      <w:pPr>
        <w:rPr>
          <w:rFonts w:ascii="Helvetica" w:hAnsi="Helvetica"/>
          <w:b/>
        </w:rPr>
      </w:pPr>
      <w:r w:rsidRPr="00647A59">
        <w:rPr>
          <w:rFonts w:ascii="Helvetica" w:hAnsi="Helvetica"/>
          <w:b/>
        </w:rPr>
        <w:br w:type="page"/>
      </w:r>
    </w:p>
    <w:p w14:paraId="18281483" w14:textId="77777777" w:rsidR="003E7362" w:rsidRDefault="003E7362" w:rsidP="00ED6FB1">
      <w:pPr>
        <w:rPr>
          <w:rFonts w:ascii="Helvetica" w:hAnsi="Helvetica"/>
          <w:b/>
        </w:rPr>
      </w:pPr>
    </w:p>
    <w:p w14:paraId="741C4639" w14:textId="77777777" w:rsidR="000D57D8" w:rsidRDefault="000D57D8" w:rsidP="00ED6FB1">
      <w:pPr>
        <w:rPr>
          <w:rFonts w:ascii="Helvetica" w:hAnsi="Helvetica"/>
          <w:b/>
        </w:rPr>
      </w:pPr>
    </w:p>
    <w:p w14:paraId="7BBEF349" w14:textId="77777777" w:rsidR="000D57D8" w:rsidRDefault="000D57D8" w:rsidP="00ED6FB1">
      <w:pPr>
        <w:rPr>
          <w:rFonts w:ascii="Helvetica" w:hAnsi="Helvetica"/>
          <w:b/>
        </w:rPr>
      </w:pPr>
    </w:p>
    <w:p w14:paraId="54A79A6A" w14:textId="35AF03C9" w:rsidR="003E7362" w:rsidRDefault="00B93EA8" w:rsidP="00ED6FB1">
      <w:pPr>
        <w:rPr>
          <w:rFonts w:ascii="Helvetica" w:hAnsi="Helvetica"/>
          <w:b/>
        </w:rPr>
      </w:pPr>
      <w:r w:rsidRPr="00B93EA8">
        <w:rPr>
          <w:rFonts w:ascii="Helvetica" w:hAnsi="Helvetica"/>
          <w:b/>
        </w:rPr>
        <w:drawing>
          <wp:inline distT="0" distB="0" distL="0" distR="0" wp14:anchorId="16311302" wp14:editId="73B2F729">
            <wp:extent cx="5486400" cy="2286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486400" cy="2286000"/>
                    </a:xfrm>
                    <a:prstGeom prst="rect">
                      <a:avLst/>
                    </a:prstGeom>
                  </pic:spPr>
                </pic:pic>
              </a:graphicData>
            </a:graphic>
          </wp:inline>
        </w:drawing>
      </w:r>
    </w:p>
    <w:p w14:paraId="772A1CA1" w14:textId="13E9317D" w:rsidR="00ED6FB1" w:rsidRPr="000D57D8" w:rsidRDefault="00ED6FB1" w:rsidP="00ED6FB1">
      <w:pPr>
        <w:rPr>
          <w:rFonts w:ascii="Helvetica" w:hAnsi="Helvetica"/>
        </w:rPr>
      </w:pPr>
      <w:r w:rsidRPr="00647A59">
        <w:rPr>
          <w:rFonts w:ascii="Helvetica" w:hAnsi="Helvetica"/>
          <w:b/>
        </w:rPr>
        <w:t xml:space="preserve">Supporting Figure S2. Real versus Magnitude Spectra Integration.  </w:t>
      </w:r>
      <w:r w:rsidRPr="00647A59">
        <w:rPr>
          <w:rFonts w:ascii="Helvetica" w:hAnsi="Helvetica"/>
        </w:rPr>
        <w:t>The absolute signals in the real and magnitude signals differ, but the normalized signal are equivalent, with the magnitude signal exhibiting less noise at the highest b-values.</w:t>
      </w:r>
      <w:bookmarkStart w:id="0" w:name="_GoBack"/>
      <w:bookmarkEnd w:id="0"/>
    </w:p>
    <w:p w14:paraId="259944E6" w14:textId="77777777" w:rsidR="00ED6FB1" w:rsidRPr="00647A59" w:rsidRDefault="00ED6FB1" w:rsidP="00ED6FB1">
      <w:pPr>
        <w:rPr>
          <w:rFonts w:ascii="Helvetica" w:hAnsi="Helvetica"/>
          <w:b/>
        </w:rPr>
      </w:pPr>
    </w:p>
    <w:p w14:paraId="03F50180" w14:textId="77777777" w:rsidR="00ED6FB1" w:rsidRPr="00647A59" w:rsidRDefault="00ED6FB1" w:rsidP="00ED6FB1">
      <w:pPr>
        <w:rPr>
          <w:rFonts w:ascii="Helvetica" w:hAnsi="Helvetica"/>
          <w:b/>
        </w:rPr>
      </w:pPr>
    </w:p>
    <w:p w14:paraId="69474C16" w14:textId="77777777" w:rsidR="00ED6FB1" w:rsidRPr="00647A59" w:rsidRDefault="00ED6FB1" w:rsidP="00ED6FB1">
      <w:pPr>
        <w:rPr>
          <w:rFonts w:ascii="Helvetica" w:hAnsi="Helvetica"/>
          <w:b/>
        </w:rPr>
      </w:pPr>
    </w:p>
    <w:p w14:paraId="6F3ED7DC" w14:textId="77777777" w:rsidR="00ED6FB1" w:rsidRPr="00647A59" w:rsidRDefault="00ED6FB1" w:rsidP="00ED6FB1">
      <w:pPr>
        <w:rPr>
          <w:rFonts w:ascii="Helvetica" w:hAnsi="Helvetica"/>
          <w:b/>
        </w:rPr>
      </w:pPr>
    </w:p>
    <w:p w14:paraId="58EBF407" w14:textId="77777777" w:rsidR="00ED6FB1" w:rsidRPr="00647A59" w:rsidRDefault="00ED6FB1" w:rsidP="00ED6FB1">
      <w:pPr>
        <w:rPr>
          <w:rFonts w:ascii="Helvetica" w:hAnsi="Helvetica"/>
          <w:b/>
        </w:rPr>
      </w:pPr>
      <w:r w:rsidRPr="00647A59">
        <w:rPr>
          <w:rFonts w:ascii="Helvetica" w:hAnsi="Helvetica"/>
          <w:b/>
        </w:rPr>
        <w:br w:type="page"/>
      </w:r>
    </w:p>
    <w:p w14:paraId="4F52641F" w14:textId="77777777" w:rsidR="00AF5FD8" w:rsidRDefault="00AF5FD8" w:rsidP="00ED6FB1">
      <w:pPr>
        <w:rPr>
          <w:rFonts w:ascii="Helvetica" w:hAnsi="Helvetica"/>
          <w:b/>
        </w:rPr>
      </w:pPr>
    </w:p>
    <w:p w14:paraId="26D7CA90" w14:textId="77777777" w:rsidR="00AF5FD8" w:rsidRDefault="00AF5FD8" w:rsidP="00ED6FB1">
      <w:pPr>
        <w:rPr>
          <w:rFonts w:ascii="Helvetica" w:hAnsi="Helvetica"/>
          <w:b/>
        </w:rPr>
      </w:pPr>
    </w:p>
    <w:p w14:paraId="0651B99A" w14:textId="71E00307" w:rsidR="002950AD" w:rsidRDefault="00AF5FD8" w:rsidP="00ED6FB1">
      <w:pPr>
        <w:rPr>
          <w:rFonts w:ascii="Helvetica" w:hAnsi="Helvetica"/>
          <w:b/>
        </w:rPr>
      </w:pPr>
      <w:r w:rsidRPr="00AF5FD8">
        <w:rPr>
          <w:rFonts w:ascii="Helvetica" w:hAnsi="Helvetica"/>
          <w:b/>
          <w:noProof/>
        </w:rPr>
        <w:drawing>
          <wp:inline distT="0" distB="0" distL="0" distR="0" wp14:anchorId="39E1229F" wp14:editId="5277B82C">
            <wp:extent cx="5943600" cy="203771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43600" cy="2037715"/>
                    </a:xfrm>
                    <a:prstGeom prst="rect">
                      <a:avLst/>
                    </a:prstGeom>
                  </pic:spPr>
                </pic:pic>
              </a:graphicData>
            </a:graphic>
          </wp:inline>
        </w:drawing>
      </w:r>
    </w:p>
    <w:p w14:paraId="6C649739" w14:textId="4063CA3D" w:rsidR="00ED6FB1" w:rsidRPr="00647A59" w:rsidRDefault="00ED6FB1" w:rsidP="00ED6FB1">
      <w:pPr>
        <w:rPr>
          <w:rFonts w:ascii="Helvetica" w:hAnsi="Helvetica"/>
          <w:b/>
        </w:rPr>
      </w:pPr>
      <w:r w:rsidRPr="00647A59">
        <w:rPr>
          <w:rFonts w:ascii="Helvetica" w:hAnsi="Helvetica"/>
          <w:b/>
        </w:rPr>
        <w:t xml:space="preserve">Supporting Figure S3. DDE-PRESS Model Fitting.  </w:t>
      </w:r>
      <w:r w:rsidRPr="00647A59">
        <w:rPr>
          <w:rFonts w:ascii="Helvetica" w:hAnsi="Helvetica"/>
        </w:rPr>
        <w:t xml:space="preserve">In single sham animal (left) and in all sham animals (right), the </w:t>
      </w:r>
      <w:proofErr w:type="spellStart"/>
      <w:r w:rsidRPr="00647A59">
        <w:rPr>
          <w:rFonts w:ascii="Helvetica" w:hAnsi="Helvetica"/>
        </w:rPr>
        <w:t>biexponential</w:t>
      </w:r>
      <w:proofErr w:type="spellEnd"/>
      <w:r w:rsidRPr="00647A59">
        <w:rPr>
          <w:rFonts w:ascii="Helvetica" w:hAnsi="Helvetica"/>
        </w:rPr>
        <w:t xml:space="preserve"> model of magnitude-valued data provided the best goodness-of-fit, compared to either the </w:t>
      </w:r>
      <w:proofErr w:type="spellStart"/>
      <w:r w:rsidRPr="00647A59">
        <w:rPr>
          <w:rFonts w:ascii="Helvetica" w:hAnsi="Helvetica"/>
        </w:rPr>
        <w:t>monoexponential</w:t>
      </w:r>
      <w:proofErr w:type="spellEnd"/>
      <w:r w:rsidRPr="00647A59">
        <w:rPr>
          <w:rFonts w:ascii="Helvetica" w:hAnsi="Helvetica"/>
        </w:rPr>
        <w:t xml:space="preserve"> or kurtosis diffusion models, as evidenced by the lower </w:t>
      </w:r>
      <w:proofErr w:type="spellStart"/>
      <w:r w:rsidRPr="00647A59">
        <w:rPr>
          <w:rFonts w:ascii="Helvetica" w:hAnsi="Helvetica"/>
        </w:rPr>
        <w:t>Akaike’s</w:t>
      </w:r>
      <w:proofErr w:type="spellEnd"/>
      <w:r w:rsidRPr="00647A59">
        <w:rPr>
          <w:rFonts w:ascii="Helvetica" w:hAnsi="Helvetica"/>
        </w:rPr>
        <w:t xml:space="preserve"> Information Criterion (</w:t>
      </w:r>
      <w:proofErr w:type="spellStart"/>
      <w:r w:rsidRPr="00647A59">
        <w:rPr>
          <w:rFonts w:ascii="Helvetica" w:hAnsi="Helvetica"/>
        </w:rPr>
        <w:t>AICc</w:t>
      </w:r>
      <w:proofErr w:type="spellEnd"/>
      <w:r w:rsidRPr="00647A59">
        <w:rPr>
          <w:rFonts w:ascii="Helvetica" w:hAnsi="Helvetica"/>
        </w:rPr>
        <w:t>), which accounts for the number of parameters in the model.</w:t>
      </w:r>
      <w:r w:rsidRPr="00647A59">
        <w:rPr>
          <w:rFonts w:ascii="Helvetica" w:hAnsi="Helvetica"/>
          <w:noProof/>
        </w:rPr>
        <w:t xml:space="preserve"> </w:t>
      </w:r>
    </w:p>
    <w:p w14:paraId="6A0A696E" w14:textId="77777777" w:rsidR="00ED6FB1" w:rsidRPr="00647A59" w:rsidRDefault="00ED6FB1" w:rsidP="00ED6FB1">
      <w:pPr>
        <w:rPr>
          <w:rFonts w:ascii="Helvetica" w:hAnsi="Helvetica"/>
          <w:b/>
        </w:rPr>
      </w:pPr>
    </w:p>
    <w:p w14:paraId="2C7B8764" w14:textId="77777777" w:rsidR="00ED6FB1" w:rsidRPr="00647A59" w:rsidRDefault="00ED6FB1" w:rsidP="00ED6FB1">
      <w:pPr>
        <w:rPr>
          <w:rFonts w:ascii="Helvetica" w:hAnsi="Helvetica"/>
          <w:b/>
        </w:rPr>
      </w:pPr>
    </w:p>
    <w:p w14:paraId="1A05C66C" w14:textId="77777777" w:rsidR="00ED6FB1" w:rsidRPr="00647A59" w:rsidRDefault="00ED6FB1" w:rsidP="00ED6FB1">
      <w:pPr>
        <w:rPr>
          <w:rFonts w:ascii="Helvetica" w:hAnsi="Helvetica"/>
          <w:b/>
        </w:rPr>
      </w:pPr>
    </w:p>
    <w:p w14:paraId="6A99CE76" w14:textId="77777777" w:rsidR="00ED6FB1" w:rsidRPr="00647A59" w:rsidRDefault="00ED6FB1" w:rsidP="00ED6FB1">
      <w:pPr>
        <w:rPr>
          <w:rFonts w:ascii="Helvetica" w:hAnsi="Helvetica"/>
          <w:b/>
        </w:rPr>
      </w:pPr>
    </w:p>
    <w:p w14:paraId="29926BAC" w14:textId="77777777" w:rsidR="00ED6FB1" w:rsidRPr="00647A59" w:rsidRDefault="00ED6FB1" w:rsidP="00ED6FB1">
      <w:pPr>
        <w:rPr>
          <w:rFonts w:ascii="Helvetica" w:hAnsi="Helvetica"/>
          <w:b/>
        </w:rPr>
      </w:pPr>
    </w:p>
    <w:p w14:paraId="7139610D" w14:textId="77777777" w:rsidR="00ED6FB1" w:rsidRPr="00647A59" w:rsidRDefault="00ED6FB1" w:rsidP="00ED6FB1">
      <w:pPr>
        <w:rPr>
          <w:rFonts w:ascii="Helvetica" w:hAnsi="Helvetica"/>
          <w:b/>
        </w:rPr>
      </w:pPr>
    </w:p>
    <w:p w14:paraId="414D1912" w14:textId="77777777" w:rsidR="00ED6FB1" w:rsidRPr="00647A59" w:rsidRDefault="00ED6FB1" w:rsidP="00ED6FB1">
      <w:pPr>
        <w:rPr>
          <w:rFonts w:ascii="Helvetica" w:hAnsi="Helvetica"/>
          <w:b/>
        </w:rPr>
      </w:pPr>
    </w:p>
    <w:p w14:paraId="233709A0" w14:textId="77777777" w:rsidR="00173255" w:rsidRPr="00647A59" w:rsidRDefault="00173255">
      <w:pPr>
        <w:rPr>
          <w:rFonts w:ascii="Helvetica" w:hAnsi="Helvetica"/>
          <w:b/>
        </w:rPr>
      </w:pPr>
    </w:p>
    <w:sectPr w:rsidR="00173255" w:rsidRPr="00647A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mbria Math">
    <w:panose1 w:val="02040503050406030204"/>
    <w:charset w:val="00"/>
    <w:family w:val="auto"/>
    <w:pitch w:val="variable"/>
    <w:sig w:usb0="E00002FF" w:usb1="420024FF" w:usb2="0000000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MR_in_Biomedicine&lt;/Style&gt;&lt;LeftDelim&gt;{&lt;/LeftDelim&gt;&lt;RightDelim&gt;}&lt;/RightDelim&gt;&lt;FontName&gt;Helvetica&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ewsdp55f329vzie52rbx5fabxt2wvxw52xaz&quot;&gt;DwFilt_Library&lt;record-ids&gt;&lt;item&gt;10&lt;/item&gt;&lt;item&gt;11&lt;/item&gt;&lt;item&gt;21&lt;/item&gt;&lt;/record-ids&gt;&lt;/item&gt;&lt;/Libraries&gt;"/>
  </w:docVars>
  <w:rsids>
    <w:rsidRoot w:val="00A078C1"/>
    <w:rsid w:val="000A1747"/>
    <w:rsid w:val="000D4ABD"/>
    <w:rsid w:val="000D57D8"/>
    <w:rsid w:val="00173255"/>
    <w:rsid w:val="002950AD"/>
    <w:rsid w:val="002B71DF"/>
    <w:rsid w:val="003613E3"/>
    <w:rsid w:val="003E7362"/>
    <w:rsid w:val="003F647B"/>
    <w:rsid w:val="00473428"/>
    <w:rsid w:val="00647A59"/>
    <w:rsid w:val="008113FB"/>
    <w:rsid w:val="00880BB6"/>
    <w:rsid w:val="008A526F"/>
    <w:rsid w:val="008F0571"/>
    <w:rsid w:val="00945F40"/>
    <w:rsid w:val="00A078C1"/>
    <w:rsid w:val="00A27A7F"/>
    <w:rsid w:val="00AB031C"/>
    <w:rsid w:val="00AF5FD8"/>
    <w:rsid w:val="00B93EA8"/>
    <w:rsid w:val="00CB6A2C"/>
    <w:rsid w:val="00CD78C9"/>
    <w:rsid w:val="00ED6FB1"/>
    <w:rsid w:val="00F959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6E3B4"/>
  <w15:chartTrackingRefBased/>
  <w15:docId w15:val="{FC7CA91C-1EB5-49E7-A241-F6D1891BD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6FB1"/>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A078C1"/>
    <w:pPr>
      <w:spacing w:after="0" w:line="240" w:lineRule="auto"/>
      <w:jc w:val="both"/>
    </w:pPr>
    <w:rPr>
      <w:rFonts w:ascii="Arial" w:eastAsia="Arial" w:hAnsi="Arial" w:cs="Arial"/>
      <w:color w:val="000000"/>
    </w:rPr>
  </w:style>
  <w:style w:type="paragraph" w:styleId="NormalWeb">
    <w:name w:val="Normal (Web)"/>
    <w:basedOn w:val="Normal"/>
    <w:uiPriority w:val="99"/>
    <w:semiHidden/>
    <w:unhideWhenUsed/>
    <w:rsid w:val="000A1747"/>
    <w:pPr>
      <w:spacing w:before="100" w:beforeAutospacing="1" w:after="100" w:afterAutospacing="1" w:line="240" w:lineRule="auto"/>
    </w:pPr>
    <w:rPr>
      <w:rFonts w:ascii="Times New Roman" w:eastAsiaTheme="minorEastAsia" w:hAnsi="Times New Roman" w:cs="Times New Roman"/>
      <w:sz w:val="24"/>
      <w:szCs w:val="24"/>
    </w:rPr>
  </w:style>
  <w:style w:type="table" w:styleId="TableGrid">
    <w:name w:val="Table Grid"/>
    <w:basedOn w:val="TableNormal"/>
    <w:uiPriority w:val="59"/>
    <w:rsid w:val="008F0571"/>
    <w:pPr>
      <w:spacing w:after="0" w:line="240" w:lineRule="auto"/>
      <w:jc w:val="both"/>
    </w:pPr>
    <w:rPr>
      <w:rFonts w:ascii="Arial" w:eastAsia="Arial" w:hAnsi="Arial" w:cs="Arial"/>
      <w:color w:val="00000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ndNoteBibliographyTitle">
    <w:name w:val="EndNote Bibliography Title"/>
    <w:basedOn w:val="Normal"/>
    <w:rsid w:val="00173255"/>
    <w:pPr>
      <w:spacing w:after="0"/>
      <w:jc w:val="center"/>
    </w:pPr>
    <w:rPr>
      <w:rFonts w:ascii="Helvetica" w:hAnsi="Helvetica"/>
    </w:rPr>
  </w:style>
  <w:style w:type="paragraph" w:customStyle="1" w:styleId="EndNoteBibliography">
    <w:name w:val="EndNote Bibliography"/>
    <w:basedOn w:val="Normal"/>
    <w:rsid w:val="00173255"/>
    <w:pPr>
      <w:spacing w:line="240" w:lineRule="auto"/>
    </w:pPr>
    <w:rPr>
      <w:rFonts w:ascii="Helvetica" w:hAnsi="Helvetica"/>
    </w:rPr>
  </w:style>
  <w:style w:type="paragraph" w:styleId="NoSpacing">
    <w:name w:val="No Spacing"/>
    <w:uiPriority w:val="1"/>
    <w:qFormat/>
    <w:rsid w:val="00647A5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7406912">
      <w:bodyDiv w:val="1"/>
      <w:marLeft w:val="0"/>
      <w:marRight w:val="0"/>
      <w:marTop w:val="0"/>
      <w:marBottom w:val="0"/>
      <w:divBdr>
        <w:top w:val="none" w:sz="0" w:space="0" w:color="auto"/>
        <w:left w:val="none" w:sz="0" w:space="0" w:color="auto"/>
        <w:bottom w:val="none" w:sz="0" w:space="0" w:color="auto"/>
        <w:right w:val="none" w:sz="0" w:space="0" w:color="auto"/>
      </w:divBdr>
    </w:div>
    <w:div w:id="2007903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emf"/><Relationship Id="rId5" Type="http://schemas.openxmlformats.org/officeDocument/2006/relationships/image" Target="media/image2.emf"/><Relationship Id="rId6" Type="http://schemas.openxmlformats.org/officeDocument/2006/relationships/image" Target="media/image3.emf"/><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115</TotalTime>
  <Pages>5</Pages>
  <Words>983</Words>
  <Characters>5607</Characters>
  <Application>Microsoft Macintosh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Budde, Matthew</dc:creator>
  <cp:keywords/>
  <dc:description/>
  <cp:lastModifiedBy>Skinner, Nathan P</cp:lastModifiedBy>
  <cp:revision>14</cp:revision>
  <dcterms:created xsi:type="dcterms:W3CDTF">2016-02-16T23:45:00Z</dcterms:created>
  <dcterms:modified xsi:type="dcterms:W3CDTF">2016-03-04T03:01:00Z</dcterms:modified>
</cp:coreProperties>
</file>