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F0BB" w14:textId="77777777" w:rsidR="00770ED3" w:rsidRPr="00F3109B" w:rsidRDefault="00770ED3" w:rsidP="00793343">
      <w:pPr>
        <w:spacing w:line="360" w:lineRule="auto"/>
        <w:jc w:val="both"/>
        <w:rPr>
          <w:b/>
        </w:rPr>
      </w:pPr>
      <w:r w:rsidRPr="00F3109B">
        <w:rPr>
          <w:b/>
        </w:rPr>
        <w:t>METHODS</w:t>
      </w:r>
    </w:p>
    <w:p w14:paraId="3A7C2ABF" w14:textId="77777777" w:rsidR="00770ED3" w:rsidRPr="00F3109B" w:rsidRDefault="00770ED3" w:rsidP="00793343">
      <w:pPr>
        <w:spacing w:line="360" w:lineRule="auto"/>
        <w:jc w:val="both"/>
        <w:rPr>
          <w:b/>
          <w:u w:val="single"/>
        </w:rPr>
      </w:pPr>
    </w:p>
    <w:p w14:paraId="4880C21E" w14:textId="77777777" w:rsidR="00770ED3" w:rsidRPr="00F3109B" w:rsidRDefault="00770ED3" w:rsidP="00793343">
      <w:pPr>
        <w:spacing w:line="360" w:lineRule="auto"/>
        <w:jc w:val="both"/>
        <w:rPr>
          <w:b/>
        </w:rPr>
      </w:pPr>
      <w:r w:rsidRPr="00F3109B">
        <w:rPr>
          <w:b/>
        </w:rPr>
        <w:t>Estimation of influenza- and RSV-associated mortality</w:t>
      </w:r>
    </w:p>
    <w:p w14:paraId="0EA3E5D9" w14:textId="77777777" w:rsidR="00770ED3" w:rsidRPr="00F3109B" w:rsidRDefault="00770ED3" w:rsidP="00793343">
      <w:pPr>
        <w:spacing w:line="360" w:lineRule="auto"/>
        <w:jc w:val="both"/>
        <w:rPr>
          <w:b/>
        </w:rPr>
      </w:pPr>
    </w:p>
    <w:p w14:paraId="40B56D5B" w14:textId="3EEF7C6C" w:rsidR="00B4558D" w:rsidRDefault="00770ED3" w:rsidP="00793343">
      <w:pPr>
        <w:spacing w:line="360" w:lineRule="auto"/>
        <w:jc w:val="both"/>
      </w:pPr>
      <w:r w:rsidRPr="00F3109B">
        <w:t xml:space="preserve">Different </w:t>
      </w:r>
      <w:r w:rsidR="00B4558D" w:rsidRPr="00F3109B">
        <w:t>modeling approaches</w:t>
      </w:r>
      <w:r w:rsidRPr="00F3109B">
        <w:t xml:space="preserve"> have been used to estimate influenza associated mortality, including </w:t>
      </w:r>
      <w:r w:rsidR="000E6C45" w:rsidRPr="00F3109B">
        <w:t xml:space="preserve">(i) </w:t>
      </w:r>
      <w:r w:rsidR="00B4558D" w:rsidRPr="00F3109B">
        <w:t>peri- and summer-</w:t>
      </w:r>
      <w:r w:rsidRPr="00F3109B">
        <w:t>season rate-difference models</w:t>
      </w:r>
      <w:r w:rsidR="00F47DFB" w:rsidRPr="00F3109B">
        <w:t xml:space="preserve"> [</w:t>
      </w:r>
      <w:r w:rsidR="00F47DFB" w:rsidRPr="00F3109B">
        <w:rPr>
          <w:rStyle w:val="EndnoteReference"/>
          <w:vertAlign w:val="baseline"/>
        </w:rPr>
        <w:endnoteReference w:id="1"/>
      </w:r>
      <w:r w:rsidR="003E7E6A" w:rsidRPr="00F3109B">
        <w:t>,</w:t>
      </w:r>
      <w:r w:rsidR="003E7E6A" w:rsidRPr="00F3109B">
        <w:rPr>
          <w:rStyle w:val="EndnoteReference"/>
          <w:vertAlign w:val="baseline"/>
        </w:rPr>
        <w:endnoteReference w:id="2"/>
      </w:r>
      <w:r w:rsidR="00B4558D" w:rsidRPr="00F3109B">
        <w:t>]</w:t>
      </w:r>
      <w:r w:rsidRPr="00F3109B">
        <w:t xml:space="preserve">, </w:t>
      </w:r>
      <w:r w:rsidR="000E6C45" w:rsidRPr="00F3109B">
        <w:t xml:space="preserve">(ii) </w:t>
      </w:r>
      <w:r w:rsidRPr="00F3109B">
        <w:t xml:space="preserve">Serfling </w:t>
      </w:r>
      <w:r w:rsidR="000E6C45" w:rsidRPr="00F3109B">
        <w:t xml:space="preserve">cyclical regression models, </w:t>
      </w:r>
      <w:r w:rsidRPr="00F3109B">
        <w:t>which do not incorporate influenza viral surveillance data</w:t>
      </w:r>
      <w:r w:rsidR="003E7E6A" w:rsidRPr="00F3109B">
        <w:t xml:space="preserve"> [</w:t>
      </w:r>
      <w:r w:rsidR="003E7E6A" w:rsidRPr="00F3109B">
        <w:rPr>
          <w:rStyle w:val="EndnoteReference"/>
          <w:vertAlign w:val="baseline"/>
        </w:rPr>
        <w:endnoteReference w:id="3"/>
      </w:r>
      <w:r w:rsidR="00D47DB4" w:rsidRPr="00F3109B">
        <w:t>,</w:t>
      </w:r>
      <w:r w:rsidR="00D47DB4" w:rsidRPr="00F3109B">
        <w:rPr>
          <w:rStyle w:val="EndnoteReference"/>
          <w:vertAlign w:val="baseline"/>
        </w:rPr>
        <w:endnoteReference w:id="4"/>
      </w:r>
      <w:r w:rsidR="00B4558D" w:rsidRPr="00F3109B">
        <w:t>]</w:t>
      </w:r>
      <w:r w:rsidRPr="00F3109B">
        <w:t xml:space="preserve">, </w:t>
      </w:r>
      <w:r w:rsidR="000E6C45" w:rsidRPr="00F3109B">
        <w:t xml:space="preserve">(iii) autoregressive integrated moving average (ARIMA) models, which do not incorporate influenza viral surveillance data </w:t>
      </w:r>
      <w:r w:rsidR="00D47DB4" w:rsidRPr="00F3109B">
        <w:t>[</w:t>
      </w:r>
      <w:r w:rsidR="00D47DB4" w:rsidRPr="00F3109B">
        <w:rPr>
          <w:rStyle w:val="EndnoteReference"/>
          <w:vertAlign w:val="baseline"/>
        </w:rPr>
        <w:endnoteReference w:id="5"/>
      </w:r>
      <w:r w:rsidR="00793343" w:rsidRPr="00F3109B">
        <w:t>,</w:t>
      </w:r>
      <w:r w:rsidR="00793343" w:rsidRPr="00F3109B">
        <w:rPr>
          <w:rStyle w:val="EndnoteReference"/>
          <w:vertAlign w:val="baseline"/>
        </w:rPr>
        <w:endnoteReference w:id="6"/>
      </w:r>
      <w:r w:rsidR="00B4558D" w:rsidRPr="00F3109B">
        <w:t xml:space="preserve">] </w:t>
      </w:r>
      <w:r w:rsidR="000E6C45" w:rsidRPr="00F3109B">
        <w:t>and (iv) regression models (Poisson, Negative-Binomial or linear), which do incorporate influenza surveillance data</w:t>
      </w:r>
      <w:r w:rsidR="00793343" w:rsidRPr="00F3109B">
        <w:t xml:space="preserve"> [</w:t>
      </w:r>
      <w:r w:rsidR="00793343" w:rsidRPr="00F3109B">
        <w:rPr>
          <w:rStyle w:val="EndnoteReference"/>
          <w:vertAlign w:val="baseline"/>
        </w:rPr>
        <w:endnoteReference w:id="7"/>
      </w:r>
      <w:r w:rsidR="00793343" w:rsidRPr="00F3109B">
        <w:t>,</w:t>
      </w:r>
      <w:r w:rsidR="00793343" w:rsidRPr="00F3109B">
        <w:rPr>
          <w:rStyle w:val="EndnoteReference"/>
          <w:vertAlign w:val="baseline"/>
        </w:rPr>
        <w:endnoteReference w:id="8"/>
      </w:r>
      <w:r w:rsidR="00E40AF1" w:rsidRPr="00F3109B">
        <w:t>,</w:t>
      </w:r>
      <w:r w:rsidR="00E40AF1" w:rsidRPr="00F3109B">
        <w:rPr>
          <w:rStyle w:val="EndnoteReference"/>
          <w:vertAlign w:val="baseline"/>
        </w:rPr>
        <w:endnoteReference w:id="9"/>
      </w:r>
      <w:r w:rsidR="00B4558D" w:rsidRPr="00F3109B">
        <w:t>]</w:t>
      </w:r>
      <w:r w:rsidR="000E6C45" w:rsidRPr="00F3109B">
        <w:t xml:space="preserve">. </w:t>
      </w:r>
      <w:r w:rsidR="00B4558D" w:rsidRPr="00F3109B">
        <w:t xml:space="preserve">A study comparing the four methods found comparable estimates of influenza associated mortality over 31 influenza seasons in the United States </w:t>
      </w:r>
      <w:r w:rsidR="00CB6E63" w:rsidRPr="00F3109B">
        <w:t xml:space="preserve">except for estimates from the summer-season rate-difference model, which were consistently higher </w:t>
      </w:r>
      <w:r w:rsidR="00D45E23" w:rsidRPr="00F3109B">
        <w:t>[</w:t>
      </w:r>
      <w:bookmarkStart w:id="0" w:name="_Ref374004056"/>
      <w:r w:rsidR="00D45E23" w:rsidRPr="00F3109B">
        <w:rPr>
          <w:rStyle w:val="EndnoteReference"/>
          <w:vertAlign w:val="baseline"/>
        </w:rPr>
        <w:endnoteReference w:id="10"/>
      </w:r>
      <w:bookmarkEnd w:id="0"/>
      <w:r w:rsidR="00B4558D" w:rsidRPr="00F3109B">
        <w:t>]</w:t>
      </w:r>
      <w:r w:rsidR="00CB6E63" w:rsidRPr="00F3109B">
        <w:t xml:space="preserve">. Regression models that incorporate viral covariates have been suggested as the </w:t>
      </w:r>
      <w:r w:rsidR="000C026E" w:rsidRPr="00F3109B">
        <w:t xml:space="preserve">preferred </w:t>
      </w:r>
      <w:r w:rsidR="00CB6E63" w:rsidRPr="00F3109B">
        <w:t>met</w:t>
      </w:r>
      <w:r w:rsidR="000C026E" w:rsidRPr="00F3109B">
        <w:t xml:space="preserve">hod </w:t>
      </w:r>
      <w:r w:rsidR="0058553E" w:rsidRPr="00F3109B">
        <w:t>when</w:t>
      </w:r>
      <w:r w:rsidR="00CB6E63" w:rsidRPr="00F3109B">
        <w:t xml:space="preserve"> at least 5 years of mortality and viral surveillance </w:t>
      </w:r>
      <w:r w:rsidR="0058553E" w:rsidRPr="00F3109B">
        <w:t>data are available and</w:t>
      </w:r>
      <w:r w:rsidR="00CB6E63" w:rsidRPr="00F3109B">
        <w:t xml:space="preserve"> the mortality associated with multi</w:t>
      </w:r>
      <w:r w:rsidR="00D45E23" w:rsidRPr="00F3109B">
        <w:t>ple pathogens is estimated [</w:t>
      </w:r>
      <w:r w:rsidR="00D45E23" w:rsidRPr="00F3109B">
        <w:fldChar w:fldCharType="begin"/>
      </w:r>
      <w:r w:rsidR="00D45E23" w:rsidRPr="00F3109B">
        <w:instrText xml:space="preserve"> NOTEREF _Ref374004056 \h </w:instrText>
      </w:r>
      <w:r w:rsidR="00F3109B" w:rsidRPr="00F3109B">
        <w:instrText xml:space="preserve"> \* MERGEFORMAT </w:instrText>
      </w:r>
      <w:r w:rsidR="00D45E23" w:rsidRPr="00F3109B">
        <w:fldChar w:fldCharType="separate"/>
      </w:r>
      <w:r w:rsidR="00D45E23" w:rsidRPr="00F3109B">
        <w:t>10</w:t>
      </w:r>
      <w:r w:rsidR="00D45E23" w:rsidRPr="00F3109B">
        <w:fldChar w:fldCharType="end"/>
      </w:r>
      <w:r w:rsidR="00CB6E63" w:rsidRPr="00F3109B">
        <w:t>].</w:t>
      </w:r>
    </w:p>
    <w:p w14:paraId="6725B09B" w14:textId="77777777" w:rsidR="00D5080C" w:rsidRPr="00F3109B" w:rsidRDefault="00D5080C" w:rsidP="00793343">
      <w:pPr>
        <w:spacing w:line="360" w:lineRule="auto"/>
        <w:jc w:val="both"/>
      </w:pPr>
    </w:p>
    <w:p w14:paraId="0B310664" w14:textId="026F6D32" w:rsidR="00770ED3" w:rsidRPr="00F3109B" w:rsidRDefault="00CB6E63" w:rsidP="00793343">
      <w:pPr>
        <w:spacing w:line="360" w:lineRule="auto"/>
        <w:jc w:val="both"/>
      </w:pPr>
      <w:r w:rsidRPr="00F3109B">
        <w:t>In our study,</w:t>
      </w:r>
      <w:r w:rsidR="00770ED3" w:rsidRPr="00F3109B">
        <w:t xml:space="preserve"> we fitted age-specific Poisson regression models </w:t>
      </w:r>
      <w:r w:rsidRPr="00F3109B">
        <w:t xml:space="preserve">(with an identity link) </w:t>
      </w:r>
      <w:r w:rsidR="00770ED3" w:rsidRPr="00F3109B">
        <w:t>to monthly deaths</w:t>
      </w:r>
      <w:r w:rsidRPr="00F3109B">
        <w:t xml:space="preserve">. </w:t>
      </w:r>
      <w:r w:rsidR="00C72F2E" w:rsidRPr="00F3109B">
        <w:t>The iden</w:t>
      </w:r>
      <w:r w:rsidR="0095170E" w:rsidRPr="00F3109B">
        <w:t>tity link was selected because it is considered the most biologically plausible link to model the impact of pathogen circulation on mortality [</w:t>
      </w:r>
      <w:r w:rsidR="0095170E" w:rsidRPr="00F3109B">
        <w:rPr>
          <w:rStyle w:val="EndnoteReference"/>
          <w:vertAlign w:val="baseline"/>
        </w:rPr>
        <w:endnoteReference w:id="11"/>
      </w:r>
      <w:r w:rsidR="002D0058" w:rsidRPr="00F3109B">
        <w:t>,</w:t>
      </w:r>
      <w:r w:rsidR="002D0058" w:rsidRPr="00F3109B">
        <w:rPr>
          <w:rStyle w:val="EndnoteReference"/>
          <w:vertAlign w:val="baseline"/>
        </w:rPr>
        <w:endnoteReference w:id="12"/>
      </w:r>
      <w:r w:rsidR="002D0058" w:rsidRPr="00F3109B">
        <w:t>,</w:t>
      </w:r>
      <w:r w:rsidR="002D0058" w:rsidRPr="00F3109B">
        <w:rPr>
          <w:rStyle w:val="EndnoteReference"/>
          <w:vertAlign w:val="baseline"/>
        </w:rPr>
        <w:endnoteReference w:id="13"/>
      </w:r>
      <w:r w:rsidR="00F3109B" w:rsidRPr="00F3109B">
        <w:t>,</w:t>
      </w:r>
      <w:r w:rsidR="00F3109B" w:rsidRPr="00F3109B">
        <w:rPr>
          <w:rStyle w:val="EndnoteReference"/>
          <w:vertAlign w:val="baseline"/>
        </w:rPr>
        <w:endnoteReference w:id="14"/>
      </w:r>
      <w:r w:rsidR="0095170E" w:rsidRPr="00F3109B">
        <w:t>].</w:t>
      </w:r>
      <w:r w:rsidR="00770ED3" w:rsidRPr="00F3109B">
        <w:t xml:space="preserve"> </w:t>
      </w:r>
      <w:r w:rsidR="0095170E" w:rsidRPr="00F3109B">
        <w:t xml:space="preserve">Indeed, an identity link assumes additive (rather than multiplicative) effects of different pathogens on mortality. </w:t>
      </w:r>
      <w:r w:rsidR="00770ED3" w:rsidRPr="00F3109B">
        <w:t>The full model (model 1) included covariates for time trends and seasonal variation as well as viral circulation as follows:</w:t>
      </w:r>
    </w:p>
    <w:p w14:paraId="72CEE4FF" w14:textId="77777777" w:rsidR="00770ED3" w:rsidRPr="00F3109B" w:rsidRDefault="00770ED3" w:rsidP="00793343">
      <w:pPr>
        <w:spacing w:line="360" w:lineRule="auto"/>
        <w:jc w:val="both"/>
        <w:rPr>
          <w:sz w:val="20"/>
          <w:szCs w:val="20"/>
        </w:rPr>
      </w:pPr>
    </w:p>
    <w:p w14:paraId="0633ED19" w14:textId="77777777" w:rsidR="00770ED3" w:rsidRPr="00F3109B" w:rsidRDefault="00B20DF1" w:rsidP="00793343">
      <w:pPr>
        <w:spacing w:line="360" w:lineRule="auto"/>
        <w:jc w:val="both"/>
        <w:rPr>
          <w:sz w:val="20"/>
          <w:szCs w:val="20"/>
        </w:rPr>
      </w:pPr>
      <w:r w:rsidRPr="00F3109B">
        <w:rPr>
          <w:position w:val="-12"/>
          <w:sz w:val="20"/>
          <w:szCs w:val="20"/>
        </w:rPr>
        <w:object w:dxaOrig="7479" w:dyaOrig="380" w14:anchorId="7F6B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pt" o:ole="">
            <v:imagedata r:id="rId7" o:title=""/>
          </v:shape>
          <o:OLEObject Type="Embed" ProgID="Equation.3" ShapeID="_x0000_i1025" DrawAspect="Content" ObjectID="_1712471039" r:id="rId8"/>
        </w:object>
      </w:r>
    </w:p>
    <w:p w14:paraId="111B7F46" w14:textId="7A4934CB" w:rsidR="00770ED3" w:rsidRPr="00F3109B" w:rsidRDefault="00405FD2" w:rsidP="00793343">
      <w:pPr>
        <w:spacing w:line="360" w:lineRule="auto"/>
        <w:ind w:left="720"/>
        <w:jc w:val="both"/>
      </w:pPr>
      <w:r w:rsidRPr="00F3109B">
        <w:rPr>
          <w:position w:val="-12"/>
        </w:rPr>
        <w:object w:dxaOrig="6300" w:dyaOrig="360" w14:anchorId="50959410">
          <v:shape id="_x0000_i1026" type="#_x0000_t75" style="width:330.75pt;height:19.5pt" o:ole="">
            <v:imagedata r:id="rId9" o:title=""/>
          </v:shape>
          <o:OLEObject Type="Embed" ProgID="Equation.3" ShapeID="_x0000_i1026" DrawAspect="Content" ObjectID="_1712471040" r:id="rId10"/>
        </w:object>
      </w:r>
      <w:r w:rsidR="003F3F20" w:rsidRPr="00F3109B">
        <w:tab/>
      </w:r>
      <w:r w:rsidR="00B20DF1" w:rsidRPr="00F3109B">
        <w:tab/>
      </w:r>
      <w:r w:rsidR="00770ED3" w:rsidRPr="00F3109B">
        <w:t>(1)</w:t>
      </w:r>
    </w:p>
    <w:p w14:paraId="66EE53D4" w14:textId="77777777" w:rsidR="00770ED3" w:rsidRPr="00F3109B" w:rsidRDefault="00770ED3" w:rsidP="00793343">
      <w:pPr>
        <w:spacing w:line="360" w:lineRule="auto"/>
        <w:jc w:val="both"/>
      </w:pPr>
    </w:p>
    <w:p w14:paraId="6012DD15" w14:textId="31CB2C2F" w:rsidR="00A92B76" w:rsidRPr="00F3109B" w:rsidRDefault="00770ED3" w:rsidP="00793343">
      <w:pPr>
        <w:spacing w:line="360" w:lineRule="auto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F3109B">
        <w:rPr>
          <w:i/>
        </w:rPr>
        <w:t>E(Y</w:t>
      </w:r>
      <w:r w:rsidRPr="00F3109B">
        <w:rPr>
          <w:i/>
          <w:vertAlign w:val="subscript"/>
        </w:rPr>
        <w:t>i</w:t>
      </w:r>
      <w:r w:rsidRPr="00F3109B">
        <w:rPr>
          <w:i/>
        </w:rPr>
        <w:t>)</w:t>
      </w:r>
      <w:r w:rsidRPr="00F3109B">
        <w:t xml:space="preserve"> represents the age-specific </w:t>
      </w:r>
      <w:r w:rsidR="0011159D">
        <w:t>number of deaths</w:t>
      </w:r>
      <w:r w:rsidRPr="00F3109B">
        <w:t xml:space="preserve"> during a particular month </w:t>
      </w:r>
      <w:r w:rsidRPr="00F3109B">
        <w:rPr>
          <w:i/>
        </w:rPr>
        <w:t>i</w:t>
      </w:r>
      <w:r w:rsidRPr="00F3109B">
        <w:t xml:space="preserve">, </w:t>
      </w:r>
      <w:r w:rsidRPr="00F3109B">
        <w:rPr>
          <w:i/>
        </w:rPr>
        <w:t>β</w:t>
      </w:r>
      <w:r w:rsidRPr="00F3109B">
        <w:rPr>
          <w:i/>
          <w:vertAlign w:val="subscript"/>
        </w:rPr>
        <w:t>0</w:t>
      </w:r>
      <w:r w:rsidRPr="00F3109B">
        <w:t xml:space="preserve"> is the model constant, </w:t>
      </w:r>
      <w:r w:rsidRPr="00F3109B">
        <w:rPr>
          <w:i/>
        </w:rPr>
        <w:t>β</w:t>
      </w:r>
      <w:r w:rsidRPr="00F3109B">
        <w:rPr>
          <w:i/>
          <w:vertAlign w:val="subscript"/>
        </w:rPr>
        <w:t>1</w:t>
      </w:r>
      <w:r w:rsidRPr="00F3109B">
        <w:t xml:space="preserve"> to </w:t>
      </w:r>
      <w:r w:rsidRPr="00F3109B">
        <w:rPr>
          <w:i/>
        </w:rPr>
        <w:t>β</w:t>
      </w:r>
      <w:r w:rsidRPr="00F3109B">
        <w:rPr>
          <w:i/>
          <w:vertAlign w:val="subscript"/>
        </w:rPr>
        <w:t>4</w:t>
      </w:r>
      <w:r w:rsidRPr="00F3109B">
        <w:t xml:space="preserve"> are coefficients associated with time trends (linear to quartic polynomial terms)</w:t>
      </w:r>
      <w:r w:rsidR="008D44C9" w:rsidRPr="00F3109B">
        <w:t xml:space="preserve"> included to account for annual variation of number of deaths</w:t>
      </w:r>
      <w:r w:rsidR="00A92B76" w:rsidRPr="00F3109B">
        <w:rPr>
          <w:rStyle w:val="CommentReference"/>
        </w:rPr>
        <w:t>,</w:t>
      </w:r>
      <w:r w:rsidRPr="00F3109B">
        <w:t xml:space="preserve"> </w:t>
      </w:r>
      <w:r w:rsidRPr="00F3109B">
        <w:rPr>
          <w:i/>
        </w:rPr>
        <w:t>β</w:t>
      </w:r>
      <w:r w:rsidRPr="00F3109B">
        <w:rPr>
          <w:i/>
          <w:vertAlign w:val="subscript"/>
        </w:rPr>
        <w:t>5</w:t>
      </w:r>
      <w:r w:rsidRPr="00F3109B">
        <w:t xml:space="preserve"> and </w:t>
      </w:r>
      <w:r w:rsidRPr="00F3109B">
        <w:rPr>
          <w:i/>
        </w:rPr>
        <w:t>β</w:t>
      </w:r>
      <w:r w:rsidRPr="00F3109B">
        <w:rPr>
          <w:i/>
          <w:vertAlign w:val="subscript"/>
        </w:rPr>
        <w:t>6</w:t>
      </w:r>
      <w:r w:rsidRPr="00F3109B">
        <w:t xml:space="preserve"> are coefficients associated with harmonic terms included to account for seasonal variations, </w:t>
      </w:r>
      <w:r w:rsidRPr="00F3109B">
        <w:rPr>
          <w:i/>
        </w:rPr>
        <w:t>β</w:t>
      </w:r>
      <w:r w:rsidRPr="00F3109B">
        <w:rPr>
          <w:i/>
          <w:vertAlign w:val="subscript"/>
        </w:rPr>
        <w:t>7</w:t>
      </w:r>
      <w:r w:rsidRPr="00F3109B">
        <w:t xml:space="preserve"> to </w:t>
      </w:r>
      <w:r w:rsidRPr="00F3109B">
        <w:rPr>
          <w:i/>
        </w:rPr>
        <w:t>β</w:t>
      </w:r>
      <w:r w:rsidRPr="00F3109B">
        <w:rPr>
          <w:i/>
          <w:vertAlign w:val="subscript"/>
        </w:rPr>
        <w:t>9</w:t>
      </w:r>
      <w:r w:rsidRPr="00F3109B">
        <w:t xml:space="preserve"> are coefficients associated with the proportion of specimens testing positive for respiratory viruses (seasonal influenza: </w:t>
      </w:r>
      <w:r w:rsidRPr="00F3109B">
        <w:lastRenderedPageBreak/>
        <w:t xml:space="preserve">A(H1N1), A(H3N2) and B; pandemic influenza: A(H1N1)pdm09; and RSV) and </w:t>
      </w:r>
      <w:r w:rsidRPr="00F3109B">
        <w:rPr>
          <w:i/>
        </w:rPr>
        <w:sym w:font="Symbol" w:char="F065"/>
      </w:r>
      <w:r w:rsidRPr="00F3109B">
        <w:rPr>
          <w:i/>
          <w:vertAlign w:val="subscript"/>
        </w:rPr>
        <w:t>i</w:t>
      </w:r>
      <w:r w:rsidRPr="00F3109B">
        <w:t xml:space="preserve"> is the error term. </w:t>
      </w:r>
      <w:r w:rsidR="00A40A9C" w:rsidRPr="00F3109B">
        <w:t>Model selection procedures included the assessment of model fit consider</w:t>
      </w:r>
      <w:r w:rsidR="0035280F" w:rsidRPr="00F3109B">
        <w:t>ing the inclusion of polynomial</w:t>
      </w:r>
      <w:r w:rsidR="00D45E23" w:rsidRPr="00F3109B">
        <w:t xml:space="preserve"> </w:t>
      </w:r>
      <w:r w:rsidR="00A40A9C" w:rsidRPr="00F3109B">
        <w:t>(1</w:t>
      </w:r>
      <w:r w:rsidR="00A40A9C" w:rsidRPr="00F3109B">
        <w:rPr>
          <w:vertAlign w:val="superscript"/>
        </w:rPr>
        <w:t>st</w:t>
      </w:r>
      <w:r w:rsidR="00A40A9C" w:rsidRPr="00F3109B">
        <w:t xml:space="preserve"> to 6</w:t>
      </w:r>
      <w:r w:rsidR="00A40A9C" w:rsidRPr="00F3109B">
        <w:rPr>
          <w:vertAlign w:val="superscript"/>
        </w:rPr>
        <w:t>th</w:t>
      </w:r>
      <w:r w:rsidR="00A40A9C" w:rsidRPr="00F3109B">
        <w:t xml:space="preserve"> degree</w:t>
      </w:r>
      <w:r w:rsidR="00D45E23" w:rsidRPr="00F3109B">
        <w:t>)</w:t>
      </w:r>
      <w:r w:rsidR="00F3109B">
        <w:t xml:space="preserve"> and harmonic terms</w:t>
      </w:r>
      <w:r w:rsidR="00A40A9C" w:rsidRPr="00F3109B">
        <w:t>. T</w:t>
      </w:r>
      <w:r w:rsidR="00A92B76" w:rsidRPr="00F3109B">
        <w:t xml:space="preserve">he final model </w:t>
      </w:r>
      <w:r w:rsidR="00A40A9C" w:rsidRPr="00F3109B">
        <w:t xml:space="preserve">(model 1) </w:t>
      </w:r>
      <w:r w:rsidR="00A92B76" w:rsidRPr="00F3109B">
        <w:t>was that for which the Akaike value was minimized, that is, the model that provided best fit to the data whilst maintaining parsimony.</w:t>
      </w:r>
      <w:r w:rsidR="00F3109B">
        <w:t xml:space="preserve"> </w:t>
      </w:r>
      <w:r w:rsidR="00F3109B" w:rsidRPr="00F3109B">
        <w:t>We also considered b-spline instead of polynomial terms but polynomial terms provided the best fit to the South African data.</w:t>
      </w:r>
    </w:p>
    <w:p w14:paraId="4EB84C24" w14:textId="77777777" w:rsidR="00DF7D87" w:rsidRPr="00F3109B" w:rsidRDefault="00DF7D87" w:rsidP="00793343">
      <w:pPr>
        <w:spacing w:line="360" w:lineRule="auto"/>
        <w:jc w:val="both"/>
      </w:pPr>
    </w:p>
    <w:p w14:paraId="0F4DCEEF" w14:textId="42AA6DE8" w:rsidR="00DF7D87" w:rsidRPr="00F3109B" w:rsidRDefault="00770ED3" w:rsidP="00793343">
      <w:pPr>
        <w:spacing w:line="360" w:lineRule="auto"/>
        <w:jc w:val="both"/>
      </w:pPr>
      <w:r w:rsidRPr="00F3109B">
        <w:t>In South Africa, the diagnosis of AIDS is rarely coded on the death certificate [</w:t>
      </w:r>
      <w:r w:rsidR="00D45E23" w:rsidRPr="00F3109B">
        <w:rPr>
          <w:rStyle w:val="EndnoteReference"/>
          <w:vertAlign w:val="baseline"/>
        </w:rPr>
        <w:endnoteReference w:id="15"/>
      </w:r>
      <w:r w:rsidRPr="00F3109B">
        <w:t xml:space="preserve">]. To assess changes in annual seasonal influenza excess mortality rates (as obtained from </w:t>
      </w:r>
      <w:r w:rsidR="00A40A9C" w:rsidRPr="00F3109B">
        <w:t>model 1</w:t>
      </w:r>
      <w:r w:rsidRPr="00F3109B">
        <w:t xml:space="preserve">) in relation to the HIV prevalence in the population </w:t>
      </w:r>
      <w:r w:rsidR="00B20DF1" w:rsidRPr="00F3109B">
        <w:t xml:space="preserve">and the HAART coverage </w:t>
      </w:r>
      <w:r w:rsidR="004F26A2">
        <w:t xml:space="preserve">among HIV-infected individuals </w:t>
      </w:r>
      <w:r w:rsidRPr="00F3109B">
        <w:t xml:space="preserve">over the years, we fitted separate multivariable Poisson regression models (model 2) for annual all-respiratory and P&amp;I seasonal influenza-associated mortality rates by age group. </w:t>
      </w:r>
      <w:r w:rsidR="00DF7D87" w:rsidRPr="00F3109B">
        <w:t>The following model was used:</w:t>
      </w:r>
    </w:p>
    <w:p w14:paraId="37084FBC" w14:textId="77777777" w:rsidR="00B20DF1" w:rsidRPr="00F3109B" w:rsidRDefault="00B20DF1" w:rsidP="00793343">
      <w:pPr>
        <w:spacing w:line="360" w:lineRule="auto"/>
        <w:jc w:val="both"/>
      </w:pPr>
    </w:p>
    <w:p w14:paraId="54E7BFE1" w14:textId="4E150601" w:rsidR="00DF7D87" w:rsidRPr="00F3109B" w:rsidRDefault="0011159D" w:rsidP="00793343">
      <w:pPr>
        <w:spacing w:line="360" w:lineRule="auto"/>
        <w:jc w:val="both"/>
        <w:rPr>
          <w:sz w:val="20"/>
          <w:szCs w:val="20"/>
        </w:rPr>
      </w:pPr>
      <w:r w:rsidRPr="0011159D">
        <w:rPr>
          <w:position w:val="-12"/>
          <w:sz w:val="20"/>
          <w:szCs w:val="20"/>
        </w:rPr>
        <w:object w:dxaOrig="7180" w:dyaOrig="380" w14:anchorId="155DFA83">
          <v:shape id="_x0000_i1027" type="#_x0000_t75" style="width:381pt;height:21pt" o:ole="">
            <v:imagedata r:id="rId11" o:title=""/>
          </v:shape>
          <o:OLEObject Type="Embed" ProgID="Equation.3" ShapeID="_x0000_i1027" DrawAspect="Content" ObjectID="_1712471041" r:id="rId12"/>
        </w:object>
      </w:r>
      <w:r w:rsidR="003F3F20" w:rsidRPr="00F3109B">
        <w:rPr>
          <w:sz w:val="20"/>
          <w:szCs w:val="20"/>
        </w:rPr>
        <w:tab/>
      </w:r>
      <w:r w:rsidR="00B20DF1" w:rsidRPr="00F3109B">
        <w:rPr>
          <w:sz w:val="20"/>
          <w:szCs w:val="20"/>
        </w:rPr>
        <w:t>(2)</w:t>
      </w:r>
    </w:p>
    <w:p w14:paraId="59B8F9BF" w14:textId="77777777" w:rsidR="00B20DF1" w:rsidRPr="00F3109B" w:rsidRDefault="00B20DF1" w:rsidP="00793343">
      <w:pPr>
        <w:spacing w:line="360" w:lineRule="auto"/>
        <w:jc w:val="both"/>
      </w:pPr>
    </w:p>
    <w:p w14:paraId="2851FA84" w14:textId="2BF51D51" w:rsidR="00770ED3" w:rsidRDefault="00B20DF1" w:rsidP="00793343">
      <w:pPr>
        <w:spacing w:line="360" w:lineRule="auto"/>
        <w:jc w:val="both"/>
      </w:pPr>
      <w:r w:rsidRPr="00F3109B">
        <w:rPr>
          <w:i/>
        </w:rPr>
        <w:t>E(Y</w:t>
      </w:r>
      <w:r w:rsidR="0011159D" w:rsidRPr="0011159D">
        <w:rPr>
          <w:i/>
          <w:vertAlign w:val="subscript"/>
        </w:rPr>
        <w:t>i</w:t>
      </w:r>
      <w:r w:rsidRPr="00F3109B">
        <w:rPr>
          <w:i/>
        </w:rPr>
        <w:t>/N</w:t>
      </w:r>
      <w:r w:rsidRPr="00F3109B">
        <w:rPr>
          <w:i/>
          <w:vertAlign w:val="subscript"/>
        </w:rPr>
        <w:t>i</w:t>
      </w:r>
      <w:r w:rsidRPr="00F3109B">
        <w:rPr>
          <w:i/>
        </w:rPr>
        <w:t>)</w:t>
      </w:r>
      <w:r w:rsidRPr="00F3109B">
        <w:t xml:space="preserve"> represents the age-specific influenza-associated mortality rate during a particular year </w:t>
      </w:r>
      <w:r w:rsidRPr="00F3109B">
        <w:rPr>
          <w:i/>
        </w:rPr>
        <w:t>i</w:t>
      </w:r>
      <w:r w:rsidRPr="00F3109B">
        <w:t xml:space="preserve">, </w:t>
      </w:r>
      <w:r w:rsidRPr="00F3109B">
        <w:rPr>
          <w:i/>
        </w:rPr>
        <w:t>β</w:t>
      </w:r>
      <w:r w:rsidRPr="00F3109B">
        <w:rPr>
          <w:i/>
          <w:vertAlign w:val="subscript"/>
        </w:rPr>
        <w:t>0</w:t>
      </w:r>
      <w:r w:rsidRPr="00F3109B">
        <w:t xml:space="preserve"> is the model constant, </w:t>
      </w:r>
      <w:r w:rsidRPr="00F3109B">
        <w:rPr>
          <w:i/>
        </w:rPr>
        <w:t>β</w:t>
      </w:r>
      <w:r w:rsidRPr="00F3109B">
        <w:rPr>
          <w:i/>
          <w:vertAlign w:val="subscript"/>
        </w:rPr>
        <w:t>1</w:t>
      </w:r>
      <w:r w:rsidR="00E44FAA" w:rsidRPr="00F3109B">
        <w:t xml:space="preserve"> and</w:t>
      </w:r>
      <w:r w:rsidRPr="00F3109B">
        <w:t xml:space="preserve"> </w:t>
      </w:r>
      <w:r w:rsidRPr="00F3109B">
        <w:rPr>
          <w:i/>
        </w:rPr>
        <w:t>β</w:t>
      </w:r>
      <w:r w:rsidRPr="00F3109B">
        <w:rPr>
          <w:i/>
          <w:vertAlign w:val="subscript"/>
        </w:rPr>
        <w:t>2</w:t>
      </w:r>
      <w:r w:rsidRPr="00F3109B">
        <w:t xml:space="preserve"> are coefficients associated with time trends (linear and quadratic) included to account for </w:t>
      </w:r>
      <w:r w:rsidR="00E44FAA" w:rsidRPr="00F3109B">
        <w:t xml:space="preserve">potential </w:t>
      </w:r>
      <w:r w:rsidRPr="00F3109B">
        <w:t xml:space="preserve">variations </w:t>
      </w:r>
      <w:r w:rsidR="00E44FAA" w:rsidRPr="00F3109B">
        <w:t xml:space="preserve">of </w:t>
      </w:r>
      <w:r w:rsidRPr="00F3109B">
        <w:t xml:space="preserve">health indicators </w:t>
      </w:r>
      <w:r w:rsidR="00E44FAA" w:rsidRPr="00F3109B">
        <w:t>not associated with HIV or HAART</w:t>
      </w:r>
      <w:r w:rsidRPr="00F3109B">
        <w:rPr>
          <w:rStyle w:val="CommentReference"/>
        </w:rPr>
        <w:t>,</w:t>
      </w:r>
      <w:r w:rsidRPr="00F3109B">
        <w:t xml:space="preserve"> </w:t>
      </w:r>
      <w:r w:rsidRPr="00F3109B">
        <w:rPr>
          <w:i/>
        </w:rPr>
        <w:t>β</w:t>
      </w:r>
      <w:r w:rsidR="00E44FAA" w:rsidRPr="00F3109B">
        <w:rPr>
          <w:i/>
          <w:vertAlign w:val="subscript"/>
        </w:rPr>
        <w:t>3</w:t>
      </w:r>
      <w:r w:rsidRPr="00F3109B">
        <w:t xml:space="preserve"> </w:t>
      </w:r>
      <w:r w:rsidR="00E44FAA" w:rsidRPr="00F3109B">
        <w:t>is the coefficient associated with dominant seasonal influenza type/subtype each year (A(H3N2), A(H1N1) and B; treated as categorical variable with A(H3N2)-dominant years as reference group),</w:t>
      </w:r>
      <w:r w:rsidRPr="00F3109B">
        <w:t xml:space="preserve"> </w:t>
      </w:r>
      <w:r w:rsidRPr="00F3109B">
        <w:rPr>
          <w:i/>
        </w:rPr>
        <w:t>β</w:t>
      </w:r>
      <w:r w:rsidR="00E44FAA" w:rsidRPr="00F3109B">
        <w:rPr>
          <w:i/>
          <w:vertAlign w:val="subscript"/>
        </w:rPr>
        <w:t>4</w:t>
      </w:r>
      <w:r w:rsidRPr="00F3109B">
        <w:t xml:space="preserve"> </w:t>
      </w:r>
      <w:r w:rsidR="00E44FAA" w:rsidRPr="00F3109B">
        <w:t>is the coefficient associated with age- and year-specific HIV prevalence in the population,</w:t>
      </w:r>
      <w:r w:rsidRPr="00F3109B">
        <w:t xml:space="preserve"> </w:t>
      </w:r>
      <w:r w:rsidRPr="00F3109B">
        <w:rPr>
          <w:i/>
        </w:rPr>
        <w:t>β</w:t>
      </w:r>
      <w:r w:rsidR="00E44FAA" w:rsidRPr="00F3109B">
        <w:rPr>
          <w:i/>
          <w:vertAlign w:val="subscript"/>
        </w:rPr>
        <w:t>5</w:t>
      </w:r>
      <w:r w:rsidRPr="00F3109B">
        <w:t xml:space="preserve"> </w:t>
      </w:r>
      <w:r w:rsidR="00E44FAA" w:rsidRPr="00F3109B">
        <w:t>is the</w:t>
      </w:r>
      <w:r w:rsidRPr="00F3109B">
        <w:t xml:space="preserve"> coefficients associated </w:t>
      </w:r>
      <w:r w:rsidR="00E44FAA" w:rsidRPr="00F3109B">
        <w:t xml:space="preserve">with age- and year-specific HAART coverage among HIV-infected individuals </w:t>
      </w:r>
      <w:r w:rsidRPr="00F3109B">
        <w:t xml:space="preserve">and </w:t>
      </w:r>
      <w:r w:rsidRPr="00F3109B">
        <w:rPr>
          <w:i/>
        </w:rPr>
        <w:sym w:font="Symbol" w:char="F065"/>
      </w:r>
      <w:r w:rsidRPr="00F3109B">
        <w:rPr>
          <w:i/>
          <w:vertAlign w:val="subscript"/>
        </w:rPr>
        <w:t>i</w:t>
      </w:r>
      <w:r w:rsidRPr="00F3109B">
        <w:t xml:space="preserve"> is the error term. </w:t>
      </w:r>
      <w:r w:rsidR="00770ED3" w:rsidRPr="00F3109B">
        <w:t>Similar models, with the exclusion of the dominant influenza types/subtypes</w:t>
      </w:r>
      <w:r w:rsidR="00D5080C">
        <w:t xml:space="preserve"> covariate</w:t>
      </w:r>
      <w:r w:rsidR="00770ED3" w:rsidRPr="00F3109B">
        <w:t>, were used for RSV-associated mortality rates.</w:t>
      </w:r>
      <w:r w:rsidR="00770ED3" w:rsidRPr="007B3968">
        <w:t xml:space="preserve"> </w:t>
      </w:r>
    </w:p>
    <w:p w14:paraId="73E7013D" w14:textId="77777777" w:rsidR="003F3F20" w:rsidRPr="007B3968" w:rsidRDefault="003F3F20" w:rsidP="003F3F20">
      <w:pPr>
        <w:jc w:val="both"/>
      </w:pPr>
    </w:p>
    <w:p w14:paraId="002787CF" w14:textId="77777777" w:rsidR="003F3F20" w:rsidRPr="007B3968" w:rsidRDefault="003F3F20" w:rsidP="003F3F20">
      <w:pPr>
        <w:jc w:val="both"/>
      </w:pPr>
    </w:p>
    <w:p w14:paraId="0791D36A" w14:textId="77777777" w:rsidR="003F3F20" w:rsidRPr="007B3968" w:rsidRDefault="003F3F20" w:rsidP="003F3F20">
      <w:pPr>
        <w:jc w:val="both"/>
        <w:rPr>
          <w:b/>
        </w:rPr>
      </w:pPr>
      <w:r w:rsidRPr="007B3968">
        <w:br w:type="page"/>
      </w:r>
      <w:r w:rsidRPr="007B3968">
        <w:rPr>
          <w:b/>
        </w:rPr>
        <w:lastRenderedPageBreak/>
        <w:t>REFERENCES</w:t>
      </w:r>
    </w:p>
    <w:sectPr w:rsidR="003F3F20" w:rsidRPr="007B3968" w:rsidSect="003E7E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87F6" w14:textId="77777777" w:rsidR="00977B1E" w:rsidRDefault="00977B1E" w:rsidP="00770ED3">
      <w:r>
        <w:separator/>
      </w:r>
    </w:p>
  </w:endnote>
  <w:endnote w:type="continuationSeparator" w:id="0">
    <w:p w14:paraId="428619A3" w14:textId="77777777" w:rsidR="00977B1E" w:rsidRDefault="00977B1E" w:rsidP="00770ED3">
      <w:r>
        <w:continuationSeparator/>
      </w:r>
    </w:p>
  </w:endnote>
  <w:endnote w:id="1">
    <w:p w14:paraId="24E3351D" w14:textId="63A5EE32" w:rsidR="00F47DFB" w:rsidRPr="00F3109B" w:rsidRDefault="00F47DFB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="003E7E6A" w:rsidRPr="00F3109B">
        <w:tab/>
      </w:r>
      <w:r w:rsidR="003E7E6A" w:rsidRPr="00F3109B">
        <w:rPr>
          <w:rStyle w:val="EndnoteReference"/>
          <w:vertAlign w:val="baseline"/>
        </w:rPr>
        <w:t>I</w:t>
      </w:r>
      <w:r w:rsidR="003E7E6A" w:rsidRPr="00F3109B">
        <w:t xml:space="preserve">zurieta HS, Thompson WW, Kramarz P, et al. Influenza and the rates of hospitalization for respiratory diseases among infant and young children. N Engl J Med, </w:t>
      </w:r>
      <w:r w:rsidR="003E7E6A" w:rsidRPr="00F3109B">
        <w:rPr>
          <w:b/>
        </w:rPr>
        <w:t>2000</w:t>
      </w:r>
      <w:r w:rsidR="003E7E6A" w:rsidRPr="00F3109B">
        <w:t>; 342:232-239.</w:t>
      </w:r>
    </w:p>
  </w:endnote>
  <w:endnote w:id="2">
    <w:p w14:paraId="7653E93B" w14:textId="786F27B2" w:rsidR="003E7E6A" w:rsidRPr="00F3109B" w:rsidRDefault="003E7E6A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O’Brien MA, Uyeki TM, Shay DK, et al. Incidence of outpatient visits and hospitalization related to influenza in infants and young children. Pediatrics, </w:t>
      </w:r>
      <w:r w:rsidRPr="00F3109B">
        <w:rPr>
          <w:rStyle w:val="EndnoteReference"/>
          <w:b/>
          <w:vertAlign w:val="baseline"/>
        </w:rPr>
        <w:t>2004</w:t>
      </w:r>
      <w:r w:rsidRPr="00F3109B">
        <w:rPr>
          <w:rStyle w:val="EndnoteReference"/>
          <w:vertAlign w:val="baseline"/>
        </w:rPr>
        <w:t>; 113 (3 Pt 1):585-593.</w:t>
      </w:r>
    </w:p>
  </w:endnote>
  <w:endnote w:id="3">
    <w:p w14:paraId="475416BC" w14:textId="7FF8F8D1" w:rsidR="00D47DB4" w:rsidRPr="00F3109B" w:rsidRDefault="003E7E6A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="00D47DB4" w:rsidRPr="00F3109B">
        <w:tab/>
      </w:r>
      <w:r w:rsidR="00D47DB4" w:rsidRPr="00F3109B">
        <w:rPr>
          <w:rStyle w:val="EndnoteReference"/>
          <w:vertAlign w:val="baseline"/>
        </w:rPr>
        <w:t xml:space="preserve">Charu V, Chowell G, Palacio Mejia LS, et al. Mortality burden of the A/H1N1 pandemic in Mexico: a comparison of deaths and years of life lost to seasonal influenza. Clin Infect Dis, </w:t>
      </w:r>
      <w:r w:rsidR="00D47DB4" w:rsidRPr="00F3109B">
        <w:rPr>
          <w:rStyle w:val="EndnoteReference"/>
          <w:b/>
          <w:vertAlign w:val="baseline"/>
        </w:rPr>
        <w:t>2011</w:t>
      </w:r>
      <w:r w:rsidR="00D47DB4" w:rsidRPr="00F3109B">
        <w:rPr>
          <w:rStyle w:val="EndnoteReference"/>
          <w:vertAlign w:val="baseline"/>
        </w:rPr>
        <w:t>; 53(10):985-993.</w:t>
      </w:r>
    </w:p>
  </w:endnote>
  <w:endnote w:id="4">
    <w:p w14:paraId="7C1E3989" w14:textId="1766FB56" w:rsidR="00D47DB4" w:rsidRPr="00F3109B" w:rsidRDefault="00D47DB4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Cohen C, Simonsen L, Kang JW, et al. Elevated influenza-related excess mortality in South African elderly individuals, 1998-2005. Clin Infect Dis, </w:t>
      </w:r>
      <w:r w:rsidRPr="00F3109B">
        <w:rPr>
          <w:rStyle w:val="EndnoteReference"/>
          <w:b/>
          <w:vertAlign w:val="baseline"/>
        </w:rPr>
        <w:t>2010</w:t>
      </w:r>
      <w:r w:rsidRPr="00F3109B">
        <w:rPr>
          <w:rStyle w:val="EndnoteReference"/>
          <w:vertAlign w:val="baseline"/>
        </w:rPr>
        <w:t>; 51(12):1362-9.</w:t>
      </w:r>
    </w:p>
  </w:endnote>
  <w:endnote w:id="5">
    <w:p w14:paraId="4BC0DDA2" w14:textId="3FC63981" w:rsidR="00D47DB4" w:rsidRPr="00F3109B" w:rsidRDefault="00D47DB4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Choi K, Thacker SB. An evaluation of influenza mortality surveillance, 1962-1979 I. Time series forecast of expected pneumonia and influenza deaths. Am J Epidemiol, </w:t>
      </w:r>
      <w:r w:rsidRPr="00F3109B">
        <w:rPr>
          <w:rStyle w:val="EndnoteReference"/>
          <w:b/>
          <w:vertAlign w:val="baseline"/>
        </w:rPr>
        <w:t>1981</w:t>
      </w:r>
      <w:r w:rsidRPr="00F3109B">
        <w:rPr>
          <w:rStyle w:val="EndnoteReference"/>
          <w:vertAlign w:val="baseline"/>
        </w:rPr>
        <w:t>; 113:215-226.</w:t>
      </w:r>
    </w:p>
  </w:endnote>
  <w:endnote w:id="6">
    <w:p w14:paraId="2E2BE139" w14:textId="4DCEFE07" w:rsidR="00793343" w:rsidRPr="00F3109B" w:rsidRDefault="00793343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>Stroup DF, Thacker SB, Herndon JL. Application of multiple time series analysis to the estimation of pneumonia and influenza mortality by age 1962-1983. Stat Med</w:t>
      </w:r>
      <w:r w:rsidRPr="00F3109B">
        <w:t>,</w:t>
      </w:r>
      <w:r w:rsidRPr="00F3109B">
        <w:rPr>
          <w:rStyle w:val="EndnoteReference"/>
          <w:vertAlign w:val="baseline"/>
        </w:rPr>
        <w:t xml:space="preserve"> </w:t>
      </w:r>
      <w:r w:rsidRPr="00F3109B">
        <w:rPr>
          <w:rStyle w:val="EndnoteReference"/>
          <w:b/>
          <w:vertAlign w:val="baseline"/>
        </w:rPr>
        <w:t>1988</w:t>
      </w:r>
      <w:r w:rsidRPr="00F3109B">
        <w:rPr>
          <w:rStyle w:val="EndnoteReference"/>
          <w:vertAlign w:val="baseline"/>
        </w:rPr>
        <w:t>; 7:1045-1059.</w:t>
      </w:r>
    </w:p>
  </w:endnote>
  <w:endnote w:id="7">
    <w:p w14:paraId="1503B740" w14:textId="5C3921E5" w:rsidR="00793343" w:rsidRPr="00F3109B" w:rsidRDefault="00793343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Thompson WW, Shay DK, Weintraub E, et al. Mortality associated with influenza and respiratory syncytial virus in the United States. JAMA, </w:t>
      </w:r>
      <w:r w:rsidRPr="00F3109B">
        <w:rPr>
          <w:rStyle w:val="EndnoteReference"/>
          <w:b/>
          <w:vertAlign w:val="baseline"/>
        </w:rPr>
        <w:t>2003</w:t>
      </w:r>
      <w:r w:rsidRPr="00F3109B">
        <w:rPr>
          <w:rStyle w:val="EndnoteReference"/>
          <w:vertAlign w:val="baseline"/>
        </w:rPr>
        <w:t>; 289(2): 179-186.</w:t>
      </w:r>
    </w:p>
  </w:endnote>
  <w:endnote w:id="8">
    <w:p w14:paraId="6F5FAECB" w14:textId="031230DE" w:rsidR="00793343" w:rsidRPr="00F3109B" w:rsidRDefault="00793343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="00E40AF1" w:rsidRPr="00F3109B">
        <w:tab/>
      </w:r>
      <w:r w:rsidRPr="00F3109B">
        <w:rPr>
          <w:rStyle w:val="EndnoteReference"/>
          <w:vertAlign w:val="baseline"/>
        </w:rPr>
        <w:t xml:space="preserve">Luzhao F, Shay DK, Jiang Y, et al. Influenza-associated mortality in temperate and subtropical Chinese cities, 2003-2008. Bull World Health Organ, </w:t>
      </w:r>
      <w:r w:rsidRPr="00F3109B">
        <w:rPr>
          <w:rStyle w:val="EndnoteReference"/>
          <w:b/>
          <w:vertAlign w:val="baseline"/>
        </w:rPr>
        <w:t>2012</w:t>
      </w:r>
      <w:r w:rsidRPr="00F3109B">
        <w:rPr>
          <w:rStyle w:val="EndnoteReference"/>
          <w:vertAlign w:val="baseline"/>
        </w:rPr>
        <w:t xml:space="preserve">; </w:t>
      </w:r>
      <w:r w:rsidR="00E40AF1" w:rsidRPr="00F3109B">
        <w:rPr>
          <w:rStyle w:val="EndnoteReference"/>
          <w:vertAlign w:val="baseline"/>
        </w:rPr>
        <w:t>90:279-288B.</w:t>
      </w:r>
    </w:p>
  </w:endnote>
  <w:endnote w:id="9">
    <w:p w14:paraId="0C860835" w14:textId="437ACD7C" w:rsidR="00E40AF1" w:rsidRPr="00F3109B" w:rsidRDefault="00E40AF1" w:rsidP="00E40AF1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Simonsen L, Spreeuwenberg P, Lustig R, et al. Global mortality estimates for the 2009 influenza pandemic from the GLaMOR project: a modeling study. PLoS Med, </w:t>
      </w:r>
      <w:r w:rsidRPr="00F3109B">
        <w:rPr>
          <w:rStyle w:val="EndnoteReference"/>
          <w:b/>
          <w:vertAlign w:val="baseline"/>
        </w:rPr>
        <w:t>2013</w:t>
      </w:r>
      <w:r w:rsidRPr="00F3109B">
        <w:rPr>
          <w:rStyle w:val="EndnoteReference"/>
          <w:vertAlign w:val="baseline"/>
        </w:rPr>
        <w:t>; 10(11): e1001558. doi:10.1371/journal/pmed.1001558.</w:t>
      </w:r>
    </w:p>
  </w:endnote>
  <w:endnote w:id="10">
    <w:p w14:paraId="365ED3CC" w14:textId="6B8032FA" w:rsidR="00D45E23" w:rsidRPr="00F3109B" w:rsidRDefault="00D45E23" w:rsidP="00D45E23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Thompson WW, Weintraub E, Dhankhar P, et al. Estimates of US influenza-associated deaths made using four different methods. Influenza an Other Respiratory Viruses, </w:t>
      </w:r>
      <w:r w:rsidRPr="00F3109B">
        <w:rPr>
          <w:rStyle w:val="EndnoteReference"/>
          <w:b/>
          <w:vertAlign w:val="baseline"/>
        </w:rPr>
        <w:t>2009</w:t>
      </w:r>
      <w:r w:rsidRPr="00F3109B">
        <w:rPr>
          <w:rStyle w:val="EndnoteReference"/>
          <w:vertAlign w:val="baseline"/>
        </w:rPr>
        <w:t>; 3(1):37-49.</w:t>
      </w:r>
    </w:p>
  </w:endnote>
  <w:endnote w:id="11">
    <w:p w14:paraId="6A8F1B52" w14:textId="4229AD98" w:rsidR="0095170E" w:rsidRPr="00F3109B" w:rsidRDefault="0095170E" w:rsidP="002D0058">
      <w:pPr>
        <w:pStyle w:val="EndnoteText"/>
        <w:spacing w:after="120" w:line="360" w:lineRule="auto"/>
        <w:ind w:left="720" w:hanging="720"/>
        <w:jc w:val="both"/>
        <w:rPr>
          <w:rStyle w:val="EndnoteReference"/>
          <w:vertAlign w:val="baseline"/>
        </w:rPr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="002D0058" w:rsidRPr="00F3109B">
        <w:tab/>
      </w:r>
      <w:r w:rsidR="002D0058" w:rsidRPr="00F3109B">
        <w:rPr>
          <w:rStyle w:val="EndnoteReference"/>
          <w:vertAlign w:val="baseline"/>
        </w:rPr>
        <w:t xml:space="preserve">Gay NJ, Andrews NJ, Trotter CL, et al. Estimating deaths due to influenza and respiratory syncytial virus. JAMA, </w:t>
      </w:r>
      <w:r w:rsidR="002D0058" w:rsidRPr="00F3109B">
        <w:rPr>
          <w:rStyle w:val="EndnoteReference"/>
          <w:b/>
          <w:vertAlign w:val="baseline"/>
        </w:rPr>
        <w:t>2003</w:t>
      </w:r>
      <w:r w:rsidR="002D0058" w:rsidRPr="00F3109B">
        <w:rPr>
          <w:rStyle w:val="EndnoteReference"/>
          <w:vertAlign w:val="baseline"/>
        </w:rPr>
        <w:t>; 289(19):2499; author reply 2500-2.</w:t>
      </w:r>
    </w:p>
  </w:endnote>
  <w:endnote w:id="12">
    <w:p w14:paraId="008E8D68" w14:textId="53F56A66" w:rsidR="002D0058" w:rsidRPr="00F3109B" w:rsidRDefault="002D0058" w:rsidP="002D0058">
      <w:pPr>
        <w:pStyle w:val="EndnoteText"/>
        <w:spacing w:after="120" w:line="360" w:lineRule="auto"/>
        <w:ind w:left="720" w:hanging="720"/>
        <w:jc w:val="both"/>
        <w:rPr>
          <w:rStyle w:val="EndnoteReference"/>
          <w:vertAlign w:val="baseline"/>
        </w:rPr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Simonsen L, Blackwelder WC, Reichert TA, et al. Estimating deaths due to influenza and respiratory syncytial virus. JAMA, </w:t>
      </w:r>
      <w:r w:rsidRPr="00F3109B">
        <w:rPr>
          <w:rStyle w:val="EndnoteReference"/>
          <w:b/>
          <w:vertAlign w:val="baseline"/>
        </w:rPr>
        <w:t>2003</w:t>
      </w:r>
      <w:r w:rsidRPr="00F3109B">
        <w:rPr>
          <w:rStyle w:val="EndnoteReference"/>
          <w:vertAlign w:val="baseline"/>
        </w:rPr>
        <w:t>; 289(19):2499-500; author reply 2500-2.</w:t>
      </w:r>
    </w:p>
  </w:endnote>
  <w:endnote w:id="13">
    <w:p w14:paraId="475E0E9B" w14:textId="08FF9E27" w:rsidR="002D0058" w:rsidRPr="00F3109B" w:rsidRDefault="002D0058" w:rsidP="002D0058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Glezen WP, Couch RB. Estimating deaths due to influenza and respiratory syncytial virus. JAMA, </w:t>
      </w:r>
      <w:r w:rsidRPr="00F3109B">
        <w:rPr>
          <w:rStyle w:val="EndnoteReference"/>
          <w:b/>
          <w:vertAlign w:val="baseline"/>
        </w:rPr>
        <w:t>2003</w:t>
      </w:r>
      <w:r w:rsidRPr="00F3109B">
        <w:rPr>
          <w:rStyle w:val="EndnoteReference"/>
          <w:vertAlign w:val="baseline"/>
        </w:rPr>
        <w:t>; 289(19):2500; author reply 2500-2.</w:t>
      </w:r>
    </w:p>
  </w:endnote>
  <w:endnote w:id="14">
    <w:p w14:paraId="07BCCDF1" w14:textId="77593E4D" w:rsidR="00F3109B" w:rsidRPr="00F3109B" w:rsidRDefault="00F3109B" w:rsidP="00F3109B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tab/>
      </w:r>
      <w:r w:rsidRPr="00F3109B">
        <w:rPr>
          <w:rStyle w:val="EndnoteReference"/>
          <w:vertAlign w:val="baseline"/>
        </w:rPr>
        <w:t xml:space="preserve">Goldstein E, Viboud C, Charu V, et al. Improving the estimation of influenza-related mortality over a seasonal baseline. Epidemiology, </w:t>
      </w:r>
      <w:r w:rsidRPr="0011159D">
        <w:rPr>
          <w:rStyle w:val="EndnoteReference"/>
          <w:b/>
          <w:vertAlign w:val="baseline"/>
        </w:rPr>
        <w:t>2012</w:t>
      </w:r>
      <w:r w:rsidRPr="00F3109B">
        <w:rPr>
          <w:rStyle w:val="EndnoteReference"/>
          <w:vertAlign w:val="baseline"/>
        </w:rPr>
        <w:t>; 23(6):829-38.</w:t>
      </w:r>
    </w:p>
  </w:endnote>
  <w:endnote w:id="15">
    <w:p w14:paraId="60F77460" w14:textId="437CF10F" w:rsidR="00D45E23" w:rsidRDefault="00D45E23" w:rsidP="00D45E23">
      <w:pPr>
        <w:pStyle w:val="EndnoteText"/>
        <w:spacing w:after="120" w:line="360" w:lineRule="auto"/>
        <w:ind w:left="720" w:hanging="720"/>
        <w:jc w:val="both"/>
      </w:pPr>
      <w:r w:rsidRPr="00F3109B">
        <w:rPr>
          <w:rStyle w:val="EndnoteReference"/>
          <w:vertAlign w:val="baseline"/>
        </w:rPr>
        <w:endnoteRef/>
      </w:r>
      <w:r w:rsidRPr="00F3109B">
        <w:rPr>
          <w:rStyle w:val="EndnoteReference"/>
          <w:vertAlign w:val="baseline"/>
        </w:rPr>
        <w:t xml:space="preserve"> </w:t>
      </w:r>
      <w:r w:rsidRPr="00F3109B">
        <w:rPr>
          <w:rStyle w:val="EndnoteReference"/>
          <w:vertAlign w:val="baseline"/>
        </w:rPr>
        <w:tab/>
        <w:t xml:space="preserve">Nannan N, Dorrington R, Laubscher R, et al. Under-5 mortality statistics in South Africa: shedding some light on the trend and causes 1997-2007. Statistics South Africa, South African Medical Research Council, </w:t>
      </w:r>
      <w:r w:rsidRPr="00F3109B">
        <w:rPr>
          <w:rStyle w:val="EndnoteReference"/>
          <w:b/>
          <w:vertAlign w:val="baseline"/>
        </w:rPr>
        <w:t>2012</w:t>
      </w:r>
      <w:r w:rsidRPr="00F3109B">
        <w:rPr>
          <w:rStyle w:val="EndnoteReference"/>
          <w:vertAlign w:val="baseline"/>
        </w:rPr>
        <w:t xml:space="preserve">: </w:t>
      </w:r>
      <w:hyperlink r:id="rId1" w:history="1">
        <w:r w:rsidRPr="00F3109B">
          <w:rPr>
            <w:rStyle w:val="Hyperlink"/>
          </w:rPr>
          <w:t>http://www.mrc.ac.za/bod/MortalityStatisticsSA.pdf</w:t>
        </w:r>
      </w:hyperlink>
      <w:r w:rsidRPr="00F3109B">
        <w:rPr>
          <w:rStyle w:val="EndnoteReference"/>
          <w:vertAlign w:val="baseline"/>
        </w:rPr>
        <w:t>. Accessed 21 Seprember 2012.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89E" w14:textId="77777777" w:rsidR="00F636D0" w:rsidRDefault="00F63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D41F" w14:textId="77777777" w:rsidR="003F3F20" w:rsidRDefault="003F3F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FD2">
      <w:rPr>
        <w:noProof/>
      </w:rPr>
      <w:t>4</w:t>
    </w:r>
    <w:r>
      <w:rPr>
        <w:noProof/>
      </w:rPr>
      <w:fldChar w:fldCharType="end"/>
    </w:r>
  </w:p>
  <w:p w14:paraId="773D8BBE" w14:textId="77777777" w:rsidR="003F3F20" w:rsidRDefault="003F3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671" w14:textId="77777777" w:rsidR="00F636D0" w:rsidRDefault="00F6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8DC" w14:textId="77777777" w:rsidR="00977B1E" w:rsidRDefault="00977B1E" w:rsidP="00770ED3">
      <w:r>
        <w:separator/>
      </w:r>
    </w:p>
  </w:footnote>
  <w:footnote w:type="continuationSeparator" w:id="0">
    <w:p w14:paraId="53DD61FD" w14:textId="77777777" w:rsidR="00977B1E" w:rsidRDefault="00977B1E" w:rsidP="0077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90B4" w14:textId="77777777" w:rsidR="00F636D0" w:rsidRDefault="00F63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5D01" w14:textId="77777777" w:rsidR="00F636D0" w:rsidRDefault="00F63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2C74" w14:textId="77777777" w:rsidR="00F636D0" w:rsidRDefault="00F63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F0"/>
    <w:rsid w:val="00010278"/>
    <w:rsid w:val="00010DCC"/>
    <w:rsid w:val="00012D02"/>
    <w:rsid w:val="000130CF"/>
    <w:rsid w:val="00021202"/>
    <w:rsid w:val="00021786"/>
    <w:rsid w:val="000229AF"/>
    <w:rsid w:val="00022DF7"/>
    <w:rsid w:val="0002326A"/>
    <w:rsid w:val="0002352A"/>
    <w:rsid w:val="00023CF0"/>
    <w:rsid w:val="00024384"/>
    <w:rsid w:val="000248CD"/>
    <w:rsid w:val="000255E3"/>
    <w:rsid w:val="000269CA"/>
    <w:rsid w:val="00030A21"/>
    <w:rsid w:val="00031A9C"/>
    <w:rsid w:val="0003240F"/>
    <w:rsid w:val="00032FE2"/>
    <w:rsid w:val="00033103"/>
    <w:rsid w:val="00036F40"/>
    <w:rsid w:val="00041904"/>
    <w:rsid w:val="00047931"/>
    <w:rsid w:val="00054418"/>
    <w:rsid w:val="00057D16"/>
    <w:rsid w:val="00061BB6"/>
    <w:rsid w:val="000649C6"/>
    <w:rsid w:val="000661AB"/>
    <w:rsid w:val="0007044B"/>
    <w:rsid w:val="00070979"/>
    <w:rsid w:val="000732EE"/>
    <w:rsid w:val="00073A74"/>
    <w:rsid w:val="00073CBC"/>
    <w:rsid w:val="0007445F"/>
    <w:rsid w:val="00080C99"/>
    <w:rsid w:val="00084B62"/>
    <w:rsid w:val="00095AAD"/>
    <w:rsid w:val="00096F85"/>
    <w:rsid w:val="00097666"/>
    <w:rsid w:val="000977F7"/>
    <w:rsid w:val="000A1C9E"/>
    <w:rsid w:val="000A4789"/>
    <w:rsid w:val="000A6FE7"/>
    <w:rsid w:val="000A7034"/>
    <w:rsid w:val="000B2457"/>
    <w:rsid w:val="000B34C9"/>
    <w:rsid w:val="000B6B85"/>
    <w:rsid w:val="000B72C4"/>
    <w:rsid w:val="000B7355"/>
    <w:rsid w:val="000B7D70"/>
    <w:rsid w:val="000C026E"/>
    <w:rsid w:val="000C12C4"/>
    <w:rsid w:val="000C306A"/>
    <w:rsid w:val="000C3951"/>
    <w:rsid w:val="000C3B0D"/>
    <w:rsid w:val="000C40E3"/>
    <w:rsid w:val="000C4AEE"/>
    <w:rsid w:val="000C62D8"/>
    <w:rsid w:val="000D03BE"/>
    <w:rsid w:val="000D1406"/>
    <w:rsid w:val="000E0014"/>
    <w:rsid w:val="000E0D39"/>
    <w:rsid w:val="000E2DB8"/>
    <w:rsid w:val="000E3A57"/>
    <w:rsid w:val="000E4812"/>
    <w:rsid w:val="000E6C45"/>
    <w:rsid w:val="000E7507"/>
    <w:rsid w:val="000F0F74"/>
    <w:rsid w:val="000F1001"/>
    <w:rsid w:val="000F2FA9"/>
    <w:rsid w:val="000F45C1"/>
    <w:rsid w:val="000F794F"/>
    <w:rsid w:val="000F7A7D"/>
    <w:rsid w:val="00100C5E"/>
    <w:rsid w:val="001016A6"/>
    <w:rsid w:val="00106CB2"/>
    <w:rsid w:val="0011159D"/>
    <w:rsid w:val="001132BE"/>
    <w:rsid w:val="0011555F"/>
    <w:rsid w:val="00115679"/>
    <w:rsid w:val="00115930"/>
    <w:rsid w:val="00120B60"/>
    <w:rsid w:val="001227F4"/>
    <w:rsid w:val="00123C72"/>
    <w:rsid w:val="00125C89"/>
    <w:rsid w:val="00130EA1"/>
    <w:rsid w:val="00133B80"/>
    <w:rsid w:val="00135E65"/>
    <w:rsid w:val="00137234"/>
    <w:rsid w:val="00137DA6"/>
    <w:rsid w:val="001510C3"/>
    <w:rsid w:val="00154160"/>
    <w:rsid w:val="00155402"/>
    <w:rsid w:val="0016130A"/>
    <w:rsid w:val="0016339E"/>
    <w:rsid w:val="0016486E"/>
    <w:rsid w:val="00166D45"/>
    <w:rsid w:val="001716E9"/>
    <w:rsid w:val="00173DF8"/>
    <w:rsid w:val="001769C7"/>
    <w:rsid w:val="001824D3"/>
    <w:rsid w:val="001826AD"/>
    <w:rsid w:val="0018296D"/>
    <w:rsid w:val="00184CF9"/>
    <w:rsid w:val="00185EC9"/>
    <w:rsid w:val="0019021F"/>
    <w:rsid w:val="00190B68"/>
    <w:rsid w:val="00191A7B"/>
    <w:rsid w:val="00192A58"/>
    <w:rsid w:val="00193241"/>
    <w:rsid w:val="00193CBF"/>
    <w:rsid w:val="00195213"/>
    <w:rsid w:val="00197401"/>
    <w:rsid w:val="001A25EB"/>
    <w:rsid w:val="001A351B"/>
    <w:rsid w:val="001B7D21"/>
    <w:rsid w:val="001C20B6"/>
    <w:rsid w:val="001C6916"/>
    <w:rsid w:val="001C699D"/>
    <w:rsid w:val="001C754E"/>
    <w:rsid w:val="001D4868"/>
    <w:rsid w:val="001D5A6C"/>
    <w:rsid w:val="001D7D71"/>
    <w:rsid w:val="001E1EB8"/>
    <w:rsid w:val="001E37B0"/>
    <w:rsid w:val="001E523C"/>
    <w:rsid w:val="001E6D73"/>
    <w:rsid w:val="001E7F57"/>
    <w:rsid w:val="001F0B18"/>
    <w:rsid w:val="001F14FD"/>
    <w:rsid w:val="001F30F5"/>
    <w:rsid w:val="001F4C35"/>
    <w:rsid w:val="001F5916"/>
    <w:rsid w:val="001F5980"/>
    <w:rsid w:val="001F6A87"/>
    <w:rsid w:val="001F72DB"/>
    <w:rsid w:val="002020DC"/>
    <w:rsid w:val="00202360"/>
    <w:rsid w:val="002044A3"/>
    <w:rsid w:val="00205BB6"/>
    <w:rsid w:val="00211FF2"/>
    <w:rsid w:val="0021497C"/>
    <w:rsid w:val="00214D74"/>
    <w:rsid w:val="00215ECF"/>
    <w:rsid w:val="002163FB"/>
    <w:rsid w:val="00216B41"/>
    <w:rsid w:val="00217B70"/>
    <w:rsid w:val="00220530"/>
    <w:rsid w:val="00222C99"/>
    <w:rsid w:val="0023514B"/>
    <w:rsid w:val="00235394"/>
    <w:rsid w:val="00236FDF"/>
    <w:rsid w:val="00241B6B"/>
    <w:rsid w:val="00242610"/>
    <w:rsid w:val="00243DD4"/>
    <w:rsid w:val="00244631"/>
    <w:rsid w:val="002447FC"/>
    <w:rsid w:val="00247387"/>
    <w:rsid w:val="002478E9"/>
    <w:rsid w:val="00251211"/>
    <w:rsid w:val="002564C3"/>
    <w:rsid w:val="0025713C"/>
    <w:rsid w:val="002579D1"/>
    <w:rsid w:val="00262130"/>
    <w:rsid w:val="0026363E"/>
    <w:rsid w:val="0026416A"/>
    <w:rsid w:val="00265D1E"/>
    <w:rsid w:val="00266FAA"/>
    <w:rsid w:val="002672C5"/>
    <w:rsid w:val="00275811"/>
    <w:rsid w:val="00276C21"/>
    <w:rsid w:val="00276D21"/>
    <w:rsid w:val="00280F69"/>
    <w:rsid w:val="0028223C"/>
    <w:rsid w:val="00283653"/>
    <w:rsid w:val="00283E04"/>
    <w:rsid w:val="0028438B"/>
    <w:rsid w:val="00292717"/>
    <w:rsid w:val="00294C52"/>
    <w:rsid w:val="0029603D"/>
    <w:rsid w:val="002A0D85"/>
    <w:rsid w:val="002A646D"/>
    <w:rsid w:val="002A7FDA"/>
    <w:rsid w:val="002B1E3A"/>
    <w:rsid w:val="002B460C"/>
    <w:rsid w:val="002B5BDB"/>
    <w:rsid w:val="002C05B9"/>
    <w:rsid w:val="002C139E"/>
    <w:rsid w:val="002C678C"/>
    <w:rsid w:val="002C739C"/>
    <w:rsid w:val="002D0058"/>
    <w:rsid w:val="002D28FA"/>
    <w:rsid w:val="002D2F35"/>
    <w:rsid w:val="002D31F8"/>
    <w:rsid w:val="002D3802"/>
    <w:rsid w:val="002D4F37"/>
    <w:rsid w:val="002D5D51"/>
    <w:rsid w:val="002D5FA6"/>
    <w:rsid w:val="002D7F78"/>
    <w:rsid w:val="002E03B3"/>
    <w:rsid w:val="002E2FBD"/>
    <w:rsid w:val="002E4172"/>
    <w:rsid w:val="002E450D"/>
    <w:rsid w:val="002E4A4F"/>
    <w:rsid w:val="002E52A6"/>
    <w:rsid w:val="002E76F6"/>
    <w:rsid w:val="002E791A"/>
    <w:rsid w:val="002F1EFE"/>
    <w:rsid w:val="002F26C1"/>
    <w:rsid w:val="002F4032"/>
    <w:rsid w:val="002F47D3"/>
    <w:rsid w:val="00300766"/>
    <w:rsid w:val="00303DC8"/>
    <w:rsid w:val="0030741E"/>
    <w:rsid w:val="0031316B"/>
    <w:rsid w:val="0031450F"/>
    <w:rsid w:val="00317BAA"/>
    <w:rsid w:val="003209B7"/>
    <w:rsid w:val="003234B5"/>
    <w:rsid w:val="0032365B"/>
    <w:rsid w:val="00323BA2"/>
    <w:rsid w:val="00330821"/>
    <w:rsid w:val="003321DC"/>
    <w:rsid w:val="00334002"/>
    <w:rsid w:val="0033411A"/>
    <w:rsid w:val="003429E6"/>
    <w:rsid w:val="00344809"/>
    <w:rsid w:val="00345295"/>
    <w:rsid w:val="00346C34"/>
    <w:rsid w:val="0035254A"/>
    <w:rsid w:val="0035280F"/>
    <w:rsid w:val="003557B8"/>
    <w:rsid w:val="00355F6F"/>
    <w:rsid w:val="00357D57"/>
    <w:rsid w:val="003611E7"/>
    <w:rsid w:val="0036183B"/>
    <w:rsid w:val="00361F87"/>
    <w:rsid w:val="00365845"/>
    <w:rsid w:val="00375701"/>
    <w:rsid w:val="00376529"/>
    <w:rsid w:val="003803D9"/>
    <w:rsid w:val="00383544"/>
    <w:rsid w:val="003848B2"/>
    <w:rsid w:val="00387918"/>
    <w:rsid w:val="00390CFF"/>
    <w:rsid w:val="00392ECA"/>
    <w:rsid w:val="00394656"/>
    <w:rsid w:val="00395D62"/>
    <w:rsid w:val="003A0163"/>
    <w:rsid w:val="003A051F"/>
    <w:rsid w:val="003A3BD3"/>
    <w:rsid w:val="003A4166"/>
    <w:rsid w:val="003A4481"/>
    <w:rsid w:val="003A7633"/>
    <w:rsid w:val="003A7B1C"/>
    <w:rsid w:val="003A7F54"/>
    <w:rsid w:val="003B34DC"/>
    <w:rsid w:val="003B5B25"/>
    <w:rsid w:val="003C0D10"/>
    <w:rsid w:val="003C26C7"/>
    <w:rsid w:val="003C351B"/>
    <w:rsid w:val="003C3DC4"/>
    <w:rsid w:val="003D0301"/>
    <w:rsid w:val="003D071D"/>
    <w:rsid w:val="003D2F76"/>
    <w:rsid w:val="003D317E"/>
    <w:rsid w:val="003D52CB"/>
    <w:rsid w:val="003D6E9F"/>
    <w:rsid w:val="003D7BA3"/>
    <w:rsid w:val="003E1570"/>
    <w:rsid w:val="003E1AEA"/>
    <w:rsid w:val="003E343E"/>
    <w:rsid w:val="003E4AE9"/>
    <w:rsid w:val="003E5500"/>
    <w:rsid w:val="003E730C"/>
    <w:rsid w:val="003E7698"/>
    <w:rsid w:val="003E7E6A"/>
    <w:rsid w:val="003F2EB9"/>
    <w:rsid w:val="003F3F20"/>
    <w:rsid w:val="00400BC4"/>
    <w:rsid w:val="00401977"/>
    <w:rsid w:val="00403118"/>
    <w:rsid w:val="00405FD2"/>
    <w:rsid w:val="00407772"/>
    <w:rsid w:val="00411A15"/>
    <w:rsid w:val="00412E6C"/>
    <w:rsid w:val="00414A21"/>
    <w:rsid w:val="00417535"/>
    <w:rsid w:val="00420FF9"/>
    <w:rsid w:val="00421B06"/>
    <w:rsid w:val="00422622"/>
    <w:rsid w:val="004253A6"/>
    <w:rsid w:val="0042795E"/>
    <w:rsid w:val="00427BAA"/>
    <w:rsid w:val="00430176"/>
    <w:rsid w:val="00430DC7"/>
    <w:rsid w:val="004346DA"/>
    <w:rsid w:val="00436DEA"/>
    <w:rsid w:val="00440C27"/>
    <w:rsid w:val="00441702"/>
    <w:rsid w:val="00441721"/>
    <w:rsid w:val="004423C8"/>
    <w:rsid w:val="00445902"/>
    <w:rsid w:val="00445D3C"/>
    <w:rsid w:val="0044666B"/>
    <w:rsid w:val="00451B66"/>
    <w:rsid w:val="004528B6"/>
    <w:rsid w:val="00452A5C"/>
    <w:rsid w:val="00452D53"/>
    <w:rsid w:val="00452FFE"/>
    <w:rsid w:val="00456FE5"/>
    <w:rsid w:val="004611FE"/>
    <w:rsid w:val="00461B1B"/>
    <w:rsid w:val="00461FE2"/>
    <w:rsid w:val="00462060"/>
    <w:rsid w:val="004623FF"/>
    <w:rsid w:val="00462D74"/>
    <w:rsid w:val="00466C6F"/>
    <w:rsid w:val="004705B1"/>
    <w:rsid w:val="00471F7F"/>
    <w:rsid w:val="00473CA8"/>
    <w:rsid w:val="004742C1"/>
    <w:rsid w:val="00474CD0"/>
    <w:rsid w:val="00475147"/>
    <w:rsid w:val="0047517B"/>
    <w:rsid w:val="00482CA4"/>
    <w:rsid w:val="0048394E"/>
    <w:rsid w:val="00483C72"/>
    <w:rsid w:val="004843B4"/>
    <w:rsid w:val="004929FE"/>
    <w:rsid w:val="00492C98"/>
    <w:rsid w:val="00494C86"/>
    <w:rsid w:val="004A0701"/>
    <w:rsid w:val="004A14CF"/>
    <w:rsid w:val="004A2772"/>
    <w:rsid w:val="004A6A17"/>
    <w:rsid w:val="004A7E2B"/>
    <w:rsid w:val="004B06B6"/>
    <w:rsid w:val="004B1EEE"/>
    <w:rsid w:val="004B56ED"/>
    <w:rsid w:val="004B588C"/>
    <w:rsid w:val="004C20CB"/>
    <w:rsid w:val="004C3539"/>
    <w:rsid w:val="004C4FD5"/>
    <w:rsid w:val="004C503E"/>
    <w:rsid w:val="004C68CC"/>
    <w:rsid w:val="004C6BCE"/>
    <w:rsid w:val="004D0F8D"/>
    <w:rsid w:val="004D3019"/>
    <w:rsid w:val="004D455B"/>
    <w:rsid w:val="004D6E31"/>
    <w:rsid w:val="004D7684"/>
    <w:rsid w:val="004E025D"/>
    <w:rsid w:val="004E3591"/>
    <w:rsid w:val="004E64F6"/>
    <w:rsid w:val="004E7D6A"/>
    <w:rsid w:val="004F26A2"/>
    <w:rsid w:val="004F2D36"/>
    <w:rsid w:val="004F3260"/>
    <w:rsid w:val="004F5177"/>
    <w:rsid w:val="004F5FBF"/>
    <w:rsid w:val="00501097"/>
    <w:rsid w:val="00504379"/>
    <w:rsid w:val="00506E8F"/>
    <w:rsid w:val="00510147"/>
    <w:rsid w:val="00510224"/>
    <w:rsid w:val="005107BB"/>
    <w:rsid w:val="00513517"/>
    <w:rsid w:val="00514CCF"/>
    <w:rsid w:val="00516A59"/>
    <w:rsid w:val="00520767"/>
    <w:rsid w:val="00520E3D"/>
    <w:rsid w:val="005229CF"/>
    <w:rsid w:val="005233A5"/>
    <w:rsid w:val="0052746F"/>
    <w:rsid w:val="005275F2"/>
    <w:rsid w:val="0053473D"/>
    <w:rsid w:val="00534B90"/>
    <w:rsid w:val="00540309"/>
    <w:rsid w:val="00542E32"/>
    <w:rsid w:val="005452B2"/>
    <w:rsid w:val="00545CFE"/>
    <w:rsid w:val="00547588"/>
    <w:rsid w:val="005479F5"/>
    <w:rsid w:val="00555956"/>
    <w:rsid w:val="005559D9"/>
    <w:rsid w:val="00557396"/>
    <w:rsid w:val="00562D4B"/>
    <w:rsid w:val="00563ED6"/>
    <w:rsid w:val="0056668B"/>
    <w:rsid w:val="00570ED8"/>
    <w:rsid w:val="0057260C"/>
    <w:rsid w:val="00572FA4"/>
    <w:rsid w:val="0057343E"/>
    <w:rsid w:val="00576D78"/>
    <w:rsid w:val="00577CF4"/>
    <w:rsid w:val="00580AB3"/>
    <w:rsid w:val="00584379"/>
    <w:rsid w:val="00584974"/>
    <w:rsid w:val="00584C1A"/>
    <w:rsid w:val="0058553E"/>
    <w:rsid w:val="005913BD"/>
    <w:rsid w:val="0059541F"/>
    <w:rsid w:val="00595B22"/>
    <w:rsid w:val="0059602A"/>
    <w:rsid w:val="00597781"/>
    <w:rsid w:val="005A06D0"/>
    <w:rsid w:val="005A266C"/>
    <w:rsid w:val="005A29FD"/>
    <w:rsid w:val="005A42C2"/>
    <w:rsid w:val="005A480E"/>
    <w:rsid w:val="005A5B6D"/>
    <w:rsid w:val="005A7362"/>
    <w:rsid w:val="005A77D9"/>
    <w:rsid w:val="005B0CCA"/>
    <w:rsid w:val="005B10A8"/>
    <w:rsid w:val="005B10BA"/>
    <w:rsid w:val="005B2657"/>
    <w:rsid w:val="005B2AD2"/>
    <w:rsid w:val="005B3B9D"/>
    <w:rsid w:val="005B5117"/>
    <w:rsid w:val="005B6283"/>
    <w:rsid w:val="005B670A"/>
    <w:rsid w:val="005B7B5E"/>
    <w:rsid w:val="005C2064"/>
    <w:rsid w:val="005C2CD4"/>
    <w:rsid w:val="005C4491"/>
    <w:rsid w:val="005C6A79"/>
    <w:rsid w:val="005D47C9"/>
    <w:rsid w:val="005E0994"/>
    <w:rsid w:val="005E09E2"/>
    <w:rsid w:val="005E1199"/>
    <w:rsid w:val="005E1945"/>
    <w:rsid w:val="005E7A1F"/>
    <w:rsid w:val="005F03C6"/>
    <w:rsid w:val="005F19EC"/>
    <w:rsid w:val="005F1E84"/>
    <w:rsid w:val="005F2535"/>
    <w:rsid w:val="005F2F6E"/>
    <w:rsid w:val="005F47AA"/>
    <w:rsid w:val="005F4D40"/>
    <w:rsid w:val="005F5454"/>
    <w:rsid w:val="006032D8"/>
    <w:rsid w:val="00603DD4"/>
    <w:rsid w:val="00604046"/>
    <w:rsid w:val="00604A5F"/>
    <w:rsid w:val="006056F9"/>
    <w:rsid w:val="0061149B"/>
    <w:rsid w:val="00612208"/>
    <w:rsid w:val="006136AF"/>
    <w:rsid w:val="00614A43"/>
    <w:rsid w:val="006179C6"/>
    <w:rsid w:val="006225C3"/>
    <w:rsid w:val="00625DA4"/>
    <w:rsid w:val="00626FD0"/>
    <w:rsid w:val="006365B1"/>
    <w:rsid w:val="00637285"/>
    <w:rsid w:val="006438BE"/>
    <w:rsid w:val="00645632"/>
    <w:rsid w:val="006523A2"/>
    <w:rsid w:val="006535A3"/>
    <w:rsid w:val="00656D48"/>
    <w:rsid w:val="00661E8B"/>
    <w:rsid w:val="00662B04"/>
    <w:rsid w:val="006640BD"/>
    <w:rsid w:val="0066557E"/>
    <w:rsid w:val="00667FB0"/>
    <w:rsid w:val="00670929"/>
    <w:rsid w:val="00671F96"/>
    <w:rsid w:val="00680216"/>
    <w:rsid w:val="0068352B"/>
    <w:rsid w:val="00684A3A"/>
    <w:rsid w:val="00684A50"/>
    <w:rsid w:val="00685429"/>
    <w:rsid w:val="006857A2"/>
    <w:rsid w:val="006861AB"/>
    <w:rsid w:val="0069053C"/>
    <w:rsid w:val="00690975"/>
    <w:rsid w:val="006A0E6B"/>
    <w:rsid w:val="006A5DF9"/>
    <w:rsid w:val="006B2B28"/>
    <w:rsid w:val="006B6D91"/>
    <w:rsid w:val="006B7762"/>
    <w:rsid w:val="006B7B1F"/>
    <w:rsid w:val="006C046F"/>
    <w:rsid w:val="006C0EBF"/>
    <w:rsid w:val="006C21A8"/>
    <w:rsid w:val="006C41BA"/>
    <w:rsid w:val="006C7DE0"/>
    <w:rsid w:val="006D2A6A"/>
    <w:rsid w:val="006D2D8C"/>
    <w:rsid w:val="006D38D8"/>
    <w:rsid w:val="006D4787"/>
    <w:rsid w:val="006D4B4C"/>
    <w:rsid w:val="006D5AC8"/>
    <w:rsid w:val="006D6718"/>
    <w:rsid w:val="006D781C"/>
    <w:rsid w:val="006E1072"/>
    <w:rsid w:val="006E1CB1"/>
    <w:rsid w:val="006E4CE9"/>
    <w:rsid w:val="006E6898"/>
    <w:rsid w:val="006F0B27"/>
    <w:rsid w:val="006F2F38"/>
    <w:rsid w:val="006F5F5D"/>
    <w:rsid w:val="00701A06"/>
    <w:rsid w:val="00702CC5"/>
    <w:rsid w:val="00704644"/>
    <w:rsid w:val="00706B79"/>
    <w:rsid w:val="00707B25"/>
    <w:rsid w:val="00715669"/>
    <w:rsid w:val="00715CCE"/>
    <w:rsid w:val="007161C8"/>
    <w:rsid w:val="0071665A"/>
    <w:rsid w:val="00717778"/>
    <w:rsid w:val="007214E1"/>
    <w:rsid w:val="00721C3F"/>
    <w:rsid w:val="0072485E"/>
    <w:rsid w:val="00724CCA"/>
    <w:rsid w:val="00726A3B"/>
    <w:rsid w:val="00726B07"/>
    <w:rsid w:val="0073034B"/>
    <w:rsid w:val="00736216"/>
    <w:rsid w:val="007372CC"/>
    <w:rsid w:val="007408A1"/>
    <w:rsid w:val="00740CE0"/>
    <w:rsid w:val="00741017"/>
    <w:rsid w:val="007445F6"/>
    <w:rsid w:val="00744815"/>
    <w:rsid w:val="00745765"/>
    <w:rsid w:val="0074633E"/>
    <w:rsid w:val="00754993"/>
    <w:rsid w:val="00754B89"/>
    <w:rsid w:val="00756940"/>
    <w:rsid w:val="00757D49"/>
    <w:rsid w:val="00760DF0"/>
    <w:rsid w:val="00763476"/>
    <w:rsid w:val="0076354A"/>
    <w:rsid w:val="007640ED"/>
    <w:rsid w:val="00770ED3"/>
    <w:rsid w:val="007727B0"/>
    <w:rsid w:val="00776B3D"/>
    <w:rsid w:val="00780EC2"/>
    <w:rsid w:val="007812AA"/>
    <w:rsid w:val="00781E7F"/>
    <w:rsid w:val="00782C9B"/>
    <w:rsid w:val="00785DEF"/>
    <w:rsid w:val="00786B16"/>
    <w:rsid w:val="00786C8A"/>
    <w:rsid w:val="00786CF9"/>
    <w:rsid w:val="0078730E"/>
    <w:rsid w:val="007873F7"/>
    <w:rsid w:val="00792868"/>
    <w:rsid w:val="00792A2C"/>
    <w:rsid w:val="007930DB"/>
    <w:rsid w:val="00793343"/>
    <w:rsid w:val="00793805"/>
    <w:rsid w:val="007963EC"/>
    <w:rsid w:val="007A0411"/>
    <w:rsid w:val="007A0907"/>
    <w:rsid w:val="007A1586"/>
    <w:rsid w:val="007A5896"/>
    <w:rsid w:val="007A671A"/>
    <w:rsid w:val="007A7A88"/>
    <w:rsid w:val="007B017D"/>
    <w:rsid w:val="007B13D9"/>
    <w:rsid w:val="007B259D"/>
    <w:rsid w:val="007B4C74"/>
    <w:rsid w:val="007B6D2D"/>
    <w:rsid w:val="007C23E5"/>
    <w:rsid w:val="007C25B1"/>
    <w:rsid w:val="007C2A4A"/>
    <w:rsid w:val="007C332B"/>
    <w:rsid w:val="007C3DCA"/>
    <w:rsid w:val="007C5A68"/>
    <w:rsid w:val="007C743E"/>
    <w:rsid w:val="007D23D9"/>
    <w:rsid w:val="007D4F1D"/>
    <w:rsid w:val="007D5167"/>
    <w:rsid w:val="007D56E5"/>
    <w:rsid w:val="007D7302"/>
    <w:rsid w:val="007E6B3E"/>
    <w:rsid w:val="007E77F8"/>
    <w:rsid w:val="007E7F71"/>
    <w:rsid w:val="007F3CF6"/>
    <w:rsid w:val="007F447F"/>
    <w:rsid w:val="007F5991"/>
    <w:rsid w:val="007F62FE"/>
    <w:rsid w:val="0080315A"/>
    <w:rsid w:val="00805AE6"/>
    <w:rsid w:val="00810692"/>
    <w:rsid w:val="00810FFD"/>
    <w:rsid w:val="00811411"/>
    <w:rsid w:val="0081454F"/>
    <w:rsid w:val="00815477"/>
    <w:rsid w:val="00816102"/>
    <w:rsid w:val="00816BFE"/>
    <w:rsid w:val="00817BAA"/>
    <w:rsid w:val="00821788"/>
    <w:rsid w:val="008218F5"/>
    <w:rsid w:val="008254CC"/>
    <w:rsid w:val="00825733"/>
    <w:rsid w:val="008311C4"/>
    <w:rsid w:val="00832DF4"/>
    <w:rsid w:val="0083579A"/>
    <w:rsid w:val="00835F28"/>
    <w:rsid w:val="00836E08"/>
    <w:rsid w:val="00840585"/>
    <w:rsid w:val="00843AB2"/>
    <w:rsid w:val="00844A7F"/>
    <w:rsid w:val="00844C93"/>
    <w:rsid w:val="00851CCF"/>
    <w:rsid w:val="00851F00"/>
    <w:rsid w:val="008523B0"/>
    <w:rsid w:val="0085449D"/>
    <w:rsid w:val="008577F7"/>
    <w:rsid w:val="00860EE9"/>
    <w:rsid w:val="00861DB5"/>
    <w:rsid w:val="00864085"/>
    <w:rsid w:val="00864570"/>
    <w:rsid w:val="00864AB1"/>
    <w:rsid w:val="00864EFF"/>
    <w:rsid w:val="00865F70"/>
    <w:rsid w:val="00870A83"/>
    <w:rsid w:val="00873E56"/>
    <w:rsid w:val="008769BE"/>
    <w:rsid w:val="00877DA0"/>
    <w:rsid w:val="008805D7"/>
    <w:rsid w:val="00880F9B"/>
    <w:rsid w:val="00884B1E"/>
    <w:rsid w:val="00886A5A"/>
    <w:rsid w:val="00887869"/>
    <w:rsid w:val="00890CF7"/>
    <w:rsid w:val="00891BBC"/>
    <w:rsid w:val="00894316"/>
    <w:rsid w:val="008957DF"/>
    <w:rsid w:val="008A436F"/>
    <w:rsid w:val="008A51D1"/>
    <w:rsid w:val="008A55AA"/>
    <w:rsid w:val="008A7A47"/>
    <w:rsid w:val="008B06BC"/>
    <w:rsid w:val="008B3104"/>
    <w:rsid w:val="008B3D3B"/>
    <w:rsid w:val="008B3EF0"/>
    <w:rsid w:val="008B7164"/>
    <w:rsid w:val="008C1206"/>
    <w:rsid w:val="008C1F4E"/>
    <w:rsid w:val="008C2AED"/>
    <w:rsid w:val="008C39C3"/>
    <w:rsid w:val="008C4410"/>
    <w:rsid w:val="008C4843"/>
    <w:rsid w:val="008C4F5A"/>
    <w:rsid w:val="008C5645"/>
    <w:rsid w:val="008C593C"/>
    <w:rsid w:val="008C5BA3"/>
    <w:rsid w:val="008C6956"/>
    <w:rsid w:val="008C78B1"/>
    <w:rsid w:val="008D2677"/>
    <w:rsid w:val="008D28B3"/>
    <w:rsid w:val="008D32BC"/>
    <w:rsid w:val="008D33DA"/>
    <w:rsid w:val="008D387A"/>
    <w:rsid w:val="008D3C39"/>
    <w:rsid w:val="008D44C9"/>
    <w:rsid w:val="008D501C"/>
    <w:rsid w:val="008D5AB8"/>
    <w:rsid w:val="008E05AB"/>
    <w:rsid w:val="008E7FED"/>
    <w:rsid w:val="008F0FD5"/>
    <w:rsid w:val="008F2EEB"/>
    <w:rsid w:val="008F5B4B"/>
    <w:rsid w:val="008F5F6F"/>
    <w:rsid w:val="009028C2"/>
    <w:rsid w:val="00903925"/>
    <w:rsid w:val="00904710"/>
    <w:rsid w:val="0090771D"/>
    <w:rsid w:val="00910119"/>
    <w:rsid w:val="009101CB"/>
    <w:rsid w:val="00914C3F"/>
    <w:rsid w:val="00917151"/>
    <w:rsid w:val="00920B93"/>
    <w:rsid w:val="00922385"/>
    <w:rsid w:val="00923445"/>
    <w:rsid w:val="00926AF3"/>
    <w:rsid w:val="009304D1"/>
    <w:rsid w:val="00930B08"/>
    <w:rsid w:val="009315E2"/>
    <w:rsid w:val="009319FE"/>
    <w:rsid w:val="00931B8F"/>
    <w:rsid w:val="00933556"/>
    <w:rsid w:val="0094183D"/>
    <w:rsid w:val="00945234"/>
    <w:rsid w:val="0095170E"/>
    <w:rsid w:val="00952637"/>
    <w:rsid w:val="00954BFC"/>
    <w:rsid w:val="00957000"/>
    <w:rsid w:val="009573FC"/>
    <w:rsid w:val="00957469"/>
    <w:rsid w:val="00964E82"/>
    <w:rsid w:val="00967E93"/>
    <w:rsid w:val="0097111E"/>
    <w:rsid w:val="00971D28"/>
    <w:rsid w:val="00973393"/>
    <w:rsid w:val="00973AA2"/>
    <w:rsid w:val="00974212"/>
    <w:rsid w:val="00977B1E"/>
    <w:rsid w:val="009813DC"/>
    <w:rsid w:val="00983F2C"/>
    <w:rsid w:val="00986710"/>
    <w:rsid w:val="00987BFA"/>
    <w:rsid w:val="009902D5"/>
    <w:rsid w:val="0099155E"/>
    <w:rsid w:val="00991DC8"/>
    <w:rsid w:val="00993CF9"/>
    <w:rsid w:val="009948A0"/>
    <w:rsid w:val="00995150"/>
    <w:rsid w:val="009A168F"/>
    <w:rsid w:val="009A16D0"/>
    <w:rsid w:val="009A270F"/>
    <w:rsid w:val="009A66D2"/>
    <w:rsid w:val="009B1332"/>
    <w:rsid w:val="009B42B7"/>
    <w:rsid w:val="009B4947"/>
    <w:rsid w:val="009B4E86"/>
    <w:rsid w:val="009B547A"/>
    <w:rsid w:val="009B5608"/>
    <w:rsid w:val="009B5B07"/>
    <w:rsid w:val="009C28BB"/>
    <w:rsid w:val="009C3EC9"/>
    <w:rsid w:val="009C4911"/>
    <w:rsid w:val="009C53FF"/>
    <w:rsid w:val="009D4DAE"/>
    <w:rsid w:val="009D54BF"/>
    <w:rsid w:val="009E16AF"/>
    <w:rsid w:val="009E1D62"/>
    <w:rsid w:val="009E5A04"/>
    <w:rsid w:val="009E71F5"/>
    <w:rsid w:val="009E77C4"/>
    <w:rsid w:val="009F0887"/>
    <w:rsid w:val="009F0DEB"/>
    <w:rsid w:val="009F5A11"/>
    <w:rsid w:val="009F6239"/>
    <w:rsid w:val="009F72E6"/>
    <w:rsid w:val="00A0011D"/>
    <w:rsid w:val="00A003C7"/>
    <w:rsid w:val="00A0156C"/>
    <w:rsid w:val="00A02D3F"/>
    <w:rsid w:val="00A03D84"/>
    <w:rsid w:val="00A04FBF"/>
    <w:rsid w:val="00A05737"/>
    <w:rsid w:val="00A05F0E"/>
    <w:rsid w:val="00A0737E"/>
    <w:rsid w:val="00A11336"/>
    <w:rsid w:val="00A141D4"/>
    <w:rsid w:val="00A17684"/>
    <w:rsid w:val="00A23490"/>
    <w:rsid w:val="00A2458C"/>
    <w:rsid w:val="00A24A29"/>
    <w:rsid w:val="00A24ED4"/>
    <w:rsid w:val="00A26263"/>
    <w:rsid w:val="00A26DF7"/>
    <w:rsid w:val="00A27B0D"/>
    <w:rsid w:val="00A30381"/>
    <w:rsid w:val="00A33FA8"/>
    <w:rsid w:val="00A354D8"/>
    <w:rsid w:val="00A40A9C"/>
    <w:rsid w:val="00A41665"/>
    <w:rsid w:val="00A41E31"/>
    <w:rsid w:val="00A44908"/>
    <w:rsid w:val="00A44932"/>
    <w:rsid w:val="00A52AA1"/>
    <w:rsid w:val="00A52AD0"/>
    <w:rsid w:val="00A52EF9"/>
    <w:rsid w:val="00A53D0C"/>
    <w:rsid w:val="00A55886"/>
    <w:rsid w:val="00A55FF4"/>
    <w:rsid w:val="00A56305"/>
    <w:rsid w:val="00A647FB"/>
    <w:rsid w:val="00A64918"/>
    <w:rsid w:val="00A66CEA"/>
    <w:rsid w:val="00A732D3"/>
    <w:rsid w:val="00A76076"/>
    <w:rsid w:val="00A80F80"/>
    <w:rsid w:val="00A81CB8"/>
    <w:rsid w:val="00A875F9"/>
    <w:rsid w:val="00A87836"/>
    <w:rsid w:val="00A87EFA"/>
    <w:rsid w:val="00A87FB3"/>
    <w:rsid w:val="00A92B76"/>
    <w:rsid w:val="00A932C6"/>
    <w:rsid w:val="00A95D26"/>
    <w:rsid w:val="00A96851"/>
    <w:rsid w:val="00A96FB6"/>
    <w:rsid w:val="00A979F0"/>
    <w:rsid w:val="00AA2205"/>
    <w:rsid w:val="00AA2606"/>
    <w:rsid w:val="00AA2983"/>
    <w:rsid w:val="00AA2D53"/>
    <w:rsid w:val="00AA4050"/>
    <w:rsid w:val="00AA406E"/>
    <w:rsid w:val="00AA784E"/>
    <w:rsid w:val="00AB128F"/>
    <w:rsid w:val="00AB1546"/>
    <w:rsid w:val="00AB154A"/>
    <w:rsid w:val="00AB3259"/>
    <w:rsid w:val="00AB4E67"/>
    <w:rsid w:val="00AB5D8C"/>
    <w:rsid w:val="00AC18CE"/>
    <w:rsid w:val="00AC23F1"/>
    <w:rsid w:val="00AC5A25"/>
    <w:rsid w:val="00AC6BAA"/>
    <w:rsid w:val="00AC78E3"/>
    <w:rsid w:val="00AD1F0D"/>
    <w:rsid w:val="00AD25CD"/>
    <w:rsid w:val="00AD583E"/>
    <w:rsid w:val="00AD5E41"/>
    <w:rsid w:val="00AD7916"/>
    <w:rsid w:val="00AD7DF1"/>
    <w:rsid w:val="00AE3EE3"/>
    <w:rsid w:val="00AE54F5"/>
    <w:rsid w:val="00AE698E"/>
    <w:rsid w:val="00AF2447"/>
    <w:rsid w:val="00AF2904"/>
    <w:rsid w:val="00AF4A55"/>
    <w:rsid w:val="00B01792"/>
    <w:rsid w:val="00B03956"/>
    <w:rsid w:val="00B071A5"/>
    <w:rsid w:val="00B10760"/>
    <w:rsid w:val="00B12BE0"/>
    <w:rsid w:val="00B14478"/>
    <w:rsid w:val="00B15655"/>
    <w:rsid w:val="00B164F6"/>
    <w:rsid w:val="00B16B0E"/>
    <w:rsid w:val="00B2084F"/>
    <w:rsid w:val="00B20A7D"/>
    <w:rsid w:val="00B20DF1"/>
    <w:rsid w:val="00B33395"/>
    <w:rsid w:val="00B34A76"/>
    <w:rsid w:val="00B3501E"/>
    <w:rsid w:val="00B355CD"/>
    <w:rsid w:val="00B35964"/>
    <w:rsid w:val="00B36FEB"/>
    <w:rsid w:val="00B371E2"/>
    <w:rsid w:val="00B406C9"/>
    <w:rsid w:val="00B40B32"/>
    <w:rsid w:val="00B414B6"/>
    <w:rsid w:val="00B43DAE"/>
    <w:rsid w:val="00B44424"/>
    <w:rsid w:val="00B44F8D"/>
    <w:rsid w:val="00B4558D"/>
    <w:rsid w:val="00B45C00"/>
    <w:rsid w:val="00B46B2C"/>
    <w:rsid w:val="00B514A6"/>
    <w:rsid w:val="00B514B3"/>
    <w:rsid w:val="00B51CCD"/>
    <w:rsid w:val="00B53EE3"/>
    <w:rsid w:val="00B56806"/>
    <w:rsid w:val="00B61492"/>
    <w:rsid w:val="00B62B12"/>
    <w:rsid w:val="00B62E34"/>
    <w:rsid w:val="00B63412"/>
    <w:rsid w:val="00B63CFA"/>
    <w:rsid w:val="00B63F68"/>
    <w:rsid w:val="00B643A5"/>
    <w:rsid w:val="00B64E3E"/>
    <w:rsid w:val="00B6600C"/>
    <w:rsid w:val="00B72D87"/>
    <w:rsid w:val="00B74F87"/>
    <w:rsid w:val="00B74FE4"/>
    <w:rsid w:val="00B7600B"/>
    <w:rsid w:val="00B77322"/>
    <w:rsid w:val="00B80C46"/>
    <w:rsid w:val="00B82136"/>
    <w:rsid w:val="00B83E89"/>
    <w:rsid w:val="00B86BE2"/>
    <w:rsid w:val="00B87E21"/>
    <w:rsid w:val="00B901FD"/>
    <w:rsid w:val="00B90865"/>
    <w:rsid w:val="00B910C0"/>
    <w:rsid w:val="00B91C73"/>
    <w:rsid w:val="00B91E0A"/>
    <w:rsid w:val="00B9214F"/>
    <w:rsid w:val="00B93882"/>
    <w:rsid w:val="00B93ED5"/>
    <w:rsid w:val="00B94C79"/>
    <w:rsid w:val="00B97382"/>
    <w:rsid w:val="00B97584"/>
    <w:rsid w:val="00BA41EE"/>
    <w:rsid w:val="00BA4266"/>
    <w:rsid w:val="00BA500D"/>
    <w:rsid w:val="00BA68C7"/>
    <w:rsid w:val="00BB2A5D"/>
    <w:rsid w:val="00BB31BB"/>
    <w:rsid w:val="00BB4D34"/>
    <w:rsid w:val="00BB5372"/>
    <w:rsid w:val="00BB7DE3"/>
    <w:rsid w:val="00BC20AD"/>
    <w:rsid w:val="00BC500B"/>
    <w:rsid w:val="00BC7B0E"/>
    <w:rsid w:val="00BD0947"/>
    <w:rsid w:val="00BD1FC4"/>
    <w:rsid w:val="00BD7AD5"/>
    <w:rsid w:val="00BE09C2"/>
    <w:rsid w:val="00BE16D4"/>
    <w:rsid w:val="00BE251D"/>
    <w:rsid w:val="00BE3BA6"/>
    <w:rsid w:val="00BE3CAB"/>
    <w:rsid w:val="00BE3EC2"/>
    <w:rsid w:val="00BE41E1"/>
    <w:rsid w:val="00BE52CB"/>
    <w:rsid w:val="00BE62AE"/>
    <w:rsid w:val="00BF0FD2"/>
    <w:rsid w:val="00BF1DE9"/>
    <w:rsid w:val="00BF2C7F"/>
    <w:rsid w:val="00BF57D0"/>
    <w:rsid w:val="00C0056C"/>
    <w:rsid w:val="00C01CFD"/>
    <w:rsid w:val="00C01FA2"/>
    <w:rsid w:val="00C03512"/>
    <w:rsid w:val="00C04D30"/>
    <w:rsid w:val="00C11A02"/>
    <w:rsid w:val="00C14DD0"/>
    <w:rsid w:val="00C153CA"/>
    <w:rsid w:val="00C16481"/>
    <w:rsid w:val="00C21A53"/>
    <w:rsid w:val="00C235B9"/>
    <w:rsid w:val="00C23669"/>
    <w:rsid w:val="00C23970"/>
    <w:rsid w:val="00C24989"/>
    <w:rsid w:val="00C26CD5"/>
    <w:rsid w:val="00C27E65"/>
    <w:rsid w:val="00C3251C"/>
    <w:rsid w:val="00C32797"/>
    <w:rsid w:val="00C32801"/>
    <w:rsid w:val="00C43303"/>
    <w:rsid w:val="00C442D1"/>
    <w:rsid w:val="00C44D84"/>
    <w:rsid w:val="00C519F4"/>
    <w:rsid w:val="00C57948"/>
    <w:rsid w:val="00C6031B"/>
    <w:rsid w:val="00C649D9"/>
    <w:rsid w:val="00C64E14"/>
    <w:rsid w:val="00C65CE0"/>
    <w:rsid w:val="00C72F2E"/>
    <w:rsid w:val="00C76AA3"/>
    <w:rsid w:val="00C77775"/>
    <w:rsid w:val="00C778C6"/>
    <w:rsid w:val="00C77E63"/>
    <w:rsid w:val="00C77EB9"/>
    <w:rsid w:val="00C80A5B"/>
    <w:rsid w:val="00C84251"/>
    <w:rsid w:val="00C853A2"/>
    <w:rsid w:val="00C87F90"/>
    <w:rsid w:val="00C927DD"/>
    <w:rsid w:val="00C96366"/>
    <w:rsid w:val="00CA0031"/>
    <w:rsid w:val="00CA42C4"/>
    <w:rsid w:val="00CA5F5C"/>
    <w:rsid w:val="00CA7C5D"/>
    <w:rsid w:val="00CB225D"/>
    <w:rsid w:val="00CB46CE"/>
    <w:rsid w:val="00CB6E63"/>
    <w:rsid w:val="00CC05C0"/>
    <w:rsid w:val="00CC1A43"/>
    <w:rsid w:val="00CC3BAA"/>
    <w:rsid w:val="00CC54B8"/>
    <w:rsid w:val="00CC7402"/>
    <w:rsid w:val="00CD1535"/>
    <w:rsid w:val="00CD43D6"/>
    <w:rsid w:val="00CE379B"/>
    <w:rsid w:val="00CE4EAA"/>
    <w:rsid w:val="00CF3B48"/>
    <w:rsid w:val="00D02339"/>
    <w:rsid w:val="00D0388C"/>
    <w:rsid w:val="00D0399C"/>
    <w:rsid w:val="00D05FC0"/>
    <w:rsid w:val="00D06524"/>
    <w:rsid w:val="00D067C5"/>
    <w:rsid w:val="00D110E8"/>
    <w:rsid w:val="00D1343B"/>
    <w:rsid w:val="00D15BAC"/>
    <w:rsid w:val="00D2234E"/>
    <w:rsid w:val="00D26A09"/>
    <w:rsid w:val="00D27611"/>
    <w:rsid w:val="00D2777F"/>
    <w:rsid w:val="00D303C2"/>
    <w:rsid w:val="00D30D41"/>
    <w:rsid w:val="00D316B5"/>
    <w:rsid w:val="00D32580"/>
    <w:rsid w:val="00D352C0"/>
    <w:rsid w:val="00D36B10"/>
    <w:rsid w:val="00D36C29"/>
    <w:rsid w:val="00D45E23"/>
    <w:rsid w:val="00D474BE"/>
    <w:rsid w:val="00D47B39"/>
    <w:rsid w:val="00D47DB4"/>
    <w:rsid w:val="00D5080C"/>
    <w:rsid w:val="00D5397C"/>
    <w:rsid w:val="00D60E35"/>
    <w:rsid w:val="00D617DF"/>
    <w:rsid w:val="00D626E0"/>
    <w:rsid w:val="00D66D6E"/>
    <w:rsid w:val="00D66FA2"/>
    <w:rsid w:val="00D72160"/>
    <w:rsid w:val="00D72DF4"/>
    <w:rsid w:val="00D732DB"/>
    <w:rsid w:val="00D734DA"/>
    <w:rsid w:val="00D73A0D"/>
    <w:rsid w:val="00D74FDC"/>
    <w:rsid w:val="00D75E01"/>
    <w:rsid w:val="00D75FD8"/>
    <w:rsid w:val="00D8536B"/>
    <w:rsid w:val="00D90A2D"/>
    <w:rsid w:val="00D90C0F"/>
    <w:rsid w:val="00D913E5"/>
    <w:rsid w:val="00D920F4"/>
    <w:rsid w:val="00D94553"/>
    <w:rsid w:val="00DA1B0A"/>
    <w:rsid w:val="00DA481E"/>
    <w:rsid w:val="00DA5AF0"/>
    <w:rsid w:val="00DA5CC7"/>
    <w:rsid w:val="00DA612C"/>
    <w:rsid w:val="00DA6FB1"/>
    <w:rsid w:val="00DB0707"/>
    <w:rsid w:val="00DB0BF4"/>
    <w:rsid w:val="00DB0FA4"/>
    <w:rsid w:val="00DB30BA"/>
    <w:rsid w:val="00DB4D85"/>
    <w:rsid w:val="00DB5B5C"/>
    <w:rsid w:val="00DC0A36"/>
    <w:rsid w:val="00DC0E0A"/>
    <w:rsid w:val="00DC2468"/>
    <w:rsid w:val="00DC6712"/>
    <w:rsid w:val="00DD2759"/>
    <w:rsid w:val="00DD6050"/>
    <w:rsid w:val="00DE1631"/>
    <w:rsid w:val="00DE39BE"/>
    <w:rsid w:val="00DE5565"/>
    <w:rsid w:val="00DE5DEA"/>
    <w:rsid w:val="00DE6B1A"/>
    <w:rsid w:val="00DE7660"/>
    <w:rsid w:val="00DF05D7"/>
    <w:rsid w:val="00DF2AF7"/>
    <w:rsid w:val="00DF3D86"/>
    <w:rsid w:val="00DF4D39"/>
    <w:rsid w:val="00DF790B"/>
    <w:rsid w:val="00DF7D87"/>
    <w:rsid w:val="00E003D4"/>
    <w:rsid w:val="00E00DDC"/>
    <w:rsid w:val="00E0519A"/>
    <w:rsid w:val="00E100D1"/>
    <w:rsid w:val="00E10F3B"/>
    <w:rsid w:val="00E10FD5"/>
    <w:rsid w:val="00E12551"/>
    <w:rsid w:val="00E13AE5"/>
    <w:rsid w:val="00E14F56"/>
    <w:rsid w:val="00E168D2"/>
    <w:rsid w:val="00E20712"/>
    <w:rsid w:val="00E2074F"/>
    <w:rsid w:val="00E2372D"/>
    <w:rsid w:val="00E259A9"/>
    <w:rsid w:val="00E268A1"/>
    <w:rsid w:val="00E2749D"/>
    <w:rsid w:val="00E33F6E"/>
    <w:rsid w:val="00E401F1"/>
    <w:rsid w:val="00E40A9A"/>
    <w:rsid w:val="00E40AF1"/>
    <w:rsid w:val="00E4378E"/>
    <w:rsid w:val="00E44654"/>
    <w:rsid w:val="00E44FAA"/>
    <w:rsid w:val="00E450D1"/>
    <w:rsid w:val="00E456A4"/>
    <w:rsid w:val="00E47874"/>
    <w:rsid w:val="00E521C0"/>
    <w:rsid w:val="00E52EAD"/>
    <w:rsid w:val="00E5445F"/>
    <w:rsid w:val="00E57ADE"/>
    <w:rsid w:val="00E6031D"/>
    <w:rsid w:val="00E622E0"/>
    <w:rsid w:val="00E646B4"/>
    <w:rsid w:val="00E6476F"/>
    <w:rsid w:val="00E65BBF"/>
    <w:rsid w:val="00E676B8"/>
    <w:rsid w:val="00E67BC4"/>
    <w:rsid w:val="00E73DC8"/>
    <w:rsid w:val="00E73FDA"/>
    <w:rsid w:val="00E7623B"/>
    <w:rsid w:val="00E76AA7"/>
    <w:rsid w:val="00E77285"/>
    <w:rsid w:val="00E8170B"/>
    <w:rsid w:val="00E81D4C"/>
    <w:rsid w:val="00E8299E"/>
    <w:rsid w:val="00E8518A"/>
    <w:rsid w:val="00E85E34"/>
    <w:rsid w:val="00E8736C"/>
    <w:rsid w:val="00E876A1"/>
    <w:rsid w:val="00E9063F"/>
    <w:rsid w:val="00E907DF"/>
    <w:rsid w:val="00E926EA"/>
    <w:rsid w:val="00E97498"/>
    <w:rsid w:val="00E97CDB"/>
    <w:rsid w:val="00EA2976"/>
    <w:rsid w:val="00EA3676"/>
    <w:rsid w:val="00EA4EF4"/>
    <w:rsid w:val="00EA6B69"/>
    <w:rsid w:val="00EB0382"/>
    <w:rsid w:val="00EB21D4"/>
    <w:rsid w:val="00EB39C5"/>
    <w:rsid w:val="00EB5713"/>
    <w:rsid w:val="00EB6012"/>
    <w:rsid w:val="00EB70B1"/>
    <w:rsid w:val="00EC12BF"/>
    <w:rsid w:val="00EC178B"/>
    <w:rsid w:val="00EC3C5C"/>
    <w:rsid w:val="00ED427E"/>
    <w:rsid w:val="00ED473A"/>
    <w:rsid w:val="00ED6980"/>
    <w:rsid w:val="00ED6F15"/>
    <w:rsid w:val="00ED7543"/>
    <w:rsid w:val="00EE0922"/>
    <w:rsid w:val="00EE23C6"/>
    <w:rsid w:val="00EE5126"/>
    <w:rsid w:val="00EF16C9"/>
    <w:rsid w:val="00EF1B93"/>
    <w:rsid w:val="00EF5B23"/>
    <w:rsid w:val="00EF6173"/>
    <w:rsid w:val="00EF77F4"/>
    <w:rsid w:val="00F0025B"/>
    <w:rsid w:val="00F00BF2"/>
    <w:rsid w:val="00F00D9B"/>
    <w:rsid w:val="00F01226"/>
    <w:rsid w:val="00F05FE5"/>
    <w:rsid w:val="00F0626E"/>
    <w:rsid w:val="00F07EFE"/>
    <w:rsid w:val="00F11591"/>
    <w:rsid w:val="00F145F8"/>
    <w:rsid w:val="00F146C3"/>
    <w:rsid w:val="00F15A21"/>
    <w:rsid w:val="00F17907"/>
    <w:rsid w:val="00F20640"/>
    <w:rsid w:val="00F25C59"/>
    <w:rsid w:val="00F26389"/>
    <w:rsid w:val="00F264E7"/>
    <w:rsid w:val="00F30C8E"/>
    <w:rsid w:val="00F3109B"/>
    <w:rsid w:val="00F311AD"/>
    <w:rsid w:val="00F340EB"/>
    <w:rsid w:val="00F37382"/>
    <w:rsid w:val="00F37A80"/>
    <w:rsid w:val="00F401C6"/>
    <w:rsid w:val="00F40DD1"/>
    <w:rsid w:val="00F4386C"/>
    <w:rsid w:val="00F47DFB"/>
    <w:rsid w:val="00F50FBD"/>
    <w:rsid w:val="00F5149F"/>
    <w:rsid w:val="00F52FF2"/>
    <w:rsid w:val="00F53DF9"/>
    <w:rsid w:val="00F54394"/>
    <w:rsid w:val="00F549B9"/>
    <w:rsid w:val="00F610AE"/>
    <w:rsid w:val="00F62643"/>
    <w:rsid w:val="00F629AF"/>
    <w:rsid w:val="00F6308F"/>
    <w:rsid w:val="00F636D0"/>
    <w:rsid w:val="00F64202"/>
    <w:rsid w:val="00F65EB2"/>
    <w:rsid w:val="00F66296"/>
    <w:rsid w:val="00F67F9C"/>
    <w:rsid w:val="00F71605"/>
    <w:rsid w:val="00F726E1"/>
    <w:rsid w:val="00F7453C"/>
    <w:rsid w:val="00F75C27"/>
    <w:rsid w:val="00F75E4D"/>
    <w:rsid w:val="00F809D9"/>
    <w:rsid w:val="00F82835"/>
    <w:rsid w:val="00F828C8"/>
    <w:rsid w:val="00F83193"/>
    <w:rsid w:val="00F83B5E"/>
    <w:rsid w:val="00F848DE"/>
    <w:rsid w:val="00F85F8B"/>
    <w:rsid w:val="00F91886"/>
    <w:rsid w:val="00F929EA"/>
    <w:rsid w:val="00F96582"/>
    <w:rsid w:val="00FA1425"/>
    <w:rsid w:val="00FA6CA3"/>
    <w:rsid w:val="00FB409E"/>
    <w:rsid w:val="00FB7C96"/>
    <w:rsid w:val="00FC057C"/>
    <w:rsid w:val="00FC2381"/>
    <w:rsid w:val="00FC2F1E"/>
    <w:rsid w:val="00FC4658"/>
    <w:rsid w:val="00FC4C3D"/>
    <w:rsid w:val="00FD0EAE"/>
    <w:rsid w:val="00FD419F"/>
    <w:rsid w:val="00FD7194"/>
    <w:rsid w:val="00FE29A1"/>
    <w:rsid w:val="00FE630D"/>
    <w:rsid w:val="00FE64C8"/>
    <w:rsid w:val="00FF096F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53C0"/>
  <w15:chartTrackingRefBased/>
  <w15:docId w15:val="{139D1CEC-2FD1-4E0E-BDB9-54E0174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ED3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70E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0E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770E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2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3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ac.za/bod/MortalityStatistics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9C969FE-E0E5-415B-A7E5-565A2F9F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Stefanot</dc:creator>
  <cp:keywords/>
  <dc:description/>
  <cp:lastModifiedBy>Cohen, Adam (CDC/DDID/NCIRD/DBD)</cp:lastModifiedBy>
  <cp:revision>2</cp:revision>
  <dcterms:created xsi:type="dcterms:W3CDTF">2022-04-26T13:38:00Z</dcterms:created>
  <dcterms:modified xsi:type="dcterms:W3CDTF">2022-04-26T13:38:00Z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2022-04-26T13:37:46Z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f1fd3356-abc1-4066-b692-9af4205a8bb8</vt:lpwstr>
  </property>
  <property fmtid="{D5CDD505-2E9C-101B-9397-08002B2CF9AE}" pid="8" name="MSIP_Label_7b94a7b8-f06c-4dfe-bdcc-9b548fd58c31_ContentBits">
    <vt:lpwstr>0</vt:lpwstr>
  </property>
</Properties>
</file>