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F5927" w14:textId="77777777" w:rsidR="008B263D" w:rsidRPr="001B25CA" w:rsidRDefault="008B263D" w:rsidP="008B263D">
      <w:pPr>
        <w:pStyle w:val="Fourth-digitLevel"/>
        <w:widowControl/>
        <w:spacing w:before="0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1B25CA">
        <w:rPr>
          <w:rFonts w:ascii="Times New Roman" w:hAnsi="Times New Roman" w:cs="Times New Roman"/>
          <w:color w:val="auto"/>
          <w:sz w:val="24"/>
          <w:szCs w:val="24"/>
        </w:rPr>
        <w:t>Supplemental Table 1. Mutually exclusive congenital heart defect severity categories by International Classification of Disease version 9.0 Clinical Modification codes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965"/>
        <w:gridCol w:w="1800"/>
        <w:gridCol w:w="5305"/>
      </w:tblGrid>
      <w:tr w:rsidR="008B263D" w:rsidRPr="001B25CA" w14:paraId="1BD4BC65" w14:textId="77777777" w:rsidTr="009F4174">
        <w:tc>
          <w:tcPr>
            <w:tcW w:w="2965" w:type="dxa"/>
          </w:tcPr>
          <w:p w14:paraId="3BAC0044" w14:textId="77777777" w:rsidR="008B263D" w:rsidRPr="001B25CA" w:rsidRDefault="008B263D" w:rsidP="009F41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b/>
                <w:sz w:val="20"/>
                <w:szCs w:val="20"/>
              </w:rPr>
              <w:t>Category</w:t>
            </w:r>
          </w:p>
        </w:tc>
        <w:tc>
          <w:tcPr>
            <w:tcW w:w="1800" w:type="dxa"/>
          </w:tcPr>
          <w:p w14:paraId="5092F509" w14:textId="77777777" w:rsidR="008B263D" w:rsidRPr="001B25CA" w:rsidRDefault="008B263D" w:rsidP="009F41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b/>
                <w:sz w:val="20"/>
                <w:szCs w:val="20"/>
              </w:rPr>
              <w:t>ICD-9-CM* Code</w:t>
            </w:r>
          </w:p>
        </w:tc>
        <w:tc>
          <w:tcPr>
            <w:tcW w:w="5305" w:type="dxa"/>
          </w:tcPr>
          <w:p w14:paraId="30CF4D49" w14:textId="77777777" w:rsidR="008B263D" w:rsidRPr="001B25CA" w:rsidRDefault="008B263D" w:rsidP="009F41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b/>
                <w:sz w:val="20"/>
                <w:szCs w:val="20"/>
              </w:rPr>
              <w:t>Code Description</w:t>
            </w:r>
          </w:p>
        </w:tc>
      </w:tr>
      <w:tr w:rsidR="008B263D" w:rsidRPr="001B25CA" w14:paraId="378A2C77" w14:textId="77777777" w:rsidTr="009F4174">
        <w:tc>
          <w:tcPr>
            <w:tcW w:w="2965" w:type="dxa"/>
          </w:tcPr>
          <w:p w14:paraId="4B4C1E1F" w14:textId="77777777" w:rsidR="008B263D" w:rsidRPr="001B25CA" w:rsidRDefault="008B263D" w:rsidP="009F41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SEVERE </w:t>
            </w:r>
          </w:p>
          <w:p w14:paraId="422C6447" w14:textId="77777777" w:rsidR="008B263D" w:rsidRPr="001B25CA" w:rsidRDefault="008B263D" w:rsidP="009F41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i/>
                <w:sz w:val="20"/>
                <w:szCs w:val="20"/>
              </w:rPr>
              <w:t>(if case has a severe code, regardless of presence of shunt, valve, or other codes)</w:t>
            </w:r>
          </w:p>
        </w:tc>
        <w:tc>
          <w:tcPr>
            <w:tcW w:w="1800" w:type="dxa"/>
          </w:tcPr>
          <w:p w14:paraId="3C0FC98A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745.0</w:t>
            </w:r>
          </w:p>
          <w:p w14:paraId="44B3937E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745.1</w:t>
            </w:r>
          </w:p>
          <w:p w14:paraId="382E12E1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745.10</w:t>
            </w:r>
          </w:p>
          <w:p w14:paraId="5A970DDD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BC61A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745.11</w:t>
            </w:r>
          </w:p>
          <w:p w14:paraId="28EBC616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745.12</w:t>
            </w:r>
          </w:p>
          <w:p w14:paraId="781B1088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745.19</w:t>
            </w:r>
          </w:p>
          <w:p w14:paraId="415629BE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745.2</w:t>
            </w:r>
          </w:p>
          <w:p w14:paraId="218C2D13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745.3</w:t>
            </w:r>
          </w:p>
          <w:p w14:paraId="19A9FD95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745.6</w:t>
            </w:r>
          </w:p>
          <w:p w14:paraId="29720224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745.60</w:t>
            </w:r>
          </w:p>
          <w:p w14:paraId="15C8DDB9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745.69</w:t>
            </w:r>
          </w:p>
          <w:p w14:paraId="55EEAFFD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746.01</w:t>
            </w:r>
          </w:p>
          <w:p w14:paraId="40E25613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746.1</w:t>
            </w:r>
          </w:p>
          <w:p w14:paraId="460CF696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746.7</w:t>
            </w:r>
          </w:p>
          <w:p w14:paraId="7A5CB09B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747.11</w:t>
            </w:r>
          </w:p>
          <w:p w14:paraId="50F01B86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747.41</w:t>
            </w:r>
          </w:p>
        </w:tc>
        <w:tc>
          <w:tcPr>
            <w:tcW w:w="5305" w:type="dxa"/>
          </w:tcPr>
          <w:p w14:paraId="265CCF34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Common truncus</w:t>
            </w:r>
          </w:p>
          <w:p w14:paraId="5185CA77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Transposition of the great arteries (TGA)</w:t>
            </w:r>
          </w:p>
          <w:p w14:paraId="14B52980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Complete TGA (dextro-TGA), not otherwise specified (NOS) or classical</w:t>
            </w:r>
          </w:p>
          <w:p w14:paraId="0505C70E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Double outlet right ventricle, or incomplete TGA</w:t>
            </w:r>
          </w:p>
          <w:p w14:paraId="49B2165D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Corrected TGA (</w:t>
            </w:r>
            <w:proofErr w:type="spellStart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levo</w:t>
            </w:r>
            <w:proofErr w:type="spellEnd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-TGA)</w:t>
            </w:r>
          </w:p>
          <w:p w14:paraId="5010C30E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TGA Other</w:t>
            </w:r>
          </w:p>
          <w:p w14:paraId="2E17BEB0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Tetralogy of Fallot</w:t>
            </w:r>
          </w:p>
          <w:p w14:paraId="5FFB2E2B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Single ventricle, or </w:t>
            </w:r>
            <w:proofErr w:type="spellStart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cor</w:t>
            </w:r>
            <w:proofErr w:type="spellEnd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triloculare</w:t>
            </w:r>
            <w:proofErr w:type="spellEnd"/>
          </w:p>
          <w:p w14:paraId="4227055B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Endocardial cushion defect </w:t>
            </w:r>
          </w:p>
          <w:p w14:paraId="6E0556D0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Endocardial cushion defect unspecified</w:t>
            </w:r>
          </w:p>
          <w:p w14:paraId="5DE052D6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Endocardial cushion defect, other</w:t>
            </w:r>
          </w:p>
          <w:p w14:paraId="01D6BD87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Pulmonary valve atresia or absence</w:t>
            </w:r>
          </w:p>
          <w:p w14:paraId="26319918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Tricuspid atresia, stenosis or absence</w:t>
            </w:r>
          </w:p>
          <w:p w14:paraId="57CAF846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Hypoplastic left heart syndrome</w:t>
            </w:r>
          </w:p>
          <w:p w14:paraId="20A37C02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Interrupted aortic arch</w:t>
            </w:r>
          </w:p>
          <w:p w14:paraId="3AD925C1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Total anomalous pulmonary venous return </w:t>
            </w:r>
          </w:p>
        </w:tc>
      </w:tr>
      <w:tr w:rsidR="008B263D" w:rsidRPr="001B25CA" w14:paraId="7E976DFD" w14:textId="77777777" w:rsidTr="009F4174">
        <w:tc>
          <w:tcPr>
            <w:tcW w:w="2965" w:type="dxa"/>
          </w:tcPr>
          <w:p w14:paraId="4AD8926B" w14:textId="77777777" w:rsidR="008B263D" w:rsidRPr="001B25CA" w:rsidRDefault="008B263D" w:rsidP="009F41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b/>
                <w:sz w:val="20"/>
                <w:szCs w:val="20"/>
              </w:rPr>
              <w:t>SHUNT + VALVE</w:t>
            </w:r>
          </w:p>
          <w:p w14:paraId="7175EDC2" w14:textId="77777777" w:rsidR="008B263D" w:rsidRPr="001B25CA" w:rsidRDefault="008B263D" w:rsidP="009F41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i/>
                <w:sz w:val="20"/>
                <w:szCs w:val="20"/>
              </w:rPr>
              <w:t>(case has shunt AND valve codes)</w:t>
            </w:r>
          </w:p>
        </w:tc>
        <w:tc>
          <w:tcPr>
            <w:tcW w:w="1800" w:type="dxa"/>
            <w:vAlign w:val="center"/>
          </w:tcPr>
          <w:p w14:paraId="542F11FA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 combination of the shunt/valve codes below</w:t>
            </w:r>
          </w:p>
        </w:tc>
        <w:tc>
          <w:tcPr>
            <w:tcW w:w="5305" w:type="dxa"/>
            <w:vAlign w:val="center"/>
          </w:tcPr>
          <w:p w14:paraId="2CD1903E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A combination of the shunt/valve defects below </w:t>
            </w:r>
          </w:p>
        </w:tc>
      </w:tr>
      <w:tr w:rsidR="008B263D" w:rsidRPr="001B25CA" w14:paraId="4457F1DC" w14:textId="77777777" w:rsidTr="009F4174">
        <w:tc>
          <w:tcPr>
            <w:tcW w:w="2965" w:type="dxa"/>
          </w:tcPr>
          <w:p w14:paraId="12639074" w14:textId="77777777" w:rsidR="008B263D" w:rsidRPr="001B25CA" w:rsidRDefault="008B263D" w:rsidP="009F41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b/>
                <w:sz w:val="20"/>
                <w:szCs w:val="20"/>
              </w:rPr>
              <w:t>SHUNT</w:t>
            </w:r>
          </w:p>
          <w:p w14:paraId="10A96A44" w14:textId="77777777" w:rsidR="008B263D" w:rsidRPr="001B25CA" w:rsidRDefault="008B263D" w:rsidP="009F41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i/>
                <w:sz w:val="20"/>
                <w:szCs w:val="20"/>
              </w:rPr>
              <w:t>(case has at least one shunt code, no valve or severe codes)</w:t>
            </w:r>
          </w:p>
        </w:tc>
        <w:tc>
          <w:tcPr>
            <w:tcW w:w="1800" w:type="dxa"/>
          </w:tcPr>
          <w:p w14:paraId="4E5E680D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745.4</w:t>
            </w:r>
          </w:p>
          <w:p w14:paraId="16CAA127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745.5</w:t>
            </w:r>
          </w:p>
          <w:p w14:paraId="76951441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745.61</w:t>
            </w:r>
          </w:p>
          <w:p w14:paraId="5036FF91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745.8</w:t>
            </w:r>
          </w:p>
          <w:p w14:paraId="68F7448D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745.9</w:t>
            </w:r>
          </w:p>
          <w:p w14:paraId="710DBE1F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747.0</w:t>
            </w:r>
          </w:p>
          <w:p w14:paraId="3743907E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747.42</w:t>
            </w:r>
          </w:p>
        </w:tc>
        <w:tc>
          <w:tcPr>
            <w:tcW w:w="5305" w:type="dxa"/>
          </w:tcPr>
          <w:p w14:paraId="360AF489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Ventricular septal defect (VSD)</w:t>
            </w:r>
          </w:p>
          <w:p w14:paraId="5D53FF8A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Atrial septal defect (ASD</w:t>
            </w:r>
            <w:r w:rsidRPr="001B25CA" w:rsidDel="008C2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secundum or Patent Foramen </w:t>
            </w:r>
            <w:proofErr w:type="spellStart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Ovale</w:t>
            </w:r>
            <w:proofErr w:type="spellEnd"/>
          </w:p>
          <w:p w14:paraId="7A7F2DD1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ASD primum</w:t>
            </w:r>
          </w:p>
          <w:p w14:paraId="7C0D9F36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Other specified defect of septal closure</w:t>
            </w:r>
          </w:p>
          <w:p w14:paraId="31A1D739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Unspecified defect of septal closure</w:t>
            </w:r>
          </w:p>
          <w:p w14:paraId="28CA823F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Patent ductus arteriosus (PDA)</w:t>
            </w:r>
          </w:p>
          <w:p w14:paraId="7BF36ADF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Partial anomalous venous return </w:t>
            </w:r>
          </w:p>
        </w:tc>
      </w:tr>
      <w:tr w:rsidR="008B263D" w:rsidRPr="001B25CA" w14:paraId="7859763D" w14:textId="77777777" w:rsidTr="009F4174">
        <w:tc>
          <w:tcPr>
            <w:tcW w:w="2965" w:type="dxa"/>
          </w:tcPr>
          <w:p w14:paraId="7CE660B5" w14:textId="77777777" w:rsidR="008B263D" w:rsidRPr="001B25CA" w:rsidRDefault="008B263D" w:rsidP="009F41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b/>
                <w:sz w:val="20"/>
                <w:szCs w:val="20"/>
              </w:rPr>
              <w:t>VALVE</w:t>
            </w:r>
          </w:p>
          <w:p w14:paraId="2D18ED27" w14:textId="77777777" w:rsidR="008B263D" w:rsidRPr="001B25CA" w:rsidRDefault="008B263D" w:rsidP="009F41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i/>
                <w:sz w:val="20"/>
                <w:szCs w:val="20"/>
              </w:rPr>
              <w:t>(case has at least one valve code, no shunt or severe codes)</w:t>
            </w:r>
          </w:p>
        </w:tc>
        <w:tc>
          <w:tcPr>
            <w:tcW w:w="1800" w:type="dxa"/>
          </w:tcPr>
          <w:p w14:paraId="304EAC23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746.0</w:t>
            </w:r>
          </w:p>
          <w:p w14:paraId="552E92AE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746.00</w:t>
            </w:r>
          </w:p>
          <w:p w14:paraId="76BE007D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746.02</w:t>
            </w:r>
          </w:p>
          <w:p w14:paraId="7225AF19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746.09</w:t>
            </w:r>
          </w:p>
          <w:p w14:paraId="2ABB3D4E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746.2</w:t>
            </w:r>
          </w:p>
          <w:p w14:paraId="6C2BB07A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746.3</w:t>
            </w:r>
          </w:p>
          <w:p w14:paraId="631E1BAC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746.4</w:t>
            </w:r>
            <w:r w:rsidRPr="001B25C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vertAlign w:val="superscript"/>
              </w:rPr>
              <w:t>†</w:t>
            </w:r>
          </w:p>
          <w:p w14:paraId="1518904B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746.5</w:t>
            </w:r>
          </w:p>
          <w:p w14:paraId="6A645BEB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746.6</w:t>
            </w:r>
            <w:r w:rsidRPr="001B25C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vertAlign w:val="superscript"/>
              </w:rPr>
              <w:t>†</w:t>
            </w:r>
          </w:p>
          <w:p w14:paraId="27273BEF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  <w:lang w:val="en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  <w:lang w:val="en"/>
              </w:rPr>
              <w:t>764.81</w:t>
            </w:r>
          </w:p>
          <w:p w14:paraId="27331971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  <w:lang w:val="en"/>
              </w:rPr>
              <w:t>746.83</w:t>
            </w:r>
          </w:p>
          <w:p w14:paraId="6E63C0D1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747.1 / 747.10</w:t>
            </w:r>
          </w:p>
          <w:p w14:paraId="03E8F7AF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747.22</w:t>
            </w:r>
          </w:p>
          <w:p w14:paraId="1B729B77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747.3</w:t>
            </w:r>
            <w:r w:rsidRPr="001B25C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†</w:t>
            </w:r>
          </w:p>
          <w:p w14:paraId="16C2E220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747.31</w:t>
            </w:r>
          </w:p>
          <w:p w14:paraId="4D699A73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747.39</w:t>
            </w:r>
          </w:p>
        </w:tc>
        <w:tc>
          <w:tcPr>
            <w:tcW w:w="5305" w:type="dxa"/>
          </w:tcPr>
          <w:p w14:paraId="675709CA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Anomalies of pulmonary valve</w:t>
            </w:r>
          </w:p>
          <w:p w14:paraId="111F6653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Pulmonary valve anomaly, unspecified</w:t>
            </w:r>
          </w:p>
          <w:p w14:paraId="7CA52CC1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Pulmonary valve stenosis</w:t>
            </w:r>
          </w:p>
          <w:p w14:paraId="67B2E790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Pulmonary valve anomaly, other</w:t>
            </w:r>
          </w:p>
          <w:p w14:paraId="556A7E77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Ebstein</w:t>
            </w:r>
            <w:proofErr w:type="spellEnd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 Anomaly</w:t>
            </w:r>
          </w:p>
          <w:p w14:paraId="71827E6F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Aortic valve stenosis</w:t>
            </w:r>
          </w:p>
          <w:p w14:paraId="3639550C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Aortic insufficiency or bicuspid/</w:t>
            </w:r>
            <w:proofErr w:type="spellStart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unicuspid</w:t>
            </w:r>
            <w:proofErr w:type="spellEnd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 aortic valve</w:t>
            </w:r>
            <w:r w:rsidRPr="001B25C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†</w:t>
            </w:r>
          </w:p>
          <w:p w14:paraId="5080766A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Mitral stenosis or mitral valve abnormalities</w:t>
            </w:r>
          </w:p>
          <w:p w14:paraId="6B4B9E2A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Mitral insufficiency</w:t>
            </w:r>
            <w:r w:rsidRPr="001B25C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†</w:t>
            </w:r>
          </w:p>
          <w:p w14:paraId="4EFFB368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Subaortic stenosis</w:t>
            </w:r>
          </w:p>
          <w:p w14:paraId="42928A40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Infundibular or </w:t>
            </w:r>
            <w:proofErr w:type="spellStart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subvalvar</w:t>
            </w:r>
            <w:proofErr w:type="spellEnd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 pulmonary stenosis</w:t>
            </w:r>
          </w:p>
          <w:p w14:paraId="0ACEA18E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Coarctation of aorta</w:t>
            </w:r>
          </w:p>
          <w:p w14:paraId="34187212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Atresia or stenosis of aorta</w:t>
            </w:r>
          </w:p>
          <w:p w14:paraId="28DCD9D5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Anomalies of pulmonary artery</w:t>
            </w:r>
            <w:r w:rsidRPr="001B25C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†</w:t>
            </w:r>
          </w:p>
          <w:p w14:paraId="3B9D8A2F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Pulmonary artery atresia, coarctation, or hypoplasia</w:t>
            </w:r>
          </w:p>
          <w:p w14:paraId="25CB03B1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Anomalies of pulmonary artery, other</w:t>
            </w:r>
          </w:p>
        </w:tc>
      </w:tr>
      <w:tr w:rsidR="008B263D" w:rsidRPr="001B25CA" w14:paraId="36F5D535" w14:textId="77777777" w:rsidTr="009F4174">
        <w:tc>
          <w:tcPr>
            <w:tcW w:w="2965" w:type="dxa"/>
          </w:tcPr>
          <w:p w14:paraId="1B19F34E" w14:textId="77777777" w:rsidR="008B263D" w:rsidRPr="001B25CA" w:rsidRDefault="008B263D" w:rsidP="009F41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b/>
                <w:sz w:val="20"/>
                <w:szCs w:val="20"/>
              </w:rPr>
              <w:t>OTHER ONLY</w:t>
            </w:r>
          </w:p>
          <w:p w14:paraId="4D97B59A" w14:textId="77777777" w:rsidR="008B263D" w:rsidRPr="001B25CA" w:rsidRDefault="008B263D" w:rsidP="009F41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i/>
                <w:sz w:val="20"/>
                <w:szCs w:val="20"/>
              </w:rPr>
              <w:t>(case only has one or more codes in this category)</w:t>
            </w:r>
          </w:p>
        </w:tc>
        <w:tc>
          <w:tcPr>
            <w:tcW w:w="1800" w:type="dxa"/>
          </w:tcPr>
          <w:p w14:paraId="501EAC9C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745.7</w:t>
            </w:r>
          </w:p>
          <w:p w14:paraId="43D0CA71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746.8</w:t>
            </w:r>
          </w:p>
          <w:p w14:paraId="3BF32EDD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746.82</w:t>
            </w:r>
          </w:p>
          <w:p w14:paraId="7B5997A4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746.84</w:t>
            </w:r>
          </w:p>
          <w:p w14:paraId="371B7A18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746.85</w:t>
            </w:r>
          </w:p>
          <w:p w14:paraId="3427CCF3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746.87</w:t>
            </w:r>
          </w:p>
          <w:p w14:paraId="75EE6522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746.89</w:t>
            </w:r>
            <w:r w:rsidRPr="001B25C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vertAlign w:val="superscript"/>
              </w:rPr>
              <w:t>†</w:t>
            </w:r>
          </w:p>
          <w:p w14:paraId="55AAC7E8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746.9</w:t>
            </w:r>
            <w:r w:rsidRPr="001B25C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vertAlign w:val="superscript"/>
              </w:rPr>
              <w:t>†</w:t>
            </w:r>
          </w:p>
          <w:p w14:paraId="13C3E12E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747.2</w:t>
            </w:r>
          </w:p>
          <w:p w14:paraId="5CA269A4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747.20</w:t>
            </w:r>
          </w:p>
          <w:p w14:paraId="5DBBA0CD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747.21</w:t>
            </w:r>
          </w:p>
          <w:p w14:paraId="0214CBB7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747.29</w:t>
            </w:r>
          </w:p>
          <w:p w14:paraId="72D7ECE4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747.4</w:t>
            </w:r>
          </w:p>
          <w:p w14:paraId="60A7D69F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747.40</w:t>
            </w:r>
          </w:p>
          <w:p w14:paraId="21E182FB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747.49</w:t>
            </w:r>
          </w:p>
          <w:p w14:paraId="636A9C44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747.9</w:t>
            </w:r>
          </w:p>
          <w:p w14:paraId="0BF9C8AE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648.5x</w:t>
            </w:r>
          </w:p>
          <w:p w14:paraId="089464E0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V13.5</w:t>
            </w:r>
          </w:p>
          <w:p w14:paraId="3FEE988D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5" w:type="dxa"/>
          </w:tcPr>
          <w:p w14:paraId="3F5F3563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Cor </w:t>
            </w:r>
            <w:proofErr w:type="spellStart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biloculare</w:t>
            </w:r>
            <w:proofErr w:type="spellEnd"/>
          </w:p>
          <w:p w14:paraId="428FDA7A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Other specified anomalies of heart</w:t>
            </w:r>
          </w:p>
          <w:p w14:paraId="23BD470D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 xml:space="preserve">Cor </w:t>
            </w:r>
            <w:proofErr w:type="spellStart"/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triatriatum</w:t>
            </w:r>
            <w:proofErr w:type="spellEnd"/>
          </w:p>
          <w:p w14:paraId="2F5B7133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Obstructive anomalies of heart</w:t>
            </w:r>
          </w:p>
          <w:p w14:paraId="62128333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Coronary artery anomaly</w:t>
            </w:r>
          </w:p>
          <w:p w14:paraId="7B4014EA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Malposition of heart or apex</w:t>
            </w:r>
          </w:p>
          <w:p w14:paraId="646F4998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Other specified anomaly of heart (various types)</w:t>
            </w:r>
            <w:r w:rsidRPr="001B25C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 xml:space="preserve"> †</w:t>
            </w:r>
          </w:p>
          <w:p w14:paraId="1C673E56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Unspecified defect of heart</w:t>
            </w:r>
            <w:r w:rsidRPr="001B25C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  <w:t>†</w:t>
            </w:r>
          </w:p>
          <w:p w14:paraId="3FCF3538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Other anomalies of the aorta</w:t>
            </w:r>
          </w:p>
          <w:p w14:paraId="0B39863B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Anomalies of aorta, unspecified</w:t>
            </w:r>
          </w:p>
          <w:p w14:paraId="38DF3397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Anomaly of aortic arch</w:t>
            </w:r>
          </w:p>
          <w:p w14:paraId="65CAFD7F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Other anomalies of aorta, other specified</w:t>
            </w:r>
          </w:p>
          <w:p w14:paraId="376BE294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Anomalies of great veins</w:t>
            </w:r>
          </w:p>
          <w:p w14:paraId="40E021C1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Anomalies of great veins, unspecified</w:t>
            </w:r>
          </w:p>
          <w:p w14:paraId="717BC8B8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Other anomalies of great veins</w:t>
            </w:r>
          </w:p>
          <w:p w14:paraId="34D0325B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Unspecified anomalies of circulatory system</w:t>
            </w:r>
          </w:p>
          <w:p w14:paraId="32289C1C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Congenital cardiovascular disorders in the mother</w:t>
            </w:r>
          </w:p>
          <w:p w14:paraId="5AF9A9D9" w14:textId="77777777" w:rsidR="008B263D" w:rsidRPr="001B25CA" w:rsidRDefault="008B263D" w:rsidP="009F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  <w:lang w:val="en"/>
              </w:rPr>
              <w:t>Personal history of (corrected) congenital malformations of heart and circulatory system</w:t>
            </w:r>
          </w:p>
        </w:tc>
      </w:tr>
    </w:tbl>
    <w:p w14:paraId="100110E6" w14:textId="77777777" w:rsidR="008B263D" w:rsidRPr="001B25CA" w:rsidRDefault="008B263D" w:rsidP="008B263D">
      <w:pPr>
        <w:pStyle w:val="Fourth-digitLevel"/>
        <w:widowControl/>
        <w:spacing w:before="0"/>
        <w:ind w:left="0" w:firstLine="0"/>
        <w:rPr>
          <w:rFonts w:ascii="Times New Roman" w:hAnsi="Times New Roman" w:cs="Times New Roman"/>
          <w:color w:val="auto"/>
          <w:sz w:val="16"/>
          <w:szCs w:val="16"/>
        </w:rPr>
      </w:pPr>
      <w:r w:rsidRPr="001B25CA">
        <w:rPr>
          <w:rFonts w:ascii="Open Sans" w:hAnsi="Open Sans"/>
          <w:color w:val="auto"/>
          <w:sz w:val="17"/>
          <w:szCs w:val="18"/>
          <w:vertAlign w:val="superscript"/>
          <w:lang w:val="en"/>
        </w:rPr>
        <w:lastRenderedPageBreak/>
        <w:t>*</w:t>
      </w:r>
      <w:r w:rsidRPr="001B25CA">
        <w:rPr>
          <w:rFonts w:ascii="Times New Roman" w:hAnsi="Times New Roman" w:cs="Times New Roman"/>
          <w:color w:val="auto"/>
          <w:sz w:val="16"/>
          <w:szCs w:val="16"/>
        </w:rPr>
        <w:t>International Classification of Disease version 9.0 Clinical Modification</w:t>
      </w:r>
    </w:p>
    <w:p w14:paraId="13F1F557" w14:textId="77777777" w:rsidR="008B263D" w:rsidRPr="001B25CA" w:rsidRDefault="008B263D" w:rsidP="008B263D">
      <w:pPr>
        <w:pStyle w:val="Fourth-digitLevel"/>
        <w:widowControl/>
        <w:spacing w:before="0"/>
        <w:ind w:left="0" w:firstLine="0"/>
        <w:rPr>
          <w:rFonts w:ascii="Times New Roman" w:hAnsi="Times New Roman" w:cs="Times New Roman"/>
          <w:color w:val="auto"/>
        </w:rPr>
      </w:pPr>
      <w:r w:rsidRPr="001B25CA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  <w:vertAlign w:val="superscript"/>
        </w:rPr>
        <w:t>†</w:t>
      </w:r>
      <w:r w:rsidRPr="001B25CA">
        <w:rPr>
          <w:rFonts w:ascii="Times New Roman" w:hAnsi="Times New Roman" w:cs="Times New Roman"/>
          <w:color w:val="auto"/>
          <w:sz w:val="16"/>
          <w:szCs w:val="16"/>
        </w:rPr>
        <w:t>Codes considered to be minor.  All other listed codes considered to be major.</w:t>
      </w:r>
    </w:p>
    <w:p w14:paraId="445DBD68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5B381E77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  <w:sectPr w:rsidR="008B263D" w:rsidRPr="001B25CA" w:rsidSect="007A4DF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2F59359" w14:textId="77777777" w:rsidR="008B263D" w:rsidRPr="001B25CA" w:rsidRDefault="008B263D" w:rsidP="008B263D">
      <w:pPr>
        <w:ind w:left="-450"/>
        <w:rPr>
          <w:rFonts w:ascii="Times New Roman" w:hAnsi="Times New Roman" w:cs="Times New Roman"/>
          <w:sz w:val="24"/>
          <w:szCs w:val="24"/>
        </w:rPr>
      </w:pPr>
      <w:r w:rsidRPr="001B25CA">
        <w:rPr>
          <w:rFonts w:ascii="Times New Roman" w:hAnsi="Times New Roman" w:cs="Times New Roman"/>
          <w:sz w:val="24"/>
          <w:szCs w:val="24"/>
        </w:rPr>
        <w:lastRenderedPageBreak/>
        <w:t>Supplemental Table 2. Population-based denominator data, total and by age group, 5 sites*, 2011-2013</w:t>
      </w:r>
    </w:p>
    <w:tbl>
      <w:tblPr>
        <w:tblW w:w="16964" w:type="dxa"/>
        <w:tblInd w:w="-455" w:type="dxa"/>
        <w:tblLook w:val="04A0" w:firstRow="1" w:lastRow="0" w:firstColumn="1" w:lastColumn="0" w:noHBand="0" w:noVBand="1"/>
      </w:tblPr>
      <w:tblGrid>
        <w:gridCol w:w="1394"/>
        <w:gridCol w:w="1026"/>
        <w:gridCol w:w="1026"/>
        <w:gridCol w:w="1026"/>
        <w:gridCol w:w="1026"/>
        <w:gridCol w:w="1026"/>
        <w:gridCol w:w="1026"/>
        <w:gridCol w:w="1026"/>
        <w:gridCol w:w="1026"/>
        <w:gridCol w:w="1026"/>
        <w:gridCol w:w="1026"/>
        <w:gridCol w:w="1026"/>
        <w:gridCol w:w="1026"/>
        <w:gridCol w:w="1116"/>
        <w:gridCol w:w="1026"/>
        <w:gridCol w:w="1116"/>
      </w:tblGrid>
      <w:tr w:rsidR="008B263D" w:rsidRPr="001B25CA" w14:paraId="477BEF2C" w14:textId="77777777" w:rsidTr="009F4174">
        <w:trPr>
          <w:trHeight w:val="716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2882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F5E86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Age 1-10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A006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Age 11-18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A6A6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Age 19-44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8FFC1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Age 45-64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085399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Age 11-64</w:t>
            </w:r>
          </w:p>
        </w:tc>
      </w:tr>
      <w:tr w:rsidR="008B263D" w:rsidRPr="001B25CA" w14:paraId="260DDD21" w14:textId="77777777" w:rsidTr="009F4174">
        <w:trPr>
          <w:trHeight w:val="716"/>
        </w:trPr>
        <w:tc>
          <w:tcPr>
            <w:tcW w:w="13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359C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C9E94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0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C65D0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0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AB26E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026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DC05F2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026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DCE28B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02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A8DD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0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A133C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0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09C78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0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F7FDB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8F3B7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0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A7053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0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3E683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EF891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0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2CFBB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1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18D8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Female</w:t>
            </w:r>
          </w:p>
        </w:tc>
      </w:tr>
      <w:tr w:rsidR="008B263D" w:rsidRPr="001B25CA" w14:paraId="07E3D3E6" w14:textId="77777777" w:rsidTr="009F4174">
        <w:trPr>
          <w:trHeight w:val="716"/>
        </w:trPr>
        <w:tc>
          <w:tcPr>
            <w:tcW w:w="13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F97A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Colorado</w:t>
            </w: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A9E5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2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FD714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26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C99A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F3FC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546,340</w:t>
            </w:r>
          </w:p>
        </w:tc>
        <w:tc>
          <w:tcPr>
            <w:tcW w:w="102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06D89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280,377</w:t>
            </w:r>
          </w:p>
        </w:tc>
        <w:tc>
          <w:tcPr>
            <w:tcW w:w="1026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2FF2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265,963</w:t>
            </w: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04D9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1,907,201</w:t>
            </w:r>
          </w:p>
        </w:tc>
        <w:tc>
          <w:tcPr>
            <w:tcW w:w="102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8BB992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981,510</w:t>
            </w:r>
          </w:p>
        </w:tc>
        <w:tc>
          <w:tcPr>
            <w:tcW w:w="1026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ED7B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925,691</w:t>
            </w:r>
          </w:p>
        </w:tc>
        <w:tc>
          <w:tcPr>
            <w:tcW w:w="1026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608C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1,368,673</w:t>
            </w:r>
          </w:p>
        </w:tc>
        <w:tc>
          <w:tcPr>
            <w:tcW w:w="102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65C507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676,867</w:t>
            </w:r>
          </w:p>
        </w:tc>
        <w:tc>
          <w:tcPr>
            <w:tcW w:w="1026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AC95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691,806</w:t>
            </w:r>
          </w:p>
        </w:tc>
        <w:tc>
          <w:tcPr>
            <w:tcW w:w="1116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A086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3,822,214</w:t>
            </w:r>
          </w:p>
        </w:tc>
        <w:tc>
          <w:tcPr>
            <w:tcW w:w="102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24310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1,938,754</w:t>
            </w:r>
          </w:p>
        </w:tc>
        <w:tc>
          <w:tcPr>
            <w:tcW w:w="1116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FA5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1,883,460</w:t>
            </w:r>
          </w:p>
        </w:tc>
      </w:tr>
      <w:tr w:rsidR="008B263D" w:rsidRPr="001B25CA" w14:paraId="34619A4A" w14:textId="77777777" w:rsidTr="009F4174">
        <w:trPr>
          <w:trHeight w:val="716"/>
        </w:trPr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D9AC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5-county metropolitan-Atlanta, GA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8163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495,505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40F38E01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252,114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8A70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243,391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CED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389,206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4B7EEEDE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198,346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9AC8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190,860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C638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1,359,418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66552AD5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664,503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1B12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694,915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07EB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876,967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43BB2CF1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415,913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054B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461,054</w:t>
            </w:r>
          </w:p>
        </w:tc>
        <w:tc>
          <w:tcPr>
            <w:tcW w:w="111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1617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2,625,591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224C5656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1,278,762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DCF5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1,346,829</w:t>
            </w:r>
          </w:p>
        </w:tc>
      </w:tr>
      <w:tr w:rsidR="008B263D" w:rsidRPr="001B25CA" w14:paraId="179A6041" w14:textId="77777777" w:rsidTr="009F4174">
        <w:trPr>
          <w:trHeight w:val="716"/>
        </w:trPr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E951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11-County  New York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9980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583,279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1BCC8B82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297,392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C30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285,887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DF34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511,323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6DDAB60A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261,680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89E7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249,643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4EE4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1,599,360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479050ED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785,438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749C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813,922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365A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1,247,485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1504DE95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593,463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C355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654,022</w:t>
            </w:r>
          </w:p>
        </w:tc>
        <w:tc>
          <w:tcPr>
            <w:tcW w:w="111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7F79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3,358,168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50E43EDD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1,640,581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926E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1,717,587</w:t>
            </w:r>
          </w:p>
        </w:tc>
      </w:tr>
      <w:tr w:rsidR="008B263D" w:rsidRPr="001B25CA" w14:paraId="11302198" w14:textId="77777777" w:rsidTr="009F4174">
        <w:trPr>
          <w:trHeight w:val="716"/>
        </w:trPr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4C5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North Carolina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992C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1,265,527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0CCA23D3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645,956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0C46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619,571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C33A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1,029,535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6BBA7431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526,044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59D5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503,491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3F15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3,419,352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3F5FE876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1,702,917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DCEB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1,716,435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0C59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2,573,855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4CBB782A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1,236,954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C830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1,336,901</w:t>
            </w:r>
          </w:p>
        </w:tc>
        <w:tc>
          <w:tcPr>
            <w:tcW w:w="111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A69C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7,022,742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0305B253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3,465,915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D32D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3,556,827</w:t>
            </w:r>
          </w:p>
        </w:tc>
      </w:tr>
      <w:tr w:rsidR="008B263D" w:rsidRPr="001B25CA" w14:paraId="05FBCDBB" w14:textId="77777777" w:rsidTr="009F4174">
        <w:trPr>
          <w:trHeight w:val="716"/>
        </w:trPr>
        <w:tc>
          <w:tcPr>
            <w:tcW w:w="1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902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Utah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5312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4BF4C2AA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C788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62BB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366,895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03DB6DDD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188,726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672B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178,169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92B9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1,086,820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7A657C39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551,714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9FAE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535,106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8B30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566,864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792D7405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281,451</w:t>
            </w:r>
          </w:p>
        </w:tc>
        <w:tc>
          <w:tcPr>
            <w:tcW w:w="102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DDD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285,413</w:t>
            </w:r>
          </w:p>
        </w:tc>
        <w:tc>
          <w:tcPr>
            <w:tcW w:w="111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B02B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2,020,579</w:t>
            </w:r>
          </w:p>
        </w:tc>
        <w:tc>
          <w:tcPr>
            <w:tcW w:w="1026" w:type="dxa"/>
            <w:shd w:val="clear" w:color="auto" w:fill="auto"/>
            <w:noWrap/>
            <w:vAlign w:val="center"/>
            <w:hideMark/>
          </w:tcPr>
          <w:p w14:paraId="41173AA3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1,021,891</w:t>
            </w:r>
          </w:p>
        </w:tc>
        <w:tc>
          <w:tcPr>
            <w:tcW w:w="111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50F6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998,688</w:t>
            </w:r>
          </w:p>
        </w:tc>
      </w:tr>
      <w:tr w:rsidR="008B263D" w:rsidRPr="001B25CA" w14:paraId="38C0F745" w14:textId="77777777" w:rsidTr="009F4174">
        <w:trPr>
          <w:trHeight w:val="716"/>
        </w:trPr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22AD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12FA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2,344,311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C946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1,195,462</w:t>
            </w:r>
          </w:p>
        </w:tc>
        <w:tc>
          <w:tcPr>
            <w:tcW w:w="10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7513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1,148,849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0A15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2,843,299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9999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1,455,173</w:t>
            </w:r>
          </w:p>
        </w:tc>
        <w:tc>
          <w:tcPr>
            <w:tcW w:w="10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77D9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1,388,126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7D93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9,372,151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3DA8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4,686,082</w:t>
            </w:r>
          </w:p>
        </w:tc>
        <w:tc>
          <w:tcPr>
            <w:tcW w:w="10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1F6C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4,686,069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5C11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6,633,844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FB00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3,204,648</w:t>
            </w:r>
          </w:p>
        </w:tc>
        <w:tc>
          <w:tcPr>
            <w:tcW w:w="10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0E89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3,429,196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67F2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18,849,294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A85F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9,345,903</w:t>
            </w:r>
          </w:p>
        </w:tc>
        <w:tc>
          <w:tcPr>
            <w:tcW w:w="11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2F36" w14:textId="77777777" w:rsidR="008B263D" w:rsidRPr="001B25CA" w:rsidRDefault="008B263D" w:rsidP="009F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25CA">
              <w:rPr>
                <w:rFonts w:ascii="Times New Roman" w:hAnsi="Times New Roman" w:cs="Times New Roman"/>
                <w:sz w:val="20"/>
                <w:szCs w:val="20"/>
              </w:rPr>
              <w:t>9,503,391</w:t>
            </w:r>
          </w:p>
        </w:tc>
      </w:tr>
    </w:tbl>
    <w:p w14:paraId="5DDAE4F0" w14:textId="77777777" w:rsidR="008B263D" w:rsidRPr="001B25CA" w:rsidRDefault="008B263D" w:rsidP="008B263D">
      <w:pPr>
        <w:ind w:left="-360"/>
        <w:rPr>
          <w:rFonts w:ascii="Times New Roman" w:hAnsi="Times New Roman" w:cs="Times New Roman"/>
          <w:bCs/>
          <w:sz w:val="20"/>
          <w:szCs w:val="20"/>
        </w:rPr>
      </w:pPr>
      <w:r w:rsidRPr="001B25CA">
        <w:rPr>
          <w:rFonts w:ascii="Times New Roman" w:hAnsi="Times New Roman" w:cs="Times New Roman"/>
          <w:sz w:val="16"/>
          <w:szCs w:val="16"/>
        </w:rPr>
        <w:t>*</w:t>
      </w:r>
      <w:r w:rsidRPr="001B25CA">
        <w:rPr>
          <w:rFonts w:ascii="Times New Roman" w:hAnsi="Times New Roman" w:cs="Times New Roman"/>
          <w:bCs/>
          <w:sz w:val="20"/>
          <w:szCs w:val="20"/>
        </w:rPr>
        <w:t xml:space="preserve"> The denominator for overall, age-specific, and sex-specific populations at each site was estimated by averaging 2011, 2012, and 2013 U.S. Census estimates</w:t>
      </w:r>
      <w:r w:rsidRPr="001B25CA" w:rsidDel="0077129D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14:paraId="318DA0FB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21659633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  <w:sectPr w:rsidR="008B263D" w:rsidRPr="001B25CA" w:rsidSect="008356FF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13FF446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  <w:r w:rsidRPr="001B25CA">
        <w:rPr>
          <w:rFonts w:ascii="Times New Roman" w:hAnsi="Times New Roman" w:cs="Times New Roman"/>
          <w:sz w:val="24"/>
          <w:szCs w:val="24"/>
        </w:rPr>
        <w:lastRenderedPageBreak/>
        <w:t>Supplemental Table 3. Case contribution of 1 to 64-year-olds with a CHD-related ICD-9-CM code* by data source type</w:t>
      </w:r>
      <w:r w:rsidRPr="001B25CA">
        <w:rPr>
          <w:rFonts w:ascii="Times New Roman" w:hAnsi="Times New Roman" w:cs="Times New Roman"/>
          <w:sz w:val="21"/>
          <w:szCs w:val="21"/>
          <w:shd w:val="clear" w:color="auto" w:fill="FFFFFF"/>
          <w:vertAlign w:val="superscript"/>
        </w:rPr>
        <w:t>†</w:t>
      </w:r>
      <w:r w:rsidRPr="001B25CA">
        <w:rPr>
          <w:rFonts w:ascii="Times New Roman" w:hAnsi="Times New Roman" w:cs="Times New Roman"/>
          <w:sz w:val="24"/>
          <w:szCs w:val="24"/>
        </w:rPr>
        <w:t xml:space="preserve">, overall and by surveillance site, 2011-2013 </w:t>
      </w:r>
    </w:p>
    <w:tbl>
      <w:tblPr>
        <w:tblStyle w:val="TableGrid"/>
        <w:tblW w:w="1058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0"/>
        <w:gridCol w:w="1272"/>
        <w:gridCol w:w="1491"/>
        <w:gridCol w:w="1327"/>
        <w:gridCol w:w="1327"/>
        <w:gridCol w:w="1260"/>
        <w:gridCol w:w="1363"/>
      </w:tblGrid>
      <w:tr w:rsidR="008B263D" w:rsidRPr="001B25CA" w14:paraId="4D4A7357" w14:textId="77777777" w:rsidTr="009F4174">
        <w:trPr>
          <w:trHeight w:val="783"/>
        </w:trPr>
        <w:tc>
          <w:tcPr>
            <w:tcW w:w="254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B01CA" w14:textId="77777777" w:rsidR="008B263D" w:rsidRPr="001B25CA" w:rsidRDefault="008B263D" w:rsidP="009F417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D06C7C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CO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EC389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5-county metropolitan-Atlanta, GA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04D96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11-county NY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D6634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NC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6DCB1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UT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43BD3942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Total</w:t>
            </w:r>
          </w:p>
        </w:tc>
      </w:tr>
      <w:tr w:rsidR="008B263D" w:rsidRPr="001B25CA" w14:paraId="3EF09A73" w14:textId="77777777" w:rsidTr="009F4174">
        <w:trPr>
          <w:trHeight w:val="402"/>
        </w:trPr>
        <w:tc>
          <w:tcPr>
            <w:tcW w:w="2540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7ACB1" w14:textId="77777777" w:rsidR="008B263D" w:rsidRPr="001B25CA" w:rsidRDefault="008B263D" w:rsidP="009F417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8E535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N (%)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DF31B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N (%)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405E9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N (%)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390D7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N (%)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84FBD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N (%)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967D204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N (%)</w:t>
            </w:r>
          </w:p>
        </w:tc>
      </w:tr>
      <w:tr w:rsidR="008B263D" w:rsidRPr="001B25CA" w14:paraId="467EB0AD" w14:textId="77777777" w:rsidTr="009F4174">
        <w:trPr>
          <w:trHeight w:val="391"/>
        </w:trPr>
        <w:tc>
          <w:tcPr>
            <w:tcW w:w="2540" w:type="dxa"/>
            <w:tcBorders>
              <w:top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2140E" w14:textId="77777777" w:rsidR="008B263D" w:rsidRPr="001B25CA" w:rsidRDefault="008B263D" w:rsidP="009F417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Data source type</w:t>
            </w:r>
          </w:p>
        </w:tc>
        <w:tc>
          <w:tcPr>
            <w:tcW w:w="127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A8349A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F6D7C8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C0D359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78BFF2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686CBF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0C051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B263D" w:rsidRPr="001B25CA" w14:paraId="1BAB31F0" w14:textId="77777777" w:rsidTr="009F4174">
        <w:trPr>
          <w:trHeight w:val="391"/>
        </w:trPr>
        <w:tc>
          <w:tcPr>
            <w:tcW w:w="2540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054CC11B" w14:textId="77777777" w:rsidR="008B263D" w:rsidRPr="001B25CA" w:rsidRDefault="008B263D" w:rsidP="009F417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All Payer Claims Database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8DDA1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3,695 (56.8)</w:t>
            </w:r>
          </w:p>
        </w:tc>
        <w:tc>
          <w:tcPr>
            <w:tcW w:w="149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B6BDD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5D938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B34AE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0AA16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0279F4A6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3,695 (8.7)</w:t>
            </w:r>
          </w:p>
        </w:tc>
      </w:tr>
      <w:tr w:rsidR="008B263D" w:rsidRPr="001B25CA" w14:paraId="38FBD94B" w14:textId="77777777" w:rsidTr="009F4174">
        <w:trPr>
          <w:trHeight w:val="391"/>
        </w:trPr>
        <w:tc>
          <w:tcPr>
            <w:tcW w:w="2540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11A78F6C" w14:textId="77777777" w:rsidR="008B263D" w:rsidRPr="001B25CA" w:rsidRDefault="008B263D" w:rsidP="009F417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Clinical Database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5D46F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4,788 (73.5)</w:t>
            </w:r>
          </w:p>
        </w:tc>
        <w:tc>
          <w:tcPr>
            <w:tcW w:w="149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39AFE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6,032 (72.6)</w:t>
            </w: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DAEA1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4,397 (40.7)</w:t>
            </w: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144B5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12,618 (100)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5C379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4,370 (99.2)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738CC20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32,205 (75.5)</w:t>
            </w:r>
          </w:p>
        </w:tc>
      </w:tr>
      <w:tr w:rsidR="008B263D" w:rsidRPr="001B25CA" w14:paraId="1E604BFA" w14:textId="77777777" w:rsidTr="009F4174">
        <w:trPr>
          <w:trHeight w:val="402"/>
        </w:trPr>
        <w:tc>
          <w:tcPr>
            <w:tcW w:w="2540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30CBDAC7" w14:textId="77777777" w:rsidR="008B263D" w:rsidRPr="001B25CA" w:rsidRDefault="008B263D" w:rsidP="009F417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Hospital Discharge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4D78B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9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D9B67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FA931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9,529 (88.2)</w:t>
            </w: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A906C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34DFD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2,231 (50.7)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F4392B7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11,760 (27.6)</w:t>
            </w:r>
          </w:p>
        </w:tc>
      </w:tr>
      <w:tr w:rsidR="008B263D" w:rsidRPr="001B25CA" w14:paraId="70D74B08" w14:textId="77777777" w:rsidTr="009F4174">
        <w:trPr>
          <w:trHeight w:val="391"/>
        </w:trPr>
        <w:tc>
          <w:tcPr>
            <w:tcW w:w="2540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6F4F72F6" w14:textId="77777777" w:rsidR="008B263D" w:rsidRPr="001B25CA" w:rsidRDefault="008B263D" w:rsidP="009F417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Medicaid</w:t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A2999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9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AB183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2,987 (35.9)</w:t>
            </w: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8F41E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6,885 (63.7)</w:t>
            </w: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9CA63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6073E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D408FBE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9,872 (23.1)</w:t>
            </w:r>
          </w:p>
        </w:tc>
      </w:tr>
      <w:tr w:rsidR="008B263D" w:rsidRPr="001B25CA" w14:paraId="2153DC9F" w14:textId="77777777" w:rsidTr="009F4174">
        <w:trPr>
          <w:trHeight w:val="391"/>
        </w:trPr>
        <w:tc>
          <w:tcPr>
            <w:tcW w:w="2540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0E665809" w14:textId="77777777" w:rsidR="008B263D" w:rsidRPr="001B25CA" w:rsidRDefault="008B263D" w:rsidP="009F417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Surgical Database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C1AEE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9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1BEC8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437 (5.3)</w:t>
            </w: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0B979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3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8475A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60CDB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6147FA22" w14:textId="77777777" w:rsidR="008B263D" w:rsidRPr="001B25CA" w:rsidRDefault="008B263D" w:rsidP="009F417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25CA">
              <w:rPr>
                <w:rFonts w:ascii="Times New Roman" w:eastAsia="Times New Roman" w:hAnsi="Times New Roman" w:cs="Times New Roman"/>
                <w:sz w:val="21"/>
                <w:szCs w:val="21"/>
              </w:rPr>
              <w:t>437 (1)</w:t>
            </w:r>
          </w:p>
        </w:tc>
      </w:tr>
    </w:tbl>
    <w:p w14:paraId="29437350" w14:textId="77777777" w:rsidR="008B263D" w:rsidRPr="001B25CA" w:rsidRDefault="008B263D" w:rsidP="008B263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B25CA">
        <w:rPr>
          <w:rFonts w:ascii="Times New Roman" w:hAnsi="Times New Roman" w:cs="Times New Roman"/>
          <w:sz w:val="18"/>
          <w:szCs w:val="18"/>
        </w:rPr>
        <w:t>*Excluding isolated 745.5, 745.5 co-occurring with a non-specific CHD code, or ≥ 1 non-specific CHD code</w:t>
      </w:r>
    </w:p>
    <w:p w14:paraId="1BAB9CB5" w14:textId="77777777" w:rsidR="008B263D" w:rsidRPr="001B25CA" w:rsidRDefault="008B263D" w:rsidP="008B263D">
      <w:pPr>
        <w:rPr>
          <w:rFonts w:ascii="Times New Roman" w:hAnsi="Times New Roman" w:cs="Times New Roman"/>
          <w:sz w:val="18"/>
          <w:szCs w:val="18"/>
        </w:rPr>
      </w:pPr>
      <w:r w:rsidRPr="001B25CA">
        <w:rPr>
          <w:rFonts w:ascii="Times New Roman" w:hAnsi="Times New Roman" w:cs="Times New Roman"/>
          <w:sz w:val="21"/>
          <w:szCs w:val="21"/>
          <w:shd w:val="clear" w:color="auto" w:fill="FFFFFF"/>
          <w:vertAlign w:val="superscript"/>
        </w:rPr>
        <w:t>†</w:t>
      </w:r>
      <w:r w:rsidRPr="001B25CA">
        <w:rPr>
          <w:rFonts w:ascii="Times New Roman" w:hAnsi="Times New Roman" w:cs="Times New Roman"/>
          <w:sz w:val="18"/>
          <w:szCs w:val="18"/>
        </w:rPr>
        <w:t>Individuals may appear in one or more data source</w:t>
      </w:r>
    </w:p>
    <w:p w14:paraId="21A77AA9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311973FF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3883C5DE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324AB363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76D0995B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3B982155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56439BA9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7AB77DCE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6C6238C0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0F2813C4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0F8AFCFB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6217D431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47343FAE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3A7BD4EC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3BA42BFD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243862FA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2239D109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1F15134C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069219F6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2DFAB38E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  <w:r w:rsidRPr="001B25CA">
        <w:rPr>
          <w:rFonts w:ascii="Times New Roman" w:hAnsi="Times New Roman" w:cs="Times New Roman"/>
          <w:sz w:val="24"/>
          <w:szCs w:val="24"/>
        </w:rPr>
        <w:t>Supplemental Figure 1. Percentage by age group of 1 to 64-year-olds with a non-severe CHD-related ICD-9-CM code* per 1,000 individuals, total and sex-specific, 5 sites</w:t>
      </w:r>
      <w:r w:rsidRPr="001B25CA">
        <w:rPr>
          <w:rFonts w:ascii="Times New Roman" w:hAnsi="Times New Roman" w:cs="Times New Roman"/>
          <w:sz w:val="21"/>
          <w:szCs w:val="21"/>
          <w:shd w:val="clear" w:color="auto" w:fill="FFFFFF"/>
          <w:vertAlign w:val="superscript"/>
        </w:rPr>
        <w:t>†</w:t>
      </w:r>
      <w:r w:rsidRPr="001B25CA">
        <w:rPr>
          <w:rFonts w:ascii="Times New Roman" w:hAnsi="Times New Roman" w:cs="Times New Roman"/>
          <w:sz w:val="24"/>
          <w:szCs w:val="24"/>
        </w:rPr>
        <w:t>, 2011-2013</w:t>
      </w:r>
    </w:p>
    <w:p w14:paraId="05C7297A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  <w:r w:rsidRPr="001B25CA">
        <w:rPr>
          <w:noProof/>
          <w:lang w:eastAsia="en-IN"/>
        </w:rPr>
        <w:drawing>
          <wp:inline distT="0" distB="0" distL="0" distR="0" wp14:anchorId="18280ED4" wp14:editId="53CD9216">
            <wp:extent cx="6661150" cy="3731260"/>
            <wp:effectExtent l="0" t="0" r="6350" b="254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DA59FD9D-382D-4344-9646-8FC4F9C5F12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48EED75" w14:textId="77777777" w:rsidR="008B263D" w:rsidRPr="001B25CA" w:rsidRDefault="008B263D" w:rsidP="008B263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25CA">
        <w:rPr>
          <w:rFonts w:ascii="Times New Roman" w:hAnsi="Times New Roman" w:cs="Times New Roman"/>
          <w:sz w:val="20"/>
          <w:szCs w:val="20"/>
        </w:rPr>
        <w:t>*Excluding isolated 745.5, 745.5 co-occurring with a non-specific CHD code, or ≥ 1 non-specific CHD code</w:t>
      </w:r>
    </w:p>
    <w:p w14:paraId="3A388DED" w14:textId="77777777" w:rsidR="008B263D" w:rsidRPr="001B25CA" w:rsidRDefault="008B263D" w:rsidP="008B263D">
      <w:pPr>
        <w:spacing w:after="0" w:line="240" w:lineRule="auto"/>
        <w:ind w:left="90" w:hanging="90"/>
        <w:rPr>
          <w:rFonts w:ascii="Times New Roman" w:hAnsi="Times New Roman" w:cs="Times New Roman"/>
          <w:sz w:val="20"/>
          <w:szCs w:val="20"/>
        </w:rPr>
      </w:pPr>
      <w:r w:rsidRPr="001B25CA">
        <w:rPr>
          <w:rFonts w:ascii="Times New Roman" w:hAnsi="Times New Roman" w:cs="Times New Roman"/>
          <w:sz w:val="20"/>
          <w:szCs w:val="20"/>
          <w:shd w:val="clear" w:color="auto" w:fill="FFFFFF"/>
          <w:vertAlign w:val="superscript"/>
        </w:rPr>
        <w:t>†</w:t>
      </w:r>
      <w:r w:rsidRPr="001B25CA">
        <w:rPr>
          <w:rFonts w:ascii="Times New Roman" w:hAnsi="Times New Roman" w:cs="Times New Roman"/>
          <w:sz w:val="20"/>
          <w:szCs w:val="20"/>
          <w:shd w:val="clear" w:color="auto" w:fill="FFFFFF"/>
        </w:rPr>
        <w:t>Estimate</w:t>
      </w:r>
      <w:r w:rsidRPr="001B25CA">
        <w:rPr>
          <w:rFonts w:ascii="Times New Roman" w:hAnsi="Times New Roman" w:cs="Times New Roman"/>
          <w:sz w:val="20"/>
          <w:szCs w:val="20"/>
          <w:shd w:val="clear" w:color="auto" w:fill="FFFFFF"/>
          <w:vertAlign w:val="superscript"/>
        </w:rPr>
        <w:t xml:space="preserve"> </w:t>
      </w:r>
      <w:r w:rsidRPr="001B25CA">
        <w:rPr>
          <w:rFonts w:ascii="Times New Roman" w:hAnsi="Times New Roman" w:cs="Times New Roman"/>
          <w:sz w:val="20"/>
          <w:szCs w:val="20"/>
        </w:rPr>
        <w:t xml:space="preserve">for 1 to 10-year-olds based on 3 sites: 5-county metropolitan-Atlanta, GA, 11 counties in NY state, </w:t>
      </w:r>
      <w:proofErr w:type="spellStart"/>
      <w:r w:rsidRPr="001B25CA">
        <w:rPr>
          <w:rFonts w:ascii="Times New Roman" w:hAnsi="Times New Roman" w:cs="Times New Roman"/>
          <w:sz w:val="20"/>
          <w:szCs w:val="20"/>
        </w:rPr>
        <w:t>statewide</w:t>
      </w:r>
      <w:proofErr w:type="spellEnd"/>
      <w:r w:rsidRPr="001B25CA">
        <w:rPr>
          <w:rFonts w:ascii="Times New Roman" w:hAnsi="Times New Roman" w:cs="Times New Roman"/>
          <w:sz w:val="20"/>
          <w:szCs w:val="20"/>
        </w:rPr>
        <w:t xml:space="preserve"> in NC; 11-18, 19-44, and 45-64-year-old estimates based on 5 sites: </w:t>
      </w:r>
      <w:proofErr w:type="spellStart"/>
      <w:r w:rsidRPr="001B25CA">
        <w:rPr>
          <w:rFonts w:ascii="Times New Roman" w:hAnsi="Times New Roman" w:cs="Times New Roman"/>
          <w:sz w:val="20"/>
          <w:szCs w:val="20"/>
        </w:rPr>
        <w:t>statewide</w:t>
      </w:r>
      <w:proofErr w:type="spellEnd"/>
      <w:r w:rsidRPr="001B25CA">
        <w:rPr>
          <w:rFonts w:ascii="Times New Roman" w:hAnsi="Times New Roman" w:cs="Times New Roman"/>
          <w:sz w:val="20"/>
          <w:szCs w:val="20"/>
        </w:rPr>
        <w:t xml:space="preserve"> in CO, 5-county metropolitan-Atlanta, GA, 11 counties in NY state, </w:t>
      </w:r>
      <w:proofErr w:type="spellStart"/>
      <w:r w:rsidRPr="001B25CA">
        <w:rPr>
          <w:rFonts w:ascii="Times New Roman" w:hAnsi="Times New Roman" w:cs="Times New Roman"/>
          <w:sz w:val="20"/>
          <w:szCs w:val="20"/>
        </w:rPr>
        <w:t>statewide</w:t>
      </w:r>
      <w:proofErr w:type="spellEnd"/>
      <w:r w:rsidRPr="001B25CA">
        <w:rPr>
          <w:rFonts w:ascii="Times New Roman" w:hAnsi="Times New Roman" w:cs="Times New Roman"/>
          <w:sz w:val="20"/>
          <w:szCs w:val="20"/>
        </w:rPr>
        <w:t xml:space="preserve"> in NC, and </w:t>
      </w:r>
      <w:proofErr w:type="spellStart"/>
      <w:r w:rsidRPr="001B25CA">
        <w:rPr>
          <w:rFonts w:ascii="Times New Roman" w:hAnsi="Times New Roman" w:cs="Times New Roman"/>
          <w:sz w:val="20"/>
          <w:szCs w:val="20"/>
        </w:rPr>
        <w:t>statewide</w:t>
      </w:r>
      <w:proofErr w:type="spellEnd"/>
      <w:r w:rsidRPr="001B25CA">
        <w:rPr>
          <w:rFonts w:ascii="Times New Roman" w:hAnsi="Times New Roman" w:cs="Times New Roman"/>
          <w:sz w:val="20"/>
          <w:szCs w:val="20"/>
        </w:rPr>
        <w:t xml:space="preserve"> in UT.</w:t>
      </w:r>
    </w:p>
    <w:p w14:paraId="26A99092" w14:textId="77777777" w:rsidR="008B263D" w:rsidRPr="001B25CA" w:rsidRDefault="008B263D" w:rsidP="008B263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1BF1DA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151A169C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24E20D0E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0F1B9646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3060BA25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09D1F88F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573934A1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48A4E48C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78E0A373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5CEB75C0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50113412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3F0770E7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  <w:r w:rsidRPr="001B25CA">
        <w:rPr>
          <w:rFonts w:ascii="Times New Roman" w:hAnsi="Times New Roman" w:cs="Times New Roman"/>
          <w:sz w:val="24"/>
          <w:szCs w:val="24"/>
        </w:rPr>
        <w:t>Central Illustration. Percentage by age group of 1 to 64-year-olds with a CHD-related ICD-9-CM code* per 1,000 individuals, total and by CHD severity</w:t>
      </w:r>
      <w:r w:rsidRPr="001B25CA">
        <w:rPr>
          <w:rFonts w:ascii="Times New Roman" w:hAnsi="Times New Roman" w:cs="Times New Roman"/>
          <w:sz w:val="21"/>
          <w:szCs w:val="21"/>
          <w:shd w:val="clear" w:color="auto" w:fill="FFFFFF"/>
          <w:vertAlign w:val="superscript"/>
        </w:rPr>
        <w:t>†</w:t>
      </w:r>
      <w:r w:rsidRPr="001B25CA">
        <w:rPr>
          <w:rFonts w:ascii="Times New Roman" w:hAnsi="Times New Roman" w:cs="Times New Roman"/>
          <w:sz w:val="24"/>
          <w:szCs w:val="24"/>
        </w:rPr>
        <w:t>, 5 sites</w:t>
      </w:r>
      <w:r w:rsidRPr="001B25CA">
        <w:rPr>
          <w:rFonts w:ascii="Arial" w:hAnsi="Arial" w:cs="Arial"/>
          <w:sz w:val="16"/>
          <w:szCs w:val="16"/>
          <w:shd w:val="clear" w:color="auto" w:fill="FFFFFF"/>
          <w:vertAlign w:val="superscript"/>
        </w:rPr>
        <w:t>‡</w:t>
      </w:r>
      <w:r w:rsidRPr="001B25CA">
        <w:rPr>
          <w:rFonts w:ascii="Times New Roman" w:hAnsi="Times New Roman" w:cs="Times New Roman"/>
          <w:sz w:val="24"/>
          <w:szCs w:val="24"/>
        </w:rPr>
        <w:t>, 2011-2013</w:t>
      </w:r>
    </w:p>
    <w:p w14:paraId="1B832A02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  <w:r w:rsidRPr="001B25CA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 wp14:anchorId="106A433E" wp14:editId="57A24E8E">
            <wp:extent cx="5943600" cy="4333875"/>
            <wp:effectExtent l="0" t="0" r="0" b="9525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2E88E1DB-4C5C-479E-A0F4-5EEC20D63C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1EF4B46" w14:textId="77777777" w:rsidR="008B263D" w:rsidRPr="001B25CA" w:rsidRDefault="008B263D" w:rsidP="008B263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25CA">
        <w:rPr>
          <w:rFonts w:ascii="Times New Roman" w:hAnsi="Times New Roman" w:cs="Times New Roman"/>
          <w:sz w:val="20"/>
          <w:szCs w:val="20"/>
        </w:rPr>
        <w:t>*Excluding isolated 745.5, 745.5 co-occurring with a non-specific CHD code, or ≥ 1 non-specific CHD code</w:t>
      </w:r>
    </w:p>
    <w:p w14:paraId="242766EB" w14:textId="77777777" w:rsidR="008B263D" w:rsidRPr="001B25CA" w:rsidRDefault="008B263D" w:rsidP="008B263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1B25CA">
        <w:rPr>
          <w:rFonts w:ascii="Times New Roman" w:hAnsi="Times New Roman" w:cs="Times New Roman"/>
          <w:sz w:val="20"/>
          <w:szCs w:val="20"/>
          <w:shd w:val="clear" w:color="auto" w:fill="FFFFFF"/>
          <w:vertAlign w:val="superscript"/>
        </w:rPr>
        <w:t>†</w:t>
      </w:r>
      <w:r w:rsidRPr="001B25C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Non-severe = </w:t>
      </w:r>
      <w:r w:rsidRPr="001B25CA">
        <w:rPr>
          <w:rFonts w:ascii="Times New Roman" w:hAnsi="Times New Roman" w:cs="Times New Roman"/>
          <w:sz w:val="20"/>
          <w:szCs w:val="20"/>
        </w:rPr>
        <w:t xml:space="preserve">shunt + valve, valve, and shunt categories </w:t>
      </w:r>
      <w:r w:rsidRPr="001B25CA">
        <w:rPr>
          <w:rFonts w:ascii="Times New Roman" w:hAnsi="Times New Roman" w:cs="Times New Roman"/>
          <w:bCs/>
          <w:sz w:val="20"/>
          <w:szCs w:val="20"/>
        </w:rPr>
        <w:t>combined</w:t>
      </w:r>
    </w:p>
    <w:p w14:paraId="16A3F87A" w14:textId="77777777" w:rsidR="008B263D" w:rsidRPr="001B25CA" w:rsidRDefault="008B263D" w:rsidP="008B263D">
      <w:pPr>
        <w:spacing w:after="0" w:line="240" w:lineRule="auto"/>
        <w:rPr>
          <w:rFonts w:ascii="Times New Roman" w:hAnsi="Times New Roman" w:cs="Times New Roman"/>
          <w:sz w:val="20"/>
          <w:szCs w:val="16"/>
        </w:rPr>
      </w:pPr>
      <w:r w:rsidRPr="001B25CA">
        <w:rPr>
          <w:rFonts w:ascii="Arial" w:hAnsi="Arial" w:cs="Arial"/>
          <w:sz w:val="16"/>
          <w:szCs w:val="16"/>
          <w:shd w:val="clear" w:color="auto" w:fill="FFFFFF"/>
          <w:vertAlign w:val="superscript"/>
        </w:rPr>
        <w:t>‡</w:t>
      </w:r>
      <w:r w:rsidRPr="001B25CA">
        <w:rPr>
          <w:rFonts w:ascii="Times New Roman" w:hAnsi="Times New Roman" w:cs="Times New Roman"/>
          <w:sz w:val="20"/>
          <w:szCs w:val="16"/>
          <w:shd w:val="clear" w:color="auto" w:fill="FFFFFF"/>
        </w:rPr>
        <w:t>Estimate</w:t>
      </w:r>
      <w:r w:rsidRPr="001B25CA">
        <w:rPr>
          <w:rFonts w:ascii="Times New Roman" w:hAnsi="Times New Roman" w:cs="Times New Roman"/>
          <w:sz w:val="20"/>
          <w:szCs w:val="16"/>
          <w:shd w:val="clear" w:color="auto" w:fill="FFFFFF"/>
          <w:vertAlign w:val="superscript"/>
        </w:rPr>
        <w:t xml:space="preserve"> </w:t>
      </w:r>
      <w:r w:rsidRPr="001B25CA">
        <w:rPr>
          <w:rFonts w:ascii="Times New Roman" w:hAnsi="Times New Roman" w:cs="Times New Roman"/>
          <w:sz w:val="20"/>
          <w:szCs w:val="16"/>
        </w:rPr>
        <w:t xml:space="preserve">for 1 to 10-year-olds based on 3 sites: 5-county metropolitan-Atlanta, GA, 11 counties in NY state, </w:t>
      </w:r>
      <w:proofErr w:type="spellStart"/>
      <w:r w:rsidRPr="001B25CA">
        <w:rPr>
          <w:rFonts w:ascii="Times New Roman" w:hAnsi="Times New Roman" w:cs="Times New Roman"/>
          <w:sz w:val="20"/>
          <w:szCs w:val="16"/>
        </w:rPr>
        <w:t>statewide</w:t>
      </w:r>
      <w:proofErr w:type="spellEnd"/>
      <w:r w:rsidRPr="001B25CA">
        <w:rPr>
          <w:rFonts w:ascii="Times New Roman" w:hAnsi="Times New Roman" w:cs="Times New Roman"/>
          <w:sz w:val="20"/>
          <w:szCs w:val="16"/>
        </w:rPr>
        <w:t xml:space="preserve"> in NC; 11-18, 19-44, and 45-64-year-old estimates based on 5 sites: </w:t>
      </w:r>
      <w:proofErr w:type="spellStart"/>
      <w:r w:rsidRPr="001B25CA">
        <w:rPr>
          <w:rFonts w:ascii="Times New Roman" w:hAnsi="Times New Roman" w:cs="Times New Roman"/>
          <w:sz w:val="20"/>
          <w:szCs w:val="16"/>
        </w:rPr>
        <w:t>statewide</w:t>
      </w:r>
      <w:proofErr w:type="spellEnd"/>
      <w:r w:rsidRPr="001B25CA">
        <w:rPr>
          <w:rFonts w:ascii="Times New Roman" w:hAnsi="Times New Roman" w:cs="Times New Roman"/>
          <w:sz w:val="20"/>
          <w:szCs w:val="16"/>
        </w:rPr>
        <w:t xml:space="preserve"> in CO, 5-county metropolitan-Atlanta, GA, 11 counties in NY state, </w:t>
      </w:r>
      <w:proofErr w:type="spellStart"/>
      <w:r w:rsidRPr="001B25CA">
        <w:rPr>
          <w:rFonts w:ascii="Times New Roman" w:hAnsi="Times New Roman" w:cs="Times New Roman"/>
          <w:sz w:val="20"/>
          <w:szCs w:val="16"/>
        </w:rPr>
        <w:t>statewide</w:t>
      </w:r>
      <w:proofErr w:type="spellEnd"/>
      <w:r w:rsidRPr="001B25CA">
        <w:rPr>
          <w:rFonts w:ascii="Times New Roman" w:hAnsi="Times New Roman" w:cs="Times New Roman"/>
          <w:sz w:val="20"/>
          <w:szCs w:val="16"/>
        </w:rPr>
        <w:t xml:space="preserve"> in NC, and </w:t>
      </w:r>
      <w:proofErr w:type="spellStart"/>
      <w:r w:rsidRPr="001B25CA">
        <w:rPr>
          <w:rFonts w:ascii="Times New Roman" w:hAnsi="Times New Roman" w:cs="Times New Roman"/>
          <w:sz w:val="20"/>
          <w:szCs w:val="16"/>
        </w:rPr>
        <w:t>statewide</w:t>
      </w:r>
      <w:proofErr w:type="spellEnd"/>
      <w:r w:rsidRPr="001B25CA">
        <w:rPr>
          <w:rFonts w:ascii="Times New Roman" w:hAnsi="Times New Roman" w:cs="Times New Roman"/>
          <w:sz w:val="20"/>
          <w:szCs w:val="16"/>
        </w:rPr>
        <w:t xml:space="preserve"> in UT.</w:t>
      </w:r>
    </w:p>
    <w:p w14:paraId="2B800F27" w14:textId="77777777" w:rsidR="008B263D" w:rsidRPr="001B25CA" w:rsidRDefault="008B263D" w:rsidP="008B263D">
      <w:pPr>
        <w:rPr>
          <w:rFonts w:ascii="Times New Roman" w:hAnsi="Times New Roman" w:cs="Times New Roman"/>
          <w:sz w:val="24"/>
          <w:szCs w:val="24"/>
        </w:rPr>
      </w:pPr>
    </w:p>
    <w:p w14:paraId="6AD212CC" w14:textId="77777777" w:rsidR="000F0882" w:rsidRDefault="000F0882"/>
    <w:sectPr w:rsidR="000F08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8B495" w14:textId="77777777" w:rsidR="00085B25" w:rsidRDefault="00085B25" w:rsidP="00085B25">
      <w:pPr>
        <w:spacing w:after="0" w:line="240" w:lineRule="auto"/>
      </w:pPr>
      <w:r>
        <w:separator/>
      </w:r>
    </w:p>
  </w:endnote>
  <w:endnote w:type="continuationSeparator" w:id="0">
    <w:p w14:paraId="12574E2A" w14:textId="77777777" w:rsidR="00085B25" w:rsidRDefault="00085B25" w:rsidP="0008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761F" w14:textId="77777777" w:rsidR="00085B25" w:rsidRDefault="00085B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A980" w14:textId="77777777" w:rsidR="00085B25" w:rsidRDefault="00085B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E05E8" w14:textId="77777777" w:rsidR="00085B25" w:rsidRDefault="00085B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7D487" w14:textId="77777777" w:rsidR="00085B25" w:rsidRDefault="00085B25" w:rsidP="00085B25">
      <w:pPr>
        <w:spacing w:after="0" w:line="240" w:lineRule="auto"/>
      </w:pPr>
      <w:r>
        <w:separator/>
      </w:r>
    </w:p>
  </w:footnote>
  <w:footnote w:type="continuationSeparator" w:id="0">
    <w:p w14:paraId="76838B7A" w14:textId="77777777" w:rsidR="00085B25" w:rsidRDefault="00085B25" w:rsidP="0008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95472" w14:textId="77777777" w:rsidR="00085B25" w:rsidRDefault="00085B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0AA5" w14:textId="77777777" w:rsidR="00085B25" w:rsidRDefault="00085B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31C4D" w14:textId="77777777" w:rsidR="00085B25" w:rsidRDefault="00085B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63D"/>
    <w:rsid w:val="00085B25"/>
    <w:rsid w:val="000F0882"/>
    <w:rsid w:val="008B263D"/>
    <w:rsid w:val="00A424C4"/>
    <w:rsid w:val="00DE3710"/>
    <w:rsid w:val="00FA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79C04"/>
  <w15:docId w15:val="{22DD8D46-5A07-4551-96C3-71A86FD7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263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8B263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urth-digitLevel">
    <w:name w:val="Fourth-digit Level"/>
    <w:uiPriority w:val="99"/>
    <w:rsid w:val="008B263D"/>
    <w:pPr>
      <w:widowControl w:val="0"/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</w:tabs>
      <w:autoSpaceDE w:val="0"/>
      <w:autoSpaceDN w:val="0"/>
      <w:adjustRightInd w:val="0"/>
      <w:spacing w:before="180" w:after="0" w:line="240" w:lineRule="auto"/>
      <w:ind w:left="2160" w:hanging="1440"/>
    </w:pPr>
    <w:rPr>
      <w:rFonts w:ascii="Arial" w:eastAsiaTheme="minorEastAsia" w:hAnsi="Arial" w:cs="Arial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6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5B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B25"/>
  </w:style>
  <w:style w:type="paragraph" w:styleId="Footer">
    <w:name w:val="footer"/>
    <w:basedOn w:val="Normal"/>
    <w:link w:val="FooterChar"/>
    <w:uiPriority w:val="99"/>
    <w:unhideWhenUsed/>
    <w:rsid w:val="00085B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hart" Target="charts/chart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cdc.gov\private\L317\iyp0\CHD%20SURVEILLANCE%20%232\Prevalence%20Paper\NS_sexgraph_Age%20x%20Sex%20x%20Severity%20Prev%207.17.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1830358979422244E-2"/>
          <c:y val="0.11572498298162015"/>
          <c:w val="0.89518113527345133"/>
          <c:h val="0.739402239457984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Sheet2!$B$1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Sheet2!$A$2:$A$5</c:f>
              <c:strCache>
                <c:ptCount val="4"/>
                <c:pt idx="0">
                  <c:v>1-10</c:v>
                </c:pt>
                <c:pt idx="1">
                  <c:v>11-18</c:v>
                </c:pt>
                <c:pt idx="2">
                  <c:v>19-44</c:v>
                </c:pt>
                <c:pt idx="3">
                  <c:v>45-64</c:v>
                </c:pt>
              </c:strCache>
            </c:strRef>
          </c:cat>
          <c:val>
            <c:numRef>
              <c:f>Sheet2!$B$2:$B$5</c:f>
              <c:numCache>
                <c:formatCode>General</c:formatCode>
                <c:ptCount val="4"/>
                <c:pt idx="0">
                  <c:v>4.8</c:v>
                </c:pt>
                <c:pt idx="1">
                  <c:v>2.46</c:v>
                </c:pt>
                <c:pt idx="2">
                  <c:v>0.84</c:v>
                </c:pt>
                <c:pt idx="3">
                  <c:v>0.97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2F-4210-AAFD-70F557AE6583}"/>
            </c:ext>
          </c:extLst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Male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Sheet2!$A$2:$A$5</c:f>
              <c:strCache>
                <c:ptCount val="4"/>
                <c:pt idx="0">
                  <c:v>1-10</c:v>
                </c:pt>
                <c:pt idx="1">
                  <c:v>11-18</c:v>
                </c:pt>
                <c:pt idx="2">
                  <c:v>19-44</c:v>
                </c:pt>
                <c:pt idx="3">
                  <c:v>45-64</c:v>
                </c:pt>
              </c:strCache>
            </c:strRef>
          </c:cat>
          <c:val>
            <c:numRef>
              <c:f>Sheet2!$C$2:$C$5</c:f>
              <c:numCache>
                <c:formatCode>General</c:formatCode>
                <c:ptCount val="4"/>
                <c:pt idx="0">
                  <c:v>4.7</c:v>
                </c:pt>
                <c:pt idx="1">
                  <c:v>2.7</c:v>
                </c:pt>
                <c:pt idx="2">
                  <c:v>0.7</c:v>
                </c:pt>
                <c:pt idx="3">
                  <c:v>1.1000000000000001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E2F-4210-AAFD-70F557AE6583}"/>
            </c:ext>
          </c:extLst>
        </c:ser>
        <c:ser>
          <c:idx val="2"/>
          <c:order val="2"/>
          <c:tx>
            <c:strRef>
              <c:f>Sheet2!$D$1</c:f>
              <c:strCache>
                <c:ptCount val="1"/>
                <c:pt idx="0">
                  <c:v>Female</c:v>
                </c:pt>
              </c:strCache>
            </c:strRef>
          </c:tx>
          <c:spPr>
            <a:solidFill>
              <a:schemeClr val="tx1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Sheet2!$A$2:$A$5</c:f>
              <c:strCache>
                <c:ptCount val="4"/>
                <c:pt idx="0">
                  <c:v>1-10</c:v>
                </c:pt>
                <c:pt idx="1">
                  <c:v>11-18</c:v>
                </c:pt>
                <c:pt idx="2">
                  <c:v>19-44</c:v>
                </c:pt>
                <c:pt idx="3">
                  <c:v>45-64</c:v>
                </c:pt>
              </c:strCache>
            </c:strRef>
          </c:cat>
          <c:val>
            <c:numRef>
              <c:f>Sheet2!$D$2:$D$5</c:f>
              <c:numCache>
                <c:formatCode>General</c:formatCode>
                <c:ptCount val="4"/>
                <c:pt idx="0">
                  <c:v>4.9000000000000004</c:v>
                </c:pt>
                <c:pt idx="1">
                  <c:v>2.1</c:v>
                </c:pt>
                <c:pt idx="2">
                  <c:v>0.9</c:v>
                </c:pt>
                <c:pt idx="3">
                  <c:v>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E2F-4210-AAFD-70F557AE65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8937344"/>
        <c:axId val="168939520"/>
      </c:barChart>
      <c:catAx>
        <c:axId val="1689373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/>
                  <a:t>Age Group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168939520"/>
        <c:crosses val="autoZero"/>
        <c:auto val="1"/>
        <c:lblAlgn val="ctr"/>
        <c:lblOffset val="100"/>
        <c:noMultiLvlLbl val="0"/>
      </c:catAx>
      <c:valAx>
        <c:axId val="16893952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/>
                  <a:t>Prevalence per 1,000</a:t>
                </a:r>
              </a:p>
            </c:rich>
          </c:tx>
          <c:layout>
            <c:manualLayout>
              <c:xMode val="edge"/>
              <c:yMode val="edge"/>
              <c:x val="1.0396991912061148E-2"/>
              <c:y val="0.33125646564431316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168937344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layout>
        <c:manualLayout>
          <c:xMode val="edge"/>
          <c:yMode val="edge"/>
          <c:x val="0.31946881247994469"/>
          <c:y val="9.2917673922481958E-4"/>
          <c:w val="0.33849146981627298"/>
          <c:h val="0.1352652991214763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2">
          <a:lumMod val="90000"/>
        </a:schemeClr>
      </a:solidFill>
      <a:round/>
    </a:ln>
    <a:effectLst/>
  </c:spPr>
  <c:txPr>
    <a:bodyPr/>
    <a:lstStyle/>
    <a:p>
      <a:pPr>
        <a:defRPr sz="1100" b="0" i="0" baseline="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369517581444065"/>
          <c:y val="2.7076365952084167E-2"/>
          <c:w val="0.85040233055242131"/>
          <c:h val="0.8169419472370718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Total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  <a:prstDash val="dash"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1-10</c:v>
                </c:pt>
                <c:pt idx="1">
                  <c:v>11-18</c:v>
                </c:pt>
                <c:pt idx="2">
                  <c:v>19-44</c:v>
                </c:pt>
                <c:pt idx="3">
                  <c:v>45-64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6.36</c:v>
                </c:pt>
                <c:pt idx="1">
                  <c:v>3.35</c:v>
                </c:pt>
                <c:pt idx="2">
                  <c:v>1.18</c:v>
                </c:pt>
                <c:pt idx="3">
                  <c:v>1.07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10-42AA-B484-49B346864F4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Severe</c:v>
                </c:pt>
              </c:strCache>
            </c:strRef>
          </c:tx>
          <c:spPr>
            <a:pattFill prst="dashHorz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  <a:prstDash val="solid"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fld id="{2755E193-C3C2-47E1-B1EC-E0040F04636F}" type="VALUE">
                      <a:rPr lang="en-US" sz="1100" baseline="0"/>
                      <a:pPr/>
                      <a:t>[VALUE]</a:t>
                    </a:fld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1F10-42AA-B484-49B346864F4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1-10</c:v>
                </c:pt>
                <c:pt idx="1">
                  <c:v>11-18</c:v>
                </c:pt>
                <c:pt idx="2">
                  <c:v>19-44</c:v>
                </c:pt>
                <c:pt idx="3">
                  <c:v>45-64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1.56</c:v>
                </c:pt>
                <c:pt idx="1">
                  <c:v>0.89</c:v>
                </c:pt>
                <c:pt idx="2">
                  <c:v>0.34</c:v>
                </c:pt>
                <c:pt idx="3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F10-42AA-B484-49B346864F4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Non-severe</c:v>
                </c:pt>
              </c:strCache>
            </c:strRef>
          </c:tx>
          <c:spPr>
            <a:pattFill prst="dotGrid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  <a:prstDash val="sysDot"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1-10</c:v>
                </c:pt>
                <c:pt idx="1">
                  <c:v>11-18</c:v>
                </c:pt>
                <c:pt idx="2">
                  <c:v>19-44</c:v>
                </c:pt>
                <c:pt idx="3">
                  <c:v>45-64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4.8</c:v>
                </c:pt>
                <c:pt idx="1">
                  <c:v>2.46</c:v>
                </c:pt>
                <c:pt idx="2">
                  <c:v>0.84</c:v>
                </c:pt>
                <c:pt idx="3">
                  <c:v>0.97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F10-42AA-B484-49B346864F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9264128"/>
        <c:axId val="219266048"/>
      </c:barChart>
      <c:catAx>
        <c:axId val="2192641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5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 b="0" i="0" baseline="0" dirty="0">
                    <a:solidFill>
                      <a:srgbClr val="000000"/>
                    </a:solidFill>
                    <a:latin typeface="Times New Roman" panose="02020603050405020304" pitchFamily="18" charset="0"/>
                  </a:rPr>
                  <a:t>Age Group</a:t>
                </a:r>
              </a:p>
            </c:rich>
          </c:tx>
          <c:layout>
            <c:manualLayout>
              <c:xMode val="edge"/>
              <c:yMode val="edge"/>
              <c:x val="0.47921707855307943"/>
              <c:y val="0.93753719045988815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rgbClr val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en-US"/>
          </a:p>
        </c:txPr>
        <c:crossAx val="219266048"/>
        <c:crosses val="autoZero"/>
        <c:auto val="1"/>
        <c:lblAlgn val="ctr"/>
        <c:lblOffset val="100"/>
        <c:noMultiLvlLbl val="0"/>
      </c:catAx>
      <c:valAx>
        <c:axId val="21926604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5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 b="0" baseline="0" dirty="0">
                    <a:solidFill>
                      <a:srgbClr val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Prevalence per 1,000</a:t>
                </a:r>
              </a:p>
            </c:rich>
          </c:tx>
          <c:layout>
            <c:manualLayout>
              <c:xMode val="edge"/>
              <c:yMode val="edge"/>
              <c:x val="1.028295978835528E-2"/>
              <c:y val="0.3709896610749743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rgbClr val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en-US"/>
          </a:p>
        </c:txPr>
        <c:crossAx val="21926412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7917844404064877"/>
          <c:y val="0.26421251189755129"/>
          <c:w val="0.37619523521098325"/>
          <c:h val="8.808237431859479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rgbClr val="000000"/>
              </a:solidFill>
              <a:latin typeface="Times New Roman" panose="0202060305040502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962</Words>
  <Characters>5484</Characters>
  <Application>Microsoft Office Word</Application>
  <DocSecurity>0</DocSecurity>
  <Lines>45</Lines>
  <Paragraphs>12</Paragraphs>
  <ScaleCrop>false</ScaleCrop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 Edit 6.0</dc:creator>
  <cp:lastModifiedBy>Wade, Diane (CDC/DDNID/NCBDDD/OD) (CTR)</cp:lastModifiedBy>
  <cp:revision>2</cp:revision>
  <dcterms:created xsi:type="dcterms:W3CDTF">2022-04-21T21:35:00Z</dcterms:created>
  <dcterms:modified xsi:type="dcterms:W3CDTF">2022-04-21T21:35:00Z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2022-04-21T21:34:30Z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a6a92d68-c447-41a0-b21a-de78e96beeaf</vt:lpwstr>
  </property>
  <property fmtid="{D5CDD505-2E9C-101B-9397-08002B2CF9AE}" pid="8" name="MSIP_Label_8af03ff0-41c5-4c41-b55e-fabb8fae94be_ContentBits">
    <vt:lpwstr>0</vt:lpwstr>
  </property>
</Properties>
</file>