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C036" w14:textId="55B54715" w:rsidR="00D0496A" w:rsidRPr="00300141" w:rsidRDefault="000C1F78">
      <w:pPr>
        <w:rPr>
          <w:b/>
        </w:rPr>
      </w:pPr>
      <w:r w:rsidRPr="00300141">
        <w:rPr>
          <w:b/>
        </w:rPr>
        <w:t>Supplementary Methods and Table</w:t>
      </w:r>
      <w:r w:rsidR="00D0496A" w:rsidRPr="00300141">
        <w:rPr>
          <w:b/>
        </w:rPr>
        <w:t>. Equations and assumptions for calculating the number of missed infections per round, and results</w:t>
      </w:r>
    </w:p>
    <w:p w14:paraId="5B26C5FC" w14:textId="77777777" w:rsidR="00D0496A" w:rsidRDefault="00D0496A"/>
    <w:p w14:paraId="798643BD" w14:textId="77777777" w:rsidR="00D0496A" w:rsidRDefault="00D0496A" w:rsidP="00D0496A">
      <w:pPr>
        <w:autoSpaceDE w:val="0"/>
        <w:autoSpaceDN w:val="0"/>
        <w:adjustRightInd w:val="0"/>
        <w:spacing w:after="200" w:line="480" w:lineRule="auto"/>
        <w:rPr>
          <w:rFonts w:cstheme="minorHAnsi"/>
        </w:rPr>
      </w:pPr>
      <w:r>
        <w:t>To estimate the number of infections missed by the limit of detection (LoD) of RDTs, a</w:t>
      </w:r>
      <w:r w:rsidRPr="000A59CD">
        <w:t xml:space="preserve"> </w:t>
      </w:r>
      <w:r w:rsidRPr="000A59CD">
        <w:rPr>
          <w:rFonts w:cstheme="minorHAnsi"/>
        </w:rPr>
        <w:t>s</w:t>
      </w:r>
      <w:r>
        <w:rPr>
          <w:rFonts w:cstheme="minorHAnsi"/>
        </w:rPr>
        <w:t>ub-sample of 3.5% of the filter papers from individuals who were RDT negative from Round 1 were randomly selected and tested by PCR; the all-age proportion of RDT negative individuals that were PCR positive was 13.5%</w:t>
      </w:r>
      <w:r>
        <w:rPr>
          <w:rFonts w:cstheme="minorHAnsi"/>
        </w:rPr>
        <w:fldChar w:fldCharType="begin"/>
      </w:r>
      <w:r>
        <w:rPr>
          <w:rFonts w:cstheme="minorHAnsi"/>
        </w:rPr>
        <w:instrText xml:space="preserve"> ADDIN EN.CITE &lt;EndNote&gt;&lt;Cite&gt;&lt;Author&gt;Desai&lt;/Author&gt;&lt;Year&gt;2019&lt;/Year&gt;&lt;RecNum&gt;44&lt;/RecNum&gt;&lt;DisplayText&gt;[1]&lt;/DisplayText&gt;&lt;record&gt;&lt;rec-number&gt;44&lt;/rec-number&gt;&lt;foreign-keys&gt;&lt;key app="EN" db-id="0feaxerzj5sefvetrvzxdwr55atzffaet90s" timestamp="1575970913"&gt;44&lt;/key&gt;&lt;/foreign-keys&gt;&lt;ref-type name="Journal Article"&gt;17&lt;/ref-type&gt;&lt;contributors&gt;&lt;authors&gt;&lt;author&gt;Desai, MR, Samuels AM, Odongo, W, Williamson, J, Odero, N, Otieno, K, Shi, YP, Kachur, SP, Hamel, MJ, Kariuki, SK, Lindblade, K.&lt;/author&gt;&lt;/authors&gt;&lt;/contributors&gt;&lt;titles&gt;&lt;title&gt;Impact of intermitent mass testing and treatment on incidence of malaria infection in a high transmission area of western Kenya&lt;/title&gt;&lt;secondary-title&gt;American Journal of Tropical Medicine &amp;amp; Hygiene&lt;/secondary-title&gt;&lt;/titles&gt;&lt;periodical&gt;&lt;full-title&gt;American Journal of Tropical Medicine &amp;amp; Hygiene&lt;/full-title&gt;&lt;/periodical&gt;&lt;dates&gt;&lt;year&gt;2019&lt;/year&gt;&lt;pub-dates&gt;&lt;date&gt;Accepted&lt;/date&gt;&lt;/pub-dates&gt;&lt;/dates&gt;&lt;urls&gt;&lt;/urls&gt;&lt;/record&gt;&lt;/Cite&gt;&lt;Cite&gt;&lt;Author&gt;Desai&lt;/Author&gt;&lt;Year&gt;2019&lt;/Year&gt;&lt;RecNum&gt;44&lt;/RecNum&gt;&lt;record&gt;&lt;rec-number&gt;44&lt;/rec-number&gt;&lt;foreign-keys&gt;&lt;key app="EN" db-id="0feaxerzj5sefvetrvzxdwr55atzffaet90s" timestamp="1575970913"&gt;44&lt;/key&gt;&lt;/foreign-keys&gt;&lt;ref-type name="Journal Article"&gt;17&lt;/ref-type&gt;&lt;contributors&gt;&lt;authors&gt;&lt;author&gt;Desai, MR, Samuels AM, Odongo, W, Williamson, J, Odero, N, Otieno, K, Shi, YP, Kachur, SP, Hamel, MJ, Kariuki, SK, Lindblade, K.&lt;/author&gt;&lt;/authors&gt;&lt;/contributors&gt;&lt;titles&gt;&lt;title&gt;Impact of intermitent mass testing and treatment on incidence of malaria infection in a high transmission area of western Kenya&lt;/title&gt;&lt;secondary-title&gt;American Journal of Tropical Medicine &amp;amp; Hygiene&lt;/secondary-title&gt;&lt;/titles&gt;&lt;periodical&gt;&lt;full-title&gt;American Journal of Tropical Medicine &amp;amp; Hygiene&lt;/full-title&gt;&lt;/periodical&gt;&lt;dates&gt;&lt;year&gt;2019&lt;/year&gt;&lt;pub-dates&gt;&lt;date&gt;Accepted&lt;/date&gt;&lt;/pub-dates&gt;&lt;/dates&gt;&lt;urls&gt;&lt;/urls&gt;&lt;/record&gt;&lt;/Cite&gt;&lt;/EndNote&gt;</w:instrText>
      </w:r>
      <w:r>
        <w:rPr>
          <w:rFonts w:cstheme="minorHAnsi"/>
        </w:rPr>
        <w:fldChar w:fldCharType="separate"/>
      </w:r>
      <w:r>
        <w:rPr>
          <w:rFonts w:cstheme="minorHAnsi"/>
          <w:noProof/>
        </w:rPr>
        <w:t>[1]</w:t>
      </w:r>
      <w:r>
        <w:rPr>
          <w:rFonts w:cstheme="minorHAnsi"/>
        </w:rPr>
        <w:fldChar w:fldCharType="end"/>
      </w:r>
      <w:r>
        <w:rPr>
          <w:rFonts w:cstheme="minorHAnsi"/>
        </w:rPr>
        <w:t>. We applied the following equations and assumptions on published data from the MTaT rounds</w:t>
      </w:r>
      <w:r>
        <w:rPr>
          <w:rFonts w:cstheme="minorHAnsi"/>
        </w:rPr>
        <w:fldChar w:fldCharType="begin"/>
      </w:r>
      <w:r>
        <w:rPr>
          <w:rFonts w:cstheme="minorHAnsi"/>
        </w:rPr>
        <w:instrText xml:space="preserve"> ADDIN EN.CITE &lt;EndNote&gt;&lt;Cite&gt;&lt;Author&gt;Desai&lt;/Author&gt;&lt;Year&gt;2019&lt;/Year&gt;&lt;RecNum&gt;44&lt;/RecNum&gt;&lt;DisplayText&gt;[1]&lt;/DisplayText&gt;&lt;record&gt;&lt;rec-number&gt;44&lt;/rec-number&gt;&lt;foreign-keys&gt;&lt;key app="EN" db-id="0feaxerzj5sefvetrvzxdwr55atzffaet90s" timestamp="1575970913"&gt;44&lt;/key&gt;&lt;/foreign-keys&gt;&lt;ref-type name="Journal Article"&gt;17&lt;/ref-type&gt;&lt;contributors&gt;&lt;authors&gt;&lt;author&gt;Desai, MR, Samuels AM, Odongo, W, Williamson, J, Odero, N, Otieno, K, Shi, YP, Kachur, SP, Hamel, MJ, Kariuki, SK, Lindblade, K.&lt;/author&gt;&lt;/authors&gt;&lt;/contributors&gt;&lt;titles&gt;&lt;title&gt;Impact of intermitent mass testing and treatment on incidence of malaria infection in a high transmission area of western Kenya&lt;/title&gt;&lt;secondary-title&gt;American Journal of Tropical Medicine &amp;amp; Hygiene&lt;/secondary-title&gt;&lt;/titles&gt;&lt;periodical&gt;&lt;full-title&gt;American Journal of Tropical Medicine &amp;amp; Hygiene&lt;/full-title&gt;&lt;/periodical&gt;&lt;dates&gt;&lt;year&gt;2019&lt;/year&gt;&lt;pub-dates&gt;&lt;date&gt;Accepted&lt;/date&gt;&lt;/pub-dates&gt;&lt;/dates&gt;&lt;urls&gt;&lt;/urls&gt;&lt;/record&gt;&lt;/Cite&gt;&lt;/EndNote&gt;</w:instrText>
      </w:r>
      <w:r>
        <w:rPr>
          <w:rFonts w:cstheme="minorHAnsi"/>
        </w:rPr>
        <w:fldChar w:fldCharType="separate"/>
      </w:r>
      <w:r>
        <w:rPr>
          <w:rFonts w:cstheme="minorHAnsi"/>
          <w:noProof/>
        </w:rPr>
        <w:t>[1]</w:t>
      </w:r>
      <w:r>
        <w:rPr>
          <w:rFonts w:cstheme="minorHAnsi"/>
        </w:rPr>
        <w:fldChar w:fldCharType="end"/>
      </w:r>
      <w:r>
        <w:rPr>
          <w:rFonts w:cstheme="minorHAnsi"/>
        </w:rPr>
        <w:t xml:space="preserve"> to estimate the number and percentages of infections estimated to be missed by:</w:t>
      </w:r>
    </w:p>
    <w:p w14:paraId="2EE198C8" w14:textId="77777777" w:rsidR="00D0496A" w:rsidRPr="00241368" w:rsidRDefault="00D0496A" w:rsidP="00D0496A">
      <w:pPr>
        <w:pStyle w:val="ListParagraph"/>
        <w:ind w:left="0"/>
        <w:rPr>
          <w:rFonts w:eastAsiaTheme="minorEastAsia"/>
          <w:sz w:val="32"/>
          <w:szCs w:val="32"/>
        </w:rPr>
      </w:pPr>
      <w:r w:rsidRPr="00C325AB">
        <w:rPr>
          <w:rFonts w:eastAsiaTheme="minorEastAsia"/>
          <w:u w:val="single"/>
        </w:rPr>
        <w:t>Equation 1:</w:t>
      </w:r>
      <w:r w:rsidRPr="006D2E84">
        <w:rPr>
          <w:rFonts w:eastAsiaTheme="minorEastAsia"/>
        </w:rPr>
        <w:br/>
      </w:r>
      <m:oMathPara>
        <m:oMathParaPr>
          <m:jc m:val="left"/>
        </m:oMathParaPr>
        <m:oMath>
          <m:r>
            <w:rPr>
              <w:rFonts w:ascii="Cambria Math" w:hAnsi="Cambria Math"/>
            </w:rPr>
            <m:t xml:space="preserve"> RDT LoD Amongst Tested=</m:t>
          </m:r>
          <m:d>
            <m:dPr>
              <m:ctrlPr>
                <w:rPr>
                  <w:rFonts w:ascii="Cambria Math" w:hAnsi="Cambria Math"/>
                  <w:i/>
                </w:rPr>
              </m:ctrlPr>
            </m:dPr>
            <m:e>
              <m:f>
                <m:fPr>
                  <m:ctrlPr>
                    <w:rPr>
                      <w:rFonts w:ascii="Cambria Math" w:hAnsi="Cambria Math"/>
                      <w:i/>
                    </w:rPr>
                  </m:ctrlPr>
                </m:fPr>
                <m:num>
                  <m:r>
                    <w:rPr>
                      <w:rFonts w:ascii="Cambria Math" w:hAnsi="Cambria Math"/>
                    </w:rPr>
                    <m:t>0.135Bx</m:t>
                  </m:r>
                </m:num>
                <m:den>
                  <m:r>
                    <w:rPr>
                      <w:rFonts w:ascii="Cambria Math" w:hAnsi="Cambria Math"/>
                    </w:rPr>
                    <m:t>Ax +0.135Bx</m:t>
                  </m:r>
                </m:den>
              </m:f>
            </m:e>
          </m:d>
          <m:r>
            <w:rPr>
              <w:rFonts w:ascii="Cambria Math" w:hAnsi="Cambria Math"/>
            </w:rPr>
            <m:t>x 100%</m:t>
          </m:r>
        </m:oMath>
      </m:oMathPara>
    </w:p>
    <w:p w14:paraId="1FAEF285" w14:textId="77777777" w:rsidR="00D0496A" w:rsidRDefault="00D0496A" w:rsidP="00D0496A">
      <w:pPr>
        <w:pStyle w:val="ListParagraph"/>
        <w:rPr>
          <w:rFonts w:eastAsiaTheme="minorEastAsia"/>
        </w:rPr>
      </w:pPr>
    </w:p>
    <w:p w14:paraId="159AA532" w14:textId="77777777" w:rsidR="00D0496A" w:rsidRPr="00C325AB" w:rsidRDefault="00D0496A" w:rsidP="00D0496A">
      <w:pPr>
        <w:pStyle w:val="ListParagraph"/>
        <w:ind w:left="0"/>
        <w:rPr>
          <w:rFonts w:eastAsiaTheme="minorEastAsia"/>
          <w:u w:val="single"/>
        </w:rPr>
      </w:pPr>
      <w:r w:rsidRPr="00C325AB">
        <w:rPr>
          <w:rFonts w:eastAsiaTheme="minorEastAsia"/>
          <w:u w:val="single"/>
        </w:rPr>
        <w:t>Equation 2:</w:t>
      </w:r>
    </w:p>
    <w:p w14:paraId="68C03093" w14:textId="77777777" w:rsidR="00D0496A" w:rsidRPr="00EE33CB" w:rsidRDefault="00D0496A" w:rsidP="00D0496A">
      <w:pPr>
        <w:pStyle w:val="ListParagraph"/>
        <w:ind w:left="0"/>
      </w:pPr>
      <m:oMathPara>
        <m:oMathParaPr>
          <m:jc m:val="left"/>
        </m:oMathParaPr>
        <m:oMath>
          <m:r>
            <w:rPr>
              <w:rFonts w:ascii="Cambria Math" w:hAnsi="Cambria Math"/>
            </w:rPr>
            <m:t>Incomplete Coverage=</m:t>
          </m:r>
          <m:d>
            <m:dPr>
              <m:ctrlPr>
                <w:rPr>
                  <w:rFonts w:ascii="Cambria Math" w:hAnsi="Cambria Math"/>
                  <w:i/>
                </w:rPr>
              </m:ctrlPr>
            </m:dPr>
            <m:e>
              <m:f>
                <m:fPr>
                  <m:ctrlPr>
                    <w:rPr>
                      <w:rFonts w:ascii="Cambria Math" w:hAnsi="Cambria Math"/>
                      <w:i/>
                    </w:rPr>
                  </m:ctrlPr>
                </m:fPr>
                <m:num>
                  <m:r>
                    <w:rPr>
                      <w:rFonts w:ascii="Cambria Math" w:hAnsi="Cambria Math"/>
                    </w:rPr>
                    <m:t>Cx+0.135Dx</m:t>
                  </m:r>
                </m:num>
                <m:den>
                  <m:r>
                    <w:rPr>
                      <w:rFonts w:ascii="Cambria Math" w:hAnsi="Cambria Math"/>
                    </w:rPr>
                    <m:t>Ax + 0.135Bx + Cx + 0.135Dx</m:t>
                  </m:r>
                </m:den>
              </m:f>
            </m:e>
          </m:d>
          <m:r>
            <w:rPr>
              <w:rFonts w:ascii="Cambria Math" w:hAnsi="Cambria Math"/>
            </w:rPr>
            <m:t>x 100%</m:t>
          </m:r>
        </m:oMath>
      </m:oMathPara>
    </w:p>
    <w:p w14:paraId="30146732" w14:textId="77777777" w:rsidR="00D0496A" w:rsidRDefault="00D0496A" w:rsidP="00D0496A">
      <w:pPr>
        <w:pStyle w:val="ListParagraph"/>
        <w:ind w:left="0"/>
        <w:rPr>
          <w:rFonts w:eastAsiaTheme="minorEastAsia"/>
        </w:rPr>
      </w:pPr>
    </w:p>
    <w:p w14:paraId="19C7C34E" w14:textId="77777777" w:rsidR="00D0496A" w:rsidRPr="00C325AB" w:rsidRDefault="00D0496A" w:rsidP="00D0496A">
      <w:pPr>
        <w:pStyle w:val="ListParagraph"/>
        <w:spacing w:after="0"/>
        <w:ind w:left="0"/>
        <w:rPr>
          <w:rFonts w:eastAsiaTheme="minorEastAsia"/>
          <w:u w:val="single"/>
        </w:rPr>
      </w:pPr>
      <w:r w:rsidRPr="00C325AB">
        <w:rPr>
          <w:rFonts w:eastAsiaTheme="minorEastAsia"/>
          <w:u w:val="single"/>
        </w:rPr>
        <w:t>Equation 3:</w:t>
      </w:r>
    </w:p>
    <w:p w14:paraId="1F9C4E85" w14:textId="77777777" w:rsidR="00D0496A" w:rsidRPr="00C325AB" w:rsidRDefault="00D0496A" w:rsidP="00D0496A">
      <w:pPr>
        <w:rPr>
          <w:rFonts w:ascii="Cambria Math" w:hAnsi="Cambria Math"/>
          <w:i/>
        </w:rPr>
      </w:pPr>
      <m:oMathPara>
        <m:oMathParaPr>
          <m:jc m:val="left"/>
        </m:oMathParaPr>
        <m:oMath>
          <m:r>
            <w:rPr>
              <w:rFonts w:ascii="Cambria Math" w:hAnsi="Cambria Math"/>
            </w:rPr>
            <m:t>RDT LoD and Incomplete Coverage=</m:t>
          </m:r>
          <m:d>
            <m:dPr>
              <m:ctrlPr>
                <w:rPr>
                  <w:rFonts w:ascii="Cambria Math" w:hAnsi="Cambria Math"/>
                  <w:i/>
                </w:rPr>
              </m:ctrlPr>
            </m:dPr>
            <m:e>
              <m:f>
                <m:fPr>
                  <m:ctrlPr>
                    <w:rPr>
                      <w:rFonts w:ascii="Cambria Math" w:hAnsi="Cambria Math"/>
                      <w:i/>
                    </w:rPr>
                  </m:ctrlPr>
                </m:fPr>
                <m:num>
                  <m:r>
                    <w:rPr>
                      <w:rFonts w:ascii="Cambria Math" w:hAnsi="Cambria Math"/>
                    </w:rPr>
                    <m:t>0.135Bx + Cx+ 0.135Dx</m:t>
                  </m:r>
                </m:num>
                <m:den>
                  <m:r>
                    <w:rPr>
                      <w:rFonts w:ascii="Cambria Math" w:hAnsi="Cambria Math"/>
                    </w:rPr>
                    <m:t>Ax + 0.135Bx + Cx + 0.135Dx</m:t>
                  </m:r>
                </m:den>
              </m:f>
            </m:e>
          </m:d>
          <m:r>
            <w:rPr>
              <w:rFonts w:ascii="Cambria Math" w:hAnsi="Cambria Math"/>
            </w:rPr>
            <m:t>x 100%</m:t>
          </m:r>
        </m:oMath>
      </m:oMathPara>
    </w:p>
    <w:p w14:paraId="4A7D0D39" w14:textId="77777777" w:rsidR="00D0496A" w:rsidRDefault="00D0496A" w:rsidP="00D0496A"/>
    <w:p w14:paraId="3A71136E" w14:textId="77777777" w:rsidR="00D0496A" w:rsidRDefault="00D0496A" w:rsidP="00D0496A">
      <w:r>
        <w:t>Where: A</w:t>
      </w:r>
      <w:r>
        <w:rPr>
          <w:vertAlign w:val="subscript"/>
        </w:rPr>
        <w:t>x</w:t>
      </w:r>
      <w:r>
        <w:t xml:space="preserve"> = number tested who were RDT positive during round x; B</w:t>
      </w:r>
      <w:r>
        <w:rPr>
          <w:vertAlign w:val="subscript"/>
        </w:rPr>
        <w:t>x</w:t>
      </w:r>
      <w:r>
        <w:t xml:space="preserve"> = number tested who were RDT negative during round x; C</w:t>
      </w:r>
      <w:r>
        <w:rPr>
          <w:vertAlign w:val="subscript"/>
        </w:rPr>
        <w:t>x</w:t>
      </w:r>
      <w:r>
        <w:t xml:space="preserve"> = (number people missed)</w:t>
      </w:r>
      <w:r w:rsidRPr="000502D8">
        <w:rPr>
          <w:vertAlign w:val="subscript"/>
        </w:rPr>
        <w:t xml:space="preserve"> </w:t>
      </w:r>
      <w:r>
        <w:rPr>
          <w:vertAlign w:val="subscript"/>
        </w:rPr>
        <w:t>RoundX</w:t>
      </w:r>
      <w:r>
        <w:t xml:space="preserve"> who would have been RDT positive; D</w:t>
      </w:r>
      <w:r>
        <w:rPr>
          <w:vertAlign w:val="subscript"/>
        </w:rPr>
        <w:t>x</w:t>
      </w:r>
      <w:r>
        <w:t xml:space="preserve"> = (number of people missed)</w:t>
      </w:r>
      <w:r w:rsidRPr="000502D8">
        <w:rPr>
          <w:vertAlign w:val="subscript"/>
        </w:rPr>
        <w:t xml:space="preserve"> </w:t>
      </w:r>
      <w:r>
        <w:rPr>
          <w:vertAlign w:val="subscript"/>
        </w:rPr>
        <w:t>RoundX</w:t>
      </w:r>
      <w:r>
        <w:t xml:space="preserve"> who would have been RDT negative; 0.135 = proportion of RDT negative that would be PCR positive</w:t>
      </w:r>
    </w:p>
    <w:p w14:paraId="61604A76" w14:textId="77777777" w:rsidR="005254B0" w:rsidRDefault="00D0496A" w:rsidP="005254B0">
      <w:pPr>
        <w:autoSpaceDE w:val="0"/>
        <w:autoSpaceDN w:val="0"/>
        <w:adjustRightInd w:val="0"/>
        <w:spacing w:line="480" w:lineRule="auto"/>
        <w:rPr>
          <w:rFonts w:cstheme="minorHAnsi"/>
        </w:rPr>
      </w:pPr>
      <w:r>
        <w:t xml:space="preserve">Assumptions: 1) all individuals who were RDT positive were infected, 2) the proportion of RDT positivity amongst those missed during a round was the same as those tested during the respective round, and 3) the proportion of RDT negative samples that were PCR positive remained constant across rounds. </w:t>
      </w:r>
      <w:r>
        <w:rPr>
          <w:rFonts w:cstheme="minorHAnsi"/>
        </w:rPr>
        <w:t>The data used to generate these calculations were published elsewhere</w:t>
      </w:r>
      <w:r>
        <w:rPr>
          <w:rFonts w:cstheme="minorHAnsi"/>
        </w:rPr>
        <w:fldChar w:fldCharType="begin"/>
      </w:r>
      <w:r>
        <w:rPr>
          <w:rFonts w:cstheme="minorHAnsi"/>
        </w:rPr>
        <w:instrText xml:space="preserve"> ADDIN EN.CITE &lt;EndNote&gt;&lt;Cite&gt;&lt;Author&gt;Desai&lt;/Author&gt;&lt;Year&gt;2019&lt;/Year&gt;&lt;RecNum&gt;44&lt;/RecNum&gt;&lt;DisplayText&gt;[1]&lt;/DisplayText&gt;&lt;record&gt;&lt;rec-number&gt;44&lt;/rec-number&gt;&lt;foreign-keys&gt;&lt;key app="EN" db-id="0feaxerzj5sefvetrvzxdwr55atzffaet90s" timestamp="1575970913"&gt;44&lt;/key&gt;&lt;/foreign-keys&gt;&lt;ref-type name="Journal Article"&gt;17&lt;/ref-type&gt;&lt;contributors&gt;&lt;authors&gt;&lt;author&gt;Desai, MR, Samuels AM, Odongo, W, Williamson, J, Odero, N, Otieno, K, Shi, YP, Kachur, SP, Hamel, MJ, Kariuki, SK, Lindblade, K.&lt;/author&gt;&lt;/authors&gt;&lt;/contributors&gt;&lt;titles&gt;&lt;title&gt;Impact of intermitent mass testing and treatment on incidence of malaria infection in a high transmission area of western Kenya&lt;/title&gt;&lt;secondary-title&gt;American Journal of Tropical Medicine &amp;amp; Hygiene&lt;/secondary-title&gt;&lt;/titles&gt;&lt;periodical&gt;&lt;full-title&gt;American Journal of Tropical Medicine &amp;amp; Hygiene&lt;/full-title&gt;&lt;/periodical&gt;&lt;dates&gt;&lt;year&gt;2019&lt;/year&gt;&lt;pub-dates&gt;&lt;date&gt;Accepted&lt;/date&gt;&lt;/pub-dates&gt;&lt;/dates&gt;&lt;urls&gt;&lt;/urls&gt;&lt;/record&gt;&lt;/Cite&gt;&lt;/EndNote&gt;</w:instrText>
      </w:r>
      <w:r>
        <w:rPr>
          <w:rFonts w:cstheme="minorHAnsi"/>
        </w:rPr>
        <w:fldChar w:fldCharType="separate"/>
      </w:r>
      <w:r>
        <w:rPr>
          <w:rFonts w:cstheme="minorHAnsi"/>
          <w:noProof/>
        </w:rPr>
        <w:t>[1]</w:t>
      </w:r>
      <w:r>
        <w:rPr>
          <w:rFonts w:cstheme="minorHAnsi"/>
        </w:rPr>
        <w:fldChar w:fldCharType="end"/>
      </w:r>
      <w:r>
        <w:rPr>
          <w:rFonts w:cstheme="minorHAnsi"/>
        </w:rPr>
        <w:t xml:space="preserve">, and appear below. </w:t>
      </w:r>
    </w:p>
    <w:p w14:paraId="156E6664" w14:textId="1BDE7EBF" w:rsidR="00300141" w:rsidRPr="00C325AB" w:rsidRDefault="005254B0" w:rsidP="005254B0">
      <w:pPr>
        <w:autoSpaceDE w:val="0"/>
        <w:autoSpaceDN w:val="0"/>
        <w:adjustRightInd w:val="0"/>
        <w:spacing w:line="480" w:lineRule="auto"/>
        <w:rPr>
          <w:rFonts w:cstheme="minorHAnsi"/>
          <w:b/>
        </w:rPr>
      </w:pPr>
      <w:r w:rsidRPr="005254B0">
        <w:rPr>
          <w:rFonts w:cstheme="minorHAnsi"/>
          <w:b/>
        </w:rPr>
        <w:lastRenderedPageBreak/>
        <w:t xml:space="preserve">Supplementary </w:t>
      </w:r>
      <w:r w:rsidR="00300141" w:rsidRPr="00C325AB">
        <w:rPr>
          <w:rFonts w:cstheme="minorHAnsi"/>
          <w:b/>
        </w:rPr>
        <w:t>Table. Infections missed during MTaT rounds</w:t>
      </w:r>
    </w:p>
    <w:tbl>
      <w:tblPr>
        <w:tblW w:w="13310" w:type="dxa"/>
        <w:tblLook w:val="04A0" w:firstRow="1" w:lastRow="0" w:firstColumn="1" w:lastColumn="0" w:noHBand="0" w:noVBand="1"/>
      </w:tblPr>
      <w:tblGrid>
        <w:gridCol w:w="861"/>
        <w:gridCol w:w="1530"/>
        <w:gridCol w:w="923"/>
        <w:gridCol w:w="1356"/>
        <w:gridCol w:w="1349"/>
        <w:gridCol w:w="1135"/>
        <w:gridCol w:w="1223"/>
        <w:gridCol w:w="1135"/>
        <w:gridCol w:w="1819"/>
        <w:gridCol w:w="1979"/>
      </w:tblGrid>
      <w:tr w:rsidR="00300141" w:rsidRPr="00830ABC" w14:paraId="3426BD78" w14:textId="77777777" w:rsidTr="00300141">
        <w:trPr>
          <w:trHeight w:val="763"/>
        </w:trPr>
        <w:tc>
          <w:tcPr>
            <w:tcW w:w="86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75AC4D9"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Round</w:t>
            </w:r>
          </w:p>
        </w:tc>
        <w:tc>
          <w:tcPr>
            <w:tcW w:w="153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03E8D5B"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Population Denominator</w:t>
            </w:r>
          </w:p>
        </w:tc>
        <w:tc>
          <w:tcPr>
            <w:tcW w:w="923"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AC18B56"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Tested</w:t>
            </w:r>
          </w:p>
        </w:tc>
        <w:tc>
          <w:tcPr>
            <w:tcW w:w="135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E0B53AF"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RDT Positive (%)</w:t>
            </w:r>
          </w:p>
        </w:tc>
        <w:tc>
          <w:tcPr>
            <w:tcW w:w="1349"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39648F3"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Estimated Infections Missed by RDT LoD Amongst Tested (%)</w:t>
            </w:r>
            <w:r w:rsidRPr="00830ABC">
              <w:rPr>
                <w:rFonts w:ascii="Calibri" w:eastAsia="Times New Roman" w:hAnsi="Calibri" w:cs="Calibri"/>
                <w:b/>
                <w:bCs/>
                <w:vertAlign w:val="superscript"/>
              </w:rPr>
              <w:t>1</w:t>
            </w:r>
          </w:p>
        </w:tc>
        <w:tc>
          <w:tcPr>
            <w:tcW w:w="1135"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7796D2A"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Estimated RDT Positive Amongst Untested</w:t>
            </w:r>
            <w:r w:rsidRPr="00830ABC">
              <w:rPr>
                <w:rFonts w:ascii="Calibri" w:eastAsia="Times New Roman" w:hAnsi="Calibri" w:cs="Calibri"/>
                <w:b/>
                <w:bCs/>
                <w:vertAlign w:val="superscript"/>
              </w:rPr>
              <w:t>2</w:t>
            </w:r>
          </w:p>
        </w:tc>
        <w:tc>
          <w:tcPr>
            <w:tcW w:w="122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85DCAC3"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Estimated Infections Missed by RDT LoD Amongst Untested</w:t>
            </w:r>
            <w:r w:rsidRPr="00830ABC">
              <w:rPr>
                <w:rFonts w:ascii="Calibri" w:eastAsia="Times New Roman" w:hAnsi="Calibri" w:cs="Calibri"/>
                <w:b/>
                <w:bCs/>
                <w:vertAlign w:val="superscript"/>
              </w:rPr>
              <w:t>3</w:t>
            </w:r>
          </w:p>
        </w:tc>
        <w:tc>
          <w:tcPr>
            <w:tcW w:w="1135"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13860E7"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Estimated Total Number of Infections</w:t>
            </w:r>
          </w:p>
        </w:tc>
        <w:tc>
          <w:tcPr>
            <w:tcW w:w="1819"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AEA2B07"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 Estimated Infections Missed by Incomplete Coverage (%)</w:t>
            </w:r>
            <w:r w:rsidRPr="00830ABC">
              <w:rPr>
                <w:rFonts w:ascii="Calibri" w:eastAsia="Times New Roman" w:hAnsi="Calibri" w:cs="Calibri"/>
                <w:b/>
                <w:bCs/>
                <w:vertAlign w:val="superscript"/>
              </w:rPr>
              <w:t>4</w:t>
            </w:r>
          </w:p>
        </w:tc>
        <w:tc>
          <w:tcPr>
            <w:tcW w:w="1979"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44816C5B" w14:textId="77777777" w:rsidR="00300141" w:rsidRPr="00830ABC" w:rsidRDefault="00300141" w:rsidP="00301D64">
            <w:pPr>
              <w:spacing w:after="0" w:line="240" w:lineRule="auto"/>
              <w:jc w:val="center"/>
              <w:rPr>
                <w:rFonts w:ascii="Calibri" w:eastAsia="Times New Roman" w:hAnsi="Calibri" w:cs="Calibri"/>
                <w:b/>
                <w:bCs/>
              </w:rPr>
            </w:pPr>
            <w:r w:rsidRPr="00830ABC">
              <w:rPr>
                <w:rFonts w:ascii="Calibri" w:eastAsia="Times New Roman" w:hAnsi="Calibri" w:cs="Calibri"/>
                <w:b/>
                <w:bCs/>
              </w:rPr>
              <w:t>Estimated Total Infections Missed by RDT LoD and Incomplete Coverage (%)</w:t>
            </w:r>
            <w:r w:rsidRPr="00830ABC">
              <w:rPr>
                <w:rFonts w:ascii="Calibri" w:eastAsia="Times New Roman" w:hAnsi="Calibri" w:cs="Calibri"/>
                <w:b/>
                <w:bCs/>
                <w:vertAlign w:val="superscript"/>
              </w:rPr>
              <w:t>5</w:t>
            </w:r>
          </w:p>
        </w:tc>
      </w:tr>
      <w:tr w:rsidR="00300141" w:rsidRPr="00830ABC" w14:paraId="1A5C21DB" w14:textId="77777777" w:rsidTr="00300141">
        <w:trPr>
          <w:trHeight w:val="195"/>
        </w:trPr>
        <w:tc>
          <w:tcPr>
            <w:tcW w:w="861" w:type="dxa"/>
            <w:tcBorders>
              <w:top w:val="single" w:sz="4" w:space="0" w:color="9BC2E6"/>
              <w:left w:val="single" w:sz="8" w:space="0" w:color="auto"/>
              <w:bottom w:val="single" w:sz="4" w:space="0" w:color="auto"/>
              <w:right w:val="single" w:sz="4" w:space="0" w:color="auto"/>
            </w:tcBorders>
            <w:shd w:val="clear" w:color="DDEBF7" w:fill="DDEBF7"/>
            <w:noWrap/>
            <w:vAlign w:val="center"/>
            <w:hideMark/>
          </w:tcPr>
          <w:p w14:paraId="4D3F7956"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w:t>
            </w:r>
          </w:p>
        </w:tc>
        <w:tc>
          <w:tcPr>
            <w:tcW w:w="1530"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171EC2C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30968</w:t>
            </w:r>
          </w:p>
        </w:tc>
        <w:tc>
          <w:tcPr>
            <w:tcW w:w="923"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1223A477"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23226</w:t>
            </w:r>
          </w:p>
        </w:tc>
        <w:tc>
          <w:tcPr>
            <w:tcW w:w="1356"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7C691DFA"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9690 (41.7)</w:t>
            </w:r>
          </w:p>
        </w:tc>
        <w:tc>
          <w:tcPr>
            <w:tcW w:w="1349"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67AFFB3A"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1827 (15.9)</w:t>
            </w:r>
          </w:p>
        </w:tc>
        <w:tc>
          <w:tcPr>
            <w:tcW w:w="1135"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6545C03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3230</w:t>
            </w:r>
          </w:p>
        </w:tc>
        <w:tc>
          <w:tcPr>
            <w:tcW w:w="1223"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3FEB667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609</w:t>
            </w:r>
          </w:p>
        </w:tc>
        <w:tc>
          <w:tcPr>
            <w:tcW w:w="1135"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44C648A2"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15356</w:t>
            </w:r>
          </w:p>
        </w:tc>
        <w:tc>
          <w:tcPr>
            <w:tcW w:w="1819" w:type="dxa"/>
            <w:tcBorders>
              <w:top w:val="single" w:sz="4" w:space="0" w:color="9BC2E6"/>
              <w:left w:val="single" w:sz="4" w:space="0" w:color="auto"/>
              <w:bottom w:val="single" w:sz="4" w:space="0" w:color="auto"/>
              <w:right w:val="single" w:sz="4" w:space="0" w:color="auto"/>
            </w:tcBorders>
            <w:shd w:val="clear" w:color="DDEBF7" w:fill="DDEBF7"/>
            <w:noWrap/>
            <w:vAlign w:val="center"/>
            <w:hideMark/>
          </w:tcPr>
          <w:p w14:paraId="05DD3630" w14:textId="6DC7D6F1"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3839 (25</w:t>
            </w:r>
            <w:r w:rsidR="00AF20D1">
              <w:rPr>
                <w:rFonts w:ascii="Calibri" w:eastAsia="Times New Roman" w:hAnsi="Calibri" w:cs="Calibri"/>
                <w:color w:val="000000"/>
              </w:rPr>
              <w:t>.0</w:t>
            </w:r>
            <w:r w:rsidRPr="00830ABC">
              <w:rPr>
                <w:rFonts w:ascii="Calibri" w:eastAsia="Times New Roman" w:hAnsi="Calibri" w:cs="Calibri"/>
                <w:color w:val="000000"/>
              </w:rPr>
              <w:t>)</w:t>
            </w:r>
          </w:p>
        </w:tc>
        <w:tc>
          <w:tcPr>
            <w:tcW w:w="1979" w:type="dxa"/>
            <w:tcBorders>
              <w:top w:val="single" w:sz="4" w:space="0" w:color="9BC2E6"/>
              <w:left w:val="single" w:sz="4" w:space="0" w:color="auto"/>
              <w:bottom w:val="single" w:sz="4" w:space="0" w:color="auto"/>
              <w:right w:val="single" w:sz="8" w:space="0" w:color="auto"/>
            </w:tcBorders>
            <w:shd w:val="clear" w:color="DDEBF7" w:fill="DDEBF7"/>
            <w:noWrap/>
            <w:vAlign w:val="center"/>
            <w:hideMark/>
          </w:tcPr>
          <w:p w14:paraId="12747FE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5666 (36.9)</w:t>
            </w:r>
          </w:p>
        </w:tc>
      </w:tr>
      <w:tr w:rsidR="00300141" w:rsidRPr="00830ABC" w14:paraId="54EAEE6C" w14:textId="77777777" w:rsidTr="00300141">
        <w:trPr>
          <w:trHeight w:val="195"/>
        </w:trPr>
        <w:tc>
          <w:tcPr>
            <w:tcW w:w="8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8B8CF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1210"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29037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AEFA"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23624</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8B62"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11417 (48.3)</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EAE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1648 (12.6)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21BAE"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2616</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CA1AC"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378</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3DE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16059</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3291"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2994 (18.6)</w:t>
            </w:r>
          </w:p>
        </w:tc>
        <w:tc>
          <w:tcPr>
            <w:tcW w:w="197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7EFC87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4648 (28.9)</w:t>
            </w:r>
          </w:p>
        </w:tc>
      </w:tr>
      <w:tr w:rsidR="00300141" w:rsidRPr="00830ABC" w14:paraId="7F3143D5" w14:textId="77777777" w:rsidTr="00300141">
        <w:trPr>
          <w:trHeight w:val="195"/>
        </w:trPr>
        <w:tc>
          <w:tcPr>
            <w:tcW w:w="861" w:type="dxa"/>
            <w:tcBorders>
              <w:top w:val="single" w:sz="4" w:space="0" w:color="auto"/>
              <w:left w:val="single" w:sz="8" w:space="0" w:color="auto"/>
              <w:bottom w:val="single" w:sz="4" w:space="0" w:color="auto"/>
              <w:right w:val="single" w:sz="4" w:space="0" w:color="auto"/>
            </w:tcBorders>
            <w:shd w:val="clear" w:color="DDEBF7" w:fill="DDEBF7"/>
            <w:noWrap/>
            <w:vAlign w:val="center"/>
            <w:hideMark/>
          </w:tcPr>
          <w:p w14:paraId="53C999F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w:t>
            </w:r>
          </w:p>
        </w:tc>
        <w:tc>
          <w:tcPr>
            <w:tcW w:w="153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24BF25"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29508</w:t>
            </w:r>
          </w:p>
        </w:tc>
        <w:tc>
          <w:tcPr>
            <w:tcW w:w="9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4C5D88A"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24365</w:t>
            </w:r>
          </w:p>
        </w:tc>
        <w:tc>
          <w:tcPr>
            <w:tcW w:w="135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51107C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9972 (40.9)</w:t>
            </w:r>
          </w:p>
        </w:tc>
        <w:tc>
          <w:tcPr>
            <w:tcW w:w="134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963B7AF"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1943 (16.3)</w:t>
            </w:r>
          </w:p>
        </w:tc>
        <w:tc>
          <w:tcPr>
            <w:tcW w:w="113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18A6102"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2105</w:t>
            </w:r>
          </w:p>
        </w:tc>
        <w:tc>
          <w:tcPr>
            <w:tcW w:w="12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4B8588D"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410</w:t>
            </w:r>
          </w:p>
        </w:tc>
        <w:tc>
          <w:tcPr>
            <w:tcW w:w="113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F29F65C"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14430</w:t>
            </w:r>
          </w:p>
        </w:tc>
        <w:tc>
          <w:tcPr>
            <w:tcW w:w="181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47DCF8C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2515 (17.4)</w:t>
            </w:r>
          </w:p>
        </w:tc>
        <w:tc>
          <w:tcPr>
            <w:tcW w:w="1979" w:type="dxa"/>
            <w:tcBorders>
              <w:top w:val="single" w:sz="4" w:space="0" w:color="auto"/>
              <w:left w:val="single" w:sz="4" w:space="0" w:color="auto"/>
              <w:bottom w:val="single" w:sz="4" w:space="0" w:color="auto"/>
              <w:right w:val="single" w:sz="8" w:space="0" w:color="auto"/>
            </w:tcBorders>
            <w:shd w:val="clear" w:color="DDEBF7" w:fill="DDEBF7"/>
            <w:noWrap/>
            <w:vAlign w:val="center"/>
            <w:hideMark/>
          </w:tcPr>
          <w:p w14:paraId="034167A1"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4458 (30.9)</w:t>
            </w:r>
          </w:p>
        </w:tc>
      </w:tr>
      <w:tr w:rsidR="00300141" w:rsidRPr="00830ABC" w14:paraId="3BEBEDA0" w14:textId="77777777" w:rsidTr="00300141">
        <w:trPr>
          <w:trHeight w:val="195"/>
        </w:trPr>
        <w:tc>
          <w:tcPr>
            <w:tcW w:w="8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043300"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51B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31866</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C43E7"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26098</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C2C5"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10402 (39.9)</w:t>
            </w:r>
          </w:p>
        </w:tc>
        <w:tc>
          <w:tcPr>
            <w:tcW w:w="1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CED8"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2119 (16.9)</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4EEB0"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2299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5B4F2"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468</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B8E0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15288</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5059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2767 (18.1)</w:t>
            </w:r>
          </w:p>
        </w:tc>
        <w:tc>
          <w:tcPr>
            <w:tcW w:w="197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B3C07A"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4886 (32.0)</w:t>
            </w:r>
          </w:p>
        </w:tc>
      </w:tr>
      <w:tr w:rsidR="00300141" w:rsidRPr="00830ABC" w14:paraId="54D75C1C" w14:textId="77777777" w:rsidTr="00300141">
        <w:trPr>
          <w:trHeight w:val="195"/>
        </w:trPr>
        <w:tc>
          <w:tcPr>
            <w:tcW w:w="861" w:type="dxa"/>
            <w:tcBorders>
              <w:top w:val="single" w:sz="4" w:space="0" w:color="auto"/>
              <w:left w:val="single" w:sz="8" w:space="0" w:color="auto"/>
              <w:bottom w:val="single" w:sz="4" w:space="0" w:color="auto"/>
              <w:right w:val="single" w:sz="4" w:space="0" w:color="auto"/>
            </w:tcBorders>
            <w:shd w:val="clear" w:color="DDEBF7" w:fill="DDEBF7"/>
            <w:noWrap/>
            <w:vAlign w:val="center"/>
            <w:hideMark/>
          </w:tcPr>
          <w:p w14:paraId="6507DCC7"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5</w:t>
            </w:r>
          </w:p>
        </w:tc>
        <w:tc>
          <w:tcPr>
            <w:tcW w:w="153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9ADAD55"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31215</w:t>
            </w:r>
          </w:p>
        </w:tc>
        <w:tc>
          <w:tcPr>
            <w:tcW w:w="9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6DF9D6D"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26212</w:t>
            </w:r>
          </w:p>
        </w:tc>
        <w:tc>
          <w:tcPr>
            <w:tcW w:w="135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A728B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11368 (43.3)</w:t>
            </w:r>
          </w:p>
        </w:tc>
        <w:tc>
          <w:tcPr>
            <w:tcW w:w="134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6D14D8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2004 (15.0)</w:t>
            </w:r>
          </w:p>
        </w:tc>
        <w:tc>
          <w:tcPr>
            <w:tcW w:w="113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697AFC5"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2170</w:t>
            </w:r>
          </w:p>
        </w:tc>
        <w:tc>
          <w:tcPr>
            <w:tcW w:w="1223"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43F0B4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382</w:t>
            </w:r>
          </w:p>
        </w:tc>
        <w:tc>
          <w:tcPr>
            <w:tcW w:w="1135"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51A0A684"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15924</w:t>
            </w:r>
          </w:p>
        </w:tc>
        <w:tc>
          <w:tcPr>
            <w:tcW w:w="181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B20FC3C"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2552 (16.0)</w:t>
            </w:r>
          </w:p>
        </w:tc>
        <w:tc>
          <w:tcPr>
            <w:tcW w:w="1979" w:type="dxa"/>
            <w:tcBorders>
              <w:top w:val="single" w:sz="4" w:space="0" w:color="auto"/>
              <w:left w:val="single" w:sz="4" w:space="0" w:color="auto"/>
              <w:bottom w:val="single" w:sz="4" w:space="0" w:color="auto"/>
              <w:right w:val="single" w:sz="8" w:space="0" w:color="auto"/>
            </w:tcBorders>
            <w:shd w:val="clear" w:color="DDEBF7" w:fill="DDEBF7"/>
            <w:noWrap/>
            <w:vAlign w:val="center"/>
            <w:hideMark/>
          </w:tcPr>
          <w:p w14:paraId="5B793AF3"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4556 (28.6)</w:t>
            </w:r>
          </w:p>
        </w:tc>
      </w:tr>
      <w:tr w:rsidR="00300141" w:rsidRPr="00830ABC" w14:paraId="22B60912" w14:textId="77777777" w:rsidTr="00300141">
        <w:trPr>
          <w:trHeight w:val="195"/>
        </w:trPr>
        <w:tc>
          <w:tcPr>
            <w:tcW w:w="8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F5843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6</w:t>
            </w:r>
          </w:p>
        </w:tc>
        <w:tc>
          <w:tcPr>
            <w:tcW w:w="153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9DE67AF"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27930</w:t>
            </w:r>
          </w:p>
        </w:tc>
        <w:tc>
          <w:tcPr>
            <w:tcW w:w="92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43C6A6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26342</w:t>
            </w:r>
          </w:p>
        </w:tc>
        <w:tc>
          <w:tcPr>
            <w:tcW w:w="135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CCAFCB6"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9377 (35.6)</w:t>
            </w:r>
          </w:p>
        </w:tc>
        <w:tc>
          <w:tcPr>
            <w:tcW w:w="13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24D9F4B"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2290 (19.6)</w:t>
            </w:r>
          </w:p>
        </w:tc>
        <w:tc>
          <w:tcPr>
            <w:tcW w:w="113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6E4DD89"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565</w:t>
            </w:r>
          </w:p>
        </w:tc>
        <w:tc>
          <w:tcPr>
            <w:tcW w:w="122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51389B8"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138</w:t>
            </w:r>
          </w:p>
        </w:tc>
        <w:tc>
          <w:tcPr>
            <w:tcW w:w="113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9970D1F"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12371</w:t>
            </w:r>
          </w:p>
        </w:tc>
        <w:tc>
          <w:tcPr>
            <w:tcW w:w="181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2DF175C"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703 (5.7)</w:t>
            </w:r>
          </w:p>
        </w:tc>
        <w:tc>
          <w:tcPr>
            <w:tcW w:w="197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38FE7A1" w14:textId="77777777" w:rsidR="00300141" w:rsidRPr="00830ABC" w:rsidRDefault="00300141" w:rsidP="00301D64">
            <w:pPr>
              <w:spacing w:after="0" w:line="240" w:lineRule="auto"/>
              <w:jc w:val="center"/>
              <w:rPr>
                <w:rFonts w:ascii="Calibri" w:eastAsia="Times New Roman" w:hAnsi="Calibri" w:cs="Calibri"/>
                <w:color w:val="000000"/>
              </w:rPr>
            </w:pPr>
            <w:r w:rsidRPr="00830ABC">
              <w:rPr>
                <w:rFonts w:ascii="Calibri" w:eastAsia="Times New Roman" w:hAnsi="Calibri" w:cs="Calibri"/>
                <w:color w:val="000000"/>
              </w:rPr>
              <w:t>2994 (24.2)</w:t>
            </w:r>
          </w:p>
        </w:tc>
      </w:tr>
    </w:tbl>
    <w:p w14:paraId="3C86BB80" w14:textId="34F5F8E8" w:rsidR="00300141" w:rsidRDefault="00300141" w:rsidP="00300141">
      <w:pPr>
        <w:spacing w:line="480" w:lineRule="auto"/>
        <w:rPr>
          <w:rFonts w:cstheme="minorHAnsi"/>
        </w:rPr>
      </w:pPr>
      <w:r w:rsidRPr="00C325AB">
        <w:rPr>
          <w:rFonts w:cstheme="minorHAnsi"/>
          <w:vertAlign w:val="superscript"/>
        </w:rPr>
        <w:t>1</w:t>
      </w:r>
      <w:r w:rsidRPr="00C1720D">
        <w:rPr>
          <w:rFonts w:cstheme="minorHAnsi"/>
        </w:rPr>
        <w:t xml:space="preserve">Calculated using Equation 1; </w:t>
      </w:r>
      <w:r w:rsidRPr="00C325AB">
        <w:rPr>
          <w:rFonts w:cstheme="minorHAnsi"/>
          <w:vertAlign w:val="superscript"/>
        </w:rPr>
        <w:t>2</w:t>
      </w:r>
      <w:r w:rsidRPr="00C1720D">
        <w:rPr>
          <w:rFonts w:cstheme="minorHAnsi"/>
        </w:rPr>
        <w:t xml:space="preserve">Calculated by multiplying percent RDT positive by round to untested population; </w:t>
      </w:r>
      <w:r w:rsidRPr="00C325AB">
        <w:rPr>
          <w:rFonts w:cstheme="minorHAnsi"/>
          <w:vertAlign w:val="superscript"/>
        </w:rPr>
        <w:t>3</w:t>
      </w:r>
      <w:r w:rsidRPr="00C1720D">
        <w:rPr>
          <w:rFonts w:cstheme="minorHAnsi"/>
        </w:rPr>
        <w:t>Calculated by multipl</w:t>
      </w:r>
      <w:r w:rsidR="004D6DF7">
        <w:rPr>
          <w:rFonts w:cstheme="minorHAnsi"/>
        </w:rPr>
        <w:t>y</w:t>
      </w:r>
      <w:r w:rsidRPr="00C1720D">
        <w:rPr>
          <w:rFonts w:cstheme="minorHAnsi"/>
        </w:rPr>
        <w:t xml:space="preserve">ing 13.5% by estimated RDT negative. </w:t>
      </w:r>
      <w:r w:rsidRPr="00C325AB">
        <w:rPr>
          <w:rFonts w:cstheme="minorHAnsi"/>
          <w:vertAlign w:val="superscript"/>
        </w:rPr>
        <w:t>4</w:t>
      </w:r>
      <w:r w:rsidRPr="00C1720D">
        <w:rPr>
          <w:rFonts w:cstheme="minorHAnsi"/>
        </w:rPr>
        <w:t xml:space="preserve">Calculated using Equation 2. </w:t>
      </w:r>
      <w:r w:rsidRPr="00C325AB">
        <w:rPr>
          <w:rFonts w:cstheme="minorHAnsi"/>
          <w:vertAlign w:val="superscript"/>
        </w:rPr>
        <w:t>5</w:t>
      </w:r>
      <w:r w:rsidRPr="00C1720D">
        <w:rPr>
          <w:rFonts w:cstheme="minorHAnsi"/>
        </w:rPr>
        <w:t xml:space="preserve">Calculated using Equation 3. Data from columns 1-4 taken </w:t>
      </w:r>
      <w:r>
        <w:rPr>
          <w:rFonts w:cstheme="minorHAnsi"/>
        </w:rPr>
        <w:t>published elsewhere</w:t>
      </w:r>
      <w:r>
        <w:rPr>
          <w:rFonts w:cstheme="minorHAnsi"/>
        </w:rPr>
        <w:fldChar w:fldCharType="begin"/>
      </w:r>
      <w:r>
        <w:rPr>
          <w:rFonts w:cstheme="minorHAnsi"/>
        </w:rPr>
        <w:instrText xml:space="preserve"> ADDIN EN.CITE &lt;EndNote&gt;&lt;Cite&gt;&lt;Author&gt;Desai&lt;/Author&gt;&lt;Year&gt;2019&lt;/Year&gt;&lt;RecNum&gt;44&lt;/RecNum&gt;&lt;DisplayText&gt;[1]&lt;/DisplayText&gt;&lt;record&gt;&lt;rec-number&gt;44&lt;/rec-number&gt;&lt;foreign-keys&gt;&lt;key app="EN" db-id="0feaxerzj5sefvetrvzxdwr55atzffaet90s" timestamp="1575970913"&gt;44&lt;/key&gt;&lt;/foreign-keys&gt;&lt;ref-type name="Journal Article"&gt;17&lt;/ref-type&gt;&lt;contributors&gt;&lt;authors&gt;&lt;author&gt;Desai, MR, Samuels AM, Odongo, W, Williamson, J, Odero, N, Otieno, K, Shi, YP, Kachur, SP, Hamel, MJ, Kariuki, SK, Lindblade, K.&lt;/author&gt;&lt;/authors&gt;&lt;/contributors&gt;&lt;titles&gt;&lt;title&gt;Impact of intermitent mass testing and treatment on incidence of malaria infection in a high transmission area of western Kenya&lt;/title&gt;&lt;secondary-title&gt;American Journal of Tropical Medicine &amp;amp; Hygiene&lt;/secondary-title&gt;&lt;/titles&gt;&lt;periodical&gt;&lt;full-title&gt;American Journal of Tropical Medicine &amp;amp; Hygiene&lt;/full-title&gt;&lt;/periodical&gt;&lt;dates&gt;&lt;year&gt;2019&lt;/year&gt;&lt;pub-dates&gt;&lt;date&gt;Accepted&lt;/date&gt;&lt;/pub-dates&gt;&lt;/dates&gt;&lt;urls&gt;&lt;/urls&gt;&lt;/record&gt;&lt;/Cite&gt;&lt;/EndNote&gt;</w:instrText>
      </w:r>
      <w:r>
        <w:rPr>
          <w:rFonts w:cstheme="minorHAnsi"/>
        </w:rPr>
        <w:fldChar w:fldCharType="separate"/>
      </w:r>
      <w:r>
        <w:rPr>
          <w:rFonts w:cstheme="minorHAnsi"/>
          <w:noProof/>
        </w:rPr>
        <w:t>[1]</w:t>
      </w:r>
      <w:r>
        <w:rPr>
          <w:rFonts w:cstheme="minorHAnsi"/>
        </w:rPr>
        <w:fldChar w:fldCharType="end"/>
      </w:r>
      <w:r w:rsidRPr="00C1720D">
        <w:rPr>
          <w:rFonts w:cstheme="minorHAnsi"/>
        </w:rPr>
        <w:t>.</w:t>
      </w:r>
    </w:p>
    <w:p w14:paraId="6E3F8216" w14:textId="77777777" w:rsidR="00300141" w:rsidRDefault="00300141" w:rsidP="00D0496A">
      <w:pPr>
        <w:autoSpaceDE w:val="0"/>
        <w:autoSpaceDN w:val="0"/>
        <w:adjustRightInd w:val="0"/>
        <w:spacing w:line="480" w:lineRule="auto"/>
        <w:rPr>
          <w:rFonts w:cstheme="minorHAnsi"/>
        </w:rPr>
      </w:pPr>
    </w:p>
    <w:p w14:paraId="2A147D38" w14:textId="77777777" w:rsidR="00D0496A" w:rsidRDefault="00D0496A"/>
    <w:p w14:paraId="6F149486" w14:textId="77777777" w:rsidR="00D0496A" w:rsidRDefault="00D0496A"/>
    <w:p w14:paraId="2669237A" w14:textId="77777777" w:rsidR="00300141" w:rsidRDefault="00300141" w:rsidP="00D0496A">
      <w:pPr>
        <w:pStyle w:val="EndNoteBibliography"/>
        <w:ind w:left="720" w:hanging="720"/>
      </w:pPr>
    </w:p>
    <w:p w14:paraId="7525D5DA" w14:textId="77777777" w:rsidR="00300141" w:rsidRDefault="00300141" w:rsidP="00D0496A">
      <w:pPr>
        <w:pStyle w:val="EndNoteBibliography"/>
        <w:ind w:left="720" w:hanging="720"/>
      </w:pPr>
    </w:p>
    <w:p w14:paraId="170F4B62" w14:textId="0242D9B2" w:rsidR="00300141" w:rsidRPr="00300141" w:rsidRDefault="00300141" w:rsidP="00300141">
      <w:pPr>
        <w:pStyle w:val="EndNoteBibliography"/>
        <w:ind w:left="720" w:hanging="720"/>
      </w:pPr>
      <w:r>
        <w:fldChar w:fldCharType="begin"/>
      </w:r>
      <w:r>
        <w:instrText xml:space="preserve"> ADDIN EN.REFLIST </w:instrText>
      </w:r>
      <w:r>
        <w:fldChar w:fldCharType="separate"/>
      </w:r>
      <w:r w:rsidRPr="00300141">
        <w:t>1.</w:t>
      </w:r>
      <w:r w:rsidRPr="00300141">
        <w:tab/>
        <w:t xml:space="preserve">Desai M, Samuels AM, Odongo, W, Williamson, J, Odero, N, Otieno, K, Shi, YP, Kachur, SP, Hamel, MJ, Kariuki, SK, Lindblade, K. Impact of intermitent mass testing and treatment on incidence of malaria infection in a high transmission area of western Kenya. American Journal of Tropical Medicine &amp; Hygiene </w:t>
      </w:r>
      <w:r w:rsidRPr="00300141">
        <w:rPr>
          <w:b/>
        </w:rPr>
        <w:t>20</w:t>
      </w:r>
      <w:r w:rsidR="004D6DF7">
        <w:rPr>
          <w:b/>
        </w:rPr>
        <w:t>20</w:t>
      </w:r>
      <w:r w:rsidRPr="00300141">
        <w:t>.</w:t>
      </w:r>
    </w:p>
    <w:p w14:paraId="7F4DEF6F" w14:textId="07D5A15A" w:rsidR="00085B6A" w:rsidRDefault="00300141" w:rsidP="00D0496A">
      <w:pPr>
        <w:pStyle w:val="EndNoteBibliography"/>
        <w:ind w:left="720" w:hanging="720"/>
      </w:pPr>
      <w:r>
        <w:fldChar w:fldCharType="end"/>
      </w:r>
    </w:p>
    <w:sectPr w:rsidR="00085B6A" w:rsidSect="00300141">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lin Infectious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eaxerzj5sefvetrvzxdwr55atzffaet90s&quot;&gt;My EndNote Library&lt;record-ids&gt;&lt;item&gt;44&lt;/item&gt;&lt;/record-ids&gt;&lt;/item&gt;&lt;/Libraries&gt;"/>
  </w:docVars>
  <w:rsids>
    <w:rsidRoot w:val="00D0496A"/>
    <w:rsid w:val="00062EE1"/>
    <w:rsid w:val="00085B6A"/>
    <w:rsid w:val="000C1F78"/>
    <w:rsid w:val="00251DF7"/>
    <w:rsid w:val="00300141"/>
    <w:rsid w:val="003C5C01"/>
    <w:rsid w:val="004D6DF7"/>
    <w:rsid w:val="004F3377"/>
    <w:rsid w:val="005254B0"/>
    <w:rsid w:val="007D7780"/>
    <w:rsid w:val="007F3FE2"/>
    <w:rsid w:val="009A6BD7"/>
    <w:rsid w:val="009D2F0B"/>
    <w:rsid w:val="00A95D3A"/>
    <w:rsid w:val="00AF20D1"/>
    <w:rsid w:val="00C8211F"/>
    <w:rsid w:val="00D0496A"/>
    <w:rsid w:val="00D26908"/>
    <w:rsid w:val="00E94B5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167B"/>
  <w15:chartTrackingRefBased/>
  <w15:docId w15:val="{50A89E6A-4BFC-4400-9F1F-D6C43917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96A"/>
    <w:pPr>
      <w:spacing w:after="200" w:line="276" w:lineRule="auto"/>
      <w:ind w:left="720"/>
      <w:contextualSpacing/>
    </w:pPr>
  </w:style>
  <w:style w:type="paragraph" w:styleId="BalloonText">
    <w:name w:val="Balloon Text"/>
    <w:basedOn w:val="Normal"/>
    <w:link w:val="BalloonTextChar"/>
    <w:uiPriority w:val="99"/>
    <w:semiHidden/>
    <w:unhideWhenUsed/>
    <w:rsid w:val="00D04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6A"/>
    <w:rPr>
      <w:rFonts w:ascii="Segoe UI" w:hAnsi="Segoe UI" w:cs="Segoe UI"/>
      <w:sz w:val="18"/>
      <w:szCs w:val="18"/>
    </w:rPr>
  </w:style>
  <w:style w:type="paragraph" w:customStyle="1" w:styleId="EndNoteBibliographyTitle">
    <w:name w:val="EndNote Bibliography Title"/>
    <w:basedOn w:val="Normal"/>
    <w:link w:val="EndNoteBibliographyTitleChar"/>
    <w:rsid w:val="00D0496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0496A"/>
    <w:rPr>
      <w:rFonts w:ascii="Calibri" w:hAnsi="Calibri" w:cs="Calibri"/>
      <w:noProof/>
    </w:rPr>
  </w:style>
  <w:style w:type="paragraph" w:customStyle="1" w:styleId="EndNoteBibliography">
    <w:name w:val="EndNote Bibliography"/>
    <w:basedOn w:val="Normal"/>
    <w:link w:val="EndNoteBibliographyChar"/>
    <w:rsid w:val="00D0496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0496A"/>
    <w:rPr>
      <w:rFonts w:ascii="Calibri" w:hAnsi="Calibri" w:cs="Calibri"/>
      <w:noProof/>
    </w:rPr>
  </w:style>
  <w:style w:type="character" w:styleId="CommentReference">
    <w:name w:val="annotation reference"/>
    <w:basedOn w:val="DefaultParagraphFont"/>
    <w:uiPriority w:val="99"/>
    <w:semiHidden/>
    <w:unhideWhenUsed/>
    <w:rsid w:val="009A6BD7"/>
    <w:rPr>
      <w:sz w:val="16"/>
      <w:szCs w:val="16"/>
    </w:rPr>
  </w:style>
  <w:style w:type="paragraph" w:styleId="CommentText">
    <w:name w:val="annotation text"/>
    <w:basedOn w:val="Normal"/>
    <w:link w:val="CommentTextChar"/>
    <w:uiPriority w:val="99"/>
    <w:semiHidden/>
    <w:unhideWhenUsed/>
    <w:rsid w:val="009A6BD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A6B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 Aaron M. (CDC/DDPHSIS/CGH/DPDM)</dc:creator>
  <cp:keywords/>
  <dc:description/>
  <cp:lastModifiedBy>Gutman, Julie R. (CDC/DDPHSIS/CGH/DPDM)</cp:lastModifiedBy>
  <cp:revision>2</cp:revision>
  <dcterms:created xsi:type="dcterms:W3CDTF">2022-04-13T18:47:00Z</dcterms:created>
  <dcterms:modified xsi:type="dcterms:W3CDTF">2022-04-13T18:47:00Z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2022-04-13T18:47:22Z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1591b0dc-2034-4176-ae34-0792776f8da9</vt:lpwstr>
  </property>
  <property fmtid="{D5CDD505-2E9C-101B-9397-08002B2CF9AE}" pid="8" name="MSIP_Label_7b94a7b8-f06c-4dfe-bdcc-9b548fd58c31_ContentBits">
    <vt:lpwstr>0</vt:lpwstr>
  </property>
</Properties>
</file>