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D509" w14:textId="0E6092B4" w:rsidR="004A4274" w:rsidRDefault="004A4274" w:rsidP="004A42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2B2E">
        <w:rPr>
          <w:rFonts w:ascii="Times New Roman" w:hAnsi="Times New Roman" w:cs="Times New Roman"/>
          <w:sz w:val="24"/>
          <w:szCs w:val="24"/>
        </w:rPr>
        <w:t xml:space="preserve">Supplemental </w:t>
      </w:r>
      <w:r>
        <w:rPr>
          <w:rFonts w:ascii="Times New Roman" w:hAnsi="Times New Roman" w:cs="Times New Roman"/>
          <w:sz w:val="24"/>
          <w:szCs w:val="24"/>
        </w:rPr>
        <w:t>Digital Content 3</w:t>
      </w:r>
      <w:r w:rsidRPr="00022B2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Percent of patients by disease type where multiple imputation was used to account for missingness for seven laboratory variables. Only binary values of elevated/not elevated (or for platelets and lymphocytes, decreased/not decreased) were imputed, not continuous numeric values.</w:t>
      </w:r>
    </w:p>
    <w:tbl>
      <w:tblPr>
        <w:tblW w:w="6560" w:type="dxa"/>
        <w:tblLook w:val="04A0" w:firstRow="1" w:lastRow="0" w:firstColumn="1" w:lastColumn="0" w:noHBand="0" w:noVBand="1"/>
      </w:tblPr>
      <w:tblGrid>
        <w:gridCol w:w="2080"/>
        <w:gridCol w:w="960"/>
        <w:gridCol w:w="1540"/>
        <w:gridCol w:w="990"/>
        <w:gridCol w:w="990"/>
      </w:tblGrid>
      <w:tr w:rsidR="004A4274" w:rsidRPr="00F07736" w14:paraId="7EE8CC2E" w14:textId="77777777" w:rsidTr="00A11D28">
        <w:trPr>
          <w:trHeight w:val="288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F17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Laboratory markers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33081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Patient disease type</w:t>
            </w:r>
          </w:p>
        </w:tc>
      </w:tr>
      <w:tr w:rsidR="004A4274" w:rsidRPr="00F07736" w14:paraId="62A4A2A1" w14:textId="77777777" w:rsidTr="00A11D28">
        <w:trPr>
          <w:trHeight w:val="288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02B6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ADFA7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MIS-C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2D3D8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COVID-19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5FEEE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KD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B4DE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TSS</w:t>
            </w:r>
          </w:p>
        </w:tc>
      </w:tr>
      <w:tr w:rsidR="004A4274" w:rsidRPr="00F07736" w14:paraId="5597BD1D" w14:textId="77777777" w:rsidTr="00A11D28">
        <w:trPr>
          <w:trHeight w:val="288"/>
        </w:trPr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FEF99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Used in all models</w:t>
            </w:r>
          </w:p>
        </w:tc>
      </w:tr>
      <w:tr w:rsidR="004A4274" w:rsidRPr="00F07736" w14:paraId="19BC644F" w14:textId="77777777" w:rsidTr="00A11D2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D707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Platelets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0B0C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AD97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2.0%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58B8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0.0%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3CAC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5.3%</w:t>
            </w:r>
          </w:p>
        </w:tc>
      </w:tr>
      <w:tr w:rsidR="004A4274" w:rsidRPr="00F07736" w14:paraId="49704366" w14:textId="77777777" w:rsidTr="00A11D2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EBA9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Lymphocytes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9EBF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3.0%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ABAD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9.8%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DEB9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10.9%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1D05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7.9%</w:t>
            </w:r>
          </w:p>
        </w:tc>
      </w:tr>
      <w:tr w:rsidR="004A4274" w:rsidRPr="00F07736" w14:paraId="76414E5E" w14:textId="77777777" w:rsidTr="00A11D2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02F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C-reactive protein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08D00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0.4%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E11A3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30.4%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795D8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2.0%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7495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25.0%</w:t>
            </w:r>
          </w:p>
        </w:tc>
      </w:tr>
      <w:tr w:rsidR="004A4274" w:rsidRPr="00F07736" w14:paraId="3B7625FE" w14:textId="77777777" w:rsidTr="00A11D28">
        <w:trPr>
          <w:trHeight w:val="288"/>
        </w:trPr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86EF9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Used for the model differentiating MIS-C from COVID-19</w:t>
            </w:r>
          </w:p>
        </w:tc>
      </w:tr>
      <w:tr w:rsidR="004A4274" w:rsidRPr="00F07736" w14:paraId="5641DB5A" w14:textId="77777777" w:rsidTr="00A11D2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4B74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Ferritin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743D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0.4%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0C7E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29.4%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30C9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8854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A4274" w:rsidRPr="00F07736" w14:paraId="3E901F50" w14:textId="77777777" w:rsidTr="00A11D2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E78F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BNP/pro-BNP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26F4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0.9%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157E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40.2%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34C0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8983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A4274" w:rsidRPr="00F07736" w14:paraId="1B94EEB8" w14:textId="77777777" w:rsidTr="00A11D2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06CC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Fibrinogen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8591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5.2%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F420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33.3%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5168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E31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A4274" w:rsidRPr="00F07736" w14:paraId="6222C9BD" w14:textId="77777777" w:rsidTr="00A11D28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D87E" w14:textId="77777777" w:rsidR="004A4274" w:rsidRPr="002A3A58" w:rsidRDefault="004A4274" w:rsidP="00A11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Troponin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C36D6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6.4%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07A25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42.2%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AC572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E64" w14:textId="77777777" w:rsidR="004A4274" w:rsidRPr="002A3A58" w:rsidRDefault="004A4274" w:rsidP="00A1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A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0A47299" w14:textId="62AADFE8" w:rsidR="00341077" w:rsidRPr="004A4274" w:rsidRDefault="00341077">
      <w:pPr>
        <w:rPr>
          <w:rFonts w:ascii="Times New Roman" w:hAnsi="Times New Roman" w:cs="Times New Roman"/>
          <w:sz w:val="24"/>
          <w:szCs w:val="24"/>
        </w:rPr>
      </w:pPr>
    </w:p>
    <w:sectPr w:rsidR="00341077" w:rsidRPr="004A4274" w:rsidSect="00B24E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6FB8" w14:textId="77777777" w:rsidR="000056FA" w:rsidRDefault="000056FA" w:rsidP="000056FA">
      <w:pPr>
        <w:spacing w:after="0" w:line="240" w:lineRule="auto"/>
      </w:pPr>
      <w:r>
        <w:separator/>
      </w:r>
    </w:p>
  </w:endnote>
  <w:endnote w:type="continuationSeparator" w:id="0">
    <w:p w14:paraId="73C49667" w14:textId="77777777" w:rsidR="000056FA" w:rsidRDefault="000056FA" w:rsidP="0000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45A2" w14:textId="77777777" w:rsidR="000056FA" w:rsidRDefault="000056FA" w:rsidP="000056FA">
      <w:pPr>
        <w:spacing w:after="0" w:line="240" w:lineRule="auto"/>
      </w:pPr>
      <w:r>
        <w:separator/>
      </w:r>
    </w:p>
  </w:footnote>
  <w:footnote w:type="continuationSeparator" w:id="0">
    <w:p w14:paraId="745A3F94" w14:textId="77777777" w:rsidR="000056FA" w:rsidRDefault="000056FA" w:rsidP="00005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1A"/>
    <w:rsid w:val="000056FA"/>
    <w:rsid w:val="00341077"/>
    <w:rsid w:val="004A4274"/>
    <w:rsid w:val="00B2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9B936"/>
  <w15:chartTrackingRefBased/>
  <w15:docId w15:val="{2F3B1001-4C89-454D-902B-B49340D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4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Godfred Cato, Shana (CDC/DDNID/NCBDDD/DBDID)</dc:creator>
  <cp:keywords/>
  <dc:description/>
  <cp:lastModifiedBy>Wade, Diane (CDC/DDNID/NCBDDD/OD) (CTR)</cp:lastModifiedBy>
  <cp:revision>2</cp:revision>
  <dcterms:created xsi:type="dcterms:W3CDTF">2022-03-03T13:52:00Z</dcterms:created>
  <dcterms:modified xsi:type="dcterms:W3CDTF">2022-03-03T13:52:00Z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2021-12-14T20:17:06Z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3830755e-82bd-48a5-9012-c2d7d3041023</vt:lpwstr>
  </property>
  <property fmtid="{D5CDD505-2E9C-101B-9397-08002B2CF9AE}" pid="8" name="MSIP_Label_7b94a7b8-f06c-4dfe-bdcc-9b548fd58c31_ContentBits">
    <vt:lpwstr>0</vt:lpwstr>
  </property>
</Properties>
</file>