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73D" w:rsidRPr="00FB473D" w:rsidRDefault="00FB473D" w:rsidP="0037061D">
      <w:pPr>
        <w:spacing w:after="0" w:line="480" w:lineRule="auto"/>
        <w:jc w:val="center"/>
        <w:rPr>
          <w:rFonts w:ascii="Times New Roman" w:eastAsia="Times New Roman" w:hAnsi="Times New Roman" w:cs="Times New Roman"/>
          <w:b/>
          <w:sz w:val="24"/>
          <w:szCs w:val="24"/>
          <w:lang w:val="en-GB" w:eastAsia="fr-FR"/>
        </w:rPr>
      </w:pPr>
      <w:bookmarkStart w:id="0" w:name="_GoBack"/>
      <w:bookmarkEnd w:id="0"/>
      <w:r w:rsidRPr="00FB473D">
        <w:rPr>
          <w:rFonts w:ascii="Times New Roman" w:eastAsia="Times New Roman" w:hAnsi="Times New Roman" w:cs="Times New Roman"/>
          <w:b/>
          <w:sz w:val="24"/>
          <w:szCs w:val="24"/>
          <w:lang w:val="en-GB" w:eastAsia="fr-FR"/>
        </w:rPr>
        <w:t>SUPPLEMENTARY MATERIAL</w:t>
      </w:r>
    </w:p>
    <w:p w:rsidR="0037061D" w:rsidRDefault="0037061D" w:rsidP="00FB473D">
      <w:pPr>
        <w:spacing w:after="200" w:line="360" w:lineRule="auto"/>
        <w:jc w:val="both"/>
        <w:rPr>
          <w:rFonts w:ascii="Times New Roman" w:eastAsia="Times New Roman" w:hAnsi="Times New Roman" w:cs="Times New Roman"/>
          <w:b/>
          <w:bCs/>
          <w:sz w:val="24"/>
          <w:szCs w:val="24"/>
          <w:lang w:val="en-GB" w:eastAsia="fr-FR"/>
        </w:rPr>
      </w:pPr>
    </w:p>
    <w:p w:rsidR="0037061D" w:rsidRPr="0037061D" w:rsidRDefault="0037061D" w:rsidP="0037061D">
      <w:pPr>
        <w:spacing w:after="0" w:line="480" w:lineRule="auto"/>
        <w:jc w:val="center"/>
        <w:rPr>
          <w:rFonts w:ascii="Times New Roman" w:eastAsia="Times New Roman" w:hAnsi="Times New Roman" w:cs="Times New Roman"/>
          <w:sz w:val="36"/>
          <w:szCs w:val="36"/>
          <w:lang w:val="en-GB" w:eastAsia="fr-FR"/>
        </w:rPr>
      </w:pPr>
      <w:r w:rsidRPr="0037061D">
        <w:rPr>
          <w:rFonts w:ascii="Times New Roman" w:eastAsia="Times New Roman" w:hAnsi="Times New Roman" w:cs="Times New Roman"/>
          <w:b/>
          <w:sz w:val="36"/>
          <w:szCs w:val="36"/>
          <w:lang w:val="en-GB" w:eastAsia="fr-FR"/>
        </w:rPr>
        <w:t>An empirical validation of the within-subject biospecimens pooling approach to minimize exposure misclassification in biomarker-based studies</w:t>
      </w:r>
    </w:p>
    <w:p w:rsidR="0037061D" w:rsidRDefault="0037061D" w:rsidP="0037061D">
      <w:pPr>
        <w:spacing w:after="0" w:line="480" w:lineRule="auto"/>
        <w:rPr>
          <w:rFonts w:ascii="Times New Roman" w:eastAsia="Times New Roman" w:hAnsi="Times New Roman" w:cs="Times New Roman"/>
          <w:sz w:val="24"/>
          <w:szCs w:val="24"/>
          <w:lang w:val="fr-FR" w:eastAsia="fr-FR"/>
        </w:rPr>
      </w:pPr>
    </w:p>
    <w:p w:rsidR="0037061D" w:rsidRPr="0029379D" w:rsidRDefault="0037061D" w:rsidP="00803CAF">
      <w:pPr>
        <w:spacing w:after="0" w:line="480" w:lineRule="auto"/>
        <w:jc w:val="center"/>
        <w:rPr>
          <w:rFonts w:ascii="Times New Roman" w:eastAsia="Times New Roman" w:hAnsi="Times New Roman" w:cs="Times New Roman"/>
          <w:b/>
          <w:sz w:val="24"/>
          <w:szCs w:val="24"/>
          <w:lang w:val="fr-FR" w:eastAsia="fr-FR"/>
        </w:rPr>
      </w:pPr>
      <w:r w:rsidRPr="0037061D">
        <w:rPr>
          <w:rFonts w:ascii="Times New Roman" w:eastAsia="Times New Roman" w:hAnsi="Times New Roman" w:cs="Times New Roman"/>
          <w:b/>
          <w:sz w:val="24"/>
          <w:szCs w:val="24"/>
          <w:lang w:val="fr-FR" w:eastAsia="fr-FR"/>
        </w:rPr>
        <w:t>Table of contents</w:t>
      </w:r>
    </w:p>
    <w:p w:rsidR="0037061D" w:rsidRPr="00C5796F" w:rsidRDefault="0037061D" w:rsidP="00C5796F">
      <w:pPr>
        <w:pStyle w:val="TableofFigures"/>
        <w:tabs>
          <w:tab w:val="right" w:leader="dot" w:pos="9060"/>
        </w:tabs>
        <w:jc w:val="both"/>
        <w:rPr>
          <w:rStyle w:val="Hyperlink"/>
          <w:rFonts w:ascii="Times New Roman" w:hAnsi="Times New Roman" w:cs="Times New Roman"/>
          <w:b/>
          <w:noProof/>
        </w:rPr>
      </w:pPr>
      <w:r w:rsidRPr="00C5796F">
        <w:rPr>
          <w:rStyle w:val="Hyperlink"/>
          <w:rFonts w:ascii="Times New Roman" w:hAnsi="Times New Roman" w:cs="Times New Roman"/>
          <w:b/>
          <w:noProof/>
        </w:rPr>
        <w:fldChar w:fldCharType="begin"/>
      </w:r>
      <w:r w:rsidRPr="00C5796F">
        <w:rPr>
          <w:rStyle w:val="Hyperlink"/>
          <w:rFonts w:ascii="Times New Roman" w:hAnsi="Times New Roman" w:cs="Times New Roman"/>
          <w:b/>
          <w:noProof/>
        </w:rPr>
        <w:instrText xml:space="preserve"> TOC \h \z \c "eAppendix" </w:instrText>
      </w:r>
      <w:r w:rsidRPr="00C5796F">
        <w:rPr>
          <w:rStyle w:val="Hyperlink"/>
          <w:rFonts w:ascii="Times New Roman" w:hAnsi="Times New Roman" w:cs="Times New Roman"/>
          <w:b/>
          <w:noProof/>
        </w:rPr>
        <w:fldChar w:fldCharType="separate"/>
      </w:r>
      <w:hyperlink w:anchor="_Toc521922015" w:history="1">
        <w:r w:rsidRPr="00C5796F">
          <w:rPr>
            <w:rStyle w:val="Hyperlink"/>
            <w:rFonts w:ascii="Times New Roman" w:hAnsi="Times New Roman" w:cs="Times New Roman"/>
            <w:b/>
            <w:noProof/>
          </w:rPr>
          <w:t>eAppendix 1</w:t>
        </w:r>
        <w:r w:rsidRPr="00803CAF">
          <w:rPr>
            <w:rStyle w:val="Hyperlink"/>
            <w:rFonts w:ascii="Times New Roman" w:hAnsi="Times New Roman" w:cs="Times New Roman"/>
            <w:noProof/>
          </w:rPr>
          <w:t>.</w:t>
        </w:r>
        <w:r w:rsidRPr="00803CAF">
          <w:rPr>
            <w:rStyle w:val="Hyperlink"/>
            <w:rFonts w:ascii="Times New Roman" w:hAnsi="Times New Roman" w:cs="Times New Roman"/>
            <w:noProof/>
            <w:webHidden/>
          </w:rPr>
          <w:tab/>
        </w:r>
        <w:r w:rsidRPr="00C5796F">
          <w:rPr>
            <w:rStyle w:val="Hyperlink"/>
            <w:rFonts w:ascii="Times New Roman" w:hAnsi="Times New Roman" w:cs="Times New Roman"/>
            <w:noProof/>
            <w:webHidden/>
          </w:rPr>
          <w:fldChar w:fldCharType="begin"/>
        </w:r>
        <w:r w:rsidRPr="00C5796F">
          <w:rPr>
            <w:rStyle w:val="Hyperlink"/>
            <w:rFonts w:ascii="Times New Roman" w:hAnsi="Times New Roman" w:cs="Times New Roman"/>
            <w:noProof/>
            <w:webHidden/>
          </w:rPr>
          <w:instrText xml:space="preserve"> PAGEREF _Toc521922015 \h </w:instrText>
        </w:r>
        <w:r w:rsidRPr="00C5796F">
          <w:rPr>
            <w:rStyle w:val="Hyperlink"/>
            <w:rFonts w:ascii="Times New Roman" w:hAnsi="Times New Roman" w:cs="Times New Roman"/>
            <w:noProof/>
            <w:webHidden/>
          </w:rPr>
        </w:r>
        <w:r w:rsidRPr="00C5796F">
          <w:rPr>
            <w:rStyle w:val="Hyperlink"/>
            <w:rFonts w:ascii="Times New Roman" w:hAnsi="Times New Roman" w:cs="Times New Roman"/>
            <w:noProof/>
            <w:webHidden/>
          </w:rPr>
          <w:fldChar w:fldCharType="separate"/>
        </w:r>
        <w:r w:rsidR="00C5796F">
          <w:rPr>
            <w:rStyle w:val="Hyperlink"/>
            <w:rFonts w:ascii="Times New Roman" w:hAnsi="Times New Roman" w:cs="Times New Roman"/>
            <w:noProof/>
            <w:webHidden/>
          </w:rPr>
          <w:t>3</w:t>
        </w:r>
        <w:r w:rsidRPr="00C5796F">
          <w:rPr>
            <w:rStyle w:val="Hyperlink"/>
            <w:rFonts w:ascii="Times New Roman" w:hAnsi="Times New Roman" w:cs="Times New Roman"/>
            <w:noProof/>
            <w:webHidden/>
          </w:rPr>
          <w:fldChar w:fldCharType="end"/>
        </w:r>
      </w:hyperlink>
    </w:p>
    <w:p w:rsidR="00383CF9" w:rsidRPr="00C5796F" w:rsidRDefault="0037061D" w:rsidP="00C5796F">
      <w:pPr>
        <w:spacing w:line="240" w:lineRule="auto"/>
        <w:jc w:val="both"/>
        <w:rPr>
          <w:rStyle w:val="Hyperlink"/>
          <w:rFonts w:ascii="Times New Roman" w:hAnsi="Times New Roman" w:cs="Times New Roman"/>
          <w:noProof/>
        </w:rPr>
      </w:pPr>
      <w:r w:rsidRPr="00C5796F">
        <w:rPr>
          <w:rStyle w:val="Hyperlink"/>
          <w:rFonts w:ascii="Times New Roman" w:hAnsi="Times New Roman" w:cs="Times New Roman"/>
          <w:b/>
          <w:noProof/>
        </w:rPr>
        <w:fldChar w:fldCharType="end"/>
      </w:r>
      <w:r w:rsidRPr="00C5796F">
        <w:rPr>
          <w:rStyle w:val="Hyperlink"/>
          <w:rFonts w:ascii="Times New Roman" w:hAnsi="Times New Roman" w:cs="Times New Roman"/>
          <w:b/>
          <w:noProof/>
        </w:rPr>
        <w:fldChar w:fldCharType="begin"/>
      </w:r>
      <w:r w:rsidRPr="00C5796F">
        <w:rPr>
          <w:rStyle w:val="Hyperlink"/>
          <w:rFonts w:ascii="Times New Roman" w:hAnsi="Times New Roman" w:cs="Times New Roman"/>
          <w:b/>
          <w:noProof/>
        </w:rPr>
        <w:instrText xml:space="preserve"> TOC \h \z \c "eTable" </w:instrText>
      </w:r>
      <w:r w:rsidRPr="00C5796F">
        <w:rPr>
          <w:rStyle w:val="Hyperlink"/>
          <w:rFonts w:ascii="Times New Roman" w:hAnsi="Times New Roman" w:cs="Times New Roman"/>
          <w:b/>
          <w:noProof/>
        </w:rPr>
        <w:fldChar w:fldCharType="separate"/>
      </w:r>
    </w:p>
    <w:p w:rsidR="00383CF9" w:rsidRPr="00C5796F" w:rsidRDefault="00BC3DD7" w:rsidP="00C5796F">
      <w:pPr>
        <w:pStyle w:val="TableofFigures"/>
        <w:tabs>
          <w:tab w:val="right" w:leader="dot" w:pos="9060"/>
        </w:tabs>
        <w:spacing w:after="160"/>
        <w:jc w:val="both"/>
        <w:rPr>
          <w:rStyle w:val="Hyperlink"/>
          <w:rFonts w:ascii="Times New Roman" w:hAnsi="Times New Roman" w:cs="Times New Roman"/>
          <w:noProof/>
        </w:rPr>
      </w:pPr>
      <w:hyperlink w:anchor="_Toc532441002" w:history="1">
        <w:r w:rsidR="00383CF9" w:rsidRPr="00C5796F">
          <w:rPr>
            <w:rStyle w:val="Hyperlink"/>
            <w:rFonts w:ascii="Times New Roman" w:hAnsi="Times New Roman" w:cs="Times New Roman"/>
            <w:b/>
            <w:noProof/>
          </w:rPr>
          <w:t>eTable 1.</w:t>
        </w:r>
        <w:r w:rsidR="00383CF9" w:rsidRPr="00C5796F">
          <w:rPr>
            <w:rStyle w:val="Hyperlink"/>
            <w:rFonts w:ascii="Times New Roman" w:hAnsi="Times New Roman" w:cs="Times New Roman"/>
            <w:noProof/>
          </w:rPr>
          <w:t xml:space="preserve"> Characteristics of the 16 pregnant women from the SEPAGES feasibility study included in the current study.</w:t>
        </w:r>
        <w:r w:rsidR="00383CF9" w:rsidRPr="00C5796F">
          <w:rPr>
            <w:rStyle w:val="Hyperlink"/>
            <w:rFonts w:ascii="Times New Roman" w:hAnsi="Times New Roman" w:cs="Times New Roman"/>
            <w:noProof/>
            <w:webHidden/>
          </w:rPr>
          <w:tab/>
        </w:r>
        <w:r w:rsidR="00383CF9" w:rsidRPr="00C5796F">
          <w:rPr>
            <w:rStyle w:val="Hyperlink"/>
            <w:rFonts w:ascii="Times New Roman" w:hAnsi="Times New Roman" w:cs="Times New Roman"/>
            <w:noProof/>
            <w:webHidden/>
          </w:rPr>
          <w:fldChar w:fldCharType="begin"/>
        </w:r>
        <w:r w:rsidR="00383CF9" w:rsidRPr="00C5796F">
          <w:rPr>
            <w:rStyle w:val="Hyperlink"/>
            <w:rFonts w:ascii="Times New Roman" w:hAnsi="Times New Roman" w:cs="Times New Roman"/>
            <w:noProof/>
            <w:webHidden/>
          </w:rPr>
          <w:instrText xml:space="preserve"> PAGEREF _Toc532441002 \h </w:instrText>
        </w:r>
        <w:r w:rsidR="00383CF9" w:rsidRPr="00C5796F">
          <w:rPr>
            <w:rStyle w:val="Hyperlink"/>
            <w:rFonts w:ascii="Times New Roman" w:hAnsi="Times New Roman" w:cs="Times New Roman"/>
            <w:noProof/>
            <w:webHidden/>
          </w:rPr>
        </w:r>
        <w:r w:rsidR="00383CF9" w:rsidRPr="00C5796F">
          <w:rPr>
            <w:rStyle w:val="Hyperlink"/>
            <w:rFonts w:ascii="Times New Roman" w:hAnsi="Times New Roman" w:cs="Times New Roman"/>
            <w:noProof/>
            <w:webHidden/>
          </w:rPr>
          <w:fldChar w:fldCharType="separate"/>
        </w:r>
        <w:r w:rsidR="00C5796F">
          <w:rPr>
            <w:rStyle w:val="Hyperlink"/>
            <w:rFonts w:ascii="Times New Roman" w:hAnsi="Times New Roman" w:cs="Times New Roman"/>
            <w:noProof/>
            <w:webHidden/>
          </w:rPr>
          <w:t>7</w:t>
        </w:r>
        <w:r w:rsidR="00383CF9" w:rsidRPr="00C5796F">
          <w:rPr>
            <w:rStyle w:val="Hyperlink"/>
            <w:rFonts w:ascii="Times New Roman" w:hAnsi="Times New Roman" w:cs="Times New Roman"/>
            <w:noProof/>
            <w:webHidden/>
          </w:rPr>
          <w:fldChar w:fldCharType="end"/>
        </w:r>
      </w:hyperlink>
    </w:p>
    <w:p w:rsidR="00383CF9" w:rsidRPr="00C5796F" w:rsidRDefault="00BC3DD7" w:rsidP="00C5796F">
      <w:pPr>
        <w:pStyle w:val="TableofFigures"/>
        <w:tabs>
          <w:tab w:val="right" w:leader="dot" w:pos="9060"/>
        </w:tabs>
        <w:spacing w:after="160"/>
        <w:jc w:val="both"/>
        <w:rPr>
          <w:rStyle w:val="Hyperlink"/>
          <w:rFonts w:ascii="Times New Roman" w:hAnsi="Times New Roman" w:cs="Times New Roman"/>
          <w:noProof/>
        </w:rPr>
      </w:pPr>
      <w:hyperlink w:anchor="_Toc532441003" w:history="1">
        <w:r w:rsidR="00383CF9" w:rsidRPr="00C5796F">
          <w:rPr>
            <w:rStyle w:val="Hyperlink"/>
            <w:rFonts w:ascii="Times New Roman" w:hAnsi="Times New Roman" w:cs="Times New Roman"/>
            <w:b/>
            <w:noProof/>
          </w:rPr>
          <w:t>eTable 2.</w:t>
        </w:r>
        <w:r w:rsidR="00383CF9" w:rsidRPr="00C5796F">
          <w:rPr>
            <w:rStyle w:val="Hyperlink"/>
            <w:rFonts w:ascii="Times New Roman" w:hAnsi="Times New Roman" w:cs="Times New Roman"/>
            <w:noProof/>
          </w:rPr>
          <w:t xml:space="preserve"> Effect estimates and statistical power to detect associations between biomarker-based exposure to methylparaben and a continuous outcome, as a function of the number of biospecimens collected per subject to assess exposure (1,000 simulation runs with 3,000 subjects each; true effect, </w:t>
        </w:r>
        <m:oMath>
          <m:r>
            <m:rPr>
              <m:sty m:val="p"/>
            </m:rPr>
            <w:rPr>
              <w:rStyle w:val="Hyperlink"/>
              <w:rFonts w:ascii="Cambria Math" w:hAnsi="Cambria Math" w:cs="Times New Roman"/>
              <w:noProof/>
            </w:rPr>
            <m:t>βtrue</m:t>
          </m:r>
        </m:oMath>
        <w:r w:rsidR="00383CF9" w:rsidRPr="00C5796F">
          <w:rPr>
            <w:rStyle w:val="Hyperlink"/>
            <w:rFonts w:ascii="Times New Roman" w:hAnsi="Times New Roman" w:cs="Times New Roman"/>
            <w:noProof/>
          </w:rPr>
          <w:t xml:space="preserve"> = -100g change in the outcome for each unit increase in the true (unmeasured) exposure).</w:t>
        </w:r>
        <w:r w:rsidR="00383CF9" w:rsidRPr="00C5796F">
          <w:rPr>
            <w:rStyle w:val="Hyperlink"/>
            <w:rFonts w:ascii="Times New Roman" w:hAnsi="Times New Roman" w:cs="Times New Roman"/>
            <w:noProof/>
            <w:webHidden/>
          </w:rPr>
          <w:tab/>
        </w:r>
        <w:r w:rsidR="00383CF9" w:rsidRPr="00C5796F">
          <w:rPr>
            <w:rStyle w:val="Hyperlink"/>
            <w:rFonts w:ascii="Times New Roman" w:hAnsi="Times New Roman" w:cs="Times New Roman"/>
            <w:noProof/>
            <w:webHidden/>
          </w:rPr>
          <w:fldChar w:fldCharType="begin"/>
        </w:r>
        <w:r w:rsidR="00383CF9" w:rsidRPr="00C5796F">
          <w:rPr>
            <w:rStyle w:val="Hyperlink"/>
            <w:rFonts w:ascii="Times New Roman" w:hAnsi="Times New Roman" w:cs="Times New Roman"/>
            <w:noProof/>
            <w:webHidden/>
          </w:rPr>
          <w:instrText xml:space="preserve"> PAGEREF _Toc532441003 \h </w:instrText>
        </w:r>
        <w:r w:rsidR="00383CF9" w:rsidRPr="00C5796F">
          <w:rPr>
            <w:rStyle w:val="Hyperlink"/>
            <w:rFonts w:ascii="Times New Roman" w:hAnsi="Times New Roman" w:cs="Times New Roman"/>
            <w:noProof/>
            <w:webHidden/>
          </w:rPr>
        </w:r>
        <w:r w:rsidR="00383CF9" w:rsidRPr="00C5796F">
          <w:rPr>
            <w:rStyle w:val="Hyperlink"/>
            <w:rFonts w:ascii="Times New Roman" w:hAnsi="Times New Roman" w:cs="Times New Roman"/>
            <w:noProof/>
            <w:webHidden/>
          </w:rPr>
          <w:fldChar w:fldCharType="separate"/>
        </w:r>
        <w:r w:rsidR="00C5796F">
          <w:rPr>
            <w:rStyle w:val="Hyperlink"/>
            <w:rFonts w:ascii="Times New Roman" w:hAnsi="Times New Roman" w:cs="Times New Roman"/>
            <w:noProof/>
            <w:webHidden/>
          </w:rPr>
          <w:t>16</w:t>
        </w:r>
        <w:r w:rsidR="00383CF9" w:rsidRPr="00C5796F">
          <w:rPr>
            <w:rStyle w:val="Hyperlink"/>
            <w:rFonts w:ascii="Times New Roman" w:hAnsi="Times New Roman" w:cs="Times New Roman"/>
            <w:noProof/>
            <w:webHidden/>
          </w:rPr>
          <w:fldChar w:fldCharType="end"/>
        </w:r>
      </w:hyperlink>
    </w:p>
    <w:p w:rsidR="00383CF9" w:rsidRPr="00C5796F" w:rsidRDefault="00BC3DD7" w:rsidP="00C5796F">
      <w:pPr>
        <w:pStyle w:val="TableofFigures"/>
        <w:tabs>
          <w:tab w:val="right" w:leader="dot" w:pos="9060"/>
        </w:tabs>
        <w:jc w:val="both"/>
        <w:rPr>
          <w:rStyle w:val="Hyperlink"/>
          <w:rFonts w:ascii="Times New Roman" w:hAnsi="Times New Roman" w:cs="Times New Roman"/>
          <w:b/>
          <w:noProof/>
        </w:rPr>
      </w:pPr>
      <w:hyperlink w:anchor="_Toc532441004" w:history="1">
        <w:r w:rsidR="00383CF9" w:rsidRPr="00C5796F">
          <w:rPr>
            <w:rStyle w:val="Hyperlink"/>
            <w:rFonts w:ascii="Times New Roman" w:hAnsi="Times New Roman" w:cs="Times New Roman"/>
            <w:b/>
            <w:noProof/>
          </w:rPr>
          <w:t>eTable 3.</w:t>
        </w:r>
        <w:r w:rsidR="00383CF9" w:rsidRPr="00C5796F">
          <w:rPr>
            <w:rStyle w:val="Hyperlink"/>
            <w:rFonts w:ascii="Times New Roman" w:hAnsi="Times New Roman" w:cs="Times New Roman"/>
            <w:noProof/>
          </w:rPr>
          <w:t xml:space="preserve"> Effect estimates and statistical power to detect associations between biomarker-based exposure to bisphenol A and a continuous outcome, as a function of the number of biospecimens collected per subject to assess exposure (1,000 simulation runs with 3,000 subjects each; true effect, </w:t>
        </w:r>
        <m:oMath>
          <m:r>
            <m:rPr>
              <m:sty m:val="p"/>
            </m:rPr>
            <w:rPr>
              <w:rStyle w:val="Hyperlink"/>
              <w:rFonts w:ascii="Cambria Math" w:hAnsi="Cambria Math" w:cs="Times New Roman"/>
              <w:noProof/>
            </w:rPr>
            <m:t>βtrue</m:t>
          </m:r>
        </m:oMath>
        <w:r w:rsidR="00383CF9" w:rsidRPr="00C5796F">
          <w:rPr>
            <w:rStyle w:val="Hyperlink"/>
            <w:rFonts w:ascii="Times New Roman" w:hAnsi="Times New Roman" w:cs="Times New Roman"/>
            <w:noProof/>
          </w:rPr>
          <w:t xml:space="preserve"> = -100g change in the outcome for each unit increase in the true (unmeasured) exposure).</w:t>
        </w:r>
        <w:r w:rsidR="00383CF9" w:rsidRPr="00C5796F">
          <w:rPr>
            <w:rStyle w:val="Hyperlink"/>
            <w:rFonts w:ascii="Times New Roman" w:hAnsi="Times New Roman" w:cs="Times New Roman"/>
            <w:noProof/>
            <w:webHidden/>
          </w:rPr>
          <w:tab/>
        </w:r>
        <w:r w:rsidR="00383CF9" w:rsidRPr="00C5796F">
          <w:rPr>
            <w:rStyle w:val="Hyperlink"/>
            <w:rFonts w:ascii="Times New Roman" w:hAnsi="Times New Roman" w:cs="Times New Roman"/>
            <w:noProof/>
            <w:webHidden/>
          </w:rPr>
          <w:fldChar w:fldCharType="begin"/>
        </w:r>
        <w:r w:rsidR="00383CF9" w:rsidRPr="00C5796F">
          <w:rPr>
            <w:rStyle w:val="Hyperlink"/>
            <w:rFonts w:ascii="Times New Roman" w:hAnsi="Times New Roman" w:cs="Times New Roman"/>
            <w:noProof/>
            <w:webHidden/>
          </w:rPr>
          <w:instrText xml:space="preserve"> PAGEREF _Toc532441004 \h </w:instrText>
        </w:r>
        <w:r w:rsidR="00383CF9" w:rsidRPr="00C5796F">
          <w:rPr>
            <w:rStyle w:val="Hyperlink"/>
            <w:rFonts w:ascii="Times New Roman" w:hAnsi="Times New Roman" w:cs="Times New Roman"/>
            <w:noProof/>
            <w:webHidden/>
          </w:rPr>
        </w:r>
        <w:r w:rsidR="00383CF9" w:rsidRPr="00C5796F">
          <w:rPr>
            <w:rStyle w:val="Hyperlink"/>
            <w:rFonts w:ascii="Times New Roman" w:hAnsi="Times New Roman" w:cs="Times New Roman"/>
            <w:noProof/>
            <w:webHidden/>
          </w:rPr>
          <w:fldChar w:fldCharType="separate"/>
        </w:r>
        <w:r w:rsidR="00C5796F">
          <w:rPr>
            <w:rStyle w:val="Hyperlink"/>
            <w:rFonts w:ascii="Times New Roman" w:hAnsi="Times New Roman" w:cs="Times New Roman"/>
            <w:noProof/>
            <w:webHidden/>
          </w:rPr>
          <w:t>17</w:t>
        </w:r>
        <w:r w:rsidR="00383CF9" w:rsidRPr="00C5796F">
          <w:rPr>
            <w:rStyle w:val="Hyperlink"/>
            <w:rFonts w:ascii="Times New Roman" w:hAnsi="Times New Roman" w:cs="Times New Roman"/>
            <w:noProof/>
            <w:webHidden/>
          </w:rPr>
          <w:fldChar w:fldCharType="end"/>
        </w:r>
      </w:hyperlink>
    </w:p>
    <w:p w:rsidR="0037061D" w:rsidRPr="00C5796F" w:rsidRDefault="0037061D" w:rsidP="00C5796F">
      <w:pPr>
        <w:spacing w:after="0" w:line="240" w:lineRule="auto"/>
        <w:jc w:val="both"/>
        <w:rPr>
          <w:rFonts w:ascii="Times New Roman" w:eastAsia="Times New Roman" w:hAnsi="Times New Roman" w:cs="Times New Roman"/>
          <w:lang w:val="fr-FR" w:eastAsia="fr-FR"/>
        </w:rPr>
      </w:pPr>
      <w:r w:rsidRPr="00C5796F">
        <w:rPr>
          <w:rStyle w:val="Hyperlink"/>
          <w:rFonts w:ascii="Times New Roman" w:hAnsi="Times New Roman" w:cs="Times New Roman"/>
          <w:b/>
          <w:noProof/>
        </w:rPr>
        <w:fldChar w:fldCharType="end"/>
      </w:r>
    </w:p>
    <w:p w:rsidR="0032780E" w:rsidRPr="00C5796F" w:rsidRDefault="0037061D" w:rsidP="00C5796F">
      <w:pPr>
        <w:pStyle w:val="TableofFigures"/>
        <w:tabs>
          <w:tab w:val="right" w:leader="dot" w:pos="9060"/>
        </w:tabs>
        <w:spacing w:after="120"/>
        <w:jc w:val="both"/>
        <w:rPr>
          <w:rFonts w:ascii="Times New Roman" w:eastAsiaTheme="minorEastAsia" w:hAnsi="Times New Roman" w:cs="Times New Roman"/>
          <w:noProof/>
          <w:lang w:val="fr-FR" w:eastAsia="fr-FR"/>
        </w:rPr>
      </w:pPr>
      <w:r w:rsidRPr="00C5796F">
        <w:rPr>
          <w:rFonts w:ascii="Times New Roman" w:eastAsia="Times New Roman" w:hAnsi="Times New Roman" w:cs="Times New Roman"/>
          <w:lang w:val="fr-FR" w:eastAsia="fr-FR"/>
        </w:rPr>
        <w:fldChar w:fldCharType="begin"/>
      </w:r>
      <w:r w:rsidRPr="00C5796F">
        <w:rPr>
          <w:rFonts w:ascii="Times New Roman" w:eastAsia="Times New Roman" w:hAnsi="Times New Roman" w:cs="Times New Roman"/>
          <w:lang w:val="fr-FR" w:eastAsia="fr-FR"/>
        </w:rPr>
        <w:instrText xml:space="preserve"> TOC \h \z \c "eFigure" </w:instrText>
      </w:r>
      <w:r w:rsidRPr="00C5796F">
        <w:rPr>
          <w:rFonts w:ascii="Times New Roman" w:eastAsia="Times New Roman" w:hAnsi="Times New Roman" w:cs="Times New Roman"/>
          <w:lang w:val="fr-FR" w:eastAsia="fr-FR"/>
        </w:rPr>
        <w:fldChar w:fldCharType="separate"/>
      </w:r>
      <w:hyperlink w:anchor="_Toc531343072" w:history="1">
        <w:r w:rsidR="0032780E" w:rsidRPr="00C5796F">
          <w:rPr>
            <w:rStyle w:val="Hyperlink"/>
            <w:rFonts w:ascii="Times New Roman" w:hAnsi="Times New Roman" w:cs="Times New Roman"/>
            <w:b/>
            <w:noProof/>
          </w:rPr>
          <w:t>eFigure 1.</w:t>
        </w:r>
        <w:r w:rsidR="0032780E" w:rsidRPr="00C5796F">
          <w:rPr>
            <w:rStyle w:val="Hyperlink"/>
            <w:rFonts w:ascii="Times New Roman" w:hAnsi="Times New Roman" w:cs="Times New Roman"/>
            <w:noProof/>
          </w:rPr>
          <w:t xml:space="preserve"> </w:t>
        </w:r>
        <w:r w:rsidR="0032780E" w:rsidRPr="00C5796F">
          <w:rPr>
            <w:rStyle w:val="Hyperlink"/>
            <w:rFonts w:ascii="Times New Roman" w:eastAsia="Times New Roman" w:hAnsi="Times New Roman" w:cs="Times New Roman"/>
            <w:noProof/>
            <w:lang w:val="en-GB" w:eastAsia="fr-FR"/>
          </w:rPr>
          <w:t>Daily exposure window – Scatter plots of exposure estimates from Protocol 2 (equal volumes of three spot urines voids were pooled within-subject) against those from Protocol 1 (equal volumes of all spot urine voids collected during the 3 follow-up weeks were pooled within-subject) (mean-centered ln-transformed biomarker concentrations, n = 8 women, N = 20 samples).</w:t>
        </w:r>
        <w:r w:rsidR="0032780E" w:rsidRPr="00C5796F">
          <w:rPr>
            <w:rFonts w:ascii="Times New Roman" w:hAnsi="Times New Roman" w:cs="Times New Roman"/>
            <w:noProof/>
            <w:webHidden/>
          </w:rPr>
          <w:tab/>
        </w:r>
        <w:r w:rsidR="0032780E" w:rsidRPr="00C5796F">
          <w:rPr>
            <w:rFonts w:ascii="Times New Roman" w:hAnsi="Times New Roman" w:cs="Times New Roman"/>
            <w:noProof/>
            <w:webHidden/>
          </w:rPr>
          <w:fldChar w:fldCharType="begin"/>
        </w:r>
        <w:r w:rsidR="0032780E" w:rsidRPr="00C5796F">
          <w:rPr>
            <w:rFonts w:ascii="Times New Roman" w:hAnsi="Times New Roman" w:cs="Times New Roman"/>
            <w:noProof/>
            <w:webHidden/>
          </w:rPr>
          <w:instrText xml:space="preserve"> PAGEREF _Toc531343072 \h </w:instrText>
        </w:r>
        <w:r w:rsidR="0032780E" w:rsidRPr="00C5796F">
          <w:rPr>
            <w:rFonts w:ascii="Times New Roman" w:hAnsi="Times New Roman" w:cs="Times New Roman"/>
            <w:noProof/>
            <w:webHidden/>
          </w:rPr>
        </w:r>
        <w:r w:rsidR="0032780E" w:rsidRPr="00C5796F">
          <w:rPr>
            <w:rFonts w:ascii="Times New Roman" w:hAnsi="Times New Roman" w:cs="Times New Roman"/>
            <w:noProof/>
            <w:webHidden/>
          </w:rPr>
          <w:fldChar w:fldCharType="separate"/>
        </w:r>
        <w:r w:rsidR="00C5796F">
          <w:rPr>
            <w:rFonts w:ascii="Times New Roman" w:hAnsi="Times New Roman" w:cs="Times New Roman"/>
            <w:noProof/>
            <w:webHidden/>
          </w:rPr>
          <w:t>8</w:t>
        </w:r>
        <w:r w:rsidR="0032780E" w:rsidRPr="00C5796F">
          <w:rPr>
            <w:rFonts w:ascii="Times New Roman" w:hAnsi="Times New Roman" w:cs="Times New Roman"/>
            <w:noProof/>
            <w:webHidden/>
          </w:rPr>
          <w:fldChar w:fldCharType="end"/>
        </w:r>
      </w:hyperlink>
    </w:p>
    <w:p w:rsidR="0032780E" w:rsidRPr="00C5796F" w:rsidRDefault="00BC3DD7" w:rsidP="00C5796F">
      <w:pPr>
        <w:pStyle w:val="TableofFigures"/>
        <w:tabs>
          <w:tab w:val="right" w:leader="dot" w:pos="9060"/>
        </w:tabs>
        <w:spacing w:after="120"/>
        <w:jc w:val="both"/>
        <w:rPr>
          <w:rFonts w:ascii="Times New Roman" w:eastAsiaTheme="minorEastAsia" w:hAnsi="Times New Roman" w:cs="Times New Roman"/>
          <w:noProof/>
          <w:lang w:val="fr-FR" w:eastAsia="fr-FR"/>
        </w:rPr>
      </w:pPr>
      <w:hyperlink w:anchor="_Toc531343073" w:history="1">
        <w:r w:rsidR="0032780E" w:rsidRPr="00C5796F">
          <w:rPr>
            <w:rStyle w:val="Hyperlink"/>
            <w:rFonts w:ascii="Times New Roman" w:hAnsi="Times New Roman" w:cs="Times New Roman"/>
            <w:b/>
            <w:noProof/>
          </w:rPr>
          <w:t>eFigure 2.</w:t>
        </w:r>
        <w:r w:rsidR="0032780E" w:rsidRPr="00C5796F">
          <w:rPr>
            <w:rStyle w:val="Hyperlink"/>
            <w:rFonts w:ascii="Times New Roman" w:hAnsi="Times New Roman" w:cs="Times New Roman"/>
            <w:noProof/>
          </w:rPr>
          <w:t xml:space="preserve"> </w:t>
        </w:r>
        <w:r w:rsidR="0032780E" w:rsidRPr="00C5796F">
          <w:rPr>
            <w:rStyle w:val="Hyperlink"/>
            <w:rFonts w:ascii="Times New Roman" w:eastAsia="Times New Roman" w:hAnsi="Times New Roman" w:cs="Times New Roman"/>
            <w:noProof/>
            <w:lang w:val="en-GB" w:eastAsia="fr-FR"/>
          </w:rPr>
          <w:t>Daily exposure window – Bland-Altman plots for Protocols 1 (equal volumes of all spot urine voids were within-subject pooled) and 2 (equal volumes of three spot urine voids were within-subject pooled) daily averages of ln-transformed biomarkers.</w:t>
        </w:r>
        <w:r w:rsidR="0032780E" w:rsidRPr="00C5796F">
          <w:rPr>
            <w:rFonts w:ascii="Times New Roman" w:hAnsi="Times New Roman" w:cs="Times New Roman"/>
            <w:noProof/>
            <w:webHidden/>
          </w:rPr>
          <w:tab/>
        </w:r>
        <w:r w:rsidR="0032780E" w:rsidRPr="00C5796F">
          <w:rPr>
            <w:rFonts w:ascii="Times New Roman" w:hAnsi="Times New Roman" w:cs="Times New Roman"/>
            <w:noProof/>
            <w:webHidden/>
          </w:rPr>
          <w:fldChar w:fldCharType="begin"/>
        </w:r>
        <w:r w:rsidR="0032780E" w:rsidRPr="00C5796F">
          <w:rPr>
            <w:rFonts w:ascii="Times New Roman" w:hAnsi="Times New Roman" w:cs="Times New Roman"/>
            <w:noProof/>
            <w:webHidden/>
          </w:rPr>
          <w:instrText xml:space="preserve"> PAGEREF _Toc531343073 \h </w:instrText>
        </w:r>
        <w:r w:rsidR="0032780E" w:rsidRPr="00C5796F">
          <w:rPr>
            <w:rFonts w:ascii="Times New Roman" w:hAnsi="Times New Roman" w:cs="Times New Roman"/>
            <w:noProof/>
            <w:webHidden/>
          </w:rPr>
        </w:r>
        <w:r w:rsidR="0032780E" w:rsidRPr="00C5796F">
          <w:rPr>
            <w:rFonts w:ascii="Times New Roman" w:hAnsi="Times New Roman" w:cs="Times New Roman"/>
            <w:noProof/>
            <w:webHidden/>
          </w:rPr>
          <w:fldChar w:fldCharType="separate"/>
        </w:r>
        <w:r w:rsidR="00C5796F">
          <w:rPr>
            <w:rFonts w:ascii="Times New Roman" w:hAnsi="Times New Roman" w:cs="Times New Roman"/>
            <w:noProof/>
            <w:webHidden/>
          </w:rPr>
          <w:t>9</w:t>
        </w:r>
        <w:r w:rsidR="0032780E" w:rsidRPr="00C5796F">
          <w:rPr>
            <w:rFonts w:ascii="Times New Roman" w:hAnsi="Times New Roman" w:cs="Times New Roman"/>
            <w:noProof/>
            <w:webHidden/>
          </w:rPr>
          <w:fldChar w:fldCharType="end"/>
        </w:r>
      </w:hyperlink>
    </w:p>
    <w:p w:rsidR="0032780E" w:rsidRPr="00C5796F" w:rsidRDefault="00BC3DD7" w:rsidP="00C5796F">
      <w:pPr>
        <w:pStyle w:val="TableofFigures"/>
        <w:tabs>
          <w:tab w:val="right" w:leader="dot" w:pos="9060"/>
        </w:tabs>
        <w:spacing w:after="120"/>
        <w:jc w:val="both"/>
        <w:rPr>
          <w:rFonts w:ascii="Times New Roman" w:eastAsiaTheme="minorEastAsia" w:hAnsi="Times New Roman" w:cs="Times New Roman"/>
          <w:noProof/>
          <w:lang w:val="fr-FR" w:eastAsia="fr-FR"/>
        </w:rPr>
      </w:pPr>
      <w:hyperlink w:anchor="_Toc531343074" w:history="1">
        <w:r w:rsidR="0032780E" w:rsidRPr="00C5796F">
          <w:rPr>
            <w:rStyle w:val="Hyperlink"/>
            <w:rFonts w:ascii="Times New Roman" w:hAnsi="Times New Roman" w:cs="Times New Roman"/>
            <w:b/>
            <w:noProof/>
          </w:rPr>
          <w:t>eFigure 3.</w:t>
        </w:r>
        <w:r w:rsidR="0032780E" w:rsidRPr="00C5796F">
          <w:rPr>
            <w:rStyle w:val="Hyperlink"/>
            <w:rFonts w:ascii="Times New Roman" w:hAnsi="Times New Roman" w:cs="Times New Roman"/>
            <w:noProof/>
          </w:rPr>
          <w:t xml:space="preserve"> </w:t>
        </w:r>
        <w:r w:rsidR="0032780E" w:rsidRPr="00C5796F">
          <w:rPr>
            <w:rStyle w:val="Hyperlink"/>
            <w:rFonts w:ascii="Times New Roman" w:eastAsia="Times New Roman" w:hAnsi="Times New Roman" w:cs="Times New Roman"/>
            <w:noProof/>
            <w:lang w:val="en-GB" w:eastAsia="fr-FR"/>
          </w:rPr>
          <w:t>Weekly exposure window – Scatter plots of exposure estimates from Protocol 2 (equal volumes of three spot urine voids were pooled within-subject for daily pools) against those from Protocol 1 (equal volumes of all spot urine voids were pooled within-subject) (mean-centered ln-transformed biomarker concentrations, n = 8 women, N = 24 samples).</w:t>
        </w:r>
        <w:r w:rsidR="0032780E" w:rsidRPr="00C5796F">
          <w:rPr>
            <w:rFonts w:ascii="Times New Roman" w:hAnsi="Times New Roman" w:cs="Times New Roman"/>
            <w:noProof/>
            <w:webHidden/>
          </w:rPr>
          <w:tab/>
        </w:r>
        <w:r w:rsidR="0032780E" w:rsidRPr="00C5796F">
          <w:rPr>
            <w:rFonts w:ascii="Times New Roman" w:hAnsi="Times New Roman" w:cs="Times New Roman"/>
            <w:noProof/>
            <w:webHidden/>
          </w:rPr>
          <w:fldChar w:fldCharType="begin"/>
        </w:r>
        <w:r w:rsidR="0032780E" w:rsidRPr="00C5796F">
          <w:rPr>
            <w:rFonts w:ascii="Times New Roman" w:hAnsi="Times New Roman" w:cs="Times New Roman"/>
            <w:noProof/>
            <w:webHidden/>
          </w:rPr>
          <w:instrText xml:space="preserve"> PAGEREF _Toc531343074 \h </w:instrText>
        </w:r>
        <w:r w:rsidR="0032780E" w:rsidRPr="00C5796F">
          <w:rPr>
            <w:rFonts w:ascii="Times New Roman" w:hAnsi="Times New Roman" w:cs="Times New Roman"/>
            <w:noProof/>
            <w:webHidden/>
          </w:rPr>
        </w:r>
        <w:r w:rsidR="0032780E" w:rsidRPr="00C5796F">
          <w:rPr>
            <w:rFonts w:ascii="Times New Roman" w:hAnsi="Times New Roman" w:cs="Times New Roman"/>
            <w:noProof/>
            <w:webHidden/>
          </w:rPr>
          <w:fldChar w:fldCharType="separate"/>
        </w:r>
        <w:r w:rsidR="00C5796F">
          <w:rPr>
            <w:rFonts w:ascii="Times New Roman" w:hAnsi="Times New Roman" w:cs="Times New Roman"/>
            <w:noProof/>
            <w:webHidden/>
          </w:rPr>
          <w:t>10</w:t>
        </w:r>
        <w:r w:rsidR="0032780E" w:rsidRPr="00C5796F">
          <w:rPr>
            <w:rFonts w:ascii="Times New Roman" w:hAnsi="Times New Roman" w:cs="Times New Roman"/>
            <w:noProof/>
            <w:webHidden/>
          </w:rPr>
          <w:fldChar w:fldCharType="end"/>
        </w:r>
      </w:hyperlink>
    </w:p>
    <w:p w:rsidR="0032780E" w:rsidRPr="00C5796F" w:rsidRDefault="00BC3DD7" w:rsidP="00C5796F">
      <w:pPr>
        <w:pStyle w:val="TableofFigures"/>
        <w:tabs>
          <w:tab w:val="right" w:leader="dot" w:pos="9060"/>
        </w:tabs>
        <w:spacing w:after="120"/>
        <w:jc w:val="both"/>
        <w:rPr>
          <w:rFonts w:ascii="Times New Roman" w:eastAsiaTheme="minorEastAsia" w:hAnsi="Times New Roman" w:cs="Times New Roman"/>
          <w:noProof/>
          <w:lang w:val="fr-FR" w:eastAsia="fr-FR"/>
        </w:rPr>
      </w:pPr>
      <w:hyperlink w:anchor="_Toc531343075" w:history="1">
        <w:r w:rsidR="0032780E" w:rsidRPr="00C5796F">
          <w:rPr>
            <w:rStyle w:val="Hyperlink"/>
            <w:rFonts w:ascii="Times New Roman" w:hAnsi="Times New Roman" w:cs="Times New Roman"/>
            <w:b/>
            <w:noProof/>
          </w:rPr>
          <w:t>eFigure 4.</w:t>
        </w:r>
        <w:r w:rsidR="0032780E" w:rsidRPr="00C5796F">
          <w:rPr>
            <w:rStyle w:val="Hyperlink"/>
            <w:rFonts w:ascii="Times New Roman" w:hAnsi="Times New Roman" w:cs="Times New Roman"/>
            <w:noProof/>
          </w:rPr>
          <w:t xml:space="preserve"> </w:t>
        </w:r>
        <w:r w:rsidR="0032780E" w:rsidRPr="00C5796F">
          <w:rPr>
            <w:rStyle w:val="Hyperlink"/>
            <w:rFonts w:ascii="Times New Roman" w:eastAsia="Times New Roman" w:hAnsi="Times New Roman" w:cs="Times New Roman"/>
            <w:noProof/>
            <w:lang w:val="en-GB" w:eastAsia="fr-FR"/>
          </w:rPr>
          <w:t>Weekly exposure window – Bland-Altman plots for Protocols 1 (equal volumes of all spot urine voids were within-subject pooled) and 2 (equal volumes of three spot urine voids were within-subject pooled) weekly averages of ln-transformed biomarkers.</w:t>
        </w:r>
        <w:r w:rsidR="0032780E" w:rsidRPr="00C5796F">
          <w:rPr>
            <w:rFonts w:ascii="Times New Roman" w:hAnsi="Times New Roman" w:cs="Times New Roman"/>
            <w:noProof/>
            <w:webHidden/>
          </w:rPr>
          <w:tab/>
        </w:r>
        <w:r w:rsidR="0032780E" w:rsidRPr="00C5796F">
          <w:rPr>
            <w:rFonts w:ascii="Times New Roman" w:hAnsi="Times New Roman" w:cs="Times New Roman"/>
            <w:noProof/>
            <w:webHidden/>
          </w:rPr>
          <w:fldChar w:fldCharType="begin"/>
        </w:r>
        <w:r w:rsidR="0032780E" w:rsidRPr="00C5796F">
          <w:rPr>
            <w:rFonts w:ascii="Times New Roman" w:hAnsi="Times New Roman" w:cs="Times New Roman"/>
            <w:noProof/>
            <w:webHidden/>
          </w:rPr>
          <w:instrText xml:space="preserve"> PAGEREF _Toc531343075 \h </w:instrText>
        </w:r>
        <w:r w:rsidR="0032780E" w:rsidRPr="00C5796F">
          <w:rPr>
            <w:rFonts w:ascii="Times New Roman" w:hAnsi="Times New Roman" w:cs="Times New Roman"/>
            <w:noProof/>
            <w:webHidden/>
          </w:rPr>
        </w:r>
        <w:r w:rsidR="0032780E" w:rsidRPr="00C5796F">
          <w:rPr>
            <w:rFonts w:ascii="Times New Roman" w:hAnsi="Times New Roman" w:cs="Times New Roman"/>
            <w:noProof/>
            <w:webHidden/>
          </w:rPr>
          <w:fldChar w:fldCharType="separate"/>
        </w:r>
        <w:r w:rsidR="00C5796F">
          <w:rPr>
            <w:rFonts w:ascii="Times New Roman" w:hAnsi="Times New Roman" w:cs="Times New Roman"/>
            <w:noProof/>
            <w:webHidden/>
          </w:rPr>
          <w:t>11</w:t>
        </w:r>
        <w:r w:rsidR="0032780E" w:rsidRPr="00C5796F">
          <w:rPr>
            <w:rFonts w:ascii="Times New Roman" w:hAnsi="Times New Roman" w:cs="Times New Roman"/>
            <w:noProof/>
            <w:webHidden/>
          </w:rPr>
          <w:fldChar w:fldCharType="end"/>
        </w:r>
      </w:hyperlink>
    </w:p>
    <w:p w:rsidR="0032780E" w:rsidRPr="00C5796F" w:rsidRDefault="00BC3DD7" w:rsidP="00C5796F">
      <w:pPr>
        <w:pStyle w:val="TableofFigures"/>
        <w:tabs>
          <w:tab w:val="right" w:leader="dot" w:pos="9060"/>
        </w:tabs>
        <w:spacing w:after="120"/>
        <w:jc w:val="both"/>
        <w:rPr>
          <w:rFonts w:ascii="Times New Roman" w:eastAsiaTheme="minorEastAsia" w:hAnsi="Times New Roman" w:cs="Times New Roman"/>
          <w:noProof/>
          <w:lang w:val="fr-FR" w:eastAsia="fr-FR"/>
        </w:rPr>
      </w:pPr>
      <w:hyperlink w:anchor="_Toc531343076" w:history="1">
        <w:r w:rsidR="0032780E" w:rsidRPr="00C5796F">
          <w:rPr>
            <w:rStyle w:val="Hyperlink"/>
            <w:rFonts w:ascii="Times New Roman" w:hAnsi="Times New Roman" w:cs="Times New Roman"/>
            <w:b/>
            <w:noProof/>
          </w:rPr>
          <w:t>eFigure 5.</w:t>
        </w:r>
        <w:r w:rsidR="0032780E" w:rsidRPr="00C5796F">
          <w:rPr>
            <w:rStyle w:val="Hyperlink"/>
            <w:rFonts w:ascii="Times New Roman" w:hAnsi="Times New Roman" w:cs="Times New Roman"/>
            <w:noProof/>
          </w:rPr>
          <w:t xml:space="preserve"> </w:t>
        </w:r>
        <w:r w:rsidR="0032780E" w:rsidRPr="00C5796F">
          <w:rPr>
            <w:rStyle w:val="Hyperlink"/>
            <w:rFonts w:ascii="Times New Roman" w:eastAsia="Times New Roman" w:hAnsi="Times New Roman" w:cs="Times New Roman"/>
            <w:noProof/>
            <w:lang w:val="en-GB" w:eastAsia="fr-FR"/>
          </w:rPr>
          <w:t>Pregnancy exposure window – Scatter plots of exposure estimates from Protocols 2-5 against Protocol 1 (pooling of all spot urine samples/day).</w:t>
        </w:r>
        <w:r w:rsidR="0032780E" w:rsidRPr="00C5796F">
          <w:rPr>
            <w:rFonts w:ascii="Times New Roman" w:hAnsi="Times New Roman" w:cs="Times New Roman"/>
            <w:noProof/>
            <w:webHidden/>
          </w:rPr>
          <w:tab/>
        </w:r>
        <w:r w:rsidR="0032780E" w:rsidRPr="00C5796F">
          <w:rPr>
            <w:rFonts w:ascii="Times New Roman" w:hAnsi="Times New Roman" w:cs="Times New Roman"/>
            <w:noProof/>
            <w:webHidden/>
          </w:rPr>
          <w:fldChar w:fldCharType="begin"/>
        </w:r>
        <w:r w:rsidR="0032780E" w:rsidRPr="00C5796F">
          <w:rPr>
            <w:rFonts w:ascii="Times New Roman" w:hAnsi="Times New Roman" w:cs="Times New Roman"/>
            <w:noProof/>
            <w:webHidden/>
          </w:rPr>
          <w:instrText xml:space="preserve"> PAGEREF _Toc531343076 \h </w:instrText>
        </w:r>
        <w:r w:rsidR="0032780E" w:rsidRPr="00C5796F">
          <w:rPr>
            <w:rFonts w:ascii="Times New Roman" w:hAnsi="Times New Roman" w:cs="Times New Roman"/>
            <w:noProof/>
            <w:webHidden/>
          </w:rPr>
        </w:r>
        <w:r w:rsidR="0032780E" w:rsidRPr="00C5796F">
          <w:rPr>
            <w:rFonts w:ascii="Times New Roman" w:hAnsi="Times New Roman" w:cs="Times New Roman"/>
            <w:noProof/>
            <w:webHidden/>
          </w:rPr>
          <w:fldChar w:fldCharType="separate"/>
        </w:r>
        <w:r w:rsidR="00C5796F">
          <w:rPr>
            <w:rFonts w:ascii="Times New Roman" w:hAnsi="Times New Roman" w:cs="Times New Roman"/>
            <w:noProof/>
            <w:webHidden/>
          </w:rPr>
          <w:t>12</w:t>
        </w:r>
        <w:r w:rsidR="0032780E" w:rsidRPr="00C5796F">
          <w:rPr>
            <w:rFonts w:ascii="Times New Roman" w:hAnsi="Times New Roman" w:cs="Times New Roman"/>
            <w:noProof/>
            <w:webHidden/>
          </w:rPr>
          <w:fldChar w:fldCharType="end"/>
        </w:r>
      </w:hyperlink>
    </w:p>
    <w:p w:rsidR="0032780E" w:rsidRPr="00C5796F" w:rsidRDefault="00BC3DD7" w:rsidP="00C5796F">
      <w:pPr>
        <w:pStyle w:val="TableofFigures"/>
        <w:tabs>
          <w:tab w:val="right" w:leader="dot" w:pos="9060"/>
        </w:tabs>
        <w:spacing w:after="120"/>
        <w:jc w:val="both"/>
        <w:rPr>
          <w:rFonts w:ascii="Times New Roman" w:eastAsiaTheme="minorEastAsia" w:hAnsi="Times New Roman" w:cs="Times New Roman"/>
          <w:noProof/>
          <w:lang w:val="fr-FR" w:eastAsia="fr-FR"/>
        </w:rPr>
      </w:pPr>
      <w:hyperlink w:anchor="_Toc531343077" w:history="1">
        <w:r w:rsidR="0032780E" w:rsidRPr="00C5796F">
          <w:rPr>
            <w:rStyle w:val="Hyperlink"/>
            <w:rFonts w:ascii="Times New Roman" w:hAnsi="Times New Roman" w:cs="Times New Roman"/>
            <w:b/>
            <w:noProof/>
          </w:rPr>
          <w:t>eFigure 6.</w:t>
        </w:r>
        <w:r w:rsidR="0032780E" w:rsidRPr="00C5796F">
          <w:rPr>
            <w:rStyle w:val="Hyperlink"/>
            <w:rFonts w:ascii="Times New Roman" w:hAnsi="Times New Roman" w:cs="Times New Roman"/>
            <w:noProof/>
          </w:rPr>
          <w:t xml:space="preserve"> </w:t>
        </w:r>
        <w:r w:rsidR="0032780E" w:rsidRPr="00C5796F">
          <w:rPr>
            <w:rStyle w:val="Hyperlink"/>
            <w:rFonts w:ascii="Times New Roman" w:eastAsia="Times New Roman" w:hAnsi="Times New Roman" w:cs="Times New Roman"/>
            <w:noProof/>
            <w:lang w:val="en-GB" w:eastAsia="fr-FR"/>
          </w:rPr>
          <w:t>Pregnancy exposure window – Bland-Altman plots for Protocols 3 (A), 4 (B), 5 (C) and 2 (D) against Protocol 1 (pooling of all spot urine samples/day) pregnancy averages of ln-transformed biomarkers.</w:t>
        </w:r>
        <w:r w:rsidR="0032780E" w:rsidRPr="00C5796F">
          <w:rPr>
            <w:rFonts w:ascii="Times New Roman" w:hAnsi="Times New Roman" w:cs="Times New Roman"/>
            <w:noProof/>
            <w:webHidden/>
          </w:rPr>
          <w:tab/>
        </w:r>
        <w:r w:rsidR="0032780E" w:rsidRPr="00C5796F">
          <w:rPr>
            <w:rFonts w:ascii="Times New Roman" w:hAnsi="Times New Roman" w:cs="Times New Roman"/>
            <w:noProof/>
            <w:webHidden/>
          </w:rPr>
          <w:fldChar w:fldCharType="begin"/>
        </w:r>
        <w:r w:rsidR="0032780E" w:rsidRPr="00C5796F">
          <w:rPr>
            <w:rFonts w:ascii="Times New Roman" w:hAnsi="Times New Roman" w:cs="Times New Roman"/>
            <w:noProof/>
            <w:webHidden/>
          </w:rPr>
          <w:instrText xml:space="preserve"> PAGEREF _Toc531343077 \h </w:instrText>
        </w:r>
        <w:r w:rsidR="0032780E" w:rsidRPr="00C5796F">
          <w:rPr>
            <w:rFonts w:ascii="Times New Roman" w:hAnsi="Times New Roman" w:cs="Times New Roman"/>
            <w:noProof/>
            <w:webHidden/>
          </w:rPr>
        </w:r>
        <w:r w:rsidR="0032780E" w:rsidRPr="00C5796F">
          <w:rPr>
            <w:rFonts w:ascii="Times New Roman" w:hAnsi="Times New Roman" w:cs="Times New Roman"/>
            <w:noProof/>
            <w:webHidden/>
          </w:rPr>
          <w:fldChar w:fldCharType="separate"/>
        </w:r>
        <w:r w:rsidR="00C5796F">
          <w:rPr>
            <w:rFonts w:ascii="Times New Roman" w:hAnsi="Times New Roman" w:cs="Times New Roman"/>
            <w:noProof/>
            <w:webHidden/>
          </w:rPr>
          <w:t>14</w:t>
        </w:r>
        <w:r w:rsidR="0032780E" w:rsidRPr="00C5796F">
          <w:rPr>
            <w:rFonts w:ascii="Times New Roman" w:hAnsi="Times New Roman" w:cs="Times New Roman"/>
            <w:noProof/>
            <w:webHidden/>
          </w:rPr>
          <w:fldChar w:fldCharType="end"/>
        </w:r>
      </w:hyperlink>
    </w:p>
    <w:p w:rsidR="0032780E" w:rsidRPr="00C5796F" w:rsidRDefault="00BC3DD7" w:rsidP="00C5796F">
      <w:pPr>
        <w:pStyle w:val="TableofFigures"/>
        <w:tabs>
          <w:tab w:val="right" w:leader="dot" w:pos="9060"/>
        </w:tabs>
        <w:spacing w:after="120"/>
        <w:jc w:val="both"/>
        <w:rPr>
          <w:rFonts w:ascii="Times New Roman" w:eastAsiaTheme="minorEastAsia" w:hAnsi="Times New Roman" w:cs="Times New Roman"/>
          <w:noProof/>
          <w:lang w:val="fr-FR" w:eastAsia="fr-FR"/>
        </w:rPr>
      </w:pPr>
      <w:hyperlink w:anchor="_Toc531343078" w:history="1">
        <w:r w:rsidR="0032780E" w:rsidRPr="00C5796F">
          <w:rPr>
            <w:rStyle w:val="Hyperlink"/>
            <w:rFonts w:ascii="Times New Roman" w:hAnsi="Times New Roman" w:cs="Times New Roman"/>
            <w:b/>
            <w:noProof/>
          </w:rPr>
          <w:t>eFigure 7.</w:t>
        </w:r>
        <w:r w:rsidR="0032780E" w:rsidRPr="00C5796F">
          <w:rPr>
            <w:rStyle w:val="Hyperlink"/>
            <w:rFonts w:ascii="Times New Roman" w:hAnsi="Times New Roman" w:cs="Times New Roman"/>
            <w:noProof/>
          </w:rPr>
          <w:t xml:space="preserve"> </w:t>
        </w:r>
        <w:r w:rsidR="0032780E" w:rsidRPr="00C5796F">
          <w:rPr>
            <w:rStyle w:val="Hyperlink"/>
            <w:rFonts w:ascii="Times New Roman" w:eastAsia="Times New Roman" w:hAnsi="Times New Roman" w:cs="Times New Roman"/>
            <w:noProof/>
            <w:lang w:val="en-GB" w:eastAsia="fr-FR"/>
          </w:rPr>
          <w:t>Distribution of the simulated exposures in one of our simulated studies for methylparaben (A, ICC = 0.85) and for bisphenol A (B, ICC = 0.38).</w:t>
        </w:r>
        <w:r w:rsidR="0032780E" w:rsidRPr="00C5796F">
          <w:rPr>
            <w:rFonts w:ascii="Times New Roman" w:hAnsi="Times New Roman" w:cs="Times New Roman"/>
            <w:noProof/>
            <w:webHidden/>
          </w:rPr>
          <w:tab/>
        </w:r>
        <w:r w:rsidR="0032780E" w:rsidRPr="00C5796F">
          <w:rPr>
            <w:rFonts w:ascii="Times New Roman" w:hAnsi="Times New Roman" w:cs="Times New Roman"/>
            <w:noProof/>
            <w:webHidden/>
          </w:rPr>
          <w:fldChar w:fldCharType="begin"/>
        </w:r>
        <w:r w:rsidR="0032780E" w:rsidRPr="00C5796F">
          <w:rPr>
            <w:rFonts w:ascii="Times New Roman" w:hAnsi="Times New Roman" w:cs="Times New Roman"/>
            <w:noProof/>
            <w:webHidden/>
          </w:rPr>
          <w:instrText xml:space="preserve"> PAGEREF _Toc531343078 \h </w:instrText>
        </w:r>
        <w:r w:rsidR="0032780E" w:rsidRPr="00C5796F">
          <w:rPr>
            <w:rFonts w:ascii="Times New Roman" w:hAnsi="Times New Roman" w:cs="Times New Roman"/>
            <w:noProof/>
            <w:webHidden/>
          </w:rPr>
        </w:r>
        <w:r w:rsidR="0032780E" w:rsidRPr="00C5796F">
          <w:rPr>
            <w:rFonts w:ascii="Times New Roman" w:hAnsi="Times New Roman" w:cs="Times New Roman"/>
            <w:noProof/>
            <w:webHidden/>
          </w:rPr>
          <w:fldChar w:fldCharType="separate"/>
        </w:r>
        <w:r w:rsidR="00C5796F">
          <w:rPr>
            <w:rFonts w:ascii="Times New Roman" w:hAnsi="Times New Roman" w:cs="Times New Roman"/>
            <w:noProof/>
            <w:webHidden/>
          </w:rPr>
          <w:t>18</w:t>
        </w:r>
        <w:r w:rsidR="0032780E" w:rsidRPr="00C5796F">
          <w:rPr>
            <w:rFonts w:ascii="Times New Roman" w:hAnsi="Times New Roman" w:cs="Times New Roman"/>
            <w:noProof/>
            <w:webHidden/>
          </w:rPr>
          <w:fldChar w:fldCharType="end"/>
        </w:r>
      </w:hyperlink>
    </w:p>
    <w:p w:rsidR="0032780E" w:rsidRPr="00C5796F" w:rsidRDefault="00BC3DD7" w:rsidP="00C5796F">
      <w:pPr>
        <w:pStyle w:val="TableofFigures"/>
        <w:tabs>
          <w:tab w:val="right" w:leader="dot" w:pos="9060"/>
        </w:tabs>
        <w:jc w:val="both"/>
        <w:rPr>
          <w:rFonts w:ascii="Times New Roman" w:eastAsiaTheme="minorEastAsia" w:hAnsi="Times New Roman" w:cs="Times New Roman"/>
          <w:noProof/>
          <w:lang w:val="fr-FR" w:eastAsia="fr-FR"/>
        </w:rPr>
      </w:pPr>
      <w:hyperlink w:anchor="_Toc531343079" w:history="1">
        <w:r w:rsidR="0032780E" w:rsidRPr="00C5796F">
          <w:rPr>
            <w:rStyle w:val="Hyperlink"/>
            <w:rFonts w:ascii="Times New Roman" w:hAnsi="Times New Roman" w:cs="Times New Roman"/>
            <w:b/>
            <w:noProof/>
          </w:rPr>
          <w:t>eFigure 8.</w:t>
        </w:r>
        <w:r w:rsidR="0032780E" w:rsidRPr="00C5796F">
          <w:rPr>
            <w:rStyle w:val="Hyperlink"/>
            <w:rFonts w:ascii="Times New Roman" w:hAnsi="Times New Roman" w:cs="Times New Roman"/>
            <w:noProof/>
          </w:rPr>
          <w:t xml:space="preserve"> </w:t>
        </w:r>
        <w:r w:rsidR="0032780E" w:rsidRPr="00C5796F">
          <w:rPr>
            <w:rStyle w:val="Hyperlink"/>
            <w:rFonts w:ascii="Times New Roman" w:eastAsia="Times New Roman" w:hAnsi="Times New Roman" w:cs="Times New Roman"/>
            <w:noProof/>
            <w:lang w:val="en-GB" w:eastAsia="fr-FR"/>
          </w:rPr>
          <w:t>Examples of urinary concentrations of methylparaben (A) and bisphenol A (B) measured with error, for three subjects in one of our simulation runs.</w:t>
        </w:r>
        <w:r w:rsidR="0032780E" w:rsidRPr="00C5796F">
          <w:rPr>
            <w:rFonts w:ascii="Times New Roman" w:hAnsi="Times New Roman" w:cs="Times New Roman"/>
            <w:noProof/>
            <w:webHidden/>
          </w:rPr>
          <w:tab/>
        </w:r>
        <w:r w:rsidR="0032780E" w:rsidRPr="00C5796F">
          <w:rPr>
            <w:rFonts w:ascii="Times New Roman" w:hAnsi="Times New Roman" w:cs="Times New Roman"/>
            <w:noProof/>
            <w:webHidden/>
          </w:rPr>
          <w:fldChar w:fldCharType="begin"/>
        </w:r>
        <w:r w:rsidR="0032780E" w:rsidRPr="00C5796F">
          <w:rPr>
            <w:rFonts w:ascii="Times New Roman" w:hAnsi="Times New Roman" w:cs="Times New Roman"/>
            <w:noProof/>
            <w:webHidden/>
          </w:rPr>
          <w:instrText xml:space="preserve"> PAGEREF _Toc531343079 \h </w:instrText>
        </w:r>
        <w:r w:rsidR="0032780E" w:rsidRPr="00C5796F">
          <w:rPr>
            <w:rFonts w:ascii="Times New Roman" w:hAnsi="Times New Roman" w:cs="Times New Roman"/>
            <w:noProof/>
            <w:webHidden/>
          </w:rPr>
        </w:r>
        <w:r w:rsidR="0032780E" w:rsidRPr="00C5796F">
          <w:rPr>
            <w:rFonts w:ascii="Times New Roman" w:hAnsi="Times New Roman" w:cs="Times New Roman"/>
            <w:noProof/>
            <w:webHidden/>
          </w:rPr>
          <w:fldChar w:fldCharType="separate"/>
        </w:r>
        <w:r w:rsidR="00C5796F">
          <w:rPr>
            <w:rFonts w:ascii="Times New Roman" w:hAnsi="Times New Roman" w:cs="Times New Roman"/>
            <w:noProof/>
            <w:webHidden/>
          </w:rPr>
          <w:t>19</w:t>
        </w:r>
        <w:r w:rsidR="0032780E" w:rsidRPr="00C5796F">
          <w:rPr>
            <w:rFonts w:ascii="Times New Roman" w:hAnsi="Times New Roman" w:cs="Times New Roman"/>
            <w:noProof/>
            <w:webHidden/>
          </w:rPr>
          <w:fldChar w:fldCharType="end"/>
        </w:r>
      </w:hyperlink>
    </w:p>
    <w:p w:rsidR="0037061D" w:rsidRPr="00C5796F" w:rsidRDefault="0037061D" w:rsidP="00C5796F">
      <w:pPr>
        <w:spacing w:after="60" w:line="480" w:lineRule="auto"/>
        <w:jc w:val="both"/>
        <w:rPr>
          <w:rFonts w:ascii="Times New Roman" w:eastAsia="Times New Roman" w:hAnsi="Times New Roman" w:cs="Times New Roman"/>
          <w:lang w:val="fr-FR" w:eastAsia="fr-FR"/>
        </w:rPr>
      </w:pPr>
      <w:r w:rsidRPr="00C5796F">
        <w:rPr>
          <w:rFonts w:ascii="Times New Roman" w:eastAsia="Times New Roman" w:hAnsi="Times New Roman" w:cs="Times New Roman"/>
          <w:lang w:val="fr-FR" w:eastAsia="fr-FR"/>
        </w:rPr>
        <w:fldChar w:fldCharType="end"/>
      </w:r>
    </w:p>
    <w:p w:rsidR="0037061D" w:rsidRDefault="0037061D" w:rsidP="00FB473D">
      <w:pPr>
        <w:spacing w:after="200" w:line="360" w:lineRule="auto"/>
        <w:jc w:val="both"/>
        <w:rPr>
          <w:rFonts w:ascii="Times New Roman" w:eastAsia="Times New Roman" w:hAnsi="Times New Roman" w:cs="Times New Roman"/>
          <w:b/>
          <w:bCs/>
          <w:sz w:val="24"/>
          <w:szCs w:val="24"/>
          <w:lang w:val="en-GB" w:eastAsia="fr-FR"/>
        </w:rPr>
        <w:sectPr w:rsidR="0037061D" w:rsidSect="00CC7113">
          <w:footerReference w:type="default" r:id="rId8"/>
          <w:pgSz w:w="11906" w:h="16838"/>
          <w:pgMar w:top="1418" w:right="1418" w:bottom="1418" w:left="1418" w:header="709" w:footer="709" w:gutter="0"/>
          <w:cols w:space="708"/>
          <w:docGrid w:linePitch="360"/>
        </w:sectPr>
      </w:pPr>
    </w:p>
    <w:p w:rsidR="00FB473D" w:rsidRPr="0037061D" w:rsidRDefault="0037061D" w:rsidP="0037061D">
      <w:pPr>
        <w:pStyle w:val="Caption"/>
        <w:rPr>
          <w:rFonts w:ascii="Times New Roman" w:eastAsia="Times New Roman" w:hAnsi="Times New Roman" w:cs="Times New Roman"/>
          <w:b/>
          <w:bCs/>
          <w:i w:val="0"/>
          <w:color w:val="auto"/>
          <w:sz w:val="24"/>
          <w:szCs w:val="24"/>
          <w:lang w:val="en-GB" w:eastAsia="fr-FR"/>
        </w:rPr>
      </w:pPr>
      <w:bookmarkStart w:id="1" w:name="_Toc521922015"/>
      <w:proofErr w:type="spellStart"/>
      <w:r w:rsidRPr="0037061D">
        <w:rPr>
          <w:rFonts w:ascii="Times New Roman" w:hAnsi="Times New Roman" w:cs="Times New Roman"/>
          <w:b/>
          <w:i w:val="0"/>
          <w:color w:val="auto"/>
          <w:sz w:val="24"/>
          <w:szCs w:val="24"/>
        </w:rPr>
        <w:lastRenderedPageBreak/>
        <w:t>eAppendix</w:t>
      </w:r>
      <w:proofErr w:type="spellEnd"/>
      <w:r w:rsidRPr="0037061D">
        <w:rPr>
          <w:rFonts w:ascii="Times New Roman" w:hAnsi="Times New Roman" w:cs="Times New Roman"/>
          <w:b/>
          <w:i w:val="0"/>
          <w:color w:val="auto"/>
          <w:sz w:val="24"/>
          <w:szCs w:val="24"/>
        </w:rPr>
        <w:t xml:space="preserve"> </w:t>
      </w:r>
      <w:r w:rsidRPr="0037061D">
        <w:rPr>
          <w:rFonts w:ascii="Times New Roman" w:hAnsi="Times New Roman" w:cs="Times New Roman"/>
          <w:b/>
          <w:i w:val="0"/>
          <w:color w:val="auto"/>
          <w:sz w:val="24"/>
          <w:szCs w:val="24"/>
        </w:rPr>
        <w:fldChar w:fldCharType="begin"/>
      </w:r>
      <w:r w:rsidRPr="0037061D">
        <w:rPr>
          <w:rFonts w:ascii="Times New Roman" w:hAnsi="Times New Roman" w:cs="Times New Roman"/>
          <w:b/>
          <w:i w:val="0"/>
          <w:color w:val="auto"/>
          <w:sz w:val="24"/>
          <w:szCs w:val="24"/>
        </w:rPr>
        <w:instrText xml:space="preserve"> SEQ eAppendix \* ARABIC </w:instrText>
      </w:r>
      <w:r w:rsidRPr="0037061D">
        <w:rPr>
          <w:rFonts w:ascii="Times New Roman" w:hAnsi="Times New Roman" w:cs="Times New Roman"/>
          <w:b/>
          <w:i w:val="0"/>
          <w:color w:val="auto"/>
          <w:sz w:val="24"/>
          <w:szCs w:val="24"/>
        </w:rPr>
        <w:fldChar w:fldCharType="separate"/>
      </w:r>
      <w:r w:rsidRPr="0037061D">
        <w:rPr>
          <w:rFonts w:ascii="Times New Roman" w:hAnsi="Times New Roman" w:cs="Times New Roman"/>
          <w:b/>
          <w:i w:val="0"/>
          <w:noProof/>
          <w:color w:val="auto"/>
          <w:sz w:val="24"/>
          <w:szCs w:val="24"/>
        </w:rPr>
        <w:t>1</w:t>
      </w:r>
      <w:r w:rsidRPr="0037061D">
        <w:rPr>
          <w:rFonts w:ascii="Times New Roman" w:hAnsi="Times New Roman" w:cs="Times New Roman"/>
          <w:b/>
          <w:i w:val="0"/>
          <w:color w:val="auto"/>
          <w:sz w:val="24"/>
          <w:szCs w:val="24"/>
        </w:rPr>
        <w:fldChar w:fldCharType="end"/>
      </w:r>
      <w:r>
        <w:rPr>
          <w:rFonts w:ascii="Times New Roman" w:hAnsi="Times New Roman" w:cs="Times New Roman"/>
          <w:b/>
          <w:i w:val="0"/>
          <w:color w:val="auto"/>
          <w:sz w:val="24"/>
          <w:szCs w:val="24"/>
        </w:rPr>
        <w:t>.</w:t>
      </w:r>
      <w:bookmarkEnd w:id="1"/>
      <w:r w:rsidR="00FB473D" w:rsidRPr="0037061D">
        <w:rPr>
          <w:rFonts w:ascii="Times New Roman" w:eastAsia="Times New Roman" w:hAnsi="Times New Roman" w:cs="Times New Roman"/>
          <w:b/>
          <w:bCs/>
          <w:i w:val="0"/>
          <w:color w:val="auto"/>
          <w:sz w:val="24"/>
          <w:szCs w:val="24"/>
          <w:lang w:val="en-GB" w:eastAsia="fr-FR"/>
        </w:rPr>
        <w:t xml:space="preserve"> </w:t>
      </w:r>
    </w:p>
    <w:p w:rsidR="00FB473D" w:rsidRPr="00FB473D" w:rsidRDefault="00FB473D" w:rsidP="00FB473D">
      <w:pPr>
        <w:spacing w:after="200" w:line="360" w:lineRule="auto"/>
        <w:jc w:val="both"/>
        <w:rPr>
          <w:rFonts w:ascii="Times New Roman" w:eastAsia="Times New Roman" w:hAnsi="Times New Roman" w:cs="Times New Roman"/>
          <w:b/>
          <w:bCs/>
          <w:sz w:val="24"/>
          <w:szCs w:val="24"/>
          <w:lang w:val="en-GB" w:eastAsia="fr-FR"/>
        </w:rPr>
      </w:pPr>
    </w:p>
    <w:p w:rsidR="00FB473D" w:rsidRPr="00FB473D" w:rsidRDefault="00FB473D" w:rsidP="00FB473D">
      <w:pPr>
        <w:spacing w:after="200" w:line="480" w:lineRule="auto"/>
        <w:jc w:val="both"/>
        <w:rPr>
          <w:rFonts w:ascii="Times New Roman" w:eastAsia="Times New Roman" w:hAnsi="Times New Roman" w:cs="Times New Roman"/>
          <w:b/>
          <w:sz w:val="24"/>
          <w:szCs w:val="24"/>
          <w:lang w:val="en-GB" w:eastAsia="fr-FR"/>
        </w:rPr>
      </w:pPr>
      <w:r w:rsidRPr="00FB473D">
        <w:rPr>
          <w:rFonts w:ascii="Times New Roman" w:eastAsia="Times New Roman" w:hAnsi="Times New Roman" w:cs="Times New Roman"/>
          <w:b/>
          <w:sz w:val="24"/>
          <w:szCs w:val="24"/>
          <w:lang w:val="en-GB" w:eastAsia="fr-FR"/>
        </w:rPr>
        <w:t xml:space="preserve">Aim 2: Impact of the within-subject biomarker variability on dose-response functions </w:t>
      </w:r>
    </w:p>
    <w:p w:rsidR="00FB473D" w:rsidRPr="00FB473D" w:rsidRDefault="00FB473D" w:rsidP="00FB473D">
      <w:pPr>
        <w:spacing w:after="0" w:line="480" w:lineRule="auto"/>
        <w:jc w:val="both"/>
        <w:rPr>
          <w:rFonts w:ascii="Times New Roman" w:eastAsia="Times New Roman" w:hAnsi="Times New Roman" w:cs="Times New Roman"/>
          <w:sz w:val="24"/>
          <w:szCs w:val="24"/>
          <w:lang w:val="en-GB" w:eastAsia="fr-FR"/>
        </w:rPr>
      </w:pPr>
      <w:r w:rsidRPr="00FB473D">
        <w:rPr>
          <w:rFonts w:ascii="Times New Roman" w:eastAsia="Times New Roman" w:hAnsi="Times New Roman" w:cs="Times New Roman"/>
          <w:sz w:val="24"/>
          <w:szCs w:val="24"/>
          <w:lang w:val="en-GB" w:eastAsia="fr-FR"/>
        </w:rPr>
        <w:t>We chose two phenols, methylparaben and bisphenol A, because of their contrasted ICCs, with respectively low and high within-subject variability in the studied population of eight women (pregnancy-specific ICC was 0.85 for methylparaben and 0.38 for bisphenol A).</w:t>
      </w:r>
      <w:r w:rsidRPr="00FB473D">
        <w:rPr>
          <w:rFonts w:ascii="Times New Roman" w:eastAsia="Times New Roman" w:hAnsi="Times New Roman" w:cs="Times New Roman"/>
          <w:sz w:val="24"/>
          <w:szCs w:val="24"/>
          <w:lang w:val="en-GB" w:eastAsia="fr-FR"/>
        </w:rPr>
        <w:fldChar w:fldCharType="begin"/>
      </w:r>
      <w:r w:rsidR="00474B65">
        <w:rPr>
          <w:rFonts w:ascii="Times New Roman" w:eastAsia="Times New Roman" w:hAnsi="Times New Roman" w:cs="Times New Roman"/>
          <w:sz w:val="24"/>
          <w:szCs w:val="24"/>
          <w:lang w:val="en-GB" w:eastAsia="fr-FR"/>
        </w:rPr>
        <w:instrText xml:space="preserve"> ADDIN ZOTERO_ITEM CSL_CITATION {"citationID":"qcqYbKQj","properties":{"formattedCitation":"\\super 1\\nosupersub{}","plainCitation":"1","noteIndex":0},"citationItems":[{"id":"aAzz16MF/Ta8Z3jpl","uris":["http://zotero.org/users/local/SVr6rUJo/items/G92HBADE"],"uri":["http://zotero.org/users/local/SVr6rUJo/items/G92HBADE"],"itemData":{"id":2742,"type":"article-journal","title":"Within-Day, Between-Day, and Between-Week Variability of Urinary Concentrations of Phenol Biomarkers in Pregnant Women","container-title":"Environmental Health Perspectives","page":"037005","volume":"126","issue":"3","source":"PubMed","abstract":"BACKGROUND: Toxicology studies have shown adverse effects of developmental exposure to industrial phenols. Evaluation in humans is challenged by potentially marked within-subject variability of phenol biomarkers in pregnant women, which is poorly characterized.\nOBJECTIVES: We aimed to characterize within-day, between-day, and between-week variability of phenol urinary biomarker concentrations during pregnancy.\nMETHODS: In eight French pregnant women, we collected all urine voids over a 1-wk period (average, 60 samples per week per woman) at three occasions (15±2, 24±2, and 32±1 gestational weeks) in 2012-2013. Aliquots of each day and of the whole week were pooled within-subject. We assayed concentrations of 10 phenols in these pools, and, for two women, in all spot (unpooled) samples collected during a 1-wk period. We characterized variability using intraclass correlation coefficients (ICCs) with spot samples (within-day variability), daily pools (between-day variability), and weekly pools (between-week variability).\nRESULTS: For most biomarkers, the within-day variability was high (ICCs between 0.03 and 0.50). The between-day variability, based on samples pooled within each day, was much lower, with ICCs &gt;0.60 except for bisphenol S (0.14, 95% confidence interval [CI]: 0.00, 0.39). The between-week variability differed between compounds, with triclosan and bisphenol S having the lowest ICCs (&lt;0.3) and 2,5-dichlorophenol the highest (ICC &gt;0.9).\nCONCLUSION: During pregnancy, phenol biomarkers showed a strong within-day variability, while the variability between days of a given week was more limited. One biospecimen is not enough to efficiently characterize exposure; collecting biospecimens during a single week may be enough to represent well the whole pregnancy exposure for some but not all phenols. https://doi.org/10.1289/EHP1994.","DOI":"10.1289/EHP1994","ISSN":"1552-9924","note":"PMID: 29553460","journalAbbreviation":"Environ. Health Perspect.","language":"eng","author":[{"family":"Vernet","given":"Céline"},{"family":"Philippat","given":"Claire"},{"family":"Calafat","given":"Antonia M."},{"family":"Ye","given":"Xiaoyun"},{"family":"Lyon-Caen","given":"Sarah"},{"family":"Siroux","given":"Valérie"},{"family":"Schisterman","given":"Enrique F."},{"family":"Slama","given":"Rémy"}],"issued":{"date-parts":[["2018",3,16]]}}}],"schema":"https://github.com/citation-style-language/schema/raw/master/csl-citation.json"} </w:instrText>
      </w:r>
      <w:r w:rsidRPr="00FB473D">
        <w:rPr>
          <w:rFonts w:ascii="Times New Roman" w:eastAsia="Times New Roman" w:hAnsi="Times New Roman" w:cs="Times New Roman"/>
          <w:sz w:val="24"/>
          <w:szCs w:val="24"/>
          <w:lang w:val="en-GB" w:eastAsia="fr-FR"/>
        </w:rPr>
        <w:fldChar w:fldCharType="separate"/>
      </w:r>
      <w:r w:rsidR="00474B65" w:rsidRPr="00474B65">
        <w:rPr>
          <w:rFonts w:ascii="Times New Roman" w:hAnsi="Times New Roman" w:cs="Times New Roman"/>
          <w:sz w:val="24"/>
          <w:szCs w:val="24"/>
          <w:vertAlign w:val="superscript"/>
        </w:rPr>
        <w:t>1</w:t>
      </w:r>
      <w:r w:rsidRPr="00FB473D">
        <w:rPr>
          <w:rFonts w:ascii="Times New Roman" w:eastAsia="Times New Roman" w:hAnsi="Times New Roman" w:cs="Times New Roman"/>
          <w:sz w:val="24"/>
          <w:szCs w:val="24"/>
          <w:lang w:val="en-GB" w:eastAsia="fr-FR"/>
        </w:rPr>
        <w:fldChar w:fldCharType="end"/>
      </w:r>
    </w:p>
    <w:p w:rsidR="00FB473D" w:rsidRPr="00FB473D" w:rsidRDefault="00FB473D" w:rsidP="00FB473D">
      <w:pPr>
        <w:spacing w:after="0" w:line="480" w:lineRule="auto"/>
        <w:jc w:val="both"/>
        <w:rPr>
          <w:rFonts w:ascii="Times New Roman" w:eastAsia="Times New Roman" w:hAnsi="Times New Roman" w:cs="Times New Roman"/>
          <w:i/>
          <w:sz w:val="24"/>
          <w:szCs w:val="24"/>
          <w:lang w:val="en-GB" w:eastAsia="fr-FR"/>
        </w:rPr>
      </w:pPr>
    </w:p>
    <w:p w:rsidR="00FB473D" w:rsidRPr="00FB473D" w:rsidRDefault="00FB473D" w:rsidP="00FB473D">
      <w:pPr>
        <w:spacing w:after="0" w:line="480" w:lineRule="auto"/>
        <w:jc w:val="both"/>
        <w:rPr>
          <w:rFonts w:ascii="Times New Roman" w:eastAsia="Times New Roman" w:hAnsi="Times New Roman" w:cs="Times New Roman"/>
          <w:i/>
          <w:sz w:val="24"/>
          <w:szCs w:val="24"/>
          <w:lang w:val="en-GB" w:eastAsia="fr-FR"/>
        </w:rPr>
      </w:pPr>
      <w:r w:rsidRPr="00FB473D">
        <w:rPr>
          <w:rFonts w:ascii="Times New Roman" w:eastAsia="Times New Roman" w:hAnsi="Times New Roman" w:cs="Times New Roman"/>
          <w:i/>
          <w:sz w:val="24"/>
          <w:szCs w:val="24"/>
          <w:lang w:val="en-GB" w:eastAsia="fr-FR"/>
        </w:rPr>
        <w:t>Simulation of exposures</w:t>
      </w:r>
    </w:p>
    <w:p w:rsidR="00FB473D" w:rsidRPr="00FB473D" w:rsidRDefault="00FB473D" w:rsidP="00FB473D">
      <w:pPr>
        <w:spacing w:after="0" w:line="480" w:lineRule="auto"/>
        <w:jc w:val="both"/>
        <w:rPr>
          <w:rFonts w:ascii="Times New Roman" w:eastAsia="Times New Roman" w:hAnsi="Times New Roman" w:cs="Times New Roman"/>
          <w:sz w:val="24"/>
          <w:szCs w:val="24"/>
          <w:lang w:val="en-GB" w:eastAsia="fr-FR"/>
        </w:rPr>
      </w:pPr>
      <w:r w:rsidRPr="00FB473D">
        <w:rPr>
          <w:rFonts w:ascii="Times New Roman" w:eastAsia="Times New Roman" w:hAnsi="Times New Roman" w:cs="Times New Roman"/>
          <w:sz w:val="24"/>
          <w:szCs w:val="24"/>
          <w:lang w:val="en-GB" w:eastAsia="fr-FR"/>
        </w:rPr>
        <w:t>We simulated a population of 3,000 subjects with one to 20 spot urine samples using a bootstrap method based on the eight women from SEPAGES-feasibility study with the lowest rate of missed urine voids (groups A1 and A2). Each of these women had eight random spot samples assayed for phenol biomarkers among all spot samples collected at three occasions of pregnancy (see Figure 1).</w:t>
      </w:r>
    </w:p>
    <w:p w:rsidR="00FB473D" w:rsidRPr="00FB473D" w:rsidRDefault="00FB473D" w:rsidP="00FB473D">
      <w:pPr>
        <w:spacing w:after="0" w:line="480" w:lineRule="auto"/>
        <w:jc w:val="both"/>
        <w:rPr>
          <w:rFonts w:ascii="Times New Roman" w:eastAsia="Times New Roman" w:hAnsi="Times New Roman" w:cs="Times New Roman"/>
          <w:sz w:val="24"/>
          <w:szCs w:val="24"/>
          <w:lang w:val="en-GB" w:eastAsia="fr-FR"/>
        </w:rPr>
      </w:pPr>
      <w:r w:rsidRPr="00FB473D">
        <w:rPr>
          <w:rFonts w:ascii="Times New Roman" w:eastAsia="Times New Roman" w:hAnsi="Times New Roman" w:cs="Times New Roman"/>
          <w:sz w:val="24"/>
          <w:szCs w:val="24"/>
          <w:lang w:val="en-GB" w:eastAsia="fr-FR"/>
        </w:rPr>
        <w:t xml:space="preserve">We assigned for each subject </w:t>
      </w:r>
      <m:oMath>
        <m:r>
          <w:rPr>
            <w:rFonts w:ascii="Cambria Math" w:eastAsia="Times New Roman" w:hAnsi="Cambria Math" w:cs="Times New Roman"/>
            <w:sz w:val="24"/>
            <w:szCs w:val="24"/>
            <w:lang w:val="en-GB" w:eastAsia="fr-FR"/>
          </w:rPr>
          <m:t xml:space="preserve">i </m:t>
        </m:r>
        <m:d>
          <m:dPr>
            <m:ctrlPr>
              <w:rPr>
                <w:rFonts w:ascii="Cambria Math" w:eastAsia="Times New Roman" w:hAnsi="Cambria Math" w:cs="Times New Roman"/>
                <w:i/>
                <w:sz w:val="24"/>
                <w:szCs w:val="24"/>
                <w:lang w:val="en-GB" w:eastAsia="fr-FR"/>
              </w:rPr>
            </m:ctrlPr>
          </m:dPr>
          <m:e>
            <m:r>
              <w:rPr>
                <w:rFonts w:ascii="Cambria Math" w:eastAsia="Times New Roman" w:hAnsi="Cambria Math" w:cs="Times New Roman"/>
                <w:sz w:val="24"/>
                <w:szCs w:val="24"/>
                <w:lang w:val="en-GB" w:eastAsia="fr-FR"/>
              </w:rPr>
              <m:t>i=1, …, 3,000</m:t>
            </m:r>
          </m:e>
        </m:d>
      </m:oMath>
      <w:r w:rsidRPr="00FB473D">
        <w:rPr>
          <w:rFonts w:ascii="Times New Roman" w:eastAsia="Times New Roman" w:hAnsi="Times New Roman" w:cs="Times New Roman"/>
          <w:sz w:val="24"/>
          <w:szCs w:val="24"/>
          <w:lang w:val="en-GB" w:eastAsia="fr-FR"/>
        </w:rPr>
        <w:t xml:space="preserve"> one pregnant woman out of the eight from the SEPAGES-feasibility study, with, for each biomarker </w:t>
      </w:r>
      <m:oMath>
        <m:r>
          <w:rPr>
            <w:rFonts w:ascii="Cambria Math" w:eastAsia="Times New Roman" w:hAnsi="Cambria Math" w:cs="Times New Roman"/>
            <w:sz w:val="24"/>
            <w:szCs w:val="24"/>
            <w:lang w:val="en-GB" w:eastAsia="fr-FR"/>
          </w:rPr>
          <m:t>j (j=1, 2)</m:t>
        </m:r>
      </m:oMath>
      <w:r w:rsidRPr="00FB473D">
        <w:rPr>
          <w:rFonts w:ascii="Times New Roman" w:eastAsia="Times New Roman" w:hAnsi="Times New Roman" w:cs="Times New Roman"/>
          <w:sz w:val="24"/>
          <w:szCs w:val="24"/>
          <w:lang w:val="en-GB" w:eastAsia="fr-FR"/>
        </w:rPr>
        <w:t xml:space="preserve"> the average (namely </w:t>
      </w:r>
      <m:oMath>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C</m:t>
            </m:r>
          </m:e>
          <m:sub>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ij</m:t>
                </m:r>
              </m:e>
              <m:sub>
                <m:r>
                  <w:rPr>
                    <w:rFonts w:ascii="Cambria Math" w:eastAsia="Times New Roman" w:hAnsi="Cambria Math" w:cs="Times New Roman"/>
                    <w:sz w:val="24"/>
                    <w:szCs w:val="24"/>
                    <w:lang w:val="en-GB" w:eastAsia="fr-FR"/>
                  </w:rPr>
                  <m:t>mean</m:t>
                </m:r>
              </m:sub>
            </m:sSub>
          </m:sub>
        </m:sSub>
      </m:oMath>
      <w:r w:rsidRPr="00FB473D">
        <w:rPr>
          <w:rFonts w:ascii="Times New Roman" w:eastAsia="Times New Roman" w:hAnsi="Times New Roman" w:cs="Times New Roman"/>
          <w:sz w:val="24"/>
          <w:szCs w:val="24"/>
          <w:lang w:val="en-GB" w:eastAsia="fr-FR"/>
        </w:rPr>
        <w:t xml:space="preserve">) of biomarker ln-concentrations in the eight random spot samples. To obtain unclustered subjects (clusters corresponding to the eight pregnant women), for each participant </w:t>
      </w:r>
      <m:oMath>
        <m:r>
          <w:rPr>
            <w:rFonts w:ascii="Cambria Math" w:eastAsia="Times New Roman" w:hAnsi="Cambria Math" w:cs="Times New Roman"/>
            <w:sz w:val="24"/>
            <w:szCs w:val="24"/>
            <w:lang w:val="en-GB" w:eastAsia="fr-FR"/>
          </w:rPr>
          <m:t>i (i=1, …, 3,000)</m:t>
        </m:r>
      </m:oMath>
      <w:r w:rsidRPr="00FB473D">
        <w:rPr>
          <w:rFonts w:ascii="Times New Roman" w:eastAsia="Times New Roman" w:hAnsi="Times New Roman" w:cs="Times New Roman"/>
          <w:sz w:val="24"/>
          <w:szCs w:val="24"/>
          <w:lang w:val="en-GB" w:eastAsia="fr-FR"/>
        </w:rPr>
        <w:t xml:space="preserve">, and each biomarker </w:t>
      </w:r>
      <w:r w:rsidRPr="00FB473D">
        <w:rPr>
          <w:rFonts w:ascii="Cambria Math" w:eastAsia="Times New Roman" w:hAnsi="Cambria Math" w:cs="Times New Roman"/>
          <w:sz w:val="24"/>
          <w:szCs w:val="24"/>
          <w:lang w:val="en-GB" w:eastAsia="fr-FR"/>
        </w:rPr>
        <w:t>𝑗</w:t>
      </w:r>
      <m:oMath>
        <m:r>
          <w:rPr>
            <w:rFonts w:ascii="Cambria Math" w:eastAsia="Times New Roman" w:hAnsi="Cambria Math" w:cs="Times New Roman"/>
            <w:sz w:val="24"/>
            <w:szCs w:val="24"/>
            <w:lang w:val="en-GB" w:eastAsia="fr-FR"/>
          </w:rPr>
          <m:t xml:space="preserve"> (j=1, 2)</m:t>
        </m:r>
      </m:oMath>
      <w:r w:rsidRPr="00FB473D">
        <w:rPr>
          <w:rFonts w:ascii="Cambria Math" w:eastAsia="Times New Roman" w:hAnsi="Cambria Math" w:cs="Times New Roman"/>
          <w:sz w:val="24"/>
          <w:szCs w:val="24"/>
          <w:lang w:val="en-GB" w:eastAsia="fr-FR"/>
        </w:rPr>
        <w:t xml:space="preserve">, </w:t>
      </w:r>
      <w:r w:rsidRPr="00FB473D">
        <w:rPr>
          <w:rFonts w:ascii="Times New Roman" w:eastAsia="Times New Roman" w:hAnsi="Times New Roman" w:cs="Times New Roman"/>
          <w:sz w:val="24"/>
          <w:szCs w:val="24"/>
          <w:lang w:val="en-GB" w:eastAsia="fr-FR"/>
        </w:rPr>
        <w:t xml:space="preserve">we generated </w:t>
      </w:r>
      <m:oMath>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X</m:t>
            </m:r>
          </m:e>
          <m:sub>
            <m:r>
              <w:rPr>
                <w:rFonts w:ascii="Cambria Math" w:eastAsia="Times New Roman" w:hAnsi="Cambria Math" w:cs="Times New Roman"/>
                <w:sz w:val="24"/>
                <w:szCs w:val="24"/>
                <w:lang w:val="en-GB" w:eastAsia="fr-FR"/>
              </w:rPr>
              <m:t>ij</m:t>
            </m:r>
          </m:sub>
        </m:sSub>
      </m:oMath>
      <w:r w:rsidRPr="00FB473D">
        <w:rPr>
          <w:rFonts w:ascii="Times New Roman" w:eastAsia="Times New Roman" w:hAnsi="Times New Roman" w:cs="Times New Roman"/>
          <w:sz w:val="24"/>
          <w:szCs w:val="24"/>
          <w:lang w:val="en-GB" w:eastAsia="fr-FR"/>
        </w:rPr>
        <w:t xml:space="preserve"> the true but unobserved (ln-transformed) exposure from a normal distribution, using a mean (standard deviation, SD) concentration of 4.64 (1.59) µg/L for ln(methylparaben), and 0.91 (0.75) µg/L for ln(bisphenol A). Concentrations values (means and SD) were extracted from the EDEN French mother-child cohort with approximately log-normal distributions,</w:t>
      </w:r>
      <w:r w:rsidRPr="00FB473D">
        <w:rPr>
          <w:rFonts w:ascii="Times New Roman" w:eastAsia="Times New Roman" w:hAnsi="Times New Roman" w:cs="Times New Roman"/>
          <w:sz w:val="24"/>
          <w:szCs w:val="24"/>
          <w:lang w:val="en-GB" w:eastAsia="fr-FR"/>
        </w:rPr>
        <w:fldChar w:fldCharType="begin"/>
      </w:r>
      <w:r w:rsidR="00474B65">
        <w:rPr>
          <w:rFonts w:ascii="Times New Roman" w:eastAsia="Times New Roman" w:hAnsi="Times New Roman" w:cs="Times New Roman"/>
          <w:sz w:val="24"/>
          <w:szCs w:val="24"/>
          <w:lang w:val="en-GB" w:eastAsia="fr-FR"/>
        </w:rPr>
        <w:instrText xml:space="preserve"> ADDIN ZOTERO_ITEM CSL_CITATION {"citationID":"a1p5b1e2nsf","properties":{"formattedCitation":"\\super 2\\nosupersub{}","plainCitation":"2","noteIndex":0},"citationItems":[{"id":"aAzz16MF/HHtVHWPW","uris":["http://zotero.org/users/local/SVr6rUJo/items/XXFSAH6Z"],"uri":["http://zotero.org/users/local/SVr6rUJo/items/XXFSAH6Z"],"itemData":{"id":2187,"type":"article-journal","title":"In Utero Exposure to Select Phenols and Phthalates and Respiratory Health in Five-Year-Old Boys: A Prospective Study","container-title":"Environmental Health Perspectives","volume":"125","issue":"9","source":"CrossRef","URL":"http://ehp.niehs.nih.gov/EHP1015","DOI":"10.1289/EHP1015","ISSN":"0091-6765, 1552-9924","shortTitle":"In Utero Exposure to Select Phenols and Phthalates and Respiratory Health in Five-Year-Old Boys","language":"en","author":[{"family":"Vernet","given":"Céline"},{"family":"Pin","given":"Isabelle"},{"family":"Giorgis-Allemand","given":"Lise"},{"family":"Philippat","given":"Claire"},{"family":"Benmerad","given":"Meriem"},{"family":"Quentin","given":"Joane"},{"family":"Calafat","given":"Antonia M."},{"family":"Ye","given":"Xiaoyun"},{"family":"Annesi-Maesano","given":"Isabella"},{"family":"Siroux","given":"Valérie"},{"family":"Slama","given":"Rémy"}],"issued":{"date-parts":[["2017",9,8]]},"accessed":{"date-parts":[["2017",9,27]]}}}],"schema":"https://github.com/citation-style-language/schema/raw/master/csl-citation.json"} </w:instrText>
      </w:r>
      <w:r w:rsidRPr="00FB473D">
        <w:rPr>
          <w:rFonts w:ascii="Times New Roman" w:eastAsia="Times New Roman" w:hAnsi="Times New Roman" w:cs="Times New Roman"/>
          <w:sz w:val="24"/>
          <w:szCs w:val="24"/>
          <w:lang w:val="en-GB" w:eastAsia="fr-FR"/>
        </w:rPr>
        <w:fldChar w:fldCharType="separate"/>
      </w:r>
      <w:r w:rsidR="00474B65" w:rsidRPr="00474B65">
        <w:rPr>
          <w:rFonts w:ascii="Times New Roman" w:hAnsi="Times New Roman" w:cs="Times New Roman"/>
          <w:sz w:val="24"/>
          <w:szCs w:val="24"/>
          <w:vertAlign w:val="superscript"/>
        </w:rPr>
        <w:t>2</w:t>
      </w:r>
      <w:r w:rsidRPr="00FB473D">
        <w:rPr>
          <w:rFonts w:ascii="Times New Roman" w:eastAsia="Times New Roman" w:hAnsi="Times New Roman" w:cs="Times New Roman"/>
          <w:sz w:val="24"/>
          <w:szCs w:val="24"/>
          <w:lang w:val="en-GB" w:eastAsia="fr-FR"/>
        </w:rPr>
        <w:fldChar w:fldCharType="end"/>
      </w:r>
      <w:r w:rsidRPr="00FB473D">
        <w:rPr>
          <w:rFonts w:ascii="Times New Roman" w:eastAsia="Times New Roman" w:hAnsi="Times New Roman" w:cs="Times New Roman"/>
          <w:sz w:val="24"/>
          <w:szCs w:val="24"/>
          <w:lang w:val="en-GB" w:eastAsia="fr-FR"/>
        </w:rPr>
        <w:t xml:space="preserve"> and not from the SEPAGES cohort, as phenol biomarker were not yet assessed in the SEPAGES cohort biospecimens when this study was conducted.</w:t>
      </w:r>
    </w:p>
    <w:p w:rsidR="00FB473D" w:rsidRPr="00FB473D" w:rsidRDefault="00FB473D" w:rsidP="00FB473D">
      <w:pPr>
        <w:spacing w:after="0" w:line="480" w:lineRule="auto"/>
        <w:jc w:val="both"/>
        <w:rPr>
          <w:rFonts w:ascii="Times New Roman" w:eastAsia="Times New Roman" w:hAnsi="Times New Roman" w:cs="Times New Roman"/>
          <w:sz w:val="24"/>
          <w:szCs w:val="24"/>
          <w:lang w:val="en-GB" w:eastAsia="fr-FR"/>
        </w:rPr>
      </w:pPr>
      <w:r w:rsidRPr="00FB473D">
        <w:rPr>
          <w:rFonts w:ascii="Times New Roman" w:eastAsia="Times New Roman" w:hAnsi="Times New Roman" w:cs="Times New Roman"/>
          <w:sz w:val="24"/>
          <w:szCs w:val="24"/>
          <w:lang w:val="en-GB" w:eastAsia="fr-FR"/>
        </w:rPr>
        <w:lastRenderedPageBreak/>
        <w:t xml:space="preserve">Then, for each subject </w:t>
      </w:r>
      <m:oMath>
        <m:r>
          <w:rPr>
            <w:rFonts w:ascii="Cambria Math" w:eastAsia="Times New Roman" w:hAnsi="Cambria Math" w:cs="Times New Roman"/>
            <w:sz w:val="24"/>
            <w:szCs w:val="24"/>
            <w:lang w:val="en-GB" w:eastAsia="fr-FR"/>
          </w:rPr>
          <m:t>i</m:t>
        </m:r>
      </m:oMath>
      <w:r w:rsidRPr="00FB473D">
        <w:rPr>
          <w:rFonts w:ascii="Times New Roman" w:eastAsia="Times New Roman" w:hAnsi="Times New Roman" w:cs="Times New Roman"/>
          <w:sz w:val="24"/>
          <w:szCs w:val="24"/>
          <w:lang w:val="en-GB" w:eastAsia="fr-FR"/>
        </w:rPr>
        <w:t xml:space="preserve">, we generated </w:t>
      </w:r>
      <m:oMath>
        <m:r>
          <w:rPr>
            <w:rFonts w:ascii="Cambria Math" w:eastAsia="Times New Roman" w:hAnsi="Cambria Math" w:cs="Times New Roman"/>
            <w:sz w:val="24"/>
            <w:szCs w:val="24"/>
            <w:lang w:val="en-GB" w:eastAsia="fr-FR"/>
          </w:rPr>
          <m:t xml:space="preserve">k </m:t>
        </m:r>
        <m:d>
          <m:dPr>
            <m:ctrlPr>
              <w:rPr>
                <w:rFonts w:ascii="Cambria Math" w:eastAsia="Times New Roman" w:hAnsi="Cambria Math" w:cs="Times New Roman"/>
                <w:i/>
                <w:sz w:val="24"/>
                <w:szCs w:val="24"/>
                <w:lang w:val="en-GB" w:eastAsia="fr-FR"/>
              </w:rPr>
            </m:ctrlPr>
          </m:dPr>
          <m:e>
            <m:r>
              <w:rPr>
                <w:rFonts w:ascii="Cambria Math" w:eastAsia="Times New Roman" w:hAnsi="Cambria Math" w:cs="Times New Roman"/>
                <w:sz w:val="24"/>
                <w:szCs w:val="24"/>
                <w:lang w:val="en-GB" w:eastAsia="fr-FR"/>
              </w:rPr>
              <m:t>k=1, …, 20</m:t>
            </m:r>
          </m:e>
        </m:d>
      </m:oMath>
      <w:r w:rsidRPr="00FB473D">
        <w:rPr>
          <w:rFonts w:ascii="Times New Roman" w:eastAsia="Times New Roman" w:hAnsi="Times New Roman" w:cs="Times New Roman"/>
          <w:sz w:val="24"/>
          <w:szCs w:val="24"/>
          <w:lang w:val="en-GB" w:eastAsia="fr-FR"/>
        </w:rPr>
        <w:t xml:space="preserve"> biospecimens with a bootstrap method, by randomly assigning one o</w:t>
      </w:r>
      <w:proofErr w:type="spellStart"/>
      <w:r w:rsidRPr="00FB473D">
        <w:rPr>
          <w:rFonts w:ascii="Times New Roman" w:eastAsia="Times New Roman" w:hAnsi="Times New Roman" w:cs="Times New Roman"/>
          <w:sz w:val="24"/>
          <w:szCs w:val="24"/>
          <w:lang w:val="en-GB" w:eastAsia="fr-FR"/>
        </w:rPr>
        <w:t>ut</w:t>
      </w:r>
      <w:proofErr w:type="spellEnd"/>
      <w:r w:rsidRPr="00FB473D">
        <w:rPr>
          <w:rFonts w:ascii="Times New Roman" w:eastAsia="Times New Roman" w:hAnsi="Times New Roman" w:cs="Times New Roman"/>
          <w:sz w:val="24"/>
          <w:szCs w:val="24"/>
          <w:lang w:val="en-GB" w:eastAsia="fr-FR"/>
        </w:rPr>
        <w:t xml:space="preserve"> of the eight real random spot samples available (for each subject) to each biospecimen </w:t>
      </w:r>
      <m:oMath>
        <m:r>
          <w:rPr>
            <w:rFonts w:ascii="Cambria Math" w:eastAsia="Times New Roman" w:hAnsi="Cambria Math" w:cs="Times New Roman"/>
            <w:sz w:val="24"/>
            <w:szCs w:val="24"/>
            <w:lang w:val="en-GB" w:eastAsia="fr-FR"/>
          </w:rPr>
          <m:t>k</m:t>
        </m:r>
      </m:oMath>
      <w:r w:rsidRPr="00FB473D">
        <w:rPr>
          <w:rFonts w:ascii="Times New Roman" w:eastAsia="Times New Roman" w:hAnsi="Times New Roman" w:cs="Times New Roman"/>
          <w:sz w:val="24"/>
          <w:szCs w:val="24"/>
          <w:lang w:val="en-GB" w:eastAsia="fr-FR"/>
        </w:rPr>
        <w:t>.</w:t>
      </w:r>
    </w:p>
    <w:p w:rsidR="00FB473D" w:rsidRPr="00FB473D" w:rsidRDefault="00FB473D" w:rsidP="00FB473D">
      <w:pPr>
        <w:spacing w:after="200" w:line="480" w:lineRule="auto"/>
        <w:jc w:val="both"/>
        <w:rPr>
          <w:rFonts w:ascii="Times New Roman" w:eastAsia="Times New Roman" w:hAnsi="Times New Roman" w:cs="Times New Roman"/>
          <w:sz w:val="24"/>
          <w:szCs w:val="24"/>
          <w:lang w:val="en-GB" w:eastAsia="fr-FR"/>
        </w:rPr>
      </w:pPr>
      <w:r w:rsidRPr="00FB473D">
        <w:rPr>
          <w:rFonts w:ascii="Times New Roman" w:eastAsia="Times New Roman" w:hAnsi="Times New Roman" w:cs="Times New Roman"/>
          <w:sz w:val="24"/>
          <w:szCs w:val="24"/>
          <w:lang w:val="en-GB" w:eastAsia="fr-FR"/>
        </w:rPr>
        <w:t xml:space="preserve">For each biospecimen </w:t>
      </w:r>
      <m:oMath>
        <m:r>
          <w:rPr>
            <w:rFonts w:ascii="Cambria Math" w:eastAsia="Times New Roman" w:hAnsi="Cambria Math" w:cs="Times New Roman"/>
            <w:sz w:val="24"/>
            <w:szCs w:val="24"/>
            <w:lang w:val="en-GB" w:eastAsia="fr-FR"/>
          </w:rPr>
          <m:t>k</m:t>
        </m:r>
      </m:oMath>
      <w:r w:rsidRPr="00FB473D">
        <w:rPr>
          <w:rFonts w:ascii="Times New Roman" w:eastAsia="Times New Roman" w:hAnsi="Times New Roman" w:cs="Times New Roman"/>
          <w:sz w:val="24"/>
          <w:szCs w:val="24"/>
          <w:lang w:val="en-GB" w:eastAsia="fr-FR"/>
        </w:rPr>
        <w:t xml:space="preserve">, the biomarker-specific ln-concentration </w:t>
      </w:r>
      <m:oMath>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C</m:t>
            </m:r>
          </m:e>
          <m:sub>
            <m:r>
              <w:rPr>
                <w:rFonts w:ascii="Cambria Math" w:eastAsia="Times New Roman" w:hAnsi="Cambria Math" w:cs="Times New Roman"/>
                <w:sz w:val="24"/>
                <w:szCs w:val="24"/>
                <w:lang w:val="en-GB" w:eastAsia="fr-FR"/>
              </w:rPr>
              <m:t>ijk</m:t>
            </m:r>
          </m:sub>
        </m:sSub>
      </m:oMath>
      <w:r w:rsidRPr="00FB473D">
        <w:rPr>
          <w:rFonts w:ascii="Times New Roman" w:eastAsia="Times New Roman" w:hAnsi="Times New Roman" w:cs="Times New Roman"/>
          <w:sz w:val="24"/>
          <w:szCs w:val="24"/>
          <w:lang w:val="en-GB" w:eastAsia="fr-FR"/>
        </w:rPr>
        <w:t xml:space="preserve"> was centered around </w:t>
      </w:r>
      <m:oMath>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X</m:t>
            </m:r>
          </m:e>
          <m:sub>
            <m:r>
              <w:rPr>
                <w:rFonts w:ascii="Cambria Math" w:eastAsia="Times New Roman" w:hAnsi="Cambria Math" w:cs="Times New Roman"/>
                <w:sz w:val="24"/>
                <w:szCs w:val="24"/>
                <w:lang w:val="en-GB" w:eastAsia="fr-FR"/>
              </w:rPr>
              <m:t>ij</m:t>
            </m:r>
          </m:sub>
        </m:sSub>
      </m:oMath>
      <w:r w:rsidRPr="00FB473D">
        <w:rPr>
          <w:rFonts w:ascii="Times New Roman" w:eastAsia="Times New Roman" w:hAnsi="Times New Roman" w:cs="Times New Roman"/>
          <w:sz w:val="24"/>
          <w:szCs w:val="24"/>
          <w:lang w:val="en-GB" w:eastAsia="fr-FR"/>
        </w:rPr>
        <w:t xml:space="preserve"> using the formula </w:t>
      </w:r>
      <m:oMath>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W</m:t>
            </m:r>
          </m:e>
          <m:sub>
            <m:r>
              <w:rPr>
                <w:rFonts w:ascii="Cambria Math" w:eastAsia="Times New Roman" w:hAnsi="Cambria Math" w:cs="Times New Roman"/>
                <w:sz w:val="24"/>
                <w:szCs w:val="24"/>
                <w:lang w:val="en-GB" w:eastAsia="fr-FR"/>
              </w:rPr>
              <m:t>ijk</m:t>
            </m:r>
          </m:sub>
        </m:sSub>
        <m:r>
          <w:rPr>
            <w:rFonts w:ascii="Cambria Math" w:eastAsia="Times New Roman" w:hAnsi="Cambria Math" w:cs="Times New Roman"/>
            <w:sz w:val="24"/>
            <w:szCs w:val="24"/>
            <w:lang w:val="en-GB" w:eastAsia="fr-FR"/>
          </w:rPr>
          <m:t>=</m:t>
        </m:r>
        <m:sSub>
          <m:sSubPr>
            <m:ctrlPr>
              <w:rPr>
                <w:rFonts w:ascii="Cambria Math" w:eastAsia="Times New Roman" w:hAnsi="Cambria Math" w:cs="Times New Roman"/>
                <w:i/>
                <w:sz w:val="24"/>
                <w:szCs w:val="24"/>
                <w:lang w:val="en-GB" w:eastAsia="fr-FR"/>
              </w:rPr>
            </m:ctrlPr>
          </m:sSubPr>
          <m:e>
            <m:sSub>
              <m:sSubPr>
                <m:ctrlPr>
                  <w:rPr>
                    <w:rFonts w:ascii="Cambria Math" w:eastAsia="Times New Roman" w:hAnsi="Cambria Math" w:cs="Times New Roman"/>
                    <w:i/>
                    <w:sz w:val="24"/>
                    <w:szCs w:val="24"/>
                    <w:lang w:val="en-GB" w:eastAsia="fr-FR"/>
                  </w:rPr>
                </m:ctrlPr>
              </m:sSubPr>
              <m:e>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C</m:t>
                    </m:r>
                  </m:e>
                  <m:sub>
                    <m:r>
                      <w:rPr>
                        <w:rFonts w:ascii="Cambria Math" w:eastAsia="Times New Roman" w:hAnsi="Cambria Math" w:cs="Times New Roman"/>
                        <w:sz w:val="24"/>
                        <w:szCs w:val="24"/>
                        <w:lang w:val="en-GB" w:eastAsia="fr-FR"/>
                      </w:rPr>
                      <m:t>ijk</m:t>
                    </m:r>
                  </m:sub>
                </m:sSub>
                <m:r>
                  <w:rPr>
                    <w:rFonts w:ascii="Cambria Math" w:eastAsia="Times New Roman" w:hAnsi="Cambria Math" w:cs="Times New Roman"/>
                    <w:sz w:val="24"/>
                    <w:szCs w:val="24"/>
                    <w:lang w:val="en-GB" w:eastAsia="fr-FR"/>
                  </w:rPr>
                  <m:t>+X</m:t>
                </m:r>
              </m:e>
              <m:sub>
                <m:r>
                  <w:rPr>
                    <w:rFonts w:ascii="Cambria Math" w:eastAsia="Times New Roman" w:hAnsi="Cambria Math" w:cs="Times New Roman"/>
                    <w:sz w:val="24"/>
                    <w:szCs w:val="24"/>
                    <w:lang w:val="en-GB" w:eastAsia="fr-FR"/>
                  </w:rPr>
                  <m:t>ij</m:t>
                </m:r>
              </m:sub>
            </m:sSub>
            <m:r>
              <w:rPr>
                <w:rFonts w:ascii="Cambria Math" w:eastAsia="Times New Roman" w:hAnsi="Cambria Math" w:cs="Times New Roman"/>
                <w:sz w:val="24"/>
                <w:szCs w:val="24"/>
                <w:lang w:val="en-GB" w:eastAsia="fr-FR"/>
              </w:rPr>
              <m:t>-C</m:t>
            </m:r>
          </m:e>
          <m:sub>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ij</m:t>
                </m:r>
              </m:e>
              <m:sub>
                <m:r>
                  <w:rPr>
                    <w:rFonts w:ascii="Cambria Math" w:eastAsia="Times New Roman" w:hAnsi="Cambria Math" w:cs="Times New Roman"/>
                    <w:sz w:val="24"/>
                    <w:szCs w:val="24"/>
                    <w:lang w:val="en-GB" w:eastAsia="fr-FR"/>
                  </w:rPr>
                  <m:t>mean</m:t>
                </m:r>
              </m:sub>
            </m:sSub>
          </m:sub>
        </m:sSub>
      </m:oMath>
      <w:r w:rsidRPr="00FB473D">
        <w:rPr>
          <w:rFonts w:ascii="Times New Roman" w:eastAsia="Times New Roman" w:hAnsi="Times New Roman" w:cs="Times New Roman"/>
          <w:sz w:val="24"/>
          <w:szCs w:val="24"/>
          <w:lang w:val="en-GB" w:eastAsia="fr-FR"/>
        </w:rPr>
        <w:t xml:space="preserve">, where </w:t>
      </w:r>
      <m:oMath>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C</m:t>
            </m:r>
          </m:e>
          <m:sub>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ij</m:t>
                </m:r>
              </m:e>
              <m:sub>
                <m:r>
                  <w:rPr>
                    <w:rFonts w:ascii="Cambria Math" w:eastAsia="Times New Roman" w:hAnsi="Cambria Math" w:cs="Times New Roman"/>
                    <w:sz w:val="24"/>
                    <w:szCs w:val="24"/>
                    <w:lang w:val="en-GB" w:eastAsia="fr-FR"/>
                  </w:rPr>
                  <m:t>mean</m:t>
                </m:r>
              </m:sub>
            </m:sSub>
          </m:sub>
        </m:sSub>
      </m:oMath>
      <w:r w:rsidRPr="00FB473D">
        <w:rPr>
          <w:rFonts w:ascii="Times New Roman" w:eastAsia="Times New Roman" w:hAnsi="Times New Roman" w:cs="Times New Roman"/>
          <w:sz w:val="24"/>
          <w:szCs w:val="24"/>
          <w:lang w:val="en-GB" w:eastAsia="fr-FR"/>
        </w:rPr>
        <w:t xml:space="preserve"> was the average of biomarker ln-concentrations in the eight random spot samples, </w:t>
      </w:r>
      <m:oMath>
        <m:r>
          <w:rPr>
            <w:rFonts w:ascii="Cambria Math" w:eastAsia="Times New Roman" w:hAnsi="Cambria Math" w:cs="Times New Roman"/>
            <w:sz w:val="24"/>
            <w:szCs w:val="24"/>
            <w:lang w:val="en-GB" w:eastAsia="fr-FR"/>
          </w:rPr>
          <m:t xml:space="preserve"> </m:t>
        </m:r>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W</m:t>
            </m:r>
          </m:e>
          <m:sub>
            <m:r>
              <w:rPr>
                <w:rFonts w:ascii="Cambria Math" w:eastAsia="Times New Roman" w:hAnsi="Cambria Math" w:cs="Times New Roman"/>
                <w:sz w:val="24"/>
                <w:szCs w:val="24"/>
                <w:lang w:val="en-GB" w:eastAsia="fr-FR"/>
              </w:rPr>
              <m:t>ijk</m:t>
            </m:r>
          </m:sub>
        </m:sSub>
      </m:oMath>
      <w:r w:rsidRPr="00FB473D">
        <w:rPr>
          <w:rFonts w:ascii="Times New Roman" w:eastAsia="Times New Roman" w:hAnsi="Times New Roman" w:cs="Times New Roman"/>
          <w:sz w:val="24"/>
          <w:szCs w:val="24"/>
          <w:lang w:val="en-GB" w:eastAsia="fr-FR"/>
        </w:rPr>
        <w:t xml:space="preserve"> corresponded to the resulting </w:t>
      </w:r>
      <m:oMath>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X</m:t>
            </m:r>
          </m:e>
          <m:sub>
            <m:r>
              <w:rPr>
                <w:rFonts w:ascii="Cambria Math" w:eastAsia="Times New Roman" w:hAnsi="Cambria Math" w:cs="Times New Roman"/>
                <w:sz w:val="24"/>
                <w:szCs w:val="24"/>
                <w:lang w:val="en-GB" w:eastAsia="fr-FR"/>
              </w:rPr>
              <m:t>ij</m:t>
            </m:r>
          </m:sub>
        </m:sSub>
      </m:oMath>
      <w:r w:rsidRPr="00FB473D">
        <w:rPr>
          <w:rFonts w:ascii="Times New Roman" w:eastAsia="Times New Roman" w:hAnsi="Times New Roman" w:cs="Times New Roman"/>
          <w:sz w:val="24"/>
          <w:szCs w:val="24"/>
          <w:lang w:val="en-GB" w:eastAsia="fr-FR"/>
        </w:rPr>
        <w:t xml:space="preserve">-centered biospecimen- and biomarker-specific concentration. We presented examples of </w:t>
      </w:r>
      <m:oMath>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X</m:t>
            </m:r>
          </m:e>
          <m:sub>
            <m:r>
              <w:rPr>
                <w:rFonts w:ascii="Cambria Math" w:eastAsia="Times New Roman" w:hAnsi="Cambria Math" w:cs="Times New Roman"/>
                <w:sz w:val="24"/>
                <w:szCs w:val="24"/>
                <w:lang w:val="en-GB" w:eastAsia="fr-FR"/>
              </w:rPr>
              <m:t>ij</m:t>
            </m:r>
          </m:sub>
        </m:sSub>
      </m:oMath>
      <w:r w:rsidRPr="00FB473D">
        <w:rPr>
          <w:rFonts w:ascii="Times New Roman" w:eastAsia="Times New Roman" w:hAnsi="Times New Roman" w:cs="Times New Roman"/>
          <w:sz w:val="24"/>
          <w:szCs w:val="24"/>
          <w:lang w:val="en-GB" w:eastAsia="fr-FR"/>
        </w:rPr>
        <w:t xml:space="preserve">, and </w:t>
      </w:r>
      <m:oMath>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W</m:t>
            </m:r>
          </m:e>
          <m:sub>
            <m:r>
              <w:rPr>
                <w:rFonts w:ascii="Cambria Math" w:eastAsia="Times New Roman" w:hAnsi="Cambria Math" w:cs="Times New Roman"/>
                <w:sz w:val="24"/>
                <w:szCs w:val="24"/>
                <w:lang w:val="en-GB" w:eastAsia="fr-FR"/>
              </w:rPr>
              <m:t>ijk</m:t>
            </m:r>
          </m:sub>
        </m:sSub>
      </m:oMath>
      <w:r w:rsidRPr="00FB473D">
        <w:rPr>
          <w:rFonts w:ascii="Times New Roman" w:eastAsia="Times New Roman" w:hAnsi="Times New Roman" w:cs="Times New Roman"/>
          <w:sz w:val="24"/>
          <w:szCs w:val="24"/>
          <w:lang w:val="en-GB" w:eastAsia="fr-FR"/>
        </w:rPr>
        <w:t xml:space="preserve"> distributions in eFigures 5 and 6. </w:t>
      </w:r>
    </w:p>
    <w:p w:rsidR="00FB473D" w:rsidRPr="00FB473D" w:rsidRDefault="00FB473D" w:rsidP="00FB473D">
      <w:pPr>
        <w:spacing w:after="0" w:line="480" w:lineRule="auto"/>
        <w:jc w:val="both"/>
        <w:rPr>
          <w:rFonts w:ascii="Times New Roman" w:eastAsia="Times New Roman" w:hAnsi="Times New Roman" w:cs="Times New Roman"/>
          <w:sz w:val="24"/>
          <w:szCs w:val="24"/>
          <w:lang w:val="en-GB" w:eastAsia="fr-FR"/>
        </w:rPr>
      </w:pPr>
    </w:p>
    <w:p w:rsidR="00FB473D" w:rsidRPr="00FB473D" w:rsidRDefault="00FB473D" w:rsidP="00FB473D">
      <w:pPr>
        <w:spacing w:after="0" w:line="480" w:lineRule="auto"/>
        <w:jc w:val="both"/>
        <w:rPr>
          <w:rFonts w:ascii="Times New Roman" w:eastAsia="Times New Roman" w:hAnsi="Times New Roman" w:cs="Times New Roman"/>
          <w:i/>
          <w:sz w:val="24"/>
          <w:szCs w:val="24"/>
          <w:lang w:val="en-GB" w:eastAsia="fr-FR"/>
        </w:rPr>
      </w:pPr>
      <w:r w:rsidRPr="00FB473D">
        <w:rPr>
          <w:rFonts w:ascii="Times New Roman" w:eastAsia="Times New Roman" w:hAnsi="Times New Roman" w:cs="Times New Roman"/>
          <w:i/>
          <w:sz w:val="24"/>
          <w:szCs w:val="24"/>
          <w:lang w:val="en-GB" w:eastAsia="fr-FR"/>
        </w:rPr>
        <w:t>Simulation of health outcomes</w:t>
      </w:r>
    </w:p>
    <w:p w:rsidR="00FB473D" w:rsidRPr="00FB473D" w:rsidRDefault="00FB473D" w:rsidP="00FB473D">
      <w:pPr>
        <w:spacing w:after="0" w:line="480" w:lineRule="auto"/>
        <w:jc w:val="both"/>
        <w:rPr>
          <w:rFonts w:ascii="Times New Roman" w:eastAsia="Times New Roman" w:hAnsi="Times New Roman" w:cs="Times New Roman"/>
          <w:sz w:val="24"/>
          <w:szCs w:val="24"/>
          <w:lang w:val="en-GB" w:eastAsia="fr-FR"/>
        </w:rPr>
      </w:pPr>
      <w:r w:rsidRPr="00FB473D">
        <w:rPr>
          <w:rFonts w:ascii="Times New Roman" w:eastAsia="Times New Roman" w:hAnsi="Times New Roman" w:cs="Times New Roman"/>
          <w:sz w:val="24"/>
          <w:szCs w:val="24"/>
          <w:lang w:val="en-GB" w:eastAsia="fr-FR"/>
        </w:rPr>
        <w:t xml:space="preserve">For each subject </w:t>
      </w:r>
      <m:oMath>
        <m:r>
          <w:rPr>
            <w:rFonts w:ascii="Cambria Math" w:eastAsia="Times New Roman" w:hAnsi="Cambria Math" w:cs="Times New Roman"/>
            <w:sz w:val="24"/>
            <w:szCs w:val="24"/>
            <w:lang w:val="en-GB" w:eastAsia="fr-FR"/>
          </w:rPr>
          <m:t>i</m:t>
        </m:r>
      </m:oMath>
      <w:r w:rsidRPr="00FB473D">
        <w:rPr>
          <w:rFonts w:ascii="Times New Roman" w:eastAsia="Times New Roman" w:hAnsi="Times New Roman" w:cs="Times New Roman"/>
          <w:sz w:val="24"/>
          <w:szCs w:val="24"/>
          <w:lang w:val="en-GB" w:eastAsia="fr-FR"/>
        </w:rPr>
        <w:t xml:space="preserve"> and each biomarker </w:t>
      </w:r>
      <m:oMath>
        <m:r>
          <w:rPr>
            <w:rFonts w:ascii="Cambria Math" w:eastAsia="Times New Roman" w:hAnsi="Cambria Math" w:cs="Times New Roman"/>
            <w:sz w:val="24"/>
            <w:szCs w:val="24"/>
            <w:lang w:val="en-GB" w:eastAsia="fr-FR"/>
          </w:rPr>
          <m:t>j</m:t>
        </m:r>
      </m:oMath>
      <w:r w:rsidRPr="00FB473D">
        <w:rPr>
          <w:rFonts w:ascii="Times New Roman" w:eastAsia="Times New Roman" w:hAnsi="Times New Roman" w:cs="Times New Roman"/>
          <w:sz w:val="24"/>
          <w:szCs w:val="24"/>
          <w:lang w:val="en-GB" w:eastAsia="fr-FR"/>
        </w:rPr>
        <w:t xml:space="preserve">, a continuous outcome </w:t>
      </w:r>
      <m:oMath>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Y</m:t>
            </m:r>
          </m:e>
          <m:sub>
            <m:r>
              <w:rPr>
                <w:rFonts w:ascii="Cambria Math" w:eastAsia="Times New Roman" w:hAnsi="Cambria Math" w:cs="Times New Roman"/>
                <w:sz w:val="24"/>
                <w:szCs w:val="24"/>
                <w:lang w:val="en-GB" w:eastAsia="fr-FR"/>
              </w:rPr>
              <m:t>ij</m:t>
            </m:r>
          </m:sub>
        </m:sSub>
      </m:oMath>
      <w:r w:rsidRPr="00FB473D">
        <w:rPr>
          <w:rFonts w:ascii="Times New Roman" w:eastAsia="Times New Roman" w:hAnsi="Times New Roman" w:cs="Times New Roman"/>
          <w:sz w:val="24"/>
          <w:szCs w:val="24"/>
          <w:lang w:val="en-GB" w:eastAsia="fr-FR"/>
        </w:rPr>
        <w:t xml:space="preserve"> was simulated as </w:t>
      </w:r>
      <m:oMath>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Y</m:t>
            </m:r>
          </m:e>
          <m:sub>
            <m:r>
              <w:rPr>
                <w:rFonts w:ascii="Cambria Math" w:eastAsia="Times New Roman" w:hAnsi="Cambria Math" w:cs="Times New Roman"/>
                <w:sz w:val="24"/>
                <w:szCs w:val="24"/>
                <w:lang w:val="en-GB" w:eastAsia="fr-FR"/>
              </w:rPr>
              <m:t>ij</m:t>
            </m:r>
          </m:sub>
        </m:sSub>
        <m:r>
          <w:rPr>
            <w:rFonts w:ascii="Cambria Math" w:eastAsia="Times New Roman" w:hAnsi="Cambria Math" w:cs="Times New Roman"/>
            <w:sz w:val="24"/>
            <w:szCs w:val="24"/>
            <w:lang w:val="en-GB" w:eastAsia="fr-FR"/>
          </w:rPr>
          <m:t>=</m:t>
        </m:r>
        <m:sSub>
          <m:sSubPr>
            <m:ctrlPr>
              <w:rPr>
                <w:rFonts w:ascii="Cambria Math" w:eastAsia="Times New Roman" w:hAnsi="Cambria Math" w:cs="Times New Roman"/>
                <w:i/>
                <w:sz w:val="24"/>
                <w:szCs w:val="24"/>
                <w:lang w:val="en-GB" w:eastAsia="fr-FR"/>
              </w:rPr>
            </m:ctrlPr>
          </m:sSubPr>
          <m:e>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β</m:t>
                </m:r>
              </m:e>
              <m:sub>
                <m:r>
                  <w:rPr>
                    <w:rFonts w:ascii="Cambria Math" w:eastAsia="Times New Roman" w:hAnsi="Cambria Math" w:cs="Times New Roman"/>
                    <w:sz w:val="24"/>
                    <w:szCs w:val="24"/>
                    <w:lang w:val="en-GB" w:eastAsia="fr-FR"/>
                  </w:rPr>
                  <m:t>1</m:t>
                </m:r>
              </m:sub>
            </m:sSub>
            <m:r>
              <w:rPr>
                <w:rFonts w:ascii="Cambria Math" w:eastAsia="Times New Roman" w:hAnsi="Cambria Math" w:cs="Times New Roman"/>
                <w:sz w:val="24"/>
                <w:szCs w:val="24"/>
                <w:lang w:val="en-GB" w:eastAsia="fr-FR"/>
              </w:rPr>
              <m:t>X</m:t>
            </m:r>
          </m:e>
          <m:sub>
            <m:r>
              <w:rPr>
                <w:rFonts w:ascii="Cambria Math" w:eastAsia="Times New Roman" w:hAnsi="Cambria Math" w:cs="Times New Roman"/>
                <w:sz w:val="24"/>
                <w:szCs w:val="24"/>
                <w:lang w:val="en-GB" w:eastAsia="fr-FR"/>
              </w:rPr>
              <m:t>ij</m:t>
            </m:r>
          </m:sub>
        </m:sSub>
        <m:r>
          <w:rPr>
            <w:rFonts w:ascii="Cambria Math" w:eastAsia="Times New Roman" w:hAnsi="Cambria Math" w:cs="Times New Roman"/>
            <w:sz w:val="24"/>
            <w:szCs w:val="24"/>
            <w:lang w:val="en-GB" w:eastAsia="fr-FR"/>
          </w:rPr>
          <m:t>+α+</m:t>
        </m:r>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ε</m:t>
            </m:r>
          </m:e>
          <m:sub>
            <m:r>
              <w:rPr>
                <w:rFonts w:ascii="Cambria Math" w:eastAsia="Times New Roman" w:hAnsi="Cambria Math" w:cs="Times New Roman"/>
                <w:sz w:val="24"/>
                <w:szCs w:val="24"/>
                <w:lang w:val="en-GB" w:eastAsia="fr-FR"/>
              </w:rPr>
              <m:t>ij</m:t>
            </m:r>
          </m:sub>
        </m:sSub>
      </m:oMath>
      <w:r w:rsidRPr="00FB473D">
        <w:rPr>
          <w:rFonts w:ascii="Times New Roman" w:eastAsia="Times New Roman" w:hAnsi="Times New Roman" w:cs="Times New Roman"/>
          <w:sz w:val="24"/>
          <w:szCs w:val="24"/>
          <w:lang w:val="en-GB" w:eastAsia="fr-FR"/>
        </w:rPr>
        <w:t xml:space="preserve">, with </w:t>
      </w:r>
      <m:oMath>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β</m:t>
            </m:r>
          </m:e>
          <m:sub>
            <m:r>
              <w:rPr>
                <w:rFonts w:ascii="Cambria Math" w:eastAsia="Times New Roman" w:hAnsi="Cambria Math" w:cs="Times New Roman"/>
                <w:sz w:val="24"/>
                <w:szCs w:val="24"/>
                <w:lang w:val="en-GB" w:eastAsia="fr-FR"/>
              </w:rPr>
              <m:t>1</m:t>
            </m:r>
          </m:sub>
        </m:sSub>
      </m:oMath>
      <w:r w:rsidRPr="00FB473D">
        <w:rPr>
          <w:rFonts w:ascii="Times New Roman" w:eastAsia="Times New Roman" w:hAnsi="Times New Roman" w:cs="Times New Roman"/>
          <w:sz w:val="24"/>
          <w:szCs w:val="24"/>
          <w:lang w:val="en-GB" w:eastAsia="fr-FR"/>
        </w:rPr>
        <w:t xml:space="preserve"> the true effect assumed to be -100g by one-unit increase in </w:t>
      </w:r>
      <m:oMath>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X</m:t>
            </m:r>
          </m:e>
          <m:sub>
            <m:r>
              <w:rPr>
                <w:rFonts w:ascii="Cambria Math" w:eastAsia="Times New Roman" w:hAnsi="Cambria Math" w:cs="Times New Roman"/>
                <w:sz w:val="24"/>
                <w:szCs w:val="24"/>
                <w:lang w:val="en-GB" w:eastAsia="fr-FR"/>
              </w:rPr>
              <m:t>ij</m:t>
            </m:r>
          </m:sub>
        </m:sSub>
      </m:oMath>
      <w:r w:rsidRPr="00FB473D">
        <w:rPr>
          <w:rFonts w:ascii="Times New Roman" w:eastAsia="Times New Roman" w:hAnsi="Times New Roman" w:cs="Times New Roman"/>
          <w:sz w:val="24"/>
          <w:szCs w:val="24"/>
          <w:lang w:val="en-GB" w:eastAsia="fr-FR"/>
        </w:rPr>
        <w:t xml:space="preserve"> and </w:t>
      </w:r>
      <m:oMath>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ε</m:t>
            </m:r>
          </m:e>
          <m:sub>
            <m:r>
              <w:rPr>
                <w:rFonts w:ascii="Cambria Math" w:eastAsia="Times New Roman" w:hAnsi="Cambria Math" w:cs="Times New Roman"/>
                <w:sz w:val="24"/>
                <w:szCs w:val="24"/>
                <w:lang w:val="en-GB" w:eastAsia="fr-FR"/>
              </w:rPr>
              <m:t>ij</m:t>
            </m:r>
          </m:sub>
        </m:sSub>
      </m:oMath>
      <w:r w:rsidRPr="00FB473D">
        <w:rPr>
          <w:rFonts w:ascii="Times New Roman" w:eastAsia="Times New Roman" w:hAnsi="Times New Roman" w:cs="Times New Roman"/>
          <w:sz w:val="24"/>
          <w:szCs w:val="24"/>
          <w:lang w:val="en-GB" w:eastAsia="fr-FR"/>
        </w:rPr>
        <w:t xml:space="preserve"> the independent normally distributed random error with mean zero. The values for the parameters </w:t>
      </w:r>
      <m:oMath>
        <m:r>
          <w:rPr>
            <w:rFonts w:ascii="Cambria Math" w:eastAsia="Times New Roman" w:hAnsi="Cambria Math" w:cs="Times New Roman"/>
            <w:sz w:val="24"/>
            <w:szCs w:val="24"/>
            <w:lang w:val="en-GB" w:eastAsia="fr-FR"/>
          </w:rPr>
          <m:t>α</m:t>
        </m:r>
      </m:oMath>
      <w:r w:rsidRPr="00FB473D">
        <w:rPr>
          <w:rFonts w:ascii="Times New Roman" w:eastAsia="Times New Roman" w:hAnsi="Times New Roman" w:cs="Times New Roman"/>
          <w:sz w:val="24"/>
          <w:szCs w:val="24"/>
          <w:lang w:val="en-GB" w:eastAsia="fr-FR"/>
        </w:rPr>
        <w:t xml:space="preserve"> (14,900g) and </w:t>
      </w:r>
      <m:oMath>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ε</m:t>
            </m:r>
          </m:e>
          <m:sub>
            <m:r>
              <w:rPr>
                <w:rFonts w:ascii="Cambria Math" w:eastAsia="Times New Roman" w:hAnsi="Cambria Math" w:cs="Times New Roman"/>
                <w:sz w:val="24"/>
                <w:szCs w:val="24"/>
                <w:lang w:val="en-GB" w:eastAsia="fr-FR"/>
              </w:rPr>
              <m:t>ij</m:t>
            </m:r>
          </m:sub>
        </m:sSub>
      </m:oMath>
      <w:r w:rsidRPr="00FB473D">
        <w:rPr>
          <w:rFonts w:ascii="Times New Roman" w:eastAsia="Times New Roman" w:hAnsi="Times New Roman" w:cs="Times New Roman"/>
          <w:sz w:val="24"/>
          <w:szCs w:val="24"/>
          <w:lang w:val="en-GB" w:eastAsia="fr-FR"/>
        </w:rPr>
        <w:t xml:space="preserve"> (SD, 1,650g) were selected so as to match the distribution of the offspring weight at age 3 years in the French EDEN mother-child cohort </w:t>
      </w:r>
      <w:r w:rsidRPr="00FB473D">
        <w:rPr>
          <w:rFonts w:ascii="Times New Roman" w:eastAsia="Times New Roman" w:hAnsi="Times New Roman" w:cs="Times New Roman"/>
          <w:sz w:val="24"/>
          <w:szCs w:val="24"/>
          <w:lang w:val="en-GB" w:eastAsia="fr-FR"/>
        </w:rPr>
        <w:fldChar w:fldCharType="begin"/>
      </w:r>
      <w:r w:rsidR="00474B65">
        <w:rPr>
          <w:rFonts w:ascii="Times New Roman" w:eastAsia="Times New Roman" w:hAnsi="Times New Roman" w:cs="Times New Roman"/>
          <w:sz w:val="24"/>
          <w:szCs w:val="24"/>
          <w:lang w:val="en-GB" w:eastAsia="fr-FR"/>
        </w:rPr>
        <w:instrText xml:space="preserve"> ADDIN ZOTERO_ITEM CSL_CITATION {"citationID":"a21l0u9jhgg","properties":{"formattedCitation":"\\super 3\\nosupersub{}","plainCitation":"3","noteIndex":0},"citationItems":[{"id":"aAzz16MF/YmERnH5b","uris":["http://zotero.org/users/local/SVr6rUJo/items/3IW6AEUS"],"uri":["http://zotero.org/users/local/SVr6rUJo/items/3IW6AEUS"],"itemData":{"id":197,"type":"article-journal","title":"Prenatal Exposure to Phenols and Growth in Boys:","container-title":"Epidemiology","page":"625-635","volume":"25","issue":"5","source":"CrossRef","DOI":"10.1097/EDE.0000000000000132","ISSN":"1044-3983","shortTitle":"Prenatal Exposure to Phenols and Growth in Boys","language":"en","author":[{"family":"Philippat","given":"Claire"},{"family":"Botton","given":"Jérémie"},{"family":"Calafat","given":"Antonia M."},{"family":"Ye","given":"Xiaoyun"},{"family":"Charles","given":"Marie-Aline"},{"family":"Slama","given":"Rémy"}],"issued":{"date-parts":[["2014",9]]}}}],"schema":"https://github.com/citation-style-language/schema/raw/master/csl-citation.json"} </w:instrText>
      </w:r>
      <w:r w:rsidRPr="00FB473D">
        <w:rPr>
          <w:rFonts w:ascii="Times New Roman" w:eastAsia="Times New Roman" w:hAnsi="Times New Roman" w:cs="Times New Roman"/>
          <w:sz w:val="24"/>
          <w:szCs w:val="24"/>
          <w:lang w:val="en-GB" w:eastAsia="fr-FR"/>
        </w:rPr>
        <w:fldChar w:fldCharType="separate"/>
      </w:r>
      <w:r w:rsidR="00474B65" w:rsidRPr="00474B65">
        <w:rPr>
          <w:rFonts w:ascii="Times New Roman" w:hAnsi="Times New Roman" w:cs="Times New Roman"/>
          <w:sz w:val="24"/>
          <w:szCs w:val="24"/>
          <w:vertAlign w:val="superscript"/>
        </w:rPr>
        <w:t>3</w:t>
      </w:r>
      <w:r w:rsidRPr="00FB473D">
        <w:rPr>
          <w:rFonts w:ascii="Times New Roman" w:eastAsia="Times New Roman" w:hAnsi="Times New Roman" w:cs="Times New Roman"/>
          <w:sz w:val="24"/>
          <w:szCs w:val="24"/>
          <w:lang w:val="en-GB" w:eastAsia="fr-FR"/>
        </w:rPr>
        <w:fldChar w:fldCharType="end"/>
      </w:r>
      <w:r w:rsidRPr="00FB473D">
        <w:rPr>
          <w:rFonts w:ascii="Times New Roman" w:eastAsia="Times New Roman" w:hAnsi="Times New Roman" w:cs="Times New Roman"/>
          <w:sz w:val="24"/>
          <w:szCs w:val="24"/>
          <w:lang w:val="en-GB" w:eastAsia="fr-FR"/>
        </w:rPr>
        <w:t xml:space="preserve">, to reproduce what was previously done by Perrier </w:t>
      </w:r>
      <w:r w:rsidRPr="00FB473D">
        <w:rPr>
          <w:rFonts w:ascii="Times New Roman" w:eastAsia="Times New Roman" w:hAnsi="Times New Roman" w:cs="Times New Roman"/>
          <w:i/>
          <w:sz w:val="24"/>
          <w:szCs w:val="24"/>
          <w:lang w:val="en-GB" w:eastAsia="fr-FR"/>
        </w:rPr>
        <w:t>et al.</w:t>
      </w:r>
      <w:r w:rsidRPr="00FB473D">
        <w:rPr>
          <w:rFonts w:ascii="Times New Roman" w:eastAsia="Times New Roman" w:hAnsi="Times New Roman" w:cs="Times New Roman"/>
          <w:sz w:val="24"/>
          <w:szCs w:val="24"/>
          <w:lang w:val="en-GB" w:eastAsia="fr-FR"/>
        </w:rPr>
        <w:t xml:space="preserve"> </w:t>
      </w:r>
      <w:r w:rsidRPr="00FB473D">
        <w:rPr>
          <w:rFonts w:ascii="Times New Roman" w:eastAsia="Times New Roman" w:hAnsi="Times New Roman" w:cs="Times New Roman"/>
          <w:sz w:val="24"/>
          <w:szCs w:val="24"/>
          <w:lang w:val="en-GB" w:eastAsia="fr-FR"/>
        </w:rPr>
        <w:fldChar w:fldCharType="begin"/>
      </w:r>
      <w:r w:rsidR="00474B65">
        <w:rPr>
          <w:rFonts w:ascii="Times New Roman" w:eastAsia="Times New Roman" w:hAnsi="Times New Roman" w:cs="Times New Roman"/>
          <w:sz w:val="24"/>
          <w:szCs w:val="24"/>
          <w:lang w:val="en-GB" w:eastAsia="fr-FR"/>
        </w:rPr>
        <w:instrText xml:space="preserve"> ADDIN ZOTERO_ITEM CSL_CITATION {"citationID":"a1boaapj44t","properties":{"formattedCitation":"\\super 4\\nosupersub{}","plainCitation":"4","noteIndex":0},"citationItems":[{"id":"aAzz16MF/Cr21DEKn","uris":["http://zotero.org/users/local/SVr6rUJo/items/ZP6VSXIM"],"uri":["http://zotero.org/users/local/SVr6rUJo/items/ZP6VSXIM"],"itemData":{"id":286,"type":"article-journal","title":"Within-subject pooling of biological samples to reduce exposure misclassification in biomarker-based studies:","container-title":"Epidemiology","page":"1","source":"CrossRef","DOI":"10.1097/EDE.0000000000000460","ISSN":"1044-3983","shortTitle":"Within-subject pooling of biological samples to reduce exposure misclassification in biomarker-based studies","language":"en","author":[{"family":"Perrier","given":"Flavie"},{"family":"Giorgis-Allemand","given":"Lise"},{"family":"Slama","given":"Rémy"},{"family":"Philippat","given":"Claire"}],"issued":{"date-parts":[["2016",2]]}}}],"schema":"https://github.com/citation-style-language/schema/raw/master/csl-citation.json"} </w:instrText>
      </w:r>
      <w:r w:rsidRPr="00FB473D">
        <w:rPr>
          <w:rFonts w:ascii="Times New Roman" w:eastAsia="Times New Roman" w:hAnsi="Times New Roman" w:cs="Times New Roman"/>
          <w:sz w:val="24"/>
          <w:szCs w:val="24"/>
          <w:lang w:val="en-GB" w:eastAsia="fr-FR"/>
        </w:rPr>
        <w:fldChar w:fldCharType="separate"/>
      </w:r>
      <w:r w:rsidR="00474B65" w:rsidRPr="00474B65">
        <w:rPr>
          <w:rFonts w:ascii="Times New Roman" w:hAnsi="Times New Roman" w:cs="Times New Roman"/>
          <w:sz w:val="24"/>
          <w:szCs w:val="24"/>
          <w:vertAlign w:val="superscript"/>
        </w:rPr>
        <w:t>4</w:t>
      </w:r>
      <w:r w:rsidRPr="00FB473D">
        <w:rPr>
          <w:rFonts w:ascii="Times New Roman" w:eastAsia="Times New Roman" w:hAnsi="Times New Roman" w:cs="Times New Roman"/>
          <w:sz w:val="24"/>
          <w:szCs w:val="24"/>
          <w:lang w:val="en-GB" w:eastAsia="fr-FR"/>
        </w:rPr>
        <w:fldChar w:fldCharType="end"/>
      </w:r>
      <w:r w:rsidRPr="00FB473D">
        <w:rPr>
          <w:rFonts w:ascii="Times New Roman" w:eastAsia="Times New Roman" w:hAnsi="Times New Roman" w:cs="Times New Roman"/>
          <w:sz w:val="24"/>
          <w:szCs w:val="24"/>
          <w:lang w:val="en-GB" w:eastAsia="fr-FR"/>
        </w:rPr>
        <w:t xml:space="preserve"> and because SEPAGES-feasibility stopped at birth and therefore data on offspring weight at 3 years of age were not collected. </w:t>
      </w:r>
    </w:p>
    <w:p w:rsidR="00FB473D" w:rsidRPr="00FB473D" w:rsidRDefault="00FB473D" w:rsidP="00FB473D">
      <w:pPr>
        <w:spacing w:after="0" w:line="480" w:lineRule="auto"/>
        <w:jc w:val="both"/>
        <w:rPr>
          <w:rFonts w:ascii="Times New Roman" w:eastAsia="Times New Roman" w:hAnsi="Times New Roman" w:cs="Times New Roman"/>
          <w:sz w:val="24"/>
          <w:szCs w:val="24"/>
          <w:lang w:val="en-GB" w:eastAsia="fr-FR"/>
        </w:rPr>
      </w:pPr>
      <w:r w:rsidRPr="00FB473D">
        <w:rPr>
          <w:rFonts w:ascii="Times New Roman" w:eastAsia="Times New Roman" w:hAnsi="Times New Roman" w:cs="Times New Roman"/>
          <w:sz w:val="24"/>
          <w:szCs w:val="24"/>
          <w:lang w:val="en-GB" w:eastAsia="fr-FR"/>
        </w:rPr>
        <w:t xml:space="preserve">We additionally simulated </w:t>
      </w:r>
      <m:oMath>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Y</m:t>
            </m:r>
          </m:e>
          <m:sub>
            <m:r>
              <w:rPr>
                <w:rFonts w:ascii="Cambria Math" w:eastAsia="Times New Roman" w:hAnsi="Cambria Math" w:cs="Times New Roman"/>
                <w:sz w:val="24"/>
                <w:szCs w:val="24"/>
                <w:lang w:val="en-GB" w:eastAsia="fr-FR"/>
              </w:rPr>
              <m:t>ij</m:t>
            </m:r>
          </m:sub>
        </m:sSub>
      </m:oMath>
      <w:r w:rsidRPr="00FB473D">
        <w:rPr>
          <w:rFonts w:ascii="Times New Roman" w:eastAsia="Times New Roman" w:hAnsi="Times New Roman" w:cs="Times New Roman"/>
          <w:sz w:val="24"/>
          <w:szCs w:val="24"/>
          <w:lang w:val="en-GB" w:eastAsia="fr-FR"/>
        </w:rPr>
        <w:t xml:space="preserve"> considering a null effect of the biomarker (i.e, </w:t>
      </w:r>
      <m:oMath>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β</m:t>
            </m:r>
          </m:e>
          <m:sub>
            <m:r>
              <w:rPr>
                <w:rFonts w:ascii="Cambria Math" w:eastAsia="Times New Roman" w:hAnsi="Cambria Math" w:cs="Times New Roman"/>
                <w:sz w:val="24"/>
                <w:szCs w:val="24"/>
                <w:lang w:val="en-GB" w:eastAsia="fr-FR"/>
              </w:rPr>
              <m:t>1</m:t>
            </m:r>
          </m:sub>
        </m:sSub>
        <m:r>
          <w:rPr>
            <w:rFonts w:ascii="Cambria Math" w:eastAsia="Times New Roman" w:hAnsi="Cambria Math" w:cs="Times New Roman"/>
            <w:sz w:val="24"/>
            <w:szCs w:val="24"/>
            <w:lang w:val="en-GB" w:eastAsia="fr-FR"/>
          </w:rPr>
          <m:t>=0</m:t>
        </m:r>
      </m:oMath>
      <w:r w:rsidRPr="00FB473D">
        <w:rPr>
          <w:rFonts w:ascii="Times New Roman" w:eastAsia="Times New Roman" w:hAnsi="Times New Roman" w:cs="Times New Roman"/>
          <w:sz w:val="24"/>
          <w:szCs w:val="24"/>
          <w:lang w:val="en-GB" w:eastAsia="fr-FR"/>
        </w:rPr>
        <w:t xml:space="preserve">) to explore how the risk of type I error was affected. </w:t>
      </w:r>
    </w:p>
    <w:p w:rsidR="00FB473D" w:rsidRPr="00FB473D" w:rsidRDefault="00FB473D" w:rsidP="00FB473D">
      <w:pPr>
        <w:spacing w:after="0" w:line="480" w:lineRule="auto"/>
        <w:jc w:val="both"/>
        <w:rPr>
          <w:rFonts w:ascii="Times New Roman" w:eastAsia="Times New Roman" w:hAnsi="Times New Roman" w:cs="Times New Roman"/>
          <w:i/>
          <w:sz w:val="24"/>
          <w:szCs w:val="24"/>
          <w:lang w:val="en-GB" w:eastAsia="fr-FR"/>
        </w:rPr>
      </w:pPr>
    </w:p>
    <w:p w:rsidR="00FB473D" w:rsidRPr="00FB473D" w:rsidRDefault="00FB473D" w:rsidP="00FB473D">
      <w:pPr>
        <w:spacing w:after="0" w:line="480" w:lineRule="auto"/>
        <w:jc w:val="both"/>
        <w:rPr>
          <w:rFonts w:ascii="Times New Roman" w:eastAsia="Times New Roman" w:hAnsi="Times New Roman" w:cs="Times New Roman"/>
          <w:i/>
          <w:sz w:val="24"/>
          <w:szCs w:val="24"/>
          <w:lang w:val="en-GB" w:eastAsia="fr-FR"/>
        </w:rPr>
      </w:pPr>
      <w:r w:rsidRPr="00FB473D">
        <w:rPr>
          <w:rFonts w:ascii="Times New Roman" w:eastAsia="Times New Roman" w:hAnsi="Times New Roman" w:cs="Times New Roman"/>
          <w:i/>
          <w:sz w:val="24"/>
          <w:szCs w:val="24"/>
          <w:lang w:val="en-GB" w:eastAsia="fr-FR"/>
        </w:rPr>
        <w:t xml:space="preserve">Bias and power characterization </w:t>
      </w:r>
    </w:p>
    <w:p w:rsidR="00FB473D" w:rsidRPr="00FB473D" w:rsidRDefault="00FB473D" w:rsidP="00FB473D">
      <w:pPr>
        <w:spacing w:after="0" w:line="480" w:lineRule="auto"/>
        <w:jc w:val="both"/>
        <w:rPr>
          <w:rFonts w:ascii="Times New Roman" w:eastAsia="Times New Roman" w:hAnsi="Times New Roman" w:cs="Times New Roman"/>
          <w:sz w:val="24"/>
          <w:szCs w:val="24"/>
          <w:lang w:val="en-GB" w:eastAsia="fr-FR"/>
        </w:rPr>
      </w:pPr>
      <w:r w:rsidRPr="00FB473D">
        <w:rPr>
          <w:rFonts w:ascii="Times New Roman" w:eastAsia="Times New Roman" w:hAnsi="Times New Roman" w:cs="Times New Roman"/>
          <w:sz w:val="24"/>
          <w:szCs w:val="24"/>
          <w:lang w:val="en-GB" w:eastAsia="fr-FR"/>
        </w:rPr>
        <w:t xml:space="preserve">For each chemical </w:t>
      </w:r>
      <m:oMath>
        <m:r>
          <w:rPr>
            <w:rFonts w:ascii="Cambria Math" w:eastAsia="Times New Roman" w:hAnsi="Cambria Math" w:cs="Times New Roman"/>
            <w:sz w:val="24"/>
            <w:szCs w:val="24"/>
            <w:lang w:val="en-GB" w:eastAsia="fr-FR"/>
          </w:rPr>
          <m:t>j</m:t>
        </m:r>
      </m:oMath>
      <w:r w:rsidRPr="00FB473D">
        <w:rPr>
          <w:rFonts w:ascii="Times New Roman" w:eastAsia="Times New Roman" w:hAnsi="Times New Roman" w:cs="Times New Roman"/>
          <w:sz w:val="24"/>
          <w:szCs w:val="24"/>
          <w:lang w:val="en-GB" w:eastAsia="fr-FR"/>
        </w:rPr>
        <w:t>, we fitted a linear regression model in the population of 3,000 subjects between the simulated continuous health outcome and a biomarker measurement in one random spot sample (</w:t>
      </w:r>
      <m:oMath>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W</m:t>
            </m:r>
          </m:e>
          <m:sub>
            <m:r>
              <w:rPr>
                <w:rFonts w:ascii="Cambria Math" w:eastAsia="Times New Roman" w:hAnsi="Cambria Math" w:cs="Times New Roman"/>
                <w:sz w:val="24"/>
                <w:szCs w:val="24"/>
                <w:lang w:val="en-GB" w:eastAsia="fr-FR"/>
              </w:rPr>
              <m:t>ijk</m:t>
            </m:r>
          </m:sub>
        </m:sSub>
      </m:oMath>
      <w:r w:rsidRPr="00FB473D">
        <w:rPr>
          <w:rFonts w:ascii="Times New Roman" w:eastAsia="Times New Roman" w:hAnsi="Times New Roman" w:cs="Times New Roman"/>
          <w:sz w:val="24"/>
          <w:szCs w:val="24"/>
          <w:lang w:val="en-GB" w:eastAsia="fr-FR"/>
        </w:rPr>
        <w:t xml:space="preserve">) and within-subject pools of an increasing number of biospecimens, </w:t>
      </w:r>
      <w:r w:rsidRPr="00FB473D">
        <w:rPr>
          <w:rFonts w:ascii="Times New Roman" w:eastAsia="Times New Roman" w:hAnsi="Times New Roman" w:cs="Times New Roman"/>
          <w:sz w:val="24"/>
          <w:szCs w:val="24"/>
          <w:lang w:val="en-GB" w:eastAsia="fr-FR"/>
        </w:rPr>
        <w:lastRenderedPageBreak/>
        <w:t>represented by the average (</w:t>
      </w:r>
      <m:oMath>
        <m:bar>
          <m:barPr>
            <m:pos m:val="top"/>
            <m:ctrlPr>
              <w:rPr>
                <w:rFonts w:ascii="Cambria Math" w:eastAsia="Times New Roman" w:hAnsi="Cambria Math" w:cs="Times New Roman"/>
                <w:i/>
                <w:sz w:val="24"/>
                <w:szCs w:val="24"/>
                <w:lang w:val="en-GB" w:eastAsia="fr-FR"/>
              </w:rPr>
            </m:ctrlPr>
          </m:barPr>
          <m:e>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W</m:t>
                </m:r>
              </m:e>
              <m:sub>
                <m:r>
                  <w:rPr>
                    <w:rFonts w:ascii="Cambria Math" w:eastAsia="Times New Roman" w:hAnsi="Cambria Math" w:cs="Times New Roman"/>
                    <w:sz w:val="24"/>
                    <w:szCs w:val="24"/>
                    <w:lang w:val="en-GB" w:eastAsia="fr-FR"/>
                  </w:rPr>
                  <m:t>ij</m:t>
                </m:r>
              </m:sub>
            </m:sSub>
          </m:e>
        </m:bar>
      </m:oMath>
      <w:r w:rsidRPr="00FB473D">
        <w:rPr>
          <w:rFonts w:ascii="Times New Roman" w:eastAsia="Times New Roman" w:hAnsi="Times New Roman" w:cs="Times New Roman"/>
          <w:sz w:val="24"/>
          <w:szCs w:val="24"/>
          <w:lang w:val="en-GB" w:eastAsia="fr-FR"/>
        </w:rPr>
        <w:t>) of ln-transformed biomarker concentrations from two to 20 randomly collected biospecimens, as in the previous theoretical study from Perrier et al.</w:t>
      </w:r>
      <w:r w:rsidRPr="00FB473D">
        <w:rPr>
          <w:rFonts w:ascii="Times New Roman" w:eastAsia="Times New Roman" w:hAnsi="Times New Roman" w:cs="Times New Roman"/>
          <w:sz w:val="24"/>
          <w:szCs w:val="24"/>
          <w:lang w:val="en-GB" w:eastAsia="fr-FR"/>
        </w:rPr>
        <w:fldChar w:fldCharType="begin"/>
      </w:r>
      <w:r w:rsidR="00474B65">
        <w:rPr>
          <w:rFonts w:ascii="Times New Roman" w:eastAsia="Times New Roman" w:hAnsi="Times New Roman" w:cs="Times New Roman"/>
          <w:sz w:val="24"/>
          <w:szCs w:val="24"/>
          <w:lang w:val="en-GB" w:eastAsia="fr-FR"/>
        </w:rPr>
        <w:instrText xml:space="preserve"> ADDIN ZOTERO_ITEM CSL_CITATION {"citationID":"JhjBM3eI","properties":{"formattedCitation":"\\super 4\\nosupersub{}","plainCitation":"4","noteIndex":0},"citationItems":[{"id":"aAzz16MF/Cr21DEKn","uris":["http://zotero.org/users/local/SVr6rUJo/items/ZP6VSXIM"],"uri":["http://zotero.org/users/local/SVr6rUJo/items/ZP6VSXIM"],"itemData":{"id":286,"type":"article-journal","title":"Within-subject pooling of biological samples to reduce exposure misclassification in biomarker-based studies:","container-title":"Epidemiology","page":"1","source":"CrossRef","DOI":"10.1097/EDE.0000000000000460","ISSN":"1044-3983","shortTitle":"Within-subject pooling of biological samples to reduce exposure misclassification in biomarker-based studies","language":"en","author":[{"family":"Perrier","given":"Flavie"},{"family":"Giorgis-Allemand","given":"Lise"},{"family":"Slama","given":"Rémy"},{"family":"Philippat","given":"Claire"}],"issued":{"date-parts":[["2016",2]]}}}],"schema":"https://github.com/citation-style-language/schema/raw/master/csl-citation.json"} </w:instrText>
      </w:r>
      <w:r w:rsidRPr="00FB473D">
        <w:rPr>
          <w:rFonts w:ascii="Times New Roman" w:eastAsia="Times New Roman" w:hAnsi="Times New Roman" w:cs="Times New Roman"/>
          <w:sz w:val="24"/>
          <w:szCs w:val="24"/>
          <w:lang w:val="en-GB" w:eastAsia="fr-FR"/>
        </w:rPr>
        <w:fldChar w:fldCharType="separate"/>
      </w:r>
      <w:r w:rsidR="00474B65" w:rsidRPr="00474B65">
        <w:rPr>
          <w:rFonts w:ascii="Times New Roman" w:hAnsi="Times New Roman" w:cs="Times New Roman"/>
          <w:sz w:val="24"/>
          <w:szCs w:val="24"/>
          <w:vertAlign w:val="superscript"/>
        </w:rPr>
        <w:t>4</w:t>
      </w:r>
      <w:r w:rsidRPr="00FB473D">
        <w:rPr>
          <w:rFonts w:ascii="Times New Roman" w:eastAsia="Times New Roman" w:hAnsi="Times New Roman" w:cs="Times New Roman"/>
          <w:sz w:val="24"/>
          <w:szCs w:val="24"/>
          <w:lang w:val="en-GB" w:eastAsia="fr-FR"/>
        </w:rPr>
        <w:fldChar w:fldCharType="end"/>
      </w:r>
      <w:r w:rsidRPr="00FB473D">
        <w:rPr>
          <w:rFonts w:ascii="Times New Roman" w:eastAsia="Times New Roman" w:hAnsi="Times New Roman" w:cs="Times New Roman"/>
          <w:sz w:val="24"/>
          <w:szCs w:val="24"/>
          <w:lang w:val="en-GB" w:eastAsia="fr-FR"/>
        </w:rPr>
        <w:t xml:space="preserve">. </w:t>
      </w:r>
    </w:p>
    <w:p w:rsidR="00FB473D" w:rsidRPr="00FB473D" w:rsidRDefault="00FB473D" w:rsidP="00FB473D">
      <w:pPr>
        <w:spacing w:after="0" w:line="480" w:lineRule="auto"/>
        <w:jc w:val="both"/>
        <w:rPr>
          <w:rFonts w:ascii="Times New Roman" w:eastAsia="Times New Roman" w:hAnsi="Times New Roman" w:cs="Times New Roman"/>
          <w:sz w:val="24"/>
          <w:szCs w:val="24"/>
          <w:lang w:val="en-GB" w:eastAsia="fr-FR"/>
        </w:rPr>
      </w:pPr>
      <w:r w:rsidRPr="00FB473D">
        <w:rPr>
          <w:rFonts w:ascii="Times New Roman" w:eastAsia="Times New Roman" w:hAnsi="Times New Roman" w:cs="Times New Roman"/>
          <w:sz w:val="24"/>
          <w:szCs w:val="24"/>
          <w:lang w:val="en-GB" w:eastAsia="fr-FR"/>
        </w:rPr>
        <w:t>Bias was estimated in percent as the difference between the mean effect estimate (</w:t>
      </w:r>
      <m:oMath>
        <m:r>
          <w:rPr>
            <w:rFonts w:ascii="Cambria Math" w:eastAsia="Times New Roman" w:hAnsi="Cambria Math" w:cs="Times New Roman"/>
            <w:sz w:val="24"/>
            <w:szCs w:val="24"/>
            <w:lang w:val="en-GB" w:eastAsia="fr-FR"/>
          </w:rPr>
          <m:t>β</m:t>
        </m:r>
      </m:oMath>
      <w:r w:rsidRPr="00FB473D">
        <w:rPr>
          <w:rFonts w:ascii="Times New Roman" w:eastAsia="Times New Roman" w:hAnsi="Times New Roman" w:cs="Times New Roman"/>
          <w:sz w:val="24"/>
          <w:szCs w:val="24"/>
          <w:lang w:val="en-GB" w:eastAsia="fr-FR"/>
        </w:rPr>
        <w:t>) over 1,000 studies for the surrogates of exposure (</w:t>
      </w:r>
      <m:oMath>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W</m:t>
            </m:r>
          </m:e>
          <m:sub>
            <m:r>
              <w:rPr>
                <w:rFonts w:ascii="Cambria Math" w:eastAsia="Times New Roman" w:hAnsi="Cambria Math" w:cs="Times New Roman"/>
                <w:sz w:val="24"/>
                <w:szCs w:val="24"/>
                <w:lang w:val="en-GB" w:eastAsia="fr-FR"/>
              </w:rPr>
              <m:t>ijk</m:t>
            </m:r>
          </m:sub>
        </m:sSub>
      </m:oMath>
      <w:r w:rsidRPr="00FB473D">
        <w:rPr>
          <w:rFonts w:ascii="Times New Roman" w:eastAsia="Times New Roman" w:hAnsi="Times New Roman" w:cs="Times New Roman"/>
          <w:sz w:val="24"/>
          <w:szCs w:val="24"/>
          <w:lang w:val="en-GB" w:eastAsia="fr-FR"/>
        </w:rPr>
        <w:t xml:space="preserve"> or </w:t>
      </w:r>
      <m:oMath>
        <m:bar>
          <m:barPr>
            <m:pos m:val="top"/>
            <m:ctrlPr>
              <w:rPr>
                <w:rFonts w:ascii="Cambria Math" w:eastAsia="Times New Roman" w:hAnsi="Cambria Math" w:cs="Times New Roman"/>
                <w:i/>
                <w:sz w:val="24"/>
                <w:szCs w:val="24"/>
                <w:lang w:val="en-GB" w:eastAsia="fr-FR"/>
              </w:rPr>
            </m:ctrlPr>
          </m:barPr>
          <m:e>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W</m:t>
                </m:r>
              </m:e>
              <m:sub>
                <m:r>
                  <w:rPr>
                    <w:rFonts w:ascii="Cambria Math" w:eastAsia="Times New Roman" w:hAnsi="Cambria Math" w:cs="Times New Roman"/>
                    <w:sz w:val="24"/>
                    <w:szCs w:val="24"/>
                    <w:lang w:val="en-GB" w:eastAsia="fr-FR"/>
                  </w:rPr>
                  <m:t>ij</m:t>
                </m:r>
              </m:sub>
            </m:sSub>
          </m:e>
        </m:bar>
      </m:oMath>
      <w:r w:rsidRPr="00FB473D">
        <w:rPr>
          <w:rFonts w:ascii="Times New Roman" w:eastAsia="Times New Roman" w:hAnsi="Times New Roman" w:cs="Times New Roman"/>
          <w:sz w:val="24"/>
          <w:szCs w:val="24"/>
          <w:lang w:val="en-GB" w:eastAsia="fr-FR"/>
        </w:rPr>
        <w:t>) and the mean effect estimate for the true unobserved exposure (</w:t>
      </w:r>
      <m:oMath>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β</m:t>
            </m:r>
          </m:e>
          <m:sub>
            <m:r>
              <w:rPr>
                <w:rFonts w:ascii="Cambria Math" w:eastAsia="Times New Roman" w:hAnsi="Cambria Math" w:cs="Times New Roman"/>
                <w:sz w:val="24"/>
                <w:szCs w:val="24"/>
                <w:lang w:val="en-GB" w:eastAsia="fr-FR"/>
              </w:rPr>
              <m:t>true</m:t>
            </m:r>
          </m:sub>
        </m:sSub>
      </m:oMath>
      <w:r w:rsidRPr="00FB473D">
        <w:rPr>
          <w:rFonts w:ascii="Times New Roman" w:eastAsia="Times New Roman" w:hAnsi="Times New Roman" w:cs="Times New Roman"/>
          <w:sz w:val="24"/>
          <w:szCs w:val="24"/>
          <w:lang w:val="en-GB" w:eastAsia="fr-FR"/>
        </w:rPr>
        <w:t xml:space="preserve">) divided by </w:t>
      </w:r>
      <m:oMath>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β</m:t>
            </m:r>
          </m:e>
          <m:sub>
            <m:r>
              <w:rPr>
                <w:rFonts w:ascii="Cambria Math" w:eastAsia="Times New Roman" w:hAnsi="Cambria Math" w:cs="Times New Roman"/>
                <w:sz w:val="24"/>
                <w:szCs w:val="24"/>
                <w:lang w:val="en-GB" w:eastAsia="fr-FR"/>
              </w:rPr>
              <m:t>true</m:t>
            </m:r>
          </m:sub>
        </m:sSub>
      </m:oMath>
      <w:r w:rsidRPr="00FB473D">
        <w:rPr>
          <w:rFonts w:ascii="Times New Roman" w:eastAsia="Times New Roman" w:hAnsi="Times New Roman" w:cs="Times New Roman"/>
          <w:sz w:val="24"/>
          <w:szCs w:val="24"/>
          <w:lang w:val="en-GB" w:eastAsia="fr-FR"/>
        </w:rPr>
        <w:t xml:space="preserve">. Negative values of bias correspond to a situation where </w:t>
      </w:r>
      <m:oMath>
        <m:r>
          <w:rPr>
            <w:rFonts w:ascii="Cambria Math" w:eastAsia="Times New Roman" w:hAnsi="Cambria Math" w:cs="Times New Roman"/>
            <w:sz w:val="24"/>
            <w:szCs w:val="24"/>
            <w:lang w:val="en-GB" w:eastAsia="fr-FR"/>
          </w:rPr>
          <m:t>β</m:t>
        </m:r>
      </m:oMath>
      <w:r w:rsidRPr="00FB473D">
        <w:rPr>
          <w:rFonts w:ascii="Times New Roman" w:eastAsia="Times New Roman" w:hAnsi="Times New Roman" w:cs="Times New Roman"/>
          <w:i/>
          <w:sz w:val="24"/>
          <w:szCs w:val="24"/>
          <w:lang w:val="en-GB" w:eastAsia="fr-FR"/>
        </w:rPr>
        <w:t xml:space="preserve"> </w:t>
      </w:r>
      <w:r w:rsidRPr="00FB473D">
        <w:rPr>
          <w:rFonts w:ascii="Times New Roman" w:eastAsia="Times New Roman" w:hAnsi="Times New Roman" w:cs="Times New Roman"/>
          <w:sz w:val="24"/>
          <w:szCs w:val="24"/>
          <w:lang w:val="en-GB" w:eastAsia="fr-FR"/>
        </w:rPr>
        <w:t xml:space="preserve">is lower in absolute value than the true effect estimate </w:t>
      </w:r>
      <m:oMath>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β</m:t>
            </m:r>
          </m:e>
          <m:sub>
            <m:r>
              <w:rPr>
                <w:rFonts w:ascii="Cambria Math" w:eastAsia="Times New Roman" w:hAnsi="Cambria Math" w:cs="Times New Roman"/>
                <w:sz w:val="24"/>
                <w:szCs w:val="24"/>
                <w:lang w:val="en-GB" w:eastAsia="fr-FR"/>
              </w:rPr>
              <m:t>true</m:t>
            </m:r>
          </m:sub>
        </m:sSub>
      </m:oMath>
      <w:r w:rsidRPr="00FB473D">
        <w:rPr>
          <w:rFonts w:ascii="Times New Roman" w:eastAsia="Times New Roman" w:hAnsi="Times New Roman" w:cs="Times New Roman"/>
          <w:sz w:val="24"/>
          <w:szCs w:val="24"/>
          <w:lang w:val="en-GB" w:eastAsia="fr-FR"/>
        </w:rPr>
        <w:t xml:space="preserve"> (i.e. attenuation) and positive values to a situation where </w:t>
      </w:r>
      <m:oMath>
        <m:r>
          <w:rPr>
            <w:rFonts w:ascii="Cambria Math" w:eastAsia="Times New Roman" w:hAnsi="Cambria Math" w:cs="Times New Roman"/>
            <w:sz w:val="24"/>
            <w:szCs w:val="24"/>
            <w:lang w:val="en-GB" w:eastAsia="fr-FR"/>
          </w:rPr>
          <m:t>β</m:t>
        </m:r>
      </m:oMath>
      <w:r w:rsidRPr="00FB473D">
        <w:rPr>
          <w:rFonts w:ascii="Times New Roman" w:eastAsia="Times New Roman" w:hAnsi="Times New Roman" w:cs="Times New Roman"/>
          <w:i/>
          <w:sz w:val="24"/>
          <w:szCs w:val="24"/>
          <w:lang w:val="en-GB" w:eastAsia="fr-FR"/>
        </w:rPr>
        <w:t xml:space="preserve"> </w:t>
      </w:r>
      <w:r w:rsidRPr="00FB473D">
        <w:rPr>
          <w:rFonts w:ascii="Times New Roman" w:eastAsia="Times New Roman" w:hAnsi="Times New Roman" w:cs="Times New Roman"/>
          <w:sz w:val="24"/>
          <w:szCs w:val="24"/>
          <w:lang w:val="en-GB" w:eastAsia="fr-FR"/>
        </w:rPr>
        <w:t xml:space="preserve">is greater in absolute value than the true effect estimate </w:t>
      </w:r>
      <m:oMath>
        <m:sSub>
          <m:sSubPr>
            <m:ctrlPr>
              <w:rPr>
                <w:rFonts w:ascii="Cambria Math" w:eastAsia="Times New Roman" w:hAnsi="Cambria Math" w:cs="Times New Roman"/>
                <w:i/>
                <w:sz w:val="24"/>
                <w:szCs w:val="24"/>
                <w:lang w:val="en-GB" w:eastAsia="fr-FR"/>
              </w:rPr>
            </m:ctrlPr>
          </m:sSubPr>
          <m:e>
            <m:r>
              <w:rPr>
                <w:rFonts w:ascii="Cambria Math" w:eastAsia="Times New Roman" w:hAnsi="Cambria Math" w:cs="Times New Roman"/>
                <w:sz w:val="24"/>
                <w:szCs w:val="24"/>
                <w:lang w:val="en-GB" w:eastAsia="fr-FR"/>
              </w:rPr>
              <m:t>β</m:t>
            </m:r>
          </m:e>
          <m:sub>
            <m:r>
              <w:rPr>
                <w:rFonts w:ascii="Cambria Math" w:eastAsia="Times New Roman" w:hAnsi="Cambria Math" w:cs="Times New Roman"/>
                <w:sz w:val="24"/>
                <w:szCs w:val="24"/>
                <w:lang w:val="en-GB" w:eastAsia="fr-FR"/>
              </w:rPr>
              <m:t>true</m:t>
            </m:r>
          </m:sub>
        </m:sSub>
      </m:oMath>
      <w:r w:rsidRPr="00FB473D">
        <w:rPr>
          <w:rFonts w:ascii="Times New Roman" w:eastAsia="Times New Roman" w:hAnsi="Times New Roman" w:cs="Times New Roman"/>
          <w:sz w:val="24"/>
          <w:szCs w:val="24"/>
          <w:lang w:val="en-GB" w:eastAsia="fr-FR"/>
        </w:rPr>
        <w:t>.</w:t>
      </w:r>
    </w:p>
    <w:p w:rsidR="00FB473D" w:rsidRPr="00FB473D" w:rsidRDefault="00FB473D" w:rsidP="00FB473D">
      <w:pPr>
        <w:spacing w:after="257" w:line="360" w:lineRule="auto"/>
        <w:ind w:left="-15" w:right="12"/>
        <w:jc w:val="both"/>
        <w:rPr>
          <w:rFonts w:ascii="Times New Roman" w:eastAsia="Times New Roman" w:hAnsi="Times New Roman" w:cs="Times New Roman"/>
          <w:sz w:val="24"/>
          <w:szCs w:val="24"/>
          <w:lang w:val="en-GB" w:eastAsia="fr-FR"/>
        </w:rPr>
      </w:pPr>
      <w:r w:rsidRPr="00FB473D">
        <w:rPr>
          <w:rFonts w:ascii="Times New Roman" w:eastAsia="Times New Roman" w:hAnsi="Times New Roman" w:cs="Times New Roman"/>
          <w:sz w:val="24"/>
          <w:szCs w:val="24"/>
          <w:lang w:val="en-GB" w:eastAsia="fr-FR"/>
        </w:rPr>
        <w:t>Power was calculated as the fraction of the 1,000 studies with a p-value for the association below 0.05.</w:t>
      </w:r>
    </w:p>
    <w:p w:rsidR="00FB473D" w:rsidRPr="00FB473D" w:rsidRDefault="00FB473D" w:rsidP="00FB473D">
      <w:pPr>
        <w:spacing w:after="0" w:line="480" w:lineRule="auto"/>
        <w:jc w:val="both"/>
        <w:rPr>
          <w:rFonts w:ascii="Times New Roman" w:eastAsia="Times New Roman" w:hAnsi="Times New Roman" w:cs="Times New Roman"/>
          <w:i/>
          <w:sz w:val="24"/>
          <w:szCs w:val="24"/>
          <w:lang w:val="en-GB" w:eastAsia="fr-FR"/>
        </w:rPr>
      </w:pPr>
    </w:p>
    <w:p w:rsidR="00FB473D" w:rsidRPr="00FB473D" w:rsidRDefault="00FB473D" w:rsidP="00FB473D">
      <w:pPr>
        <w:spacing w:after="0" w:line="480" w:lineRule="auto"/>
        <w:jc w:val="both"/>
        <w:rPr>
          <w:rFonts w:ascii="Times New Roman" w:eastAsia="Times New Roman" w:hAnsi="Times New Roman" w:cs="Times New Roman"/>
          <w:i/>
          <w:sz w:val="24"/>
          <w:szCs w:val="24"/>
          <w:lang w:val="en-GB" w:eastAsia="fr-FR"/>
        </w:rPr>
      </w:pPr>
      <w:r w:rsidRPr="00FB473D">
        <w:rPr>
          <w:rFonts w:ascii="Times New Roman" w:eastAsia="Times New Roman" w:hAnsi="Times New Roman" w:cs="Times New Roman"/>
          <w:i/>
          <w:sz w:val="24"/>
          <w:szCs w:val="24"/>
          <w:lang w:val="en-GB" w:eastAsia="fr-FR"/>
        </w:rPr>
        <w:t xml:space="preserve">A posteriori </w:t>
      </w:r>
      <w:proofErr w:type="spellStart"/>
      <w:r w:rsidRPr="00FB473D">
        <w:rPr>
          <w:rFonts w:ascii="Times New Roman" w:eastAsia="Times New Roman" w:hAnsi="Times New Roman" w:cs="Times New Roman"/>
          <w:i/>
          <w:sz w:val="24"/>
          <w:szCs w:val="24"/>
          <w:lang w:val="en-GB" w:eastAsia="fr-FR"/>
        </w:rPr>
        <w:t>disattenuation</w:t>
      </w:r>
      <w:proofErr w:type="spellEnd"/>
    </w:p>
    <w:p w:rsidR="00FB473D" w:rsidRPr="00FB473D" w:rsidRDefault="00FB473D" w:rsidP="00FB473D">
      <w:pPr>
        <w:spacing w:after="30" w:line="480" w:lineRule="auto"/>
        <w:ind w:left="-15" w:right="12"/>
        <w:jc w:val="both"/>
        <w:rPr>
          <w:rFonts w:ascii="Times New Roman" w:eastAsia="Times New Roman" w:hAnsi="Times New Roman" w:cs="Times New Roman"/>
          <w:sz w:val="24"/>
          <w:szCs w:val="24"/>
          <w:lang w:val="en-GB" w:eastAsia="fr-FR"/>
        </w:rPr>
      </w:pPr>
      <w:r w:rsidRPr="00FB473D">
        <w:rPr>
          <w:rFonts w:ascii="Times New Roman" w:eastAsia="Times New Roman" w:hAnsi="Times New Roman" w:cs="Times New Roman"/>
          <w:sz w:val="24"/>
          <w:szCs w:val="24"/>
          <w:lang w:val="en-GB" w:eastAsia="fr-FR"/>
        </w:rPr>
        <w:t xml:space="preserve">We additionally reported </w:t>
      </w:r>
      <w:r w:rsidRPr="00FB473D">
        <w:rPr>
          <w:rFonts w:ascii="Times New Roman" w:eastAsia="Times New Roman" w:hAnsi="Times New Roman" w:cs="Times New Roman"/>
          <w:i/>
          <w:sz w:val="24"/>
          <w:szCs w:val="24"/>
          <w:lang w:val="en-GB" w:eastAsia="fr-FR"/>
        </w:rPr>
        <w:t>a posteriori</w:t>
      </w:r>
      <w:r w:rsidRPr="00FB473D">
        <w:rPr>
          <w:rFonts w:ascii="Times New Roman" w:eastAsia="Times New Roman" w:hAnsi="Times New Roman" w:cs="Times New Roman"/>
          <w:sz w:val="24"/>
          <w:szCs w:val="24"/>
          <w:lang w:val="en-GB" w:eastAsia="fr-FR"/>
        </w:rPr>
        <w:t xml:space="preserve"> </w:t>
      </w:r>
      <w:proofErr w:type="spellStart"/>
      <w:r w:rsidRPr="00FB473D">
        <w:rPr>
          <w:rFonts w:ascii="Times New Roman" w:eastAsia="Times New Roman" w:hAnsi="Times New Roman" w:cs="Times New Roman"/>
          <w:sz w:val="24"/>
          <w:szCs w:val="24"/>
          <w:lang w:val="en-GB" w:eastAsia="fr-FR"/>
        </w:rPr>
        <w:t>disattenuated</w:t>
      </w:r>
      <w:proofErr w:type="spellEnd"/>
      <w:r w:rsidRPr="00FB473D">
        <w:rPr>
          <w:rFonts w:ascii="Times New Roman" w:eastAsia="Times New Roman" w:hAnsi="Times New Roman" w:cs="Times New Roman"/>
          <w:sz w:val="24"/>
          <w:szCs w:val="24"/>
          <w:lang w:val="en-GB" w:eastAsia="fr-FR"/>
        </w:rPr>
        <w:t xml:space="preserve"> effect estimates, obtained by dividing the estimated regression coefficients by the compound-specific ICC.</w:t>
      </w:r>
      <w:r w:rsidRPr="00FB473D">
        <w:rPr>
          <w:rFonts w:ascii="Times New Roman" w:eastAsia="Times New Roman" w:hAnsi="Times New Roman" w:cs="Times New Roman"/>
          <w:sz w:val="24"/>
          <w:szCs w:val="24"/>
          <w:lang w:val="en-GB" w:eastAsia="fr-FR"/>
        </w:rPr>
        <w:fldChar w:fldCharType="begin">
          <w:fldData xml:space="preserve">PEVuZE5vdGU+PENpdGU+PEF1dGhvcj5QZXJyaWVyPC9BdXRob3I+PFllYXI+MjAxNjwvWWVhcj48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</w:fldData>
        </w:fldChar>
      </w:r>
      <w:r w:rsidRPr="00FB473D">
        <w:rPr>
          <w:rFonts w:ascii="Times New Roman" w:eastAsia="Times New Roman" w:hAnsi="Times New Roman" w:cs="Times New Roman"/>
          <w:sz w:val="24"/>
          <w:szCs w:val="24"/>
          <w:lang w:val="en-GB" w:eastAsia="fr-FR"/>
        </w:rPr>
        <w:instrText xml:space="preserve"> ADDIN EN.CITE </w:instrText>
      </w:r>
      <w:r w:rsidRPr="00FB473D">
        <w:rPr>
          <w:rFonts w:ascii="Times New Roman" w:eastAsia="Times New Roman" w:hAnsi="Times New Roman" w:cs="Times New Roman"/>
          <w:sz w:val="24"/>
          <w:szCs w:val="24"/>
          <w:lang w:val="en-GB" w:eastAsia="fr-FR"/>
        </w:rPr>
        <w:fldChar w:fldCharType="begin">
          <w:fldData xml:space="preserve">PEVuZE5vdGU+PENpdGU+PEF1dGhvcj5QZXJyaWVyPC9BdXRob3I+PFllYXI+MjAxNjwvWWVhcj48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</w:fldData>
        </w:fldChar>
      </w:r>
      <w:r w:rsidRPr="00FB473D">
        <w:rPr>
          <w:rFonts w:ascii="Times New Roman" w:eastAsia="Times New Roman" w:hAnsi="Times New Roman" w:cs="Times New Roman"/>
          <w:sz w:val="24"/>
          <w:szCs w:val="24"/>
          <w:lang w:val="en-GB" w:eastAsia="fr-FR"/>
        </w:rPr>
        <w:instrText xml:space="preserve"> ADDIN EN.CITE.DATA </w:instrText>
      </w:r>
      <w:r w:rsidRPr="00FB473D">
        <w:rPr>
          <w:rFonts w:ascii="Times New Roman" w:eastAsia="Times New Roman" w:hAnsi="Times New Roman" w:cs="Times New Roman"/>
          <w:sz w:val="24"/>
          <w:szCs w:val="24"/>
          <w:lang w:val="en-GB" w:eastAsia="fr-FR"/>
        </w:rPr>
      </w:r>
      <w:r w:rsidRPr="00FB473D">
        <w:rPr>
          <w:rFonts w:ascii="Times New Roman" w:eastAsia="Times New Roman" w:hAnsi="Times New Roman" w:cs="Times New Roman"/>
          <w:sz w:val="24"/>
          <w:szCs w:val="24"/>
          <w:lang w:val="en-GB" w:eastAsia="fr-FR"/>
        </w:rPr>
        <w:fldChar w:fldCharType="end"/>
      </w:r>
      <w:r w:rsidRPr="00FB473D">
        <w:rPr>
          <w:rFonts w:ascii="Times New Roman" w:eastAsia="Times New Roman" w:hAnsi="Times New Roman" w:cs="Times New Roman"/>
          <w:sz w:val="24"/>
          <w:szCs w:val="24"/>
          <w:lang w:val="en-GB" w:eastAsia="fr-FR"/>
        </w:rPr>
      </w:r>
      <w:r w:rsidRPr="00FB473D">
        <w:rPr>
          <w:rFonts w:ascii="Times New Roman" w:eastAsia="Times New Roman" w:hAnsi="Times New Roman" w:cs="Times New Roman"/>
          <w:sz w:val="24"/>
          <w:szCs w:val="24"/>
          <w:lang w:val="en-GB" w:eastAsia="fr-FR"/>
        </w:rPr>
        <w:fldChar w:fldCharType="separate"/>
      </w:r>
      <w:r w:rsidRPr="00FB473D">
        <w:rPr>
          <w:rFonts w:ascii="Times New Roman" w:eastAsia="Times New Roman" w:hAnsi="Times New Roman" w:cs="Times New Roman"/>
          <w:noProof/>
          <w:sz w:val="24"/>
          <w:szCs w:val="24"/>
          <w:vertAlign w:val="superscript"/>
          <w:lang w:val="en-GB" w:eastAsia="fr-FR"/>
        </w:rPr>
        <w:t>10,11</w:t>
      </w:r>
      <w:r w:rsidRPr="00FB473D">
        <w:rPr>
          <w:rFonts w:ascii="Times New Roman" w:eastAsia="Times New Roman" w:hAnsi="Times New Roman" w:cs="Times New Roman"/>
          <w:sz w:val="24"/>
          <w:szCs w:val="24"/>
          <w:lang w:val="en-GB" w:eastAsia="fr-FR"/>
        </w:rPr>
        <w:fldChar w:fldCharType="end"/>
      </w:r>
      <w:r w:rsidRPr="00FB473D">
        <w:rPr>
          <w:rFonts w:ascii="Times New Roman" w:eastAsia="Times New Roman" w:hAnsi="Times New Roman" w:cs="Times New Roman"/>
          <w:sz w:val="24"/>
          <w:szCs w:val="24"/>
          <w:lang w:val="en-GB" w:eastAsia="fr-FR"/>
        </w:rPr>
        <w:t xml:space="preserve"> We used two possible values of the pregnancy-specific ICC: ICC</w:t>
      </w:r>
      <w:r w:rsidRPr="00FB473D">
        <w:rPr>
          <w:rFonts w:ascii="Times New Roman" w:eastAsia="Times New Roman" w:hAnsi="Times New Roman" w:cs="Times New Roman"/>
          <w:sz w:val="24"/>
          <w:szCs w:val="24"/>
          <w:vertAlign w:val="subscript"/>
          <w:lang w:val="en-GB" w:eastAsia="fr-FR"/>
        </w:rPr>
        <w:t>1</w:t>
      </w:r>
      <w:r w:rsidRPr="00FB473D">
        <w:rPr>
          <w:rFonts w:ascii="Times New Roman" w:eastAsia="Times New Roman" w:hAnsi="Times New Roman" w:cs="Times New Roman"/>
          <w:sz w:val="24"/>
          <w:szCs w:val="24"/>
          <w:lang w:val="en-GB" w:eastAsia="fr-FR"/>
        </w:rPr>
        <w:t>, corresponding to the value estimated in our study population of eight women (ICC</w:t>
      </w:r>
      <w:r w:rsidRPr="00FB473D">
        <w:rPr>
          <w:rFonts w:ascii="Times New Roman" w:eastAsia="Times New Roman" w:hAnsi="Times New Roman" w:cs="Times New Roman"/>
          <w:sz w:val="24"/>
          <w:szCs w:val="24"/>
          <w:vertAlign w:val="subscript"/>
          <w:lang w:val="en-GB" w:eastAsia="fr-FR"/>
        </w:rPr>
        <w:t xml:space="preserve">1 </w:t>
      </w:r>
      <w:r w:rsidRPr="00FB473D">
        <w:rPr>
          <w:rFonts w:ascii="Times New Roman" w:eastAsia="Times New Roman" w:hAnsi="Times New Roman" w:cs="Times New Roman"/>
          <w:sz w:val="24"/>
          <w:szCs w:val="24"/>
          <w:lang w:val="en-GB" w:eastAsia="fr-FR"/>
        </w:rPr>
        <w:t>was 0.85 and 0.38 for methylparaben and bisphenol A, respectively);</w:t>
      </w:r>
      <w:r w:rsidRPr="00FB473D">
        <w:rPr>
          <w:rFonts w:ascii="Times New Roman" w:eastAsia="Times New Roman" w:hAnsi="Times New Roman" w:cs="Times New Roman"/>
          <w:sz w:val="24"/>
          <w:szCs w:val="24"/>
          <w:lang w:val="en-GB" w:eastAsia="fr-FR"/>
        </w:rPr>
        <w:fldChar w:fldCharType="begin"/>
      </w:r>
      <w:r w:rsidR="00474B65">
        <w:rPr>
          <w:rFonts w:ascii="Times New Roman" w:eastAsia="Times New Roman" w:hAnsi="Times New Roman" w:cs="Times New Roman"/>
          <w:sz w:val="24"/>
          <w:szCs w:val="24"/>
          <w:lang w:val="en-GB" w:eastAsia="fr-FR"/>
        </w:rPr>
        <w:instrText xml:space="preserve"> ADDIN ZOTERO_ITEM CSL_CITATION {"citationID":"pgvaewq2","properties":{"formattedCitation":"\\super 1\\nosupersub{}","plainCitation":"1","noteIndex":0},"citationItems":[{"id":"aAzz16MF/Ta8Z3jpl","uris":["http://zotero.org/users/local/SVr6rUJo/items/G92HBADE"],"uri":["http://zotero.org/users/local/SVr6rUJo/items/G92HBADE"],"itemData":{"id":2742,"type":"article-journal","title":"Within-Day, Between-Day, and Between-Week Variability of Urinary Concentrations of Phenol Biomarkers in Pregnant Women","container-title":"Environmental Health Perspectives","page":"037005","volume":"126","issue":"3","source":"PubMed","abstract":"BACKGROUND: Toxicology studies have shown adverse effects of developmental exposure to industrial phenols. Evaluation in humans is challenged by potentially marked within-subject variability of phenol biomarkers in pregnant women, which is poorly characterized.\nOBJECTIVES: We aimed to characterize within-day, between-day, and between-week variability of phenol urinary biomarker concentrations during pregnancy.\nMETHODS: In eight French pregnant women, we collected all urine voids over a 1-wk period (average, 60 samples per week per woman) at three occasions (15±2, 24±2, and 32±1 gestational weeks) in 2012-2013. Aliquots of each day and of the whole week were pooled within-subject. We assayed concentrations of 10 phenols in these pools, and, for two women, in all spot (unpooled) samples collected during a 1-wk period. We characterized variability using intraclass correlation coefficients (ICCs) with spot samples (within-day variability), daily pools (between-day variability), and weekly pools (between-week variability).\nRESULTS: For most biomarkers, the within-day variability was high (ICCs between 0.03 and 0.50). The between-day variability, based on samples pooled within each day, was much lower, with ICCs &gt;0.60 except for bisphenol S (0.14, 95% confidence interval [CI]: 0.00, 0.39). The between-week variability differed between compounds, with triclosan and bisphenol S having the lowest ICCs (&lt;0.3) and 2,5-dichlorophenol the highest (ICC &gt;0.9).\nCONCLUSION: During pregnancy, phenol biomarkers showed a strong within-day variability, while the variability between days of a given week was more limited. One biospecimen is not enough to efficiently characterize exposure; collecting biospecimens during a single week may be enough to represent well the whole pregnancy exposure for some but not all phenols. https://doi.org/10.1289/EHP1994.","DOI":"10.1289/EHP1994","ISSN":"1552-9924","note":"PMID: 29553460","journalAbbreviation":"Environ. Health Perspect.","language":"eng","author":[{"family":"Vernet","given":"Céline"},{"family":"Philippat","given":"Claire"},{"family":"Calafat","given":"Antonia M."},{"family":"Ye","given":"Xiaoyun"},{"family":"Lyon-Caen","given":"Sarah"},{"family":"Siroux","given":"Valérie"},{"family":"Schisterman","given":"Enrique F."},{"family":"Slama","given":"Rémy"}],"issued":{"date-parts":[["2018",3,16]]}}}],"schema":"https://github.com/citation-style-language/schema/raw/master/csl-citation.json"} </w:instrText>
      </w:r>
      <w:r w:rsidRPr="00FB473D">
        <w:rPr>
          <w:rFonts w:ascii="Times New Roman" w:eastAsia="Times New Roman" w:hAnsi="Times New Roman" w:cs="Times New Roman"/>
          <w:sz w:val="24"/>
          <w:szCs w:val="24"/>
          <w:lang w:val="en-GB" w:eastAsia="fr-FR"/>
        </w:rPr>
        <w:fldChar w:fldCharType="separate"/>
      </w:r>
      <w:r w:rsidR="00474B65" w:rsidRPr="00474B65">
        <w:rPr>
          <w:rFonts w:ascii="Times New Roman" w:hAnsi="Times New Roman" w:cs="Times New Roman"/>
          <w:sz w:val="24"/>
          <w:szCs w:val="24"/>
          <w:vertAlign w:val="superscript"/>
        </w:rPr>
        <w:t>1</w:t>
      </w:r>
      <w:r w:rsidRPr="00FB473D">
        <w:rPr>
          <w:rFonts w:ascii="Times New Roman" w:eastAsia="Times New Roman" w:hAnsi="Times New Roman" w:cs="Times New Roman"/>
          <w:sz w:val="24"/>
          <w:szCs w:val="24"/>
          <w:lang w:val="en-GB" w:eastAsia="fr-FR"/>
        </w:rPr>
        <w:fldChar w:fldCharType="end"/>
      </w:r>
      <w:r w:rsidRPr="00FB473D">
        <w:rPr>
          <w:rFonts w:ascii="Times New Roman" w:eastAsia="Times New Roman" w:hAnsi="Times New Roman" w:cs="Times New Roman"/>
          <w:sz w:val="24"/>
          <w:szCs w:val="24"/>
          <w:lang w:val="en-GB" w:eastAsia="fr-FR"/>
        </w:rPr>
        <w:t xml:space="preserve"> and ICC</w:t>
      </w:r>
      <w:r w:rsidRPr="00FB473D">
        <w:rPr>
          <w:rFonts w:ascii="Times New Roman" w:eastAsia="Times New Roman" w:hAnsi="Times New Roman" w:cs="Times New Roman"/>
          <w:sz w:val="24"/>
          <w:szCs w:val="24"/>
          <w:vertAlign w:val="subscript"/>
          <w:lang w:val="en-GB" w:eastAsia="fr-FR"/>
        </w:rPr>
        <w:t>2</w:t>
      </w:r>
      <w:r w:rsidRPr="00FB473D">
        <w:rPr>
          <w:rFonts w:ascii="Times New Roman" w:eastAsia="Times New Roman" w:hAnsi="Times New Roman" w:cs="Times New Roman"/>
          <w:sz w:val="24"/>
          <w:szCs w:val="24"/>
          <w:lang w:val="en-GB" w:eastAsia="fr-FR"/>
        </w:rPr>
        <w:t>, corresponding to the averaged ICC from previously published studies in pregnant women (0.45 and 0.20 for methylparaben and bisphenol A, respectively</w:t>
      </w:r>
      <w:r w:rsidRPr="00FB473D">
        <w:rPr>
          <w:rFonts w:ascii="Times New Roman" w:eastAsia="Times New Roman" w:hAnsi="Times New Roman" w:cs="Times New Roman"/>
          <w:sz w:val="37"/>
          <w:szCs w:val="24"/>
          <w:vertAlign w:val="subscript"/>
          <w:lang w:val="en-GB" w:eastAsia="fr-FR"/>
        </w:rPr>
        <w:t>).</w:t>
      </w:r>
      <w:r w:rsidRPr="00FB473D">
        <w:rPr>
          <w:rFonts w:ascii="Times New Roman" w:eastAsia="Times New Roman" w:hAnsi="Times New Roman" w:cs="Times New Roman"/>
          <w:sz w:val="24"/>
          <w:szCs w:val="24"/>
          <w:lang w:val="en-GB" w:eastAsia="fr-FR"/>
        </w:rPr>
        <w:fldChar w:fldCharType="begin"/>
      </w:r>
      <w:r w:rsidR="00474B65">
        <w:rPr>
          <w:rFonts w:ascii="Times New Roman" w:eastAsia="Times New Roman" w:hAnsi="Times New Roman" w:cs="Times New Roman"/>
          <w:sz w:val="24"/>
          <w:szCs w:val="24"/>
          <w:lang w:val="en-GB" w:eastAsia="fr-FR"/>
        </w:rPr>
        <w:instrText xml:space="preserve"> ADDIN ZOTERO_ITEM CSL_CITATION {"citationID":"OpWNthsb","properties":{"formattedCitation":"\\super 5\\uc0\\u8211{}10\\nosupersub{}","plainCitation":"5–10","noteIndex":0},"citationItems":[{"id":"aAzz16MF/nkVooYxf","uris":["http://zotero.org/users/local/SVr6rUJo/items/G7EW6IZT"],"uri":["http://zotero.org/users/local/SVr6rUJo/items/G7EW6IZT"],"itemData":{"id":1873,"type":"article-journal","title":"Variability and Predictors of Urinary Bisphenol A Concentrations during Pregnancy","container-title":"Environmental Health Perspectives","page":"131","volume":"119","issue":"1","source":"www-ncbi-nlm-nih-gov.gate2.inist.fr","abstract":"Prenatal bisphenol A (BPA) exposure may be associated with developmental toxicity, but few studies have examined the variability and predictors of urinary BPA concentrations during pregnancy.Our goal was to estimate the variability and predictors of serial ...","DOI":"10.1289/ehp.1002366","note":"PMID: 21205581","language":"en","author":[{"family":"Braun","given":"Joe M."},{"family":"Kalkbrenner","given":"Amy E."},{"family":"Calafat","given":"Antonia M."},{"family":"Bernert","given":"John T."},{"family":"Ye","given":"Xiaoyun"},{"family":"Silva","given":"Manori J."},{"family":"Barr","given":"Dana Boyd"},{"family":"Sathyanarayana","given":"Sheela"},{"family":"Lanphear","given":"Bruce P."}],"issued":{"date-parts":[["2011",1]]}}},{"id":"aAzz16MF/u7h1Y3Jt","uris":["http://zotero.org/users/local/SVr6rUJo/items/ZNXCBJZE"],"uri":["http://zotero.org/users/local/SVr6rUJo/items/ZNXCBJZE"],"itemData":{"id":278,"type":"article-journal","title":"Variability of Urinary Phthalate Metabolite and Bisphenol A Concentrations before and during Pregnancy","container-title":"Environmental Health Perspectives","page":"739-745","volume":"120","issue":"5","source":"CrossRef","DOI":"10.1289/ehp.1104139","ISSN":"0091-6765","language":"en","author":[{"family":"Braun","given":"Joe M."},{"family":"Smith","given":"Kristen W."},{"family":"Williams","given":"Paige L."},{"family":"Calafat","given":"Antonia M."},{"family":"Berry","given":"Katharine"},{"family":"Ehrlich","given":"Shelley"},{"family":"Hauser","given":"Russ"}],"issued":{"date-parts":[["2012",1,19]]}}},{"id":"aAzz16MF/4cLNiVY3","uris":["http://zotero.org/users/local/SVr6rUJo/items/QMPKQ3WR"],"uri":["http://zotero.org/users/local/SVr6rUJo/items/QMPKQ3WR"],"itemData":{"id":1913,"type":"article-journal","title":"Reproducibility of Urinary Bisphenol A Concentrations Measured During Pregnancy in the Generation R Study","container-title":"Journal of exposure science &amp; environmental epidemiology","page":"532","volume":"24","issue":"5","source":"www-ncbi-nlm-nih-gov.gate2.inist.fr","abstract":"The potential human health effects of bisphenol A (BPA) exposure are a public health concern. In order to design adequately powered epidemiological studies to address potential health effects, data on the reproducibility of BPA concentration in serial ...","DOI":"10.1038/jes.2014.23","note":"PMID: 24736100","language":"en","author":[{"family":"Jusko","given":"Todd A."},{"family":"Shaw","given":"Pamela A."},{"family":"Snijder","given":"Claudia A."},{"family":"Pierik","given":"Frank H."},{"family":"Koch","given":"Holger M."},{"family":"Hauser","given":"Russ"},{"family":"Jaddoe","given":"Vincent W. V."},{"family":"Burdorf","given":"Alex"},{"family":"Hofman","given":"Albert"},{"family":"Tiemeier","given":"Henning"},{"family":"Longnecker","given":"Matthew P."}],"issued":{"date-parts":[["2014",9]]}}},{"id":"aAzz16MF/yt3QGGiH","uris":["http://zotero.org/users/local/SVr6rUJo/items/CWJCENKP"],"uri":["http://zotero.org/users/local/SVr6rUJo/items/CWJCENKP"],"itemData":{"id":1899,"type":"article-journal","title":"Distribution, variability and predictors of urinary concentrations of phenols and parabens among pregnant women in Puerto Rico","container-title":"Environmental science &amp; technology","page":"3439","volume":"47","issue":"7","source":"www-ncbi-nlm-nih-gov.gate2.inist.fr","abstract":"Puerto Rico has higher rates of a range of endocrine-related diseases and disorders compared to the United States. However, little is known to date about human exposures to known or potential endocrine disrupting chemicals (EDCs) in Puerto Rico. We recruited ...","DOI":"10.1021/es400510g","note":"PMID: 23469879","language":"en","author":[{"family":"Meeker","given":"John D."},{"family":"Cantonwine","given":"David E."},{"family":"Rivera-González","given":"Luis O."},{"family":"Ferguson","given":"Kelly K."},{"family":"Mukherjee","given":"Bhramar"},{"family":"Calafat","given":"Antonia M."},{"family":"Ye","given":"Xiaoyun"},{"family":"Toro","given":"Liza V. Anzalota Del"},{"family":"Crespo","given":"Noe"},{"family":"Jiménez-Vélez","given":"Braulio"},{"family":"Alshawabkeh","given":"Akram N."},{"family":"Cordero","given":"José F."}],"issued":{"date-parts":[["2013",4,2]]}}},{"id":"aAzz16MF/j2Amq55t","uris":["http://zotero.org/users/local/SVr6rUJo/items/CMMVJA7W"],"uri":["http://zotero.org/users/local/SVr6rUJo/items/CMMVJA7W"],"itemData":{"id":214,"type":"article-journal","title":"Prenatal Exposure to Environmental Phenols: Concentrations in Amniotic Fluid and Variability in Urinary Concentrations during Pregnancy","container-title":"Environmental Health Perspectives","page":"1225-31","volume":"121","issue":"10","source":"CrossRef","DOI":"10.1289/ehp.1206335","ISSN":"0091-6765","shortTitle":"Prenatal Exposure to Environmental Phenols","language":"en","author":[{"family":"Philippat","given":"Claire"},{"family":"Wolff","given":"Mary S."},{"family":"Calafat","given":"Antonia M."},{"family":"Ye","given":"Xiaoyun"},{"family":"Bausell","given":"Rebecca"},{"family":"Meadows","given":"Molly"},{"family":"Stone","given":"Joanne"},{"family":"Slama","given":"Rémy"},{"family":"Engel","given":"Stephanie M."}],"issued":{"date-parts":[["2013",8,13]]}}},{"id":"aAzz16MF/s1KD43r5","uris":["http://zotero.org/users/local/SVr6rUJo/items/E83HKWPN"],"uri":["http://zotero.org/users/local/SVr6rUJo/items/E83HKWPN"],"itemData":{"id":1902,"type":"article-journal","title":"Predictors and Variability of Urinary Paraben Concentrations in Men and Women, Including before and during Pregnancy","container-title":"Environmental Health Perspectives","page":"1538","volume":"120","issue":"11","source":"www-ncbi-nlm-nih-gov.gate2.inist.fr","abstract":"Background: Parabens are suspected endocrine disruptors and ubiquitous preservatives used in personal care products, pharmaceuticals, and foods. No studies have assessed the variability of parabens in women, including during pregnancy.Objective: We evaluated ...","DOI":"10.1289/ehp.1104614","note":"PMID: 22721761","language":"en","author":[{"family":"Smith","given":"Kristen W."},{"family":"Braun","given":"Joe M."},{"family":"Williams","given":"Paige L."},{"family":"Ehrlich","given":"Shelley"},{"family":"Correia","given":"Katharine F."},{"family":"Calafat","given":"Antonia M."},{"family":"Ye","given":"Xiaoyun"},{"family":"Ford","given":"Jennifer"},{"family":"Keller","given":"Myra"},{"family":"Meeker","given":"John D."},{"family":"Hauser","given":"Russ"}],"issued":{"date-parts":[["2012",11]]}}}],"schema":"https://github.com/citation-style-language/schema/raw/master/csl-citation.json"} </w:instrText>
      </w:r>
      <w:r w:rsidRPr="00FB473D">
        <w:rPr>
          <w:rFonts w:ascii="Times New Roman" w:eastAsia="Times New Roman" w:hAnsi="Times New Roman" w:cs="Times New Roman"/>
          <w:sz w:val="24"/>
          <w:szCs w:val="24"/>
          <w:lang w:val="en-GB" w:eastAsia="fr-FR"/>
        </w:rPr>
        <w:fldChar w:fldCharType="separate"/>
      </w:r>
      <w:r w:rsidR="00474B65" w:rsidRPr="00474B65">
        <w:rPr>
          <w:rFonts w:ascii="Times New Roman" w:hAnsi="Times New Roman" w:cs="Times New Roman"/>
          <w:sz w:val="24"/>
          <w:szCs w:val="24"/>
          <w:vertAlign w:val="superscript"/>
        </w:rPr>
        <w:t>5–10</w:t>
      </w:r>
      <w:r w:rsidRPr="00FB473D">
        <w:rPr>
          <w:rFonts w:ascii="Times New Roman" w:eastAsia="Times New Roman" w:hAnsi="Times New Roman" w:cs="Times New Roman"/>
          <w:sz w:val="24"/>
          <w:szCs w:val="24"/>
          <w:lang w:val="en-GB" w:eastAsia="fr-FR"/>
        </w:rPr>
        <w:fldChar w:fldCharType="end"/>
      </w:r>
      <w:r w:rsidRPr="00FB473D">
        <w:rPr>
          <w:rFonts w:ascii="Times New Roman" w:eastAsia="Times New Roman" w:hAnsi="Times New Roman" w:cs="Times New Roman"/>
          <w:sz w:val="24"/>
          <w:szCs w:val="24"/>
          <w:lang w:val="en-GB" w:eastAsia="fr-FR"/>
        </w:rPr>
        <w:t xml:space="preserve"> ICC</w:t>
      </w:r>
      <w:r w:rsidRPr="00FB473D">
        <w:rPr>
          <w:rFonts w:ascii="Times New Roman" w:eastAsia="Times New Roman" w:hAnsi="Times New Roman" w:cs="Times New Roman"/>
          <w:sz w:val="24"/>
          <w:szCs w:val="24"/>
          <w:vertAlign w:val="subscript"/>
          <w:lang w:val="en-GB" w:eastAsia="fr-FR"/>
        </w:rPr>
        <w:t xml:space="preserve">1 </w:t>
      </w:r>
      <w:r w:rsidRPr="00FB473D">
        <w:rPr>
          <w:rFonts w:ascii="Times New Roman" w:eastAsia="Times New Roman" w:hAnsi="Times New Roman" w:cs="Times New Roman"/>
          <w:sz w:val="24"/>
          <w:szCs w:val="24"/>
          <w:lang w:val="en-GB" w:eastAsia="fr-FR"/>
        </w:rPr>
        <w:t>was assumed to correspond to the ideal value, but we also used ICC</w:t>
      </w:r>
      <w:r w:rsidRPr="00FB473D">
        <w:rPr>
          <w:rFonts w:ascii="Times New Roman" w:eastAsia="Times New Roman" w:hAnsi="Times New Roman" w:cs="Times New Roman"/>
          <w:sz w:val="24"/>
          <w:szCs w:val="24"/>
          <w:vertAlign w:val="subscript"/>
          <w:lang w:val="en-GB" w:eastAsia="fr-FR"/>
        </w:rPr>
        <w:t xml:space="preserve">2 </w:t>
      </w:r>
      <w:r w:rsidRPr="00FB473D">
        <w:rPr>
          <w:rFonts w:ascii="Times New Roman" w:eastAsia="Times New Roman" w:hAnsi="Times New Roman" w:cs="Times New Roman"/>
          <w:sz w:val="24"/>
          <w:szCs w:val="24"/>
          <w:lang w:val="en-GB" w:eastAsia="fr-FR"/>
        </w:rPr>
        <w:t>because without repeated assays one cannot estimate ICCs internal to the study population.</w:t>
      </w:r>
    </w:p>
    <w:p w:rsidR="00FB473D" w:rsidRPr="00FB473D" w:rsidRDefault="00FB473D" w:rsidP="00FB473D">
      <w:pPr>
        <w:spacing w:after="0" w:line="480" w:lineRule="auto"/>
        <w:jc w:val="both"/>
        <w:rPr>
          <w:rFonts w:ascii="Times New Roman" w:eastAsia="Times New Roman" w:hAnsi="Times New Roman" w:cs="Times New Roman"/>
          <w:sz w:val="24"/>
          <w:szCs w:val="24"/>
          <w:lang w:val="en-GB" w:eastAsia="fr-FR"/>
        </w:rPr>
      </w:pPr>
    </w:p>
    <w:p w:rsidR="00FB473D" w:rsidRPr="00FB473D" w:rsidRDefault="00FB473D" w:rsidP="00FB473D">
      <w:pPr>
        <w:spacing w:after="0" w:line="480" w:lineRule="auto"/>
        <w:rPr>
          <w:rFonts w:ascii="Times New Roman" w:eastAsia="Times New Roman" w:hAnsi="Times New Roman" w:cs="Times New Roman"/>
          <w:sz w:val="24"/>
          <w:szCs w:val="24"/>
          <w:lang w:val="en-GB" w:eastAsia="fr-FR"/>
        </w:rPr>
        <w:sectPr w:rsidR="00FB473D" w:rsidRPr="00FB473D" w:rsidSect="00CC7113">
          <w:pgSz w:w="11906" w:h="16838"/>
          <w:pgMar w:top="1418" w:right="1418" w:bottom="1418" w:left="1418" w:header="709" w:footer="709" w:gutter="0"/>
          <w:cols w:space="708"/>
          <w:docGrid w:linePitch="360"/>
        </w:sectPr>
      </w:pPr>
    </w:p>
    <w:p w:rsidR="00FB473D" w:rsidRPr="00FB473D" w:rsidRDefault="00FB473D" w:rsidP="00FB473D">
      <w:pPr>
        <w:spacing w:after="0" w:line="360" w:lineRule="auto"/>
        <w:rPr>
          <w:rFonts w:ascii="Times New Roman" w:eastAsia="Times New Roman" w:hAnsi="Times New Roman" w:cs="Times New Roman"/>
          <w:b/>
          <w:noProof/>
          <w:sz w:val="24"/>
          <w:szCs w:val="24"/>
          <w:lang w:val="en-GB" w:eastAsia="fr-FR"/>
        </w:rPr>
      </w:pPr>
      <w:r w:rsidRPr="00FB473D">
        <w:rPr>
          <w:rFonts w:ascii="Times New Roman" w:eastAsia="Times New Roman" w:hAnsi="Times New Roman" w:cs="Times New Roman"/>
          <w:b/>
          <w:noProof/>
          <w:sz w:val="24"/>
          <w:szCs w:val="24"/>
          <w:lang w:val="en-GB" w:eastAsia="fr-FR"/>
        </w:rPr>
        <w:lastRenderedPageBreak/>
        <w:t>APPENDIX REFERENCES</w:t>
      </w:r>
    </w:p>
    <w:p w:rsidR="00FB473D" w:rsidRPr="00FB473D" w:rsidRDefault="00FB473D" w:rsidP="00FB473D">
      <w:pPr>
        <w:spacing w:after="0" w:line="360" w:lineRule="auto"/>
        <w:jc w:val="center"/>
        <w:rPr>
          <w:rFonts w:ascii="Times New Roman" w:eastAsia="Times New Roman" w:hAnsi="Times New Roman" w:cs="Times New Roman"/>
          <w:noProof/>
          <w:sz w:val="24"/>
          <w:szCs w:val="24"/>
          <w:lang w:val="en-GB" w:eastAsia="fr-FR"/>
        </w:rPr>
      </w:pPr>
    </w:p>
    <w:p w:rsidR="00474B65" w:rsidRPr="00474B65" w:rsidRDefault="00FB473D" w:rsidP="00474B65">
      <w:pPr>
        <w:pStyle w:val="Bibliography"/>
        <w:rPr>
          <w:rFonts w:ascii="Times New Roman" w:hAnsi="Times New Roman" w:cs="Times New Roman"/>
          <w:sz w:val="24"/>
        </w:rPr>
      </w:pPr>
      <w:r w:rsidRPr="00FB473D">
        <w:rPr>
          <w:rFonts w:eastAsia="Times New Roman"/>
          <w:lang w:val="en-GB" w:eastAsia="fr-FR"/>
        </w:rPr>
        <w:fldChar w:fldCharType="begin"/>
      </w:r>
      <w:r w:rsidR="00474B65">
        <w:rPr>
          <w:rFonts w:eastAsia="Times New Roman"/>
          <w:lang w:eastAsia="fr-FR"/>
        </w:rPr>
        <w:instrText xml:space="preserve"> ADDIN ZOTERO_BIBL {"uncited":[],"omitted":[],"custom":[]} CSL_BIBLIOGRAPHY </w:instrText>
      </w:r>
      <w:r w:rsidRPr="00FB473D">
        <w:rPr>
          <w:rFonts w:eastAsia="Times New Roman"/>
          <w:lang w:val="en-GB" w:eastAsia="fr-FR"/>
        </w:rPr>
        <w:fldChar w:fldCharType="separate"/>
      </w:r>
      <w:r w:rsidR="00474B65" w:rsidRPr="00474B65">
        <w:rPr>
          <w:rFonts w:ascii="Times New Roman" w:hAnsi="Times New Roman" w:cs="Times New Roman"/>
          <w:sz w:val="24"/>
        </w:rPr>
        <w:t xml:space="preserve">1. </w:t>
      </w:r>
      <w:r w:rsidR="00474B65" w:rsidRPr="00474B65">
        <w:rPr>
          <w:rFonts w:ascii="Times New Roman" w:hAnsi="Times New Roman" w:cs="Times New Roman"/>
          <w:sz w:val="24"/>
        </w:rPr>
        <w:tab/>
        <w:t xml:space="preserve">Vernet C, Philippat C, Calafat AM, et al. Within-Day, Between-Day, and Between-Week Variability of Urinary Concentrations of Phenol Biomarkers in Pregnant Women. </w:t>
      </w:r>
      <w:r w:rsidR="00474B65" w:rsidRPr="00474B65">
        <w:rPr>
          <w:rFonts w:ascii="Times New Roman" w:hAnsi="Times New Roman" w:cs="Times New Roman"/>
          <w:i/>
          <w:iCs/>
          <w:sz w:val="24"/>
        </w:rPr>
        <w:t>Environ Health Perspect</w:t>
      </w:r>
      <w:r w:rsidR="00474B65" w:rsidRPr="00474B65">
        <w:rPr>
          <w:rFonts w:ascii="Times New Roman" w:hAnsi="Times New Roman" w:cs="Times New Roman"/>
          <w:sz w:val="24"/>
        </w:rPr>
        <w:t>. 2018;126(3):037005. doi:10.1289/EHP1994</w:t>
      </w:r>
    </w:p>
    <w:p w:rsidR="00474B65" w:rsidRPr="00474B65" w:rsidRDefault="00474B65" w:rsidP="00474B65">
      <w:pPr>
        <w:pStyle w:val="Bibliography"/>
        <w:rPr>
          <w:rFonts w:ascii="Times New Roman" w:hAnsi="Times New Roman" w:cs="Times New Roman"/>
          <w:sz w:val="24"/>
        </w:rPr>
      </w:pPr>
      <w:r w:rsidRPr="00474B65">
        <w:rPr>
          <w:rFonts w:ascii="Times New Roman" w:hAnsi="Times New Roman" w:cs="Times New Roman"/>
          <w:sz w:val="24"/>
        </w:rPr>
        <w:t xml:space="preserve">2. </w:t>
      </w:r>
      <w:r w:rsidRPr="00474B65">
        <w:rPr>
          <w:rFonts w:ascii="Times New Roman" w:hAnsi="Times New Roman" w:cs="Times New Roman"/>
          <w:sz w:val="24"/>
        </w:rPr>
        <w:tab/>
        <w:t xml:space="preserve">Vernet C, Pin I, Giorgis-Allemand L, et al. In Utero Exposure to Select Phenols and Phthalates and Respiratory Health in Five-Year-Old Boys: A Prospective Study. </w:t>
      </w:r>
      <w:r w:rsidRPr="00474B65">
        <w:rPr>
          <w:rFonts w:ascii="Times New Roman" w:hAnsi="Times New Roman" w:cs="Times New Roman"/>
          <w:i/>
          <w:iCs/>
          <w:sz w:val="24"/>
        </w:rPr>
        <w:t>Environ Health Perspect</w:t>
      </w:r>
      <w:r w:rsidRPr="00474B65">
        <w:rPr>
          <w:rFonts w:ascii="Times New Roman" w:hAnsi="Times New Roman" w:cs="Times New Roman"/>
          <w:sz w:val="24"/>
        </w:rPr>
        <w:t>. 2017;125(9). doi:10.1289/EHP1015</w:t>
      </w:r>
    </w:p>
    <w:p w:rsidR="00474B65" w:rsidRPr="00474B65" w:rsidRDefault="00474B65" w:rsidP="00474B65">
      <w:pPr>
        <w:pStyle w:val="Bibliography"/>
        <w:rPr>
          <w:rFonts w:ascii="Times New Roman" w:hAnsi="Times New Roman" w:cs="Times New Roman"/>
          <w:sz w:val="24"/>
        </w:rPr>
      </w:pPr>
      <w:r w:rsidRPr="00474B65">
        <w:rPr>
          <w:rFonts w:ascii="Times New Roman" w:hAnsi="Times New Roman" w:cs="Times New Roman"/>
          <w:sz w:val="24"/>
        </w:rPr>
        <w:t xml:space="preserve">3. </w:t>
      </w:r>
      <w:r w:rsidRPr="00474B65">
        <w:rPr>
          <w:rFonts w:ascii="Times New Roman" w:hAnsi="Times New Roman" w:cs="Times New Roman"/>
          <w:sz w:val="24"/>
        </w:rPr>
        <w:tab/>
        <w:t xml:space="preserve">Philippat C, Botton J, Calafat AM, Ye X, Charles M-A, Slama R. Prenatal Exposure to Phenols and Growth in Boys: </w:t>
      </w:r>
      <w:r w:rsidRPr="00474B65">
        <w:rPr>
          <w:rFonts w:ascii="Times New Roman" w:hAnsi="Times New Roman" w:cs="Times New Roman"/>
          <w:i/>
          <w:iCs/>
          <w:sz w:val="24"/>
        </w:rPr>
        <w:t>Epidemiology</w:t>
      </w:r>
      <w:r w:rsidRPr="00474B65">
        <w:rPr>
          <w:rFonts w:ascii="Times New Roman" w:hAnsi="Times New Roman" w:cs="Times New Roman"/>
          <w:sz w:val="24"/>
        </w:rPr>
        <w:t>. 2014;25(5):625-635. doi:10.1097/EDE.0000000000000132</w:t>
      </w:r>
    </w:p>
    <w:p w:rsidR="00474B65" w:rsidRPr="00474B65" w:rsidRDefault="00474B65" w:rsidP="00474B65">
      <w:pPr>
        <w:pStyle w:val="Bibliography"/>
        <w:rPr>
          <w:rFonts w:ascii="Times New Roman" w:hAnsi="Times New Roman" w:cs="Times New Roman"/>
          <w:sz w:val="24"/>
        </w:rPr>
      </w:pPr>
      <w:r w:rsidRPr="00474B65">
        <w:rPr>
          <w:rFonts w:ascii="Times New Roman" w:hAnsi="Times New Roman" w:cs="Times New Roman"/>
          <w:sz w:val="24"/>
        </w:rPr>
        <w:t xml:space="preserve">4. </w:t>
      </w:r>
      <w:r w:rsidRPr="00474B65">
        <w:rPr>
          <w:rFonts w:ascii="Times New Roman" w:hAnsi="Times New Roman" w:cs="Times New Roman"/>
          <w:sz w:val="24"/>
        </w:rPr>
        <w:tab/>
        <w:t xml:space="preserve">Perrier F, Giorgis-Allemand L, Slama R, Philippat C. Within-subject pooling of biological samples to reduce exposure misclassification in biomarker-based studies: </w:t>
      </w:r>
      <w:r w:rsidRPr="00474B65">
        <w:rPr>
          <w:rFonts w:ascii="Times New Roman" w:hAnsi="Times New Roman" w:cs="Times New Roman"/>
          <w:i/>
          <w:iCs/>
          <w:sz w:val="24"/>
        </w:rPr>
        <w:t>Epidemiology</w:t>
      </w:r>
      <w:r w:rsidRPr="00474B65">
        <w:rPr>
          <w:rFonts w:ascii="Times New Roman" w:hAnsi="Times New Roman" w:cs="Times New Roman"/>
          <w:sz w:val="24"/>
        </w:rPr>
        <w:t>. February 2016:1. doi:10.1097/EDE.0000000000000460</w:t>
      </w:r>
    </w:p>
    <w:p w:rsidR="00474B65" w:rsidRPr="00474B65" w:rsidRDefault="00474B65" w:rsidP="00474B65">
      <w:pPr>
        <w:pStyle w:val="Bibliography"/>
        <w:rPr>
          <w:rFonts w:ascii="Times New Roman" w:hAnsi="Times New Roman" w:cs="Times New Roman"/>
          <w:sz w:val="24"/>
        </w:rPr>
      </w:pPr>
      <w:r w:rsidRPr="00474B65">
        <w:rPr>
          <w:rFonts w:ascii="Times New Roman" w:hAnsi="Times New Roman" w:cs="Times New Roman"/>
          <w:sz w:val="24"/>
        </w:rPr>
        <w:t xml:space="preserve">5. </w:t>
      </w:r>
      <w:r w:rsidRPr="00474B65">
        <w:rPr>
          <w:rFonts w:ascii="Times New Roman" w:hAnsi="Times New Roman" w:cs="Times New Roman"/>
          <w:sz w:val="24"/>
        </w:rPr>
        <w:tab/>
        <w:t xml:space="preserve">Braun JM, Kalkbrenner AE, Calafat AM, et al. Variability and Predictors of Urinary Bisphenol A Concentrations during Pregnancy. </w:t>
      </w:r>
      <w:r w:rsidRPr="00474B65">
        <w:rPr>
          <w:rFonts w:ascii="Times New Roman" w:hAnsi="Times New Roman" w:cs="Times New Roman"/>
          <w:i/>
          <w:iCs/>
          <w:sz w:val="24"/>
        </w:rPr>
        <w:t>Environ Health Perspect</w:t>
      </w:r>
      <w:r w:rsidRPr="00474B65">
        <w:rPr>
          <w:rFonts w:ascii="Times New Roman" w:hAnsi="Times New Roman" w:cs="Times New Roman"/>
          <w:sz w:val="24"/>
        </w:rPr>
        <w:t>. 2011;119(1):131. doi:10.1289/ehp.1002366</w:t>
      </w:r>
    </w:p>
    <w:p w:rsidR="00474B65" w:rsidRPr="00474B65" w:rsidRDefault="00474B65" w:rsidP="00474B65">
      <w:pPr>
        <w:pStyle w:val="Bibliography"/>
        <w:rPr>
          <w:rFonts w:ascii="Times New Roman" w:hAnsi="Times New Roman" w:cs="Times New Roman"/>
          <w:sz w:val="24"/>
        </w:rPr>
      </w:pPr>
      <w:r w:rsidRPr="00474B65">
        <w:rPr>
          <w:rFonts w:ascii="Times New Roman" w:hAnsi="Times New Roman" w:cs="Times New Roman"/>
          <w:sz w:val="24"/>
        </w:rPr>
        <w:t xml:space="preserve">6. </w:t>
      </w:r>
      <w:r w:rsidRPr="00474B65">
        <w:rPr>
          <w:rFonts w:ascii="Times New Roman" w:hAnsi="Times New Roman" w:cs="Times New Roman"/>
          <w:sz w:val="24"/>
        </w:rPr>
        <w:tab/>
        <w:t xml:space="preserve">Braun JM, Smith KW, Williams PL, et al. Variability of Urinary Phthalate Metabolite and Bisphenol A Concentrations before and during Pregnancy. </w:t>
      </w:r>
      <w:r w:rsidRPr="00474B65">
        <w:rPr>
          <w:rFonts w:ascii="Times New Roman" w:hAnsi="Times New Roman" w:cs="Times New Roman"/>
          <w:i/>
          <w:iCs/>
          <w:sz w:val="24"/>
        </w:rPr>
        <w:t>Environ Health Perspect</w:t>
      </w:r>
      <w:r w:rsidRPr="00474B65">
        <w:rPr>
          <w:rFonts w:ascii="Times New Roman" w:hAnsi="Times New Roman" w:cs="Times New Roman"/>
          <w:sz w:val="24"/>
        </w:rPr>
        <w:t>. 2012;120(5):739-745. doi:10.1289/ehp.1104139</w:t>
      </w:r>
    </w:p>
    <w:p w:rsidR="00474B65" w:rsidRPr="00474B65" w:rsidRDefault="00474B65" w:rsidP="00474B65">
      <w:pPr>
        <w:pStyle w:val="Bibliography"/>
        <w:rPr>
          <w:rFonts w:ascii="Times New Roman" w:hAnsi="Times New Roman" w:cs="Times New Roman"/>
          <w:sz w:val="24"/>
        </w:rPr>
      </w:pPr>
      <w:r w:rsidRPr="00474B65">
        <w:rPr>
          <w:rFonts w:ascii="Times New Roman" w:hAnsi="Times New Roman" w:cs="Times New Roman"/>
          <w:sz w:val="24"/>
        </w:rPr>
        <w:t xml:space="preserve">7. </w:t>
      </w:r>
      <w:r w:rsidRPr="00474B65">
        <w:rPr>
          <w:rFonts w:ascii="Times New Roman" w:hAnsi="Times New Roman" w:cs="Times New Roman"/>
          <w:sz w:val="24"/>
        </w:rPr>
        <w:tab/>
        <w:t xml:space="preserve">Jusko TA, Shaw PA, Snijder CA, et al. Reproducibility of Urinary Bisphenol A Concentrations Measured During Pregnancy in the Generation R Study. </w:t>
      </w:r>
      <w:r w:rsidRPr="00474B65">
        <w:rPr>
          <w:rFonts w:ascii="Times New Roman" w:hAnsi="Times New Roman" w:cs="Times New Roman"/>
          <w:i/>
          <w:iCs/>
          <w:sz w:val="24"/>
        </w:rPr>
        <w:t>J Expo Sci Environ Epidemiol</w:t>
      </w:r>
      <w:r w:rsidRPr="00474B65">
        <w:rPr>
          <w:rFonts w:ascii="Times New Roman" w:hAnsi="Times New Roman" w:cs="Times New Roman"/>
          <w:sz w:val="24"/>
        </w:rPr>
        <w:t>. 2014;24(5):532. doi:10.1038/jes.2014.23</w:t>
      </w:r>
    </w:p>
    <w:p w:rsidR="00474B65" w:rsidRPr="00474B65" w:rsidRDefault="00474B65" w:rsidP="00474B65">
      <w:pPr>
        <w:pStyle w:val="Bibliography"/>
        <w:rPr>
          <w:rFonts w:ascii="Times New Roman" w:hAnsi="Times New Roman" w:cs="Times New Roman"/>
          <w:sz w:val="24"/>
        </w:rPr>
      </w:pPr>
      <w:r w:rsidRPr="00474B65">
        <w:rPr>
          <w:rFonts w:ascii="Times New Roman" w:hAnsi="Times New Roman" w:cs="Times New Roman"/>
          <w:sz w:val="24"/>
        </w:rPr>
        <w:t xml:space="preserve">8. </w:t>
      </w:r>
      <w:r w:rsidRPr="00474B65">
        <w:rPr>
          <w:rFonts w:ascii="Times New Roman" w:hAnsi="Times New Roman" w:cs="Times New Roman"/>
          <w:sz w:val="24"/>
        </w:rPr>
        <w:tab/>
        <w:t xml:space="preserve">Meeker JD, Cantonwine DE, Rivera-González LO, et al. Distribution, variability and predictors of urinary concentrations of phenols and parabens among pregnant women in Puerto Rico. </w:t>
      </w:r>
      <w:r w:rsidRPr="00474B65">
        <w:rPr>
          <w:rFonts w:ascii="Times New Roman" w:hAnsi="Times New Roman" w:cs="Times New Roman"/>
          <w:i/>
          <w:iCs/>
          <w:sz w:val="24"/>
        </w:rPr>
        <w:t>Environ Sci Technol</w:t>
      </w:r>
      <w:r w:rsidRPr="00474B65">
        <w:rPr>
          <w:rFonts w:ascii="Times New Roman" w:hAnsi="Times New Roman" w:cs="Times New Roman"/>
          <w:sz w:val="24"/>
        </w:rPr>
        <w:t>. 2013;47(7):3439. doi:10.1021/es400510g</w:t>
      </w:r>
    </w:p>
    <w:p w:rsidR="00474B65" w:rsidRPr="00474B65" w:rsidRDefault="00474B65" w:rsidP="00474B65">
      <w:pPr>
        <w:pStyle w:val="Bibliography"/>
        <w:rPr>
          <w:rFonts w:ascii="Times New Roman" w:hAnsi="Times New Roman" w:cs="Times New Roman"/>
          <w:sz w:val="24"/>
        </w:rPr>
      </w:pPr>
      <w:r w:rsidRPr="00474B65">
        <w:rPr>
          <w:rFonts w:ascii="Times New Roman" w:hAnsi="Times New Roman" w:cs="Times New Roman"/>
          <w:sz w:val="24"/>
        </w:rPr>
        <w:t xml:space="preserve">9. </w:t>
      </w:r>
      <w:r w:rsidRPr="00474B65">
        <w:rPr>
          <w:rFonts w:ascii="Times New Roman" w:hAnsi="Times New Roman" w:cs="Times New Roman"/>
          <w:sz w:val="24"/>
        </w:rPr>
        <w:tab/>
        <w:t xml:space="preserve">Philippat C, Wolff MS, Calafat AM, et al. Prenatal Exposure to Environmental Phenols: Concentrations in Amniotic Fluid and Variability in Urinary Concentrations during Pregnancy. </w:t>
      </w:r>
      <w:r w:rsidRPr="00474B65">
        <w:rPr>
          <w:rFonts w:ascii="Times New Roman" w:hAnsi="Times New Roman" w:cs="Times New Roman"/>
          <w:i/>
          <w:iCs/>
          <w:sz w:val="24"/>
        </w:rPr>
        <w:t>Environ Health Perspect</w:t>
      </w:r>
      <w:r w:rsidRPr="00474B65">
        <w:rPr>
          <w:rFonts w:ascii="Times New Roman" w:hAnsi="Times New Roman" w:cs="Times New Roman"/>
          <w:sz w:val="24"/>
        </w:rPr>
        <w:t>. 2013;121(10):1225-1231. doi:10.1289/ehp.1206335</w:t>
      </w:r>
    </w:p>
    <w:p w:rsidR="00474B65" w:rsidRPr="00474B65" w:rsidRDefault="00474B65" w:rsidP="00474B65">
      <w:pPr>
        <w:pStyle w:val="Bibliography"/>
        <w:rPr>
          <w:rFonts w:ascii="Times New Roman" w:hAnsi="Times New Roman" w:cs="Times New Roman"/>
          <w:sz w:val="24"/>
        </w:rPr>
      </w:pPr>
      <w:r w:rsidRPr="00474B65">
        <w:rPr>
          <w:rFonts w:ascii="Times New Roman" w:hAnsi="Times New Roman" w:cs="Times New Roman"/>
          <w:sz w:val="24"/>
        </w:rPr>
        <w:t xml:space="preserve">10. </w:t>
      </w:r>
      <w:r w:rsidRPr="00474B65">
        <w:rPr>
          <w:rFonts w:ascii="Times New Roman" w:hAnsi="Times New Roman" w:cs="Times New Roman"/>
          <w:sz w:val="24"/>
        </w:rPr>
        <w:tab/>
        <w:t xml:space="preserve">Smith KW, Braun JM, Williams PL, et al. Predictors and Variability of Urinary Paraben Concentrations in Men and Women, Including before and during Pregnancy. </w:t>
      </w:r>
      <w:r w:rsidRPr="00474B65">
        <w:rPr>
          <w:rFonts w:ascii="Times New Roman" w:hAnsi="Times New Roman" w:cs="Times New Roman"/>
          <w:i/>
          <w:iCs/>
          <w:sz w:val="24"/>
        </w:rPr>
        <w:t>Environ Health Perspect</w:t>
      </w:r>
      <w:r w:rsidRPr="00474B65">
        <w:rPr>
          <w:rFonts w:ascii="Times New Roman" w:hAnsi="Times New Roman" w:cs="Times New Roman"/>
          <w:sz w:val="24"/>
        </w:rPr>
        <w:t>. 2012;120(11):1538. doi:10.1289/ehp.1104614</w:t>
      </w:r>
    </w:p>
    <w:p w:rsidR="00FB473D" w:rsidRPr="00FB473D" w:rsidRDefault="00FB473D" w:rsidP="00FB473D">
      <w:pPr>
        <w:spacing w:before="240" w:after="240" w:line="240" w:lineRule="auto"/>
        <w:ind w:left="567" w:hanging="567"/>
        <w:rPr>
          <w:rFonts w:ascii="Times New Roman" w:eastAsia="Times New Roman" w:hAnsi="Times New Roman" w:cs="Times New Roman"/>
          <w:sz w:val="24"/>
          <w:szCs w:val="24"/>
          <w:lang w:val="en-GB" w:eastAsia="fr-FR"/>
        </w:rPr>
      </w:pPr>
      <w:r w:rsidRPr="00FB473D">
        <w:rPr>
          <w:rFonts w:ascii="Times New Roman" w:eastAsia="Times New Roman" w:hAnsi="Times New Roman" w:cs="Times New Roman"/>
          <w:sz w:val="24"/>
          <w:szCs w:val="24"/>
          <w:lang w:val="en-GB" w:eastAsia="fr-FR"/>
        </w:rPr>
        <w:fldChar w:fldCharType="end"/>
      </w:r>
    </w:p>
    <w:p w:rsidR="00FB473D" w:rsidRPr="00FB473D" w:rsidRDefault="00FB473D" w:rsidP="00FB473D">
      <w:pPr>
        <w:spacing w:after="0" w:line="480" w:lineRule="auto"/>
        <w:rPr>
          <w:rFonts w:ascii="Times New Roman" w:eastAsia="Times New Roman" w:hAnsi="Times New Roman" w:cs="Times New Roman"/>
          <w:sz w:val="24"/>
          <w:szCs w:val="24"/>
          <w:lang w:val="en-GB" w:eastAsia="fr-FR"/>
        </w:rPr>
        <w:sectPr w:rsidR="00FB473D" w:rsidRPr="00FB473D" w:rsidSect="00CC7113">
          <w:pgSz w:w="11906" w:h="16838"/>
          <w:pgMar w:top="1418" w:right="1418" w:bottom="1418" w:left="1418" w:header="709" w:footer="709" w:gutter="0"/>
          <w:cols w:space="708"/>
          <w:docGrid w:linePitch="360"/>
        </w:sectPr>
      </w:pPr>
    </w:p>
    <w:p w:rsidR="00FB473D" w:rsidRPr="0037061D" w:rsidRDefault="0037061D" w:rsidP="0037061D">
      <w:pPr>
        <w:pStyle w:val="Caption"/>
        <w:rPr>
          <w:rFonts w:ascii="Times New Roman" w:eastAsia="Times New Roman" w:hAnsi="Times New Roman" w:cs="Times New Roman"/>
          <w:bCs/>
          <w:i w:val="0"/>
          <w:color w:val="auto"/>
          <w:sz w:val="24"/>
          <w:szCs w:val="24"/>
          <w:lang w:val="en-GB" w:eastAsia="fr-FR"/>
        </w:rPr>
      </w:pPr>
      <w:bookmarkStart w:id="2" w:name="_Toc532441002"/>
      <w:proofErr w:type="spellStart"/>
      <w:r w:rsidRPr="0037061D">
        <w:rPr>
          <w:rFonts w:ascii="Times New Roman" w:hAnsi="Times New Roman" w:cs="Times New Roman"/>
          <w:b/>
          <w:i w:val="0"/>
          <w:color w:val="auto"/>
          <w:sz w:val="24"/>
          <w:szCs w:val="24"/>
        </w:rPr>
        <w:lastRenderedPageBreak/>
        <w:t>eTable</w:t>
      </w:r>
      <w:proofErr w:type="spellEnd"/>
      <w:r w:rsidRPr="0037061D">
        <w:rPr>
          <w:rFonts w:ascii="Times New Roman" w:hAnsi="Times New Roman" w:cs="Times New Roman"/>
          <w:b/>
          <w:i w:val="0"/>
          <w:color w:val="auto"/>
          <w:sz w:val="24"/>
          <w:szCs w:val="24"/>
        </w:rPr>
        <w:t xml:space="preserve"> </w:t>
      </w:r>
      <w:r w:rsidRPr="0037061D">
        <w:rPr>
          <w:rFonts w:ascii="Times New Roman" w:hAnsi="Times New Roman" w:cs="Times New Roman"/>
          <w:b/>
          <w:i w:val="0"/>
          <w:color w:val="auto"/>
          <w:sz w:val="24"/>
          <w:szCs w:val="24"/>
        </w:rPr>
        <w:fldChar w:fldCharType="begin"/>
      </w:r>
      <w:r w:rsidRPr="0037061D">
        <w:rPr>
          <w:rFonts w:ascii="Times New Roman" w:hAnsi="Times New Roman" w:cs="Times New Roman"/>
          <w:b/>
          <w:i w:val="0"/>
          <w:color w:val="auto"/>
          <w:sz w:val="24"/>
          <w:szCs w:val="24"/>
        </w:rPr>
        <w:instrText xml:space="preserve"> SEQ eTable \* ARABIC </w:instrText>
      </w:r>
      <w:r w:rsidRPr="0037061D">
        <w:rPr>
          <w:rFonts w:ascii="Times New Roman" w:hAnsi="Times New Roman" w:cs="Times New Roman"/>
          <w:b/>
          <w:i w:val="0"/>
          <w:color w:val="auto"/>
          <w:sz w:val="24"/>
          <w:szCs w:val="24"/>
        </w:rPr>
        <w:fldChar w:fldCharType="separate"/>
      </w:r>
      <w:r w:rsidR="009E4EC1">
        <w:rPr>
          <w:rFonts w:ascii="Times New Roman" w:hAnsi="Times New Roman" w:cs="Times New Roman"/>
          <w:b/>
          <w:i w:val="0"/>
          <w:noProof/>
          <w:color w:val="auto"/>
          <w:sz w:val="24"/>
          <w:szCs w:val="24"/>
        </w:rPr>
        <w:t>1</w:t>
      </w:r>
      <w:r w:rsidRPr="0037061D">
        <w:rPr>
          <w:rFonts w:ascii="Times New Roman" w:hAnsi="Times New Roman" w:cs="Times New Roman"/>
          <w:b/>
          <w:i w:val="0"/>
          <w:color w:val="auto"/>
          <w:sz w:val="24"/>
          <w:szCs w:val="24"/>
        </w:rPr>
        <w:fldChar w:fldCharType="end"/>
      </w:r>
      <w:r>
        <w:rPr>
          <w:rFonts w:ascii="Times New Roman" w:hAnsi="Times New Roman" w:cs="Times New Roman"/>
          <w:b/>
          <w:i w:val="0"/>
          <w:color w:val="auto"/>
          <w:sz w:val="24"/>
          <w:szCs w:val="24"/>
        </w:rPr>
        <w:t>.</w:t>
      </w:r>
      <w:r w:rsidRPr="0037061D">
        <w:rPr>
          <w:rFonts w:ascii="Times New Roman" w:eastAsia="Times New Roman" w:hAnsi="Times New Roman" w:cs="Times New Roman"/>
          <w:b/>
          <w:bCs/>
          <w:i w:val="0"/>
          <w:color w:val="auto"/>
          <w:sz w:val="24"/>
          <w:szCs w:val="24"/>
          <w:lang w:val="en-GB" w:eastAsia="fr-FR"/>
        </w:rPr>
        <w:t xml:space="preserve"> </w:t>
      </w:r>
      <w:r w:rsidR="00FB473D" w:rsidRPr="0037061D">
        <w:rPr>
          <w:rFonts w:ascii="Times New Roman" w:eastAsia="Times New Roman" w:hAnsi="Times New Roman" w:cs="Times New Roman"/>
          <w:bCs/>
          <w:i w:val="0"/>
          <w:color w:val="auto"/>
          <w:sz w:val="24"/>
          <w:szCs w:val="24"/>
          <w:lang w:val="en-GB" w:eastAsia="fr-FR"/>
        </w:rPr>
        <w:t>Characteristics of the 16 pregnant women from the SEPAGES feasibility study included in the current study.</w:t>
      </w:r>
      <w:bookmarkEnd w:id="2"/>
    </w:p>
    <w:p w:rsidR="00FB473D" w:rsidRPr="00FB473D" w:rsidRDefault="00FB473D" w:rsidP="00FB473D">
      <w:pPr>
        <w:spacing w:after="0" w:line="360" w:lineRule="auto"/>
        <w:jc w:val="both"/>
        <w:rPr>
          <w:rFonts w:ascii="Times New Roman" w:eastAsia="Times New Roman" w:hAnsi="Times New Roman" w:cs="Times New Roman"/>
          <w:sz w:val="24"/>
          <w:szCs w:val="24"/>
          <w:lang w:val="en-GB" w:eastAsia="fr-FR"/>
        </w:rPr>
      </w:pPr>
    </w:p>
    <w:tbl>
      <w:tblPr>
        <w:tblStyle w:val="TableGrid"/>
        <w:tblW w:w="793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381"/>
        <w:gridCol w:w="236"/>
        <w:gridCol w:w="2084"/>
      </w:tblGrid>
      <w:tr w:rsidR="00FB473D" w:rsidRPr="00FB473D" w:rsidTr="00CC7113">
        <w:trPr>
          <w:jc w:val="center"/>
        </w:trPr>
        <w:tc>
          <w:tcPr>
            <w:tcW w:w="3236" w:type="dxa"/>
            <w:tcBorders>
              <w:bottom w:val="nil"/>
            </w:tcBorders>
            <w:vAlign w:val="center"/>
          </w:tcPr>
          <w:p w:rsidR="00FB473D" w:rsidRPr="00FB473D" w:rsidRDefault="00FB473D" w:rsidP="00FB473D">
            <w:pPr>
              <w:rPr>
                <w:lang w:val="en-GB"/>
              </w:rPr>
            </w:pPr>
          </w:p>
        </w:tc>
        <w:tc>
          <w:tcPr>
            <w:tcW w:w="2381" w:type="dxa"/>
            <w:tcBorders>
              <w:top w:val="single" w:sz="4" w:space="0" w:color="auto"/>
              <w:bottom w:val="single" w:sz="2" w:space="0" w:color="auto"/>
            </w:tcBorders>
            <w:vAlign w:val="center"/>
          </w:tcPr>
          <w:p w:rsidR="00FB473D" w:rsidRPr="00FB473D" w:rsidRDefault="00FB473D" w:rsidP="00FB473D">
            <w:pPr>
              <w:rPr>
                <w:lang w:val="en-GB"/>
              </w:rPr>
            </w:pPr>
            <w:r w:rsidRPr="00FB473D">
              <w:rPr>
                <w:lang w:val="en-GB"/>
              </w:rPr>
              <w:t>Groups A1 and A2 (n = 8)</w:t>
            </w:r>
          </w:p>
        </w:tc>
        <w:tc>
          <w:tcPr>
            <w:tcW w:w="236" w:type="dxa"/>
            <w:tcBorders>
              <w:bottom w:val="nil"/>
            </w:tcBorders>
            <w:vAlign w:val="center"/>
          </w:tcPr>
          <w:p w:rsidR="00FB473D" w:rsidRPr="00FB473D" w:rsidRDefault="00FB473D" w:rsidP="00FB473D">
            <w:pPr>
              <w:rPr>
                <w:lang w:val="en-GB"/>
              </w:rPr>
            </w:pPr>
          </w:p>
        </w:tc>
        <w:tc>
          <w:tcPr>
            <w:tcW w:w="2084" w:type="dxa"/>
            <w:tcBorders>
              <w:top w:val="single" w:sz="4" w:space="0" w:color="auto"/>
              <w:bottom w:val="single" w:sz="2" w:space="0" w:color="auto"/>
            </w:tcBorders>
            <w:vAlign w:val="center"/>
          </w:tcPr>
          <w:p w:rsidR="00FB473D" w:rsidRPr="00FB473D" w:rsidRDefault="00FB473D" w:rsidP="00FB473D">
            <w:pPr>
              <w:rPr>
                <w:lang w:val="en-GB"/>
              </w:rPr>
            </w:pPr>
            <w:r w:rsidRPr="00FB473D">
              <w:rPr>
                <w:lang w:val="en-GB"/>
              </w:rPr>
              <w:t>Group B (n = 8)</w:t>
            </w:r>
          </w:p>
        </w:tc>
      </w:tr>
      <w:tr w:rsidR="00FB473D" w:rsidRPr="00FB473D" w:rsidTr="00CC7113">
        <w:trPr>
          <w:jc w:val="center"/>
        </w:trPr>
        <w:tc>
          <w:tcPr>
            <w:tcW w:w="3236" w:type="dxa"/>
            <w:tcBorders>
              <w:top w:val="nil"/>
              <w:bottom w:val="single" w:sz="4" w:space="0" w:color="auto"/>
            </w:tcBorders>
            <w:vAlign w:val="center"/>
          </w:tcPr>
          <w:p w:rsidR="00FB473D" w:rsidRPr="00FB473D" w:rsidRDefault="00FB473D" w:rsidP="00FB473D">
            <w:pPr>
              <w:rPr>
                <w:lang w:val="en-GB"/>
              </w:rPr>
            </w:pPr>
            <w:r w:rsidRPr="00FB473D">
              <w:rPr>
                <w:lang w:val="en-GB"/>
              </w:rPr>
              <w:t>Characteristic</w:t>
            </w:r>
          </w:p>
        </w:tc>
        <w:tc>
          <w:tcPr>
            <w:tcW w:w="2381" w:type="dxa"/>
            <w:tcBorders>
              <w:top w:val="single" w:sz="2" w:space="0" w:color="auto"/>
              <w:bottom w:val="single" w:sz="2" w:space="0" w:color="auto"/>
            </w:tcBorders>
            <w:vAlign w:val="center"/>
          </w:tcPr>
          <w:p w:rsidR="00FB473D" w:rsidRPr="00FB473D" w:rsidRDefault="00FB473D" w:rsidP="00FB473D">
            <w:pPr>
              <w:rPr>
                <w:lang w:val="en-GB"/>
              </w:rPr>
            </w:pPr>
            <w:r w:rsidRPr="00FB473D">
              <w:rPr>
                <w:lang w:val="en-GB"/>
              </w:rPr>
              <w:t xml:space="preserve">No. (%) </w:t>
            </w:r>
          </w:p>
        </w:tc>
        <w:tc>
          <w:tcPr>
            <w:tcW w:w="236" w:type="dxa"/>
            <w:tcBorders>
              <w:top w:val="nil"/>
              <w:bottom w:val="single" w:sz="2" w:space="0" w:color="auto"/>
            </w:tcBorders>
            <w:vAlign w:val="center"/>
          </w:tcPr>
          <w:p w:rsidR="00FB473D" w:rsidRPr="00FB473D" w:rsidRDefault="00FB473D" w:rsidP="00FB473D">
            <w:pPr>
              <w:rPr>
                <w:lang w:val="en-GB"/>
              </w:rPr>
            </w:pPr>
          </w:p>
        </w:tc>
        <w:tc>
          <w:tcPr>
            <w:tcW w:w="2084" w:type="dxa"/>
            <w:tcBorders>
              <w:top w:val="single" w:sz="2" w:space="0" w:color="auto"/>
              <w:bottom w:val="single" w:sz="4" w:space="0" w:color="auto"/>
            </w:tcBorders>
            <w:vAlign w:val="center"/>
          </w:tcPr>
          <w:p w:rsidR="00FB473D" w:rsidRPr="00FB473D" w:rsidRDefault="00FB473D" w:rsidP="00FB473D">
            <w:pPr>
              <w:rPr>
                <w:lang w:val="en-GB"/>
              </w:rPr>
            </w:pPr>
            <w:r w:rsidRPr="00FB473D">
              <w:rPr>
                <w:lang w:val="en-GB"/>
              </w:rPr>
              <w:t xml:space="preserve">No. (%) </w:t>
            </w:r>
          </w:p>
        </w:tc>
      </w:tr>
      <w:tr w:rsidR="00FB473D" w:rsidRPr="00FB473D" w:rsidTr="00CC7113">
        <w:trPr>
          <w:jc w:val="center"/>
        </w:trPr>
        <w:tc>
          <w:tcPr>
            <w:tcW w:w="3236" w:type="dxa"/>
            <w:vAlign w:val="center"/>
          </w:tcPr>
          <w:p w:rsidR="00FB473D" w:rsidRPr="00FB473D" w:rsidRDefault="00FB473D" w:rsidP="00FB473D">
            <w:pPr>
              <w:rPr>
                <w:b/>
                <w:lang w:val="en-GB"/>
              </w:rPr>
            </w:pPr>
            <w:r w:rsidRPr="00FB473D">
              <w:rPr>
                <w:b/>
                <w:lang w:val="en-GB"/>
              </w:rPr>
              <w:t>Civil status</w:t>
            </w:r>
          </w:p>
          <w:p w:rsidR="00FB473D" w:rsidRPr="00FB473D" w:rsidRDefault="00FB473D" w:rsidP="00FB473D">
            <w:pPr>
              <w:rPr>
                <w:lang w:val="en-GB"/>
              </w:rPr>
            </w:pPr>
            <w:r w:rsidRPr="00FB473D">
              <w:rPr>
                <w:lang w:val="en-GB"/>
              </w:rPr>
              <w:t xml:space="preserve">       Married</w:t>
            </w:r>
          </w:p>
          <w:p w:rsidR="00FB473D" w:rsidRPr="00FB473D" w:rsidRDefault="00FB473D" w:rsidP="00FB473D">
            <w:pPr>
              <w:rPr>
                <w:lang w:val="en-GB"/>
              </w:rPr>
            </w:pPr>
            <w:r w:rsidRPr="00FB473D">
              <w:rPr>
                <w:lang w:val="en-GB"/>
              </w:rPr>
              <w:t xml:space="preserve">       Cohabitating</w:t>
            </w:r>
          </w:p>
        </w:tc>
        <w:tc>
          <w:tcPr>
            <w:tcW w:w="2381" w:type="dxa"/>
            <w:vAlign w:val="center"/>
          </w:tcPr>
          <w:p w:rsidR="00FB473D" w:rsidRPr="00FB473D" w:rsidRDefault="00FB473D" w:rsidP="00FB473D">
            <w:pPr>
              <w:rPr>
                <w:lang w:val="en-GB"/>
              </w:rPr>
            </w:pPr>
          </w:p>
          <w:p w:rsidR="00FB473D" w:rsidRPr="00FB473D" w:rsidRDefault="00FB473D" w:rsidP="00FB473D">
            <w:pPr>
              <w:rPr>
                <w:lang w:val="en-GB"/>
              </w:rPr>
            </w:pPr>
            <w:r w:rsidRPr="00FB473D">
              <w:rPr>
                <w:lang w:val="en-GB"/>
              </w:rPr>
              <w:t>5 (62.5)</w:t>
            </w:r>
          </w:p>
          <w:p w:rsidR="00FB473D" w:rsidRPr="00FB473D" w:rsidRDefault="00FB473D" w:rsidP="00FB473D">
            <w:pPr>
              <w:rPr>
                <w:lang w:val="en-GB"/>
              </w:rPr>
            </w:pPr>
            <w:r w:rsidRPr="00FB473D">
              <w:rPr>
                <w:lang w:val="en-GB"/>
              </w:rPr>
              <w:t>3 (37.5)</w:t>
            </w:r>
          </w:p>
        </w:tc>
        <w:tc>
          <w:tcPr>
            <w:tcW w:w="236" w:type="dxa"/>
            <w:tcBorders>
              <w:top w:val="nil"/>
            </w:tcBorders>
            <w:vAlign w:val="center"/>
          </w:tcPr>
          <w:p w:rsidR="00FB473D" w:rsidRPr="00FB473D" w:rsidRDefault="00FB473D" w:rsidP="00FB473D">
            <w:pPr>
              <w:rPr>
                <w:lang w:val="en-GB"/>
              </w:rPr>
            </w:pPr>
          </w:p>
        </w:tc>
        <w:tc>
          <w:tcPr>
            <w:tcW w:w="2084" w:type="dxa"/>
            <w:vAlign w:val="center"/>
          </w:tcPr>
          <w:p w:rsidR="00FB473D" w:rsidRPr="00FB473D" w:rsidRDefault="00FB473D" w:rsidP="00FB473D">
            <w:pPr>
              <w:rPr>
                <w:lang w:val="en-GB"/>
              </w:rPr>
            </w:pPr>
          </w:p>
          <w:p w:rsidR="00FB473D" w:rsidRPr="00FB473D" w:rsidRDefault="00FB473D" w:rsidP="00FB473D">
            <w:pPr>
              <w:rPr>
                <w:lang w:val="en-GB"/>
              </w:rPr>
            </w:pPr>
            <w:r w:rsidRPr="00FB473D">
              <w:rPr>
                <w:lang w:val="en-GB"/>
              </w:rPr>
              <w:t>3 (37.5)</w:t>
            </w:r>
          </w:p>
          <w:p w:rsidR="00FB473D" w:rsidRPr="00FB473D" w:rsidRDefault="00FB473D" w:rsidP="00FB473D">
            <w:pPr>
              <w:rPr>
                <w:lang w:val="en-GB"/>
              </w:rPr>
            </w:pPr>
            <w:r w:rsidRPr="00FB473D">
              <w:rPr>
                <w:lang w:val="en-GB"/>
              </w:rPr>
              <w:t>5 (62.5)</w:t>
            </w:r>
          </w:p>
        </w:tc>
      </w:tr>
      <w:tr w:rsidR="00FB473D" w:rsidRPr="00FB473D" w:rsidTr="00CC7113">
        <w:trPr>
          <w:jc w:val="center"/>
        </w:trPr>
        <w:tc>
          <w:tcPr>
            <w:tcW w:w="3236" w:type="dxa"/>
            <w:vAlign w:val="center"/>
          </w:tcPr>
          <w:p w:rsidR="00FB473D" w:rsidRPr="00FB473D" w:rsidRDefault="00FB473D" w:rsidP="00FB473D">
            <w:pPr>
              <w:rPr>
                <w:b/>
                <w:lang w:val="en-GB"/>
              </w:rPr>
            </w:pPr>
            <w:r w:rsidRPr="00FB473D">
              <w:rPr>
                <w:b/>
                <w:lang w:val="en-GB"/>
              </w:rPr>
              <w:t>Maternal education</w:t>
            </w:r>
          </w:p>
          <w:p w:rsidR="00FB473D" w:rsidRPr="00FB473D" w:rsidRDefault="00FB473D" w:rsidP="00FB473D">
            <w:pPr>
              <w:rPr>
                <w:lang w:val="en-GB"/>
              </w:rPr>
            </w:pPr>
            <w:r w:rsidRPr="00FB473D">
              <w:rPr>
                <w:lang w:val="en-GB"/>
              </w:rPr>
              <w:t xml:space="preserve">       High school or less</w:t>
            </w:r>
          </w:p>
          <w:p w:rsidR="00FB473D" w:rsidRPr="00FB473D" w:rsidRDefault="00FB473D" w:rsidP="00FB473D">
            <w:pPr>
              <w:rPr>
                <w:lang w:val="en-GB"/>
              </w:rPr>
            </w:pPr>
            <w:r w:rsidRPr="00FB473D">
              <w:rPr>
                <w:lang w:val="en-GB"/>
              </w:rPr>
              <w:t xml:space="preserve">       Up to 3 years of college</w:t>
            </w:r>
          </w:p>
          <w:p w:rsidR="00FB473D" w:rsidRPr="00FB473D" w:rsidRDefault="00FB473D" w:rsidP="00FB473D">
            <w:pPr>
              <w:rPr>
                <w:lang w:val="en-GB"/>
              </w:rPr>
            </w:pPr>
            <w:r w:rsidRPr="00FB473D">
              <w:rPr>
                <w:lang w:val="en-GB"/>
              </w:rPr>
              <w:t xml:space="preserve">       &gt; 3 years of college</w:t>
            </w:r>
          </w:p>
          <w:p w:rsidR="00FB473D" w:rsidRPr="00FB473D" w:rsidRDefault="00FB473D" w:rsidP="00FB473D">
            <w:pPr>
              <w:rPr>
                <w:lang w:val="en-GB"/>
              </w:rPr>
            </w:pPr>
            <w:r w:rsidRPr="00FB473D">
              <w:rPr>
                <w:lang w:val="en-GB"/>
              </w:rPr>
              <w:t xml:space="preserve">       Missing</w:t>
            </w:r>
          </w:p>
        </w:tc>
        <w:tc>
          <w:tcPr>
            <w:tcW w:w="2381" w:type="dxa"/>
            <w:vAlign w:val="center"/>
          </w:tcPr>
          <w:p w:rsidR="00FB473D" w:rsidRPr="00FB473D" w:rsidRDefault="00FB473D" w:rsidP="00FB473D">
            <w:pPr>
              <w:rPr>
                <w:lang w:val="en-GB"/>
              </w:rPr>
            </w:pPr>
          </w:p>
          <w:p w:rsidR="00FB473D" w:rsidRPr="00FB473D" w:rsidRDefault="00FB473D" w:rsidP="00FB473D">
            <w:pPr>
              <w:rPr>
                <w:lang w:val="en-GB"/>
              </w:rPr>
            </w:pPr>
            <w:r w:rsidRPr="00FB473D">
              <w:rPr>
                <w:lang w:val="en-GB"/>
              </w:rPr>
              <w:t>0</w:t>
            </w:r>
          </w:p>
          <w:p w:rsidR="00FB473D" w:rsidRPr="00FB473D" w:rsidRDefault="00FB473D" w:rsidP="00FB473D">
            <w:pPr>
              <w:rPr>
                <w:lang w:val="en-GB"/>
              </w:rPr>
            </w:pPr>
            <w:r w:rsidRPr="00FB473D">
              <w:rPr>
                <w:lang w:val="en-GB"/>
              </w:rPr>
              <w:t>4 (50)</w:t>
            </w:r>
          </w:p>
          <w:p w:rsidR="00FB473D" w:rsidRPr="00FB473D" w:rsidRDefault="00FB473D" w:rsidP="00FB473D">
            <w:pPr>
              <w:rPr>
                <w:lang w:val="en-GB"/>
              </w:rPr>
            </w:pPr>
            <w:r w:rsidRPr="00FB473D">
              <w:rPr>
                <w:lang w:val="en-GB"/>
              </w:rPr>
              <w:t>4 (50)</w:t>
            </w:r>
          </w:p>
          <w:p w:rsidR="00FB473D" w:rsidRPr="00FB473D" w:rsidRDefault="00FB473D" w:rsidP="00FB473D">
            <w:pPr>
              <w:rPr>
                <w:lang w:val="en-GB"/>
              </w:rPr>
            </w:pPr>
          </w:p>
        </w:tc>
        <w:tc>
          <w:tcPr>
            <w:tcW w:w="236" w:type="dxa"/>
            <w:vAlign w:val="center"/>
          </w:tcPr>
          <w:p w:rsidR="00FB473D" w:rsidRPr="00FB473D" w:rsidRDefault="00FB473D" w:rsidP="00FB473D">
            <w:pPr>
              <w:rPr>
                <w:lang w:val="en-GB"/>
              </w:rPr>
            </w:pPr>
          </w:p>
        </w:tc>
        <w:tc>
          <w:tcPr>
            <w:tcW w:w="2084" w:type="dxa"/>
            <w:vAlign w:val="center"/>
          </w:tcPr>
          <w:p w:rsidR="00FB473D" w:rsidRPr="00FB473D" w:rsidRDefault="00FB473D" w:rsidP="00FB473D">
            <w:pPr>
              <w:rPr>
                <w:lang w:val="en-GB"/>
              </w:rPr>
            </w:pPr>
          </w:p>
          <w:p w:rsidR="00FB473D" w:rsidRPr="00FB473D" w:rsidRDefault="00FB473D" w:rsidP="00FB473D">
            <w:pPr>
              <w:rPr>
                <w:lang w:val="en-GB"/>
              </w:rPr>
            </w:pPr>
            <w:r w:rsidRPr="00FB473D">
              <w:rPr>
                <w:lang w:val="en-GB"/>
              </w:rPr>
              <w:t xml:space="preserve">0 </w:t>
            </w:r>
          </w:p>
          <w:p w:rsidR="00FB473D" w:rsidRPr="00FB473D" w:rsidRDefault="00FB473D" w:rsidP="00FB473D">
            <w:pPr>
              <w:rPr>
                <w:lang w:val="en-GB"/>
              </w:rPr>
            </w:pPr>
            <w:r w:rsidRPr="00FB473D">
              <w:rPr>
                <w:lang w:val="en-GB"/>
              </w:rPr>
              <w:t>6 (75)</w:t>
            </w:r>
          </w:p>
          <w:p w:rsidR="00FB473D" w:rsidRPr="00FB473D" w:rsidRDefault="00FB473D" w:rsidP="00FB473D">
            <w:pPr>
              <w:rPr>
                <w:lang w:val="en-GB"/>
              </w:rPr>
            </w:pPr>
            <w:r w:rsidRPr="00FB473D">
              <w:rPr>
                <w:lang w:val="en-GB"/>
              </w:rPr>
              <w:t>1 (12.5)</w:t>
            </w:r>
          </w:p>
          <w:p w:rsidR="00FB473D" w:rsidRPr="00FB473D" w:rsidRDefault="00FB473D" w:rsidP="00FB473D">
            <w:pPr>
              <w:rPr>
                <w:lang w:val="en-GB"/>
              </w:rPr>
            </w:pPr>
            <w:r w:rsidRPr="00FB473D">
              <w:rPr>
                <w:lang w:val="en-GB"/>
              </w:rPr>
              <w:t>1 (12.5)</w:t>
            </w:r>
          </w:p>
        </w:tc>
      </w:tr>
      <w:tr w:rsidR="00FB473D" w:rsidRPr="00FB473D" w:rsidTr="00CC7113">
        <w:trPr>
          <w:jc w:val="center"/>
        </w:trPr>
        <w:tc>
          <w:tcPr>
            <w:tcW w:w="3236" w:type="dxa"/>
            <w:vAlign w:val="center"/>
          </w:tcPr>
          <w:p w:rsidR="00FB473D" w:rsidRPr="00FB473D" w:rsidRDefault="00FB473D" w:rsidP="00FB473D">
            <w:pPr>
              <w:rPr>
                <w:b/>
                <w:lang w:val="en-GB"/>
              </w:rPr>
            </w:pPr>
            <w:r w:rsidRPr="00FB473D">
              <w:rPr>
                <w:b/>
                <w:lang w:val="en-GB"/>
              </w:rPr>
              <w:t>Smoking history during pregnancy</w:t>
            </w:r>
          </w:p>
          <w:p w:rsidR="00FB473D" w:rsidRPr="00FB473D" w:rsidRDefault="00FB473D" w:rsidP="00FB473D">
            <w:pPr>
              <w:rPr>
                <w:lang w:val="en-GB"/>
              </w:rPr>
            </w:pPr>
            <w:r w:rsidRPr="00FB473D">
              <w:rPr>
                <w:lang w:val="en-GB"/>
              </w:rPr>
              <w:t xml:space="preserve">        Yes</w:t>
            </w:r>
          </w:p>
          <w:p w:rsidR="00FB473D" w:rsidRPr="00FB473D" w:rsidRDefault="00FB473D" w:rsidP="00FB473D">
            <w:pPr>
              <w:rPr>
                <w:lang w:val="en-GB"/>
              </w:rPr>
            </w:pPr>
            <w:r w:rsidRPr="00FB473D">
              <w:rPr>
                <w:lang w:val="en-GB"/>
              </w:rPr>
              <w:t xml:space="preserve">        No</w:t>
            </w:r>
          </w:p>
        </w:tc>
        <w:tc>
          <w:tcPr>
            <w:tcW w:w="2381" w:type="dxa"/>
            <w:vAlign w:val="center"/>
          </w:tcPr>
          <w:p w:rsidR="00FB473D" w:rsidRPr="00FB473D" w:rsidRDefault="00FB473D" w:rsidP="00FB473D">
            <w:pPr>
              <w:rPr>
                <w:lang w:val="en-GB"/>
              </w:rPr>
            </w:pPr>
          </w:p>
          <w:p w:rsidR="00FB473D" w:rsidRPr="00FB473D" w:rsidRDefault="00FB473D" w:rsidP="00FB473D">
            <w:pPr>
              <w:rPr>
                <w:lang w:val="en-GB"/>
              </w:rPr>
            </w:pPr>
            <w:r w:rsidRPr="00FB473D">
              <w:rPr>
                <w:lang w:val="en-GB"/>
              </w:rPr>
              <w:t>1 (12.5)</w:t>
            </w:r>
          </w:p>
          <w:p w:rsidR="00FB473D" w:rsidRPr="00FB473D" w:rsidRDefault="00FB473D" w:rsidP="00FB473D">
            <w:pPr>
              <w:rPr>
                <w:lang w:val="en-GB"/>
              </w:rPr>
            </w:pPr>
            <w:r w:rsidRPr="00FB473D">
              <w:rPr>
                <w:lang w:val="en-GB"/>
              </w:rPr>
              <w:t>7 (87.5)</w:t>
            </w:r>
          </w:p>
        </w:tc>
        <w:tc>
          <w:tcPr>
            <w:tcW w:w="236" w:type="dxa"/>
            <w:vAlign w:val="center"/>
          </w:tcPr>
          <w:p w:rsidR="00FB473D" w:rsidRPr="00FB473D" w:rsidRDefault="00FB473D" w:rsidP="00FB473D">
            <w:pPr>
              <w:rPr>
                <w:lang w:val="en-GB"/>
              </w:rPr>
            </w:pPr>
          </w:p>
        </w:tc>
        <w:tc>
          <w:tcPr>
            <w:tcW w:w="2084" w:type="dxa"/>
            <w:vAlign w:val="center"/>
          </w:tcPr>
          <w:p w:rsidR="00FB473D" w:rsidRPr="00FB473D" w:rsidRDefault="00FB473D" w:rsidP="00FB473D">
            <w:pPr>
              <w:rPr>
                <w:lang w:val="en-GB"/>
              </w:rPr>
            </w:pPr>
          </w:p>
          <w:p w:rsidR="00FB473D" w:rsidRPr="00FB473D" w:rsidRDefault="00FB473D" w:rsidP="00FB473D">
            <w:pPr>
              <w:rPr>
                <w:lang w:val="en-GB"/>
              </w:rPr>
            </w:pPr>
            <w:r w:rsidRPr="00FB473D">
              <w:rPr>
                <w:lang w:val="en-GB"/>
              </w:rPr>
              <w:t>3 (37.5)</w:t>
            </w:r>
          </w:p>
          <w:p w:rsidR="00FB473D" w:rsidRPr="00FB473D" w:rsidRDefault="00FB473D" w:rsidP="00FB473D">
            <w:pPr>
              <w:rPr>
                <w:lang w:val="en-GB"/>
              </w:rPr>
            </w:pPr>
            <w:r w:rsidRPr="00FB473D">
              <w:rPr>
                <w:lang w:val="en-GB"/>
              </w:rPr>
              <w:t>5 (62.5)</w:t>
            </w:r>
          </w:p>
        </w:tc>
      </w:tr>
      <w:tr w:rsidR="00FB473D" w:rsidRPr="00FB473D" w:rsidTr="00CC7113">
        <w:trPr>
          <w:jc w:val="center"/>
        </w:trPr>
        <w:tc>
          <w:tcPr>
            <w:tcW w:w="3236" w:type="dxa"/>
            <w:tcBorders>
              <w:bottom w:val="single" w:sz="4" w:space="0" w:color="auto"/>
            </w:tcBorders>
            <w:vAlign w:val="center"/>
          </w:tcPr>
          <w:p w:rsidR="00FB473D" w:rsidRPr="00FB473D" w:rsidRDefault="00FB473D" w:rsidP="00FB473D">
            <w:pPr>
              <w:rPr>
                <w:b/>
                <w:lang w:val="en-GB"/>
              </w:rPr>
            </w:pPr>
            <w:r w:rsidRPr="00FB473D">
              <w:rPr>
                <w:b/>
                <w:lang w:val="en-GB"/>
              </w:rPr>
              <w:t>Parity</w:t>
            </w:r>
          </w:p>
          <w:p w:rsidR="00FB473D" w:rsidRPr="00FB473D" w:rsidRDefault="00FB473D" w:rsidP="00FB473D">
            <w:pPr>
              <w:rPr>
                <w:lang w:val="en-GB"/>
              </w:rPr>
            </w:pPr>
            <w:r w:rsidRPr="00FB473D">
              <w:rPr>
                <w:lang w:val="en-GB"/>
              </w:rPr>
              <w:t xml:space="preserve">       0</w:t>
            </w:r>
          </w:p>
          <w:p w:rsidR="00FB473D" w:rsidRPr="00FB473D" w:rsidRDefault="00FB473D" w:rsidP="00FB473D">
            <w:pPr>
              <w:rPr>
                <w:lang w:val="en-GB"/>
              </w:rPr>
            </w:pPr>
            <w:r w:rsidRPr="00FB473D">
              <w:rPr>
                <w:lang w:val="en-GB"/>
              </w:rPr>
              <w:t xml:space="preserve">       1</w:t>
            </w:r>
          </w:p>
          <w:p w:rsidR="00FB473D" w:rsidRPr="00FB473D" w:rsidRDefault="00FB473D" w:rsidP="00FB473D">
            <w:pPr>
              <w:rPr>
                <w:lang w:val="en-GB"/>
              </w:rPr>
            </w:pPr>
            <w:r w:rsidRPr="00FB473D">
              <w:rPr>
                <w:lang w:val="en-GB"/>
              </w:rPr>
              <w:t xml:space="preserve">       ≥ 2</w:t>
            </w:r>
          </w:p>
        </w:tc>
        <w:tc>
          <w:tcPr>
            <w:tcW w:w="2381" w:type="dxa"/>
            <w:tcBorders>
              <w:bottom w:val="single" w:sz="4" w:space="0" w:color="auto"/>
            </w:tcBorders>
            <w:vAlign w:val="center"/>
          </w:tcPr>
          <w:p w:rsidR="00FB473D" w:rsidRPr="00FB473D" w:rsidRDefault="00FB473D" w:rsidP="00FB473D">
            <w:pPr>
              <w:rPr>
                <w:lang w:val="en-GB"/>
              </w:rPr>
            </w:pPr>
          </w:p>
          <w:p w:rsidR="00FB473D" w:rsidRPr="00FB473D" w:rsidRDefault="00FB473D" w:rsidP="00FB473D">
            <w:pPr>
              <w:rPr>
                <w:lang w:val="en-GB"/>
              </w:rPr>
            </w:pPr>
            <w:r w:rsidRPr="00FB473D">
              <w:rPr>
                <w:lang w:val="en-GB"/>
              </w:rPr>
              <w:t>5 (62.5)</w:t>
            </w:r>
          </w:p>
          <w:p w:rsidR="00FB473D" w:rsidRPr="00FB473D" w:rsidRDefault="00FB473D" w:rsidP="00FB473D">
            <w:pPr>
              <w:rPr>
                <w:lang w:val="en-GB"/>
              </w:rPr>
            </w:pPr>
            <w:r w:rsidRPr="00FB473D">
              <w:rPr>
                <w:lang w:val="en-GB"/>
              </w:rPr>
              <w:t>2 (25)</w:t>
            </w:r>
          </w:p>
          <w:p w:rsidR="00FB473D" w:rsidRPr="00FB473D" w:rsidRDefault="00FB473D" w:rsidP="00FB473D">
            <w:pPr>
              <w:rPr>
                <w:lang w:val="en-GB"/>
              </w:rPr>
            </w:pPr>
            <w:r w:rsidRPr="00FB473D">
              <w:rPr>
                <w:lang w:val="en-GB"/>
              </w:rPr>
              <w:t>1 (12.5)</w:t>
            </w:r>
          </w:p>
        </w:tc>
        <w:tc>
          <w:tcPr>
            <w:tcW w:w="236" w:type="dxa"/>
            <w:tcBorders>
              <w:bottom w:val="single" w:sz="4" w:space="0" w:color="auto"/>
            </w:tcBorders>
            <w:vAlign w:val="center"/>
          </w:tcPr>
          <w:p w:rsidR="00FB473D" w:rsidRPr="00FB473D" w:rsidRDefault="00FB473D" w:rsidP="00FB473D">
            <w:pPr>
              <w:rPr>
                <w:lang w:val="en-GB"/>
              </w:rPr>
            </w:pPr>
          </w:p>
        </w:tc>
        <w:tc>
          <w:tcPr>
            <w:tcW w:w="2084" w:type="dxa"/>
            <w:tcBorders>
              <w:bottom w:val="single" w:sz="4" w:space="0" w:color="auto"/>
            </w:tcBorders>
            <w:vAlign w:val="center"/>
          </w:tcPr>
          <w:p w:rsidR="00FB473D" w:rsidRPr="00FB473D" w:rsidRDefault="00FB473D" w:rsidP="00FB473D">
            <w:pPr>
              <w:rPr>
                <w:lang w:val="en-GB"/>
              </w:rPr>
            </w:pPr>
          </w:p>
          <w:p w:rsidR="00FB473D" w:rsidRPr="00FB473D" w:rsidRDefault="00FB473D" w:rsidP="00FB473D">
            <w:pPr>
              <w:rPr>
                <w:lang w:val="en-GB"/>
              </w:rPr>
            </w:pPr>
            <w:r w:rsidRPr="00FB473D">
              <w:rPr>
                <w:lang w:val="en-GB"/>
              </w:rPr>
              <w:t>4 (50)</w:t>
            </w:r>
          </w:p>
          <w:p w:rsidR="00FB473D" w:rsidRPr="00FB473D" w:rsidRDefault="00FB473D" w:rsidP="00FB473D">
            <w:pPr>
              <w:rPr>
                <w:lang w:val="en-GB"/>
              </w:rPr>
            </w:pPr>
            <w:r w:rsidRPr="00FB473D">
              <w:rPr>
                <w:lang w:val="en-GB"/>
              </w:rPr>
              <w:t>3 (37.5)</w:t>
            </w:r>
          </w:p>
          <w:p w:rsidR="00FB473D" w:rsidRPr="00FB473D" w:rsidRDefault="00FB473D" w:rsidP="00FB473D">
            <w:pPr>
              <w:rPr>
                <w:lang w:val="en-GB"/>
              </w:rPr>
            </w:pPr>
            <w:r w:rsidRPr="00FB473D">
              <w:rPr>
                <w:lang w:val="en-GB"/>
              </w:rPr>
              <w:t>1 (12.5)</w:t>
            </w:r>
          </w:p>
        </w:tc>
      </w:tr>
      <w:tr w:rsidR="00FB473D" w:rsidRPr="00FB473D" w:rsidTr="00CC7113">
        <w:trPr>
          <w:jc w:val="center"/>
        </w:trPr>
        <w:tc>
          <w:tcPr>
            <w:tcW w:w="3236" w:type="dxa"/>
            <w:tcBorders>
              <w:top w:val="single" w:sz="4" w:space="0" w:color="auto"/>
              <w:bottom w:val="single" w:sz="4" w:space="0" w:color="auto"/>
            </w:tcBorders>
            <w:vAlign w:val="center"/>
          </w:tcPr>
          <w:p w:rsidR="00FB473D" w:rsidRPr="00FB473D" w:rsidRDefault="00FB473D" w:rsidP="00FB473D">
            <w:pPr>
              <w:rPr>
                <w:b/>
                <w:lang w:val="en-GB"/>
              </w:rPr>
            </w:pPr>
          </w:p>
        </w:tc>
        <w:tc>
          <w:tcPr>
            <w:tcW w:w="2381" w:type="dxa"/>
            <w:tcBorders>
              <w:top w:val="single" w:sz="4" w:space="0" w:color="auto"/>
              <w:bottom w:val="single" w:sz="4" w:space="0" w:color="auto"/>
            </w:tcBorders>
            <w:vAlign w:val="center"/>
          </w:tcPr>
          <w:p w:rsidR="00FB473D" w:rsidRPr="00FB473D" w:rsidRDefault="00FB473D" w:rsidP="00FB473D">
            <w:pPr>
              <w:rPr>
                <w:lang w:val="en-GB"/>
              </w:rPr>
            </w:pPr>
            <w:r w:rsidRPr="00FB473D">
              <w:rPr>
                <w:lang w:val="en-GB"/>
              </w:rPr>
              <w:t>Median (25</w:t>
            </w:r>
            <w:r w:rsidRPr="00FB473D">
              <w:rPr>
                <w:vertAlign w:val="superscript"/>
                <w:lang w:val="en-GB"/>
              </w:rPr>
              <w:t>th</w:t>
            </w:r>
            <w:r w:rsidRPr="00FB473D">
              <w:rPr>
                <w:lang w:val="en-GB"/>
              </w:rPr>
              <w:t>, 75</w:t>
            </w:r>
            <w:r w:rsidRPr="00FB473D">
              <w:rPr>
                <w:vertAlign w:val="superscript"/>
                <w:lang w:val="en-GB"/>
              </w:rPr>
              <w:t>th</w:t>
            </w:r>
            <w:r w:rsidRPr="00FB473D">
              <w:rPr>
                <w:lang w:val="en-GB"/>
              </w:rPr>
              <w:t>)</w:t>
            </w:r>
          </w:p>
        </w:tc>
        <w:tc>
          <w:tcPr>
            <w:tcW w:w="236" w:type="dxa"/>
            <w:tcBorders>
              <w:top w:val="single" w:sz="4" w:space="0" w:color="auto"/>
              <w:bottom w:val="single" w:sz="4" w:space="0" w:color="auto"/>
            </w:tcBorders>
            <w:vAlign w:val="center"/>
          </w:tcPr>
          <w:p w:rsidR="00FB473D" w:rsidRPr="00FB473D" w:rsidRDefault="00FB473D" w:rsidP="00FB473D">
            <w:pPr>
              <w:rPr>
                <w:lang w:val="en-GB"/>
              </w:rPr>
            </w:pPr>
          </w:p>
        </w:tc>
        <w:tc>
          <w:tcPr>
            <w:tcW w:w="2084" w:type="dxa"/>
            <w:tcBorders>
              <w:top w:val="single" w:sz="4" w:space="0" w:color="auto"/>
              <w:bottom w:val="single" w:sz="4" w:space="0" w:color="auto"/>
            </w:tcBorders>
            <w:vAlign w:val="center"/>
          </w:tcPr>
          <w:p w:rsidR="00FB473D" w:rsidRPr="00FB473D" w:rsidRDefault="00FB473D" w:rsidP="00FB473D">
            <w:pPr>
              <w:rPr>
                <w:lang w:val="en-GB"/>
              </w:rPr>
            </w:pPr>
            <w:r w:rsidRPr="00FB473D">
              <w:rPr>
                <w:lang w:val="en-GB"/>
              </w:rPr>
              <w:t>Median (25</w:t>
            </w:r>
            <w:r w:rsidRPr="00FB473D">
              <w:rPr>
                <w:vertAlign w:val="superscript"/>
                <w:lang w:val="en-GB"/>
              </w:rPr>
              <w:t>th</w:t>
            </w:r>
            <w:r w:rsidRPr="00FB473D">
              <w:rPr>
                <w:lang w:val="en-GB"/>
              </w:rPr>
              <w:t>, 75</w:t>
            </w:r>
            <w:r w:rsidRPr="00FB473D">
              <w:rPr>
                <w:vertAlign w:val="superscript"/>
                <w:lang w:val="en-GB"/>
              </w:rPr>
              <w:t>th</w:t>
            </w:r>
            <w:r w:rsidRPr="00FB473D">
              <w:rPr>
                <w:lang w:val="en-GB"/>
              </w:rPr>
              <w:t>)</w:t>
            </w:r>
          </w:p>
        </w:tc>
      </w:tr>
      <w:tr w:rsidR="00FB473D" w:rsidRPr="00FB473D" w:rsidTr="00CC7113">
        <w:trPr>
          <w:jc w:val="center"/>
        </w:trPr>
        <w:tc>
          <w:tcPr>
            <w:tcW w:w="3236" w:type="dxa"/>
            <w:tcBorders>
              <w:top w:val="single" w:sz="4" w:space="0" w:color="auto"/>
              <w:bottom w:val="nil"/>
            </w:tcBorders>
            <w:vAlign w:val="center"/>
          </w:tcPr>
          <w:p w:rsidR="00FB473D" w:rsidRPr="00FB473D" w:rsidRDefault="00FB473D" w:rsidP="00FB473D">
            <w:pPr>
              <w:rPr>
                <w:b/>
                <w:lang w:val="en-GB"/>
              </w:rPr>
            </w:pPr>
            <w:r w:rsidRPr="00FB473D">
              <w:rPr>
                <w:b/>
                <w:lang w:val="en-GB"/>
              </w:rPr>
              <w:t>Maternal age at enrolment (years)</w:t>
            </w:r>
          </w:p>
        </w:tc>
        <w:tc>
          <w:tcPr>
            <w:tcW w:w="2381" w:type="dxa"/>
            <w:tcBorders>
              <w:top w:val="single" w:sz="4" w:space="0" w:color="auto"/>
              <w:bottom w:val="nil"/>
            </w:tcBorders>
            <w:vAlign w:val="center"/>
          </w:tcPr>
          <w:p w:rsidR="00FB473D" w:rsidRPr="00FB473D" w:rsidRDefault="00FB473D" w:rsidP="00FB473D">
            <w:pPr>
              <w:rPr>
                <w:lang w:val="en-GB"/>
              </w:rPr>
            </w:pPr>
            <w:r w:rsidRPr="00FB473D">
              <w:rPr>
                <w:lang w:val="en-GB"/>
              </w:rPr>
              <w:t>28.5 (27.0, 31.5)</w:t>
            </w:r>
          </w:p>
        </w:tc>
        <w:tc>
          <w:tcPr>
            <w:tcW w:w="236" w:type="dxa"/>
            <w:tcBorders>
              <w:top w:val="single" w:sz="4" w:space="0" w:color="auto"/>
              <w:bottom w:val="nil"/>
            </w:tcBorders>
            <w:vAlign w:val="center"/>
          </w:tcPr>
          <w:p w:rsidR="00FB473D" w:rsidRPr="00FB473D" w:rsidRDefault="00FB473D" w:rsidP="00FB473D">
            <w:pPr>
              <w:rPr>
                <w:lang w:val="en-GB"/>
              </w:rPr>
            </w:pPr>
          </w:p>
        </w:tc>
        <w:tc>
          <w:tcPr>
            <w:tcW w:w="2084" w:type="dxa"/>
            <w:tcBorders>
              <w:top w:val="single" w:sz="4" w:space="0" w:color="auto"/>
              <w:bottom w:val="nil"/>
            </w:tcBorders>
            <w:vAlign w:val="center"/>
          </w:tcPr>
          <w:p w:rsidR="00FB473D" w:rsidRPr="00FB473D" w:rsidRDefault="00FB473D" w:rsidP="00FB473D">
            <w:pPr>
              <w:rPr>
                <w:lang w:val="en-GB"/>
              </w:rPr>
            </w:pPr>
            <w:r w:rsidRPr="00FB473D">
              <w:rPr>
                <w:lang w:val="en-GB"/>
              </w:rPr>
              <w:t>30.0 (27.5, 33.0)</w:t>
            </w:r>
          </w:p>
        </w:tc>
      </w:tr>
      <w:tr w:rsidR="00FB473D" w:rsidRPr="00FB473D" w:rsidTr="00CC7113">
        <w:trPr>
          <w:jc w:val="center"/>
        </w:trPr>
        <w:tc>
          <w:tcPr>
            <w:tcW w:w="3236" w:type="dxa"/>
            <w:tcBorders>
              <w:bottom w:val="nil"/>
            </w:tcBorders>
            <w:vAlign w:val="center"/>
          </w:tcPr>
          <w:p w:rsidR="00FB473D" w:rsidRPr="00FB473D" w:rsidRDefault="00FB473D" w:rsidP="00FB473D">
            <w:pPr>
              <w:rPr>
                <w:b/>
                <w:lang w:val="en-GB"/>
              </w:rPr>
            </w:pPr>
            <w:r w:rsidRPr="00FB473D">
              <w:rPr>
                <w:b/>
                <w:lang w:val="en-GB"/>
              </w:rPr>
              <w:t>Gestational age (weeks)</w:t>
            </w:r>
          </w:p>
          <w:p w:rsidR="00FB473D" w:rsidRPr="00FB473D" w:rsidRDefault="00FB473D" w:rsidP="00FB473D">
            <w:pPr>
              <w:rPr>
                <w:lang w:val="en-GB"/>
              </w:rPr>
            </w:pPr>
            <w:r w:rsidRPr="00FB473D">
              <w:rPr>
                <w:lang w:val="en-GB"/>
              </w:rPr>
              <w:t xml:space="preserve">       Week 1 of urine collection</w:t>
            </w:r>
          </w:p>
          <w:p w:rsidR="00FB473D" w:rsidRPr="00FB473D" w:rsidRDefault="00FB473D" w:rsidP="00FB473D">
            <w:pPr>
              <w:rPr>
                <w:lang w:val="en-GB"/>
              </w:rPr>
            </w:pPr>
            <w:r w:rsidRPr="00FB473D">
              <w:rPr>
                <w:lang w:val="en-GB"/>
              </w:rPr>
              <w:t xml:space="preserve">       Week 2 of urine collection</w:t>
            </w:r>
          </w:p>
          <w:p w:rsidR="00FB473D" w:rsidRPr="00FB473D" w:rsidRDefault="00FB473D" w:rsidP="00FB473D">
            <w:pPr>
              <w:rPr>
                <w:lang w:val="en-GB"/>
              </w:rPr>
            </w:pPr>
            <w:r w:rsidRPr="00FB473D">
              <w:rPr>
                <w:lang w:val="en-GB"/>
              </w:rPr>
              <w:t xml:space="preserve">       Week 3 of urine collection</w:t>
            </w:r>
          </w:p>
        </w:tc>
        <w:tc>
          <w:tcPr>
            <w:tcW w:w="2381" w:type="dxa"/>
            <w:tcBorders>
              <w:bottom w:val="nil"/>
            </w:tcBorders>
            <w:vAlign w:val="center"/>
          </w:tcPr>
          <w:p w:rsidR="00FB473D" w:rsidRPr="00FB473D" w:rsidRDefault="00FB473D" w:rsidP="00FB473D">
            <w:pPr>
              <w:rPr>
                <w:lang w:val="en-GB"/>
              </w:rPr>
            </w:pPr>
          </w:p>
          <w:p w:rsidR="00FB473D" w:rsidRPr="00FB473D" w:rsidRDefault="00FB473D" w:rsidP="00FB473D">
            <w:pPr>
              <w:rPr>
                <w:lang w:val="en-GB"/>
              </w:rPr>
            </w:pPr>
            <w:r w:rsidRPr="00FB473D">
              <w:rPr>
                <w:lang w:val="en-GB"/>
              </w:rPr>
              <w:t>14.9 (13.6, 16.2)</w:t>
            </w:r>
          </w:p>
          <w:p w:rsidR="00FB473D" w:rsidRPr="00FB473D" w:rsidRDefault="00FB473D" w:rsidP="00FB473D">
            <w:pPr>
              <w:rPr>
                <w:lang w:val="en-GB"/>
              </w:rPr>
            </w:pPr>
            <w:r w:rsidRPr="00FB473D">
              <w:rPr>
                <w:lang w:val="en-GB"/>
              </w:rPr>
              <w:t>23.9 (22.9, 25.2)</w:t>
            </w:r>
          </w:p>
          <w:p w:rsidR="00FB473D" w:rsidRPr="00FB473D" w:rsidRDefault="00FB473D" w:rsidP="00FB473D">
            <w:pPr>
              <w:rPr>
                <w:lang w:val="en-GB"/>
              </w:rPr>
            </w:pPr>
            <w:r w:rsidRPr="00FB473D">
              <w:rPr>
                <w:lang w:val="en-GB"/>
              </w:rPr>
              <w:t>32.4 (31.7, 32.9)</w:t>
            </w:r>
          </w:p>
        </w:tc>
        <w:tc>
          <w:tcPr>
            <w:tcW w:w="236" w:type="dxa"/>
            <w:tcBorders>
              <w:bottom w:val="nil"/>
            </w:tcBorders>
            <w:vAlign w:val="center"/>
          </w:tcPr>
          <w:p w:rsidR="00FB473D" w:rsidRPr="00FB473D" w:rsidRDefault="00FB473D" w:rsidP="00FB473D">
            <w:pPr>
              <w:rPr>
                <w:lang w:val="en-GB"/>
              </w:rPr>
            </w:pPr>
          </w:p>
        </w:tc>
        <w:tc>
          <w:tcPr>
            <w:tcW w:w="2084" w:type="dxa"/>
            <w:tcBorders>
              <w:bottom w:val="nil"/>
            </w:tcBorders>
            <w:vAlign w:val="center"/>
          </w:tcPr>
          <w:p w:rsidR="00FB473D" w:rsidRPr="00FB473D" w:rsidRDefault="00FB473D" w:rsidP="00FB473D">
            <w:pPr>
              <w:rPr>
                <w:lang w:val="en-GB"/>
              </w:rPr>
            </w:pPr>
          </w:p>
          <w:p w:rsidR="00FB473D" w:rsidRPr="00FB473D" w:rsidRDefault="00FB473D" w:rsidP="00FB473D">
            <w:pPr>
              <w:rPr>
                <w:lang w:val="en-GB"/>
              </w:rPr>
            </w:pPr>
            <w:r w:rsidRPr="00FB473D">
              <w:rPr>
                <w:lang w:val="en-GB"/>
              </w:rPr>
              <w:t>13.1 (11.6, 14.9)</w:t>
            </w:r>
          </w:p>
          <w:p w:rsidR="00FB473D" w:rsidRPr="00FB473D" w:rsidRDefault="00FB473D" w:rsidP="00FB473D">
            <w:pPr>
              <w:rPr>
                <w:lang w:val="en-GB"/>
              </w:rPr>
            </w:pPr>
            <w:r w:rsidRPr="00FB473D">
              <w:rPr>
                <w:lang w:val="en-GB"/>
              </w:rPr>
              <w:t>22.5 (21.6, 23.4)</w:t>
            </w:r>
          </w:p>
          <w:p w:rsidR="00FB473D" w:rsidRPr="00FB473D" w:rsidRDefault="00FB473D" w:rsidP="00FB473D">
            <w:pPr>
              <w:rPr>
                <w:lang w:val="en-GB"/>
              </w:rPr>
            </w:pPr>
            <w:r w:rsidRPr="00FB473D">
              <w:rPr>
                <w:lang w:val="en-GB"/>
              </w:rPr>
              <w:t>31.9 (31.7, 32.6)</w:t>
            </w:r>
          </w:p>
        </w:tc>
      </w:tr>
      <w:tr w:rsidR="00FB473D" w:rsidRPr="00FB473D" w:rsidTr="00CC7113">
        <w:trPr>
          <w:jc w:val="center"/>
        </w:trPr>
        <w:tc>
          <w:tcPr>
            <w:tcW w:w="3236" w:type="dxa"/>
            <w:tcBorders>
              <w:top w:val="nil"/>
              <w:bottom w:val="nil"/>
            </w:tcBorders>
            <w:vAlign w:val="center"/>
          </w:tcPr>
          <w:p w:rsidR="00FB473D" w:rsidRPr="00FB473D" w:rsidRDefault="00FB473D" w:rsidP="00FB473D">
            <w:pPr>
              <w:rPr>
                <w:b/>
                <w:lang w:val="en-GB"/>
              </w:rPr>
            </w:pPr>
            <w:r w:rsidRPr="00FB473D">
              <w:rPr>
                <w:b/>
                <w:lang w:val="en-GB"/>
              </w:rPr>
              <w:t>Time between two successive weeks of urine collection (weeks)</w:t>
            </w:r>
          </w:p>
          <w:p w:rsidR="00FB473D" w:rsidRPr="00FB473D" w:rsidRDefault="00FB473D" w:rsidP="00FB473D">
            <w:pPr>
              <w:rPr>
                <w:lang w:val="en-GB"/>
              </w:rPr>
            </w:pPr>
            <w:r w:rsidRPr="00FB473D">
              <w:rPr>
                <w:lang w:val="en-GB"/>
              </w:rPr>
              <w:t xml:space="preserve">       Week 1 – Week 2</w:t>
            </w:r>
          </w:p>
          <w:p w:rsidR="00FB473D" w:rsidRPr="00FB473D" w:rsidRDefault="00FB473D" w:rsidP="00FB473D">
            <w:pPr>
              <w:rPr>
                <w:lang w:val="en-GB"/>
              </w:rPr>
            </w:pPr>
            <w:r w:rsidRPr="00FB473D">
              <w:rPr>
                <w:lang w:val="en-GB"/>
              </w:rPr>
              <w:t xml:space="preserve">       Week 2 – Week 3</w:t>
            </w:r>
          </w:p>
        </w:tc>
        <w:tc>
          <w:tcPr>
            <w:tcW w:w="2381" w:type="dxa"/>
            <w:tcBorders>
              <w:top w:val="nil"/>
              <w:bottom w:val="nil"/>
            </w:tcBorders>
            <w:vAlign w:val="center"/>
          </w:tcPr>
          <w:p w:rsidR="00FB473D" w:rsidRPr="00FB473D" w:rsidRDefault="00FB473D" w:rsidP="00FB473D">
            <w:pPr>
              <w:rPr>
                <w:lang w:val="en-GB"/>
              </w:rPr>
            </w:pPr>
          </w:p>
          <w:p w:rsidR="00FB473D" w:rsidRPr="00FB473D" w:rsidRDefault="00FB473D" w:rsidP="00FB473D">
            <w:pPr>
              <w:rPr>
                <w:lang w:val="en-GB"/>
              </w:rPr>
            </w:pPr>
          </w:p>
          <w:p w:rsidR="00FB473D" w:rsidRPr="00FB473D" w:rsidRDefault="00FB473D" w:rsidP="00FB473D">
            <w:pPr>
              <w:rPr>
                <w:lang w:val="en-GB"/>
              </w:rPr>
            </w:pPr>
            <w:r w:rsidRPr="00FB473D">
              <w:rPr>
                <w:lang w:val="en-GB"/>
              </w:rPr>
              <w:t>8.9 (8.1, 10.0)</w:t>
            </w:r>
          </w:p>
          <w:p w:rsidR="00FB473D" w:rsidRPr="00FB473D" w:rsidRDefault="00FB473D" w:rsidP="00FB473D">
            <w:pPr>
              <w:rPr>
                <w:lang w:val="en-GB"/>
              </w:rPr>
            </w:pPr>
            <w:r w:rsidRPr="00FB473D">
              <w:rPr>
                <w:lang w:val="en-GB"/>
              </w:rPr>
              <w:t>8.4 (7.1, 9.3)</w:t>
            </w:r>
          </w:p>
        </w:tc>
        <w:tc>
          <w:tcPr>
            <w:tcW w:w="236" w:type="dxa"/>
            <w:tcBorders>
              <w:top w:val="nil"/>
              <w:bottom w:val="nil"/>
            </w:tcBorders>
            <w:vAlign w:val="center"/>
          </w:tcPr>
          <w:p w:rsidR="00FB473D" w:rsidRPr="00FB473D" w:rsidRDefault="00FB473D" w:rsidP="00FB473D">
            <w:pPr>
              <w:rPr>
                <w:lang w:val="en-GB"/>
              </w:rPr>
            </w:pPr>
          </w:p>
        </w:tc>
        <w:tc>
          <w:tcPr>
            <w:tcW w:w="2084" w:type="dxa"/>
            <w:tcBorders>
              <w:top w:val="nil"/>
              <w:bottom w:val="nil"/>
            </w:tcBorders>
            <w:vAlign w:val="center"/>
          </w:tcPr>
          <w:p w:rsidR="00FB473D" w:rsidRPr="00FB473D" w:rsidRDefault="00FB473D" w:rsidP="00FB473D">
            <w:pPr>
              <w:rPr>
                <w:lang w:val="en-GB"/>
              </w:rPr>
            </w:pPr>
          </w:p>
          <w:p w:rsidR="00FB473D" w:rsidRPr="00FB473D" w:rsidRDefault="00FB473D" w:rsidP="00FB473D">
            <w:pPr>
              <w:rPr>
                <w:lang w:val="en-GB"/>
              </w:rPr>
            </w:pPr>
          </w:p>
          <w:p w:rsidR="00FB473D" w:rsidRPr="00FB473D" w:rsidRDefault="00FB473D" w:rsidP="00FB473D">
            <w:pPr>
              <w:rPr>
                <w:lang w:val="en-GB"/>
              </w:rPr>
            </w:pPr>
            <w:r w:rsidRPr="00FB473D">
              <w:rPr>
                <w:lang w:val="en-GB"/>
              </w:rPr>
              <w:t>9.9 (8.6, 10.8)</w:t>
            </w:r>
          </w:p>
          <w:p w:rsidR="00FB473D" w:rsidRPr="00FB473D" w:rsidRDefault="00FB473D" w:rsidP="00FB473D">
            <w:pPr>
              <w:rPr>
                <w:lang w:val="en-GB"/>
              </w:rPr>
            </w:pPr>
            <w:r w:rsidRPr="00FB473D">
              <w:rPr>
                <w:lang w:val="en-GB"/>
              </w:rPr>
              <w:t>9.4 (7.4, 11.1)</w:t>
            </w:r>
          </w:p>
        </w:tc>
      </w:tr>
      <w:tr w:rsidR="00FB473D" w:rsidRPr="00FB473D" w:rsidTr="00CC7113">
        <w:trPr>
          <w:jc w:val="center"/>
        </w:trPr>
        <w:tc>
          <w:tcPr>
            <w:tcW w:w="3236" w:type="dxa"/>
            <w:tcBorders>
              <w:top w:val="nil"/>
              <w:bottom w:val="single" w:sz="4" w:space="0" w:color="auto"/>
            </w:tcBorders>
            <w:vAlign w:val="center"/>
          </w:tcPr>
          <w:p w:rsidR="00FB473D" w:rsidRPr="00FB473D" w:rsidRDefault="00FB473D" w:rsidP="00FB473D">
            <w:pPr>
              <w:rPr>
                <w:b/>
                <w:lang w:val="en-GB"/>
              </w:rPr>
            </w:pPr>
            <w:r w:rsidRPr="00FB473D">
              <w:rPr>
                <w:b/>
                <w:lang w:val="en-GB"/>
              </w:rPr>
              <w:t>Number of collected urine voids per day</w:t>
            </w:r>
          </w:p>
        </w:tc>
        <w:tc>
          <w:tcPr>
            <w:tcW w:w="2381" w:type="dxa"/>
            <w:tcBorders>
              <w:top w:val="nil"/>
              <w:bottom w:val="single" w:sz="4" w:space="0" w:color="auto"/>
            </w:tcBorders>
            <w:vAlign w:val="center"/>
          </w:tcPr>
          <w:p w:rsidR="00FB473D" w:rsidRPr="00FB473D" w:rsidRDefault="00FB473D" w:rsidP="00FB473D">
            <w:pPr>
              <w:rPr>
                <w:lang w:val="en-GB"/>
              </w:rPr>
            </w:pPr>
            <w:r w:rsidRPr="00FB473D">
              <w:rPr>
                <w:lang w:val="en-GB"/>
              </w:rPr>
              <w:t>8 (7, 10)</w:t>
            </w:r>
          </w:p>
          <w:p w:rsidR="00FB473D" w:rsidRPr="00FB473D" w:rsidRDefault="00FB473D" w:rsidP="00FB473D">
            <w:pPr>
              <w:rPr>
                <w:lang w:val="en-GB"/>
              </w:rPr>
            </w:pPr>
          </w:p>
        </w:tc>
        <w:tc>
          <w:tcPr>
            <w:tcW w:w="236" w:type="dxa"/>
            <w:tcBorders>
              <w:top w:val="nil"/>
              <w:bottom w:val="single" w:sz="4" w:space="0" w:color="auto"/>
            </w:tcBorders>
            <w:vAlign w:val="center"/>
          </w:tcPr>
          <w:p w:rsidR="00FB473D" w:rsidRPr="00FB473D" w:rsidRDefault="00FB473D" w:rsidP="00FB473D">
            <w:pPr>
              <w:rPr>
                <w:lang w:val="en-GB"/>
              </w:rPr>
            </w:pPr>
          </w:p>
        </w:tc>
        <w:tc>
          <w:tcPr>
            <w:tcW w:w="2084" w:type="dxa"/>
            <w:tcBorders>
              <w:top w:val="nil"/>
              <w:bottom w:val="single" w:sz="4" w:space="0" w:color="auto"/>
            </w:tcBorders>
            <w:vAlign w:val="center"/>
          </w:tcPr>
          <w:p w:rsidR="00FB473D" w:rsidRPr="00FB473D" w:rsidRDefault="00FB473D" w:rsidP="00FB473D">
            <w:pPr>
              <w:rPr>
                <w:lang w:val="en-GB"/>
              </w:rPr>
            </w:pPr>
            <w:r w:rsidRPr="00FB473D">
              <w:rPr>
                <w:lang w:val="en-GB"/>
              </w:rPr>
              <w:t>6 (5, 8)</w:t>
            </w:r>
          </w:p>
          <w:p w:rsidR="00FB473D" w:rsidRPr="00FB473D" w:rsidRDefault="00FB473D" w:rsidP="00FB473D">
            <w:pPr>
              <w:rPr>
                <w:lang w:val="en-GB"/>
              </w:rPr>
            </w:pPr>
          </w:p>
        </w:tc>
      </w:tr>
    </w:tbl>
    <w:p w:rsidR="00FB473D" w:rsidRPr="00FB473D" w:rsidRDefault="00FB473D" w:rsidP="00FB473D">
      <w:pPr>
        <w:spacing w:after="0" w:line="480" w:lineRule="auto"/>
        <w:jc w:val="both"/>
        <w:rPr>
          <w:rFonts w:ascii="Times New Roman" w:eastAsia="Times New Roman" w:hAnsi="Times New Roman" w:cs="Times New Roman"/>
          <w:sz w:val="24"/>
          <w:szCs w:val="24"/>
          <w:lang w:val="en-GB" w:eastAsia="fr-FR"/>
        </w:rPr>
      </w:pPr>
    </w:p>
    <w:p w:rsidR="00FB473D" w:rsidRPr="00FB473D" w:rsidRDefault="00FB473D" w:rsidP="00FB473D">
      <w:pPr>
        <w:spacing w:after="0" w:line="480" w:lineRule="auto"/>
        <w:jc w:val="both"/>
        <w:rPr>
          <w:rFonts w:ascii="Times New Roman" w:eastAsia="Times New Roman" w:hAnsi="Times New Roman" w:cs="Times New Roman"/>
          <w:color w:val="FF0000"/>
          <w:sz w:val="24"/>
          <w:szCs w:val="24"/>
          <w:lang w:val="en-GB" w:eastAsia="fr-FR"/>
        </w:rPr>
        <w:sectPr w:rsidR="00FB473D" w:rsidRPr="00FB473D" w:rsidSect="005F5FC5">
          <w:pgSz w:w="11906" w:h="16838"/>
          <w:pgMar w:top="1411" w:right="1411" w:bottom="1411" w:left="1411" w:header="706" w:footer="706" w:gutter="0"/>
          <w:cols w:space="708"/>
          <w:docGrid w:linePitch="360"/>
        </w:sectPr>
      </w:pPr>
    </w:p>
    <w:p w:rsidR="00B12F4A" w:rsidRDefault="00B12F4A" w:rsidP="0069578D">
      <w:pPr>
        <w:pStyle w:val="Caption"/>
        <w:jc w:val="both"/>
        <w:rPr>
          <w:rFonts w:ascii="Times New Roman" w:eastAsia="Times New Roman" w:hAnsi="Times New Roman" w:cs="Times New Roman"/>
          <w:i w:val="0"/>
          <w:color w:val="auto"/>
          <w:sz w:val="24"/>
          <w:szCs w:val="24"/>
          <w:lang w:val="en-GB" w:eastAsia="fr-FR"/>
        </w:rPr>
      </w:pPr>
      <w:bookmarkStart w:id="3" w:name="_Toc531343072"/>
      <w:proofErr w:type="spellStart"/>
      <w:r w:rsidRPr="0037061D">
        <w:rPr>
          <w:rFonts w:ascii="Times New Roman" w:hAnsi="Times New Roman" w:cs="Times New Roman"/>
          <w:b/>
          <w:i w:val="0"/>
          <w:color w:val="auto"/>
          <w:sz w:val="24"/>
          <w:szCs w:val="24"/>
        </w:rPr>
        <w:lastRenderedPageBreak/>
        <w:t>eFigure</w:t>
      </w:r>
      <w:proofErr w:type="spellEnd"/>
      <w:r w:rsidRPr="0037061D">
        <w:rPr>
          <w:rFonts w:ascii="Times New Roman" w:hAnsi="Times New Roman" w:cs="Times New Roman"/>
          <w:b/>
          <w:i w:val="0"/>
          <w:color w:val="auto"/>
          <w:sz w:val="24"/>
          <w:szCs w:val="24"/>
        </w:rPr>
        <w:t xml:space="preserve"> </w:t>
      </w:r>
      <w:r w:rsidRPr="0037061D">
        <w:rPr>
          <w:rFonts w:ascii="Times New Roman" w:hAnsi="Times New Roman" w:cs="Times New Roman"/>
          <w:b/>
          <w:i w:val="0"/>
          <w:color w:val="auto"/>
          <w:sz w:val="24"/>
          <w:szCs w:val="24"/>
        </w:rPr>
        <w:fldChar w:fldCharType="begin"/>
      </w:r>
      <w:r w:rsidRPr="0037061D">
        <w:rPr>
          <w:rFonts w:ascii="Times New Roman" w:hAnsi="Times New Roman" w:cs="Times New Roman"/>
          <w:b/>
          <w:i w:val="0"/>
          <w:color w:val="auto"/>
          <w:sz w:val="24"/>
          <w:szCs w:val="24"/>
        </w:rPr>
        <w:instrText xml:space="preserve"> SEQ eFigure \* ARABIC </w:instrText>
      </w:r>
      <w:r w:rsidRPr="0037061D">
        <w:rPr>
          <w:rFonts w:ascii="Times New Roman" w:hAnsi="Times New Roman" w:cs="Times New Roman"/>
          <w:b/>
          <w:i w:val="0"/>
          <w:color w:val="auto"/>
          <w:sz w:val="24"/>
          <w:szCs w:val="24"/>
        </w:rPr>
        <w:fldChar w:fldCharType="separate"/>
      </w:r>
      <w:r w:rsidRPr="0037061D">
        <w:rPr>
          <w:rFonts w:ascii="Times New Roman" w:hAnsi="Times New Roman" w:cs="Times New Roman"/>
          <w:b/>
          <w:i w:val="0"/>
          <w:noProof/>
          <w:color w:val="auto"/>
          <w:sz w:val="24"/>
          <w:szCs w:val="24"/>
        </w:rPr>
        <w:t>1</w:t>
      </w:r>
      <w:r w:rsidRPr="0037061D">
        <w:rPr>
          <w:rFonts w:ascii="Times New Roman" w:hAnsi="Times New Roman" w:cs="Times New Roman"/>
          <w:b/>
          <w:i w:val="0"/>
          <w:color w:val="auto"/>
          <w:sz w:val="24"/>
          <w:szCs w:val="24"/>
        </w:rPr>
        <w:fldChar w:fldCharType="end"/>
      </w:r>
      <w:r w:rsidRPr="0037061D">
        <w:rPr>
          <w:rFonts w:ascii="Times New Roman" w:hAnsi="Times New Roman" w:cs="Times New Roman"/>
          <w:b/>
          <w:i w:val="0"/>
          <w:color w:val="auto"/>
          <w:sz w:val="24"/>
          <w:szCs w:val="24"/>
        </w:rPr>
        <w:t>.</w:t>
      </w:r>
      <w:r w:rsidRPr="0037061D">
        <w:rPr>
          <w:rFonts w:ascii="Times New Roman" w:hAnsi="Times New Roman" w:cs="Times New Roman"/>
          <w:i w:val="0"/>
          <w:color w:val="auto"/>
          <w:sz w:val="24"/>
          <w:szCs w:val="24"/>
        </w:rPr>
        <w:t xml:space="preserve"> </w:t>
      </w:r>
      <w:r w:rsidRPr="0037061D">
        <w:rPr>
          <w:rFonts w:ascii="Times New Roman" w:eastAsia="Times New Roman" w:hAnsi="Times New Roman" w:cs="Times New Roman"/>
          <w:i w:val="0"/>
          <w:color w:val="auto"/>
          <w:sz w:val="24"/>
          <w:szCs w:val="24"/>
          <w:lang w:val="en-GB" w:eastAsia="fr-FR"/>
        </w:rPr>
        <w:t xml:space="preserve">Daily exposure window – </w:t>
      </w:r>
      <w:r w:rsidRPr="009E72BA">
        <w:rPr>
          <w:rFonts w:ascii="Times New Roman" w:eastAsia="Times New Roman" w:hAnsi="Times New Roman" w:cs="Times New Roman"/>
          <w:i w:val="0"/>
          <w:color w:val="auto"/>
          <w:sz w:val="24"/>
          <w:szCs w:val="24"/>
          <w:lang w:val="en-GB" w:eastAsia="fr-FR"/>
        </w:rPr>
        <w:t>Scatter plots of exposure estimates from Protocol 2 (equal volumes of three spot urines voids were pooled within-subject) against those from Protocol 1 (equal volumes of all spot urine voids collected during the 3 follow-up weeks were pooled within-subject) (mean-</w:t>
      </w:r>
      <w:proofErr w:type="spellStart"/>
      <w:r w:rsidRPr="009E72BA">
        <w:rPr>
          <w:rFonts w:ascii="Times New Roman" w:eastAsia="Times New Roman" w:hAnsi="Times New Roman" w:cs="Times New Roman"/>
          <w:i w:val="0"/>
          <w:color w:val="auto"/>
          <w:sz w:val="24"/>
          <w:szCs w:val="24"/>
          <w:lang w:val="en-GB" w:eastAsia="fr-FR"/>
        </w:rPr>
        <w:t>centered</w:t>
      </w:r>
      <w:proofErr w:type="spellEnd"/>
      <w:r w:rsidRPr="009E72BA">
        <w:rPr>
          <w:rFonts w:ascii="Times New Roman" w:eastAsia="Times New Roman" w:hAnsi="Times New Roman" w:cs="Times New Roman"/>
          <w:i w:val="0"/>
          <w:color w:val="auto"/>
          <w:sz w:val="24"/>
          <w:szCs w:val="24"/>
          <w:lang w:val="en-GB" w:eastAsia="fr-FR"/>
        </w:rPr>
        <w:t xml:space="preserve"> ln-transformed biomarker concentrations, n = 8 women, N = 20 samples).</w:t>
      </w:r>
      <w:bookmarkEnd w:id="3"/>
      <w:r w:rsidRPr="009E72BA">
        <w:rPr>
          <w:rFonts w:ascii="Times New Roman" w:eastAsia="Times New Roman" w:hAnsi="Times New Roman" w:cs="Times New Roman"/>
          <w:i w:val="0"/>
          <w:color w:val="auto"/>
          <w:sz w:val="24"/>
          <w:szCs w:val="24"/>
          <w:lang w:val="en-GB" w:eastAsia="fr-FR"/>
        </w:rPr>
        <w:t xml:space="preserve"> </w:t>
      </w:r>
    </w:p>
    <w:p w:rsidR="00B12F4A" w:rsidRDefault="00074981" w:rsidP="003A5B6E">
      <w:pPr>
        <w:pStyle w:val="Caption"/>
        <w:jc w:val="center"/>
        <w:rPr>
          <w:rFonts w:ascii="Times New Roman" w:eastAsia="Times New Roman" w:hAnsi="Times New Roman" w:cs="Times New Roman"/>
          <w:i w:val="0"/>
          <w:iCs w:val="0"/>
          <w:color w:val="auto"/>
          <w:sz w:val="20"/>
          <w:szCs w:val="20"/>
          <w:lang w:val="en-GB" w:eastAsia="fr-FR"/>
        </w:rPr>
      </w:pPr>
      <w:r>
        <w:rPr>
          <w:rFonts w:ascii="Times New Roman" w:eastAsia="Times New Roman" w:hAnsi="Times New Roman" w:cs="Times New Roman"/>
          <w:i w:val="0"/>
          <w:iCs w:val="0"/>
          <w:noProof/>
          <w:color w:val="auto"/>
          <w:sz w:val="20"/>
          <w:szCs w:val="20"/>
        </w:rPr>
        <w:drawing>
          <wp:inline distT="0" distB="0" distL="0" distR="0">
            <wp:extent cx="4658000" cy="6120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S1.gif"/>
                    <pic:cNvPicPr/>
                  </pic:nvPicPr>
                  <pic:blipFill>
                    <a:blip r:embed="rId9">
                      <a:extLst>
                        <a:ext uri="{28A0092B-C50C-407E-A947-70E740481C1C}">
                          <a14:useLocalDpi xmlns:a14="http://schemas.microsoft.com/office/drawing/2010/main" val="0"/>
                        </a:ext>
                      </a:extLst>
                    </a:blip>
                    <a:stretch>
                      <a:fillRect/>
                    </a:stretch>
                  </pic:blipFill>
                  <pic:spPr>
                    <a:xfrm>
                      <a:off x="0" y="0"/>
                      <a:ext cx="4658000" cy="6120000"/>
                    </a:xfrm>
                    <a:prstGeom prst="rect">
                      <a:avLst/>
                    </a:prstGeom>
                  </pic:spPr>
                </pic:pic>
              </a:graphicData>
            </a:graphic>
          </wp:inline>
        </w:drawing>
      </w:r>
    </w:p>
    <w:p w:rsidR="00B12F4A" w:rsidRPr="0037061D" w:rsidRDefault="00B12F4A" w:rsidP="0069578D">
      <w:pPr>
        <w:pStyle w:val="Caption"/>
        <w:spacing w:line="480" w:lineRule="auto"/>
        <w:jc w:val="both"/>
        <w:rPr>
          <w:rFonts w:ascii="Times New Roman" w:eastAsia="Times New Roman" w:hAnsi="Times New Roman" w:cs="Times New Roman"/>
          <w:i w:val="0"/>
          <w:color w:val="auto"/>
          <w:sz w:val="24"/>
          <w:szCs w:val="24"/>
          <w:lang w:val="en-GB" w:eastAsia="fr-FR"/>
        </w:rPr>
      </w:pPr>
      <w:r w:rsidRPr="009E72BA">
        <w:rPr>
          <w:rFonts w:ascii="Times New Roman" w:eastAsia="Times New Roman" w:hAnsi="Times New Roman" w:cs="Times New Roman"/>
          <w:i w:val="0"/>
          <w:iCs w:val="0"/>
          <w:color w:val="auto"/>
          <w:sz w:val="20"/>
          <w:szCs w:val="20"/>
          <w:lang w:val="en-GB" w:eastAsia="fr-FR"/>
        </w:rPr>
        <w:t>The filled red line represents the regression line and the filled black line the identity function. Horizontal and vertical dotted lines indicate the biomarker-specific limit of detection.</w:t>
      </w:r>
    </w:p>
    <w:p w:rsidR="00B12F4A" w:rsidRDefault="00B12F4A" w:rsidP="0037061D">
      <w:pPr>
        <w:pStyle w:val="Caption"/>
        <w:rPr>
          <w:rFonts w:ascii="Times New Roman" w:hAnsi="Times New Roman" w:cs="Times New Roman"/>
          <w:b/>
          <w:i w:val="0"/>
          <w:color w:val="auto"/>
          <w:sz w:val="24"/>
          <w:szCs w:val="24"/>
        </w:rPr>
        <w:sectPr w:rsidR="00B12F4A" w:rsidSect="00CC7113">
          <w:pgSz w:w="12240" w:h="15840"/>
          <w:pgMar w:top="1418" w:right="1418" w:bottom="1418" w:left="1418" w:header="720" w:footer="720" w:gutter="0"/>
          <w:cols w:space="720"/>
          <w:docGrid w:linePitch="360"/>
        </w:sectPr>
      </w:pPr>
    </w:p>
    <w:p w:rsidR="00FB473D" w:rsidRPr="0037061D" w:rsidRDefault="0037061D" w:rsidP="0069578D">
      <w:pPr>
        <w:pStyle w:val="Caption"/>
        <w:jc w:val="both"/>
        <w:rPr>
          <w:rFonts w:ascii="Times New Roman" w:eastAsia="Times New Roman" w:hAnsi="Times New Roman" w:cs="Times New Roman"/>
          <w:i w:val="0"/>
          <w:color w:val="auto"/>
          <w:sz w:val="24"/>
          <w:szCs w:val="24"/>
          <w:lang w:val="en-GB" w:eastAsia="fr-FR"/>
        </w:rPr>
      </w:pPr>
      <w:bookmarkStart w:id="4" w:name="_Toc531343073"/>
      <w:proofErr w:type="spellStart"/>
      <w:r w:rsidRPr="0037061D">
        <w:rPr>
          <w:rFonts w:ascii="Times New Roman" w:hAnsi="Times New Roman" w:cs="Times New Roman"/>
          <w:b/>
          <w:i w:val="0"/>
          <w:color w:val="auto"/>
          <w:sz w:val="24"/>
          <w:szCs w:val="24"/>
        </w:rPr>
        <w:lastRenderedPageBreak/>
        <w:t>eFigure</w:t>
      </w:r>
      <w:proofErr w:type="spellEnd"/>
      <w:r w:rsidRPr="0037061D">
        <w:rPr>
          <w:rFonts w:ascii="Times New Roman" w:hAnsi="Times New Roman" w:cs="Times New Roman"/>
          <w:b/>
          <w:i w:val="0"/>
          <w:color w:val="auto"/>
          <w:sz w:val="24"/>
          <w:szCs w:val="24"/>
        </w:rPr>
        <w:t xml:space="preserve"> </w:t>
      </w:r>
      <w:r w:rsidRPr="0037061D">
        <w:rPr>
          <w:rFonts w:ascii="Times New Roman" w:hAnsi="Times New Roman" w:cs="Times New Roman"/>
          <w:b/>
          <w:i w:val="0"/>
          <w:color w:val="auto"/>
          <w:sz w:val="24"/>
          <w:szCs w:val="24"/>
        </w:rPr>
        <w:fldChar w:fldCharType="begin"/>
      </w:r>
      <w:r w:rsidRPr="0037061D">
        <w:rPr>
          <w:rFonts w:ascii="Times New Roman" w:hAnsi="Times New Roman" w:cs="Times New Roman"/>
          <w:b/>
          <w:i w:val="0"/>
          <w:color w:val="auto"/>
          <w:sz w:val="24"/>
          <w:szCs w:val="24"/>
        </w:rPr>
        <w:instrText xml:space="preserve"> SEQ eFigure \* ARABIC </w:instrText>
      </w:r>
      <w:r w:rsidRPr="0037061D">
        <w:rPr>
          <w:rFonts w:ascii="Times New Roman" w:hAnsi="Times New Roman" w:cs="Times New Roman"/>
          <w:b/>
          <w:i w:val="0"/>
          <w:color w:val="auto"/>
          <w:sz w:val="24"/>
          <w:szCs w:val="24"/>
        </w:rPr>
        <w:fldChar w:fldCharType="separate"/>
      </w:r>
      <w:r w:rsidR="0069578D">
        <w:rPr>
          <w:rFonts w:ascii="Times New Roman" w:hAnsi="Times New Roman" w:cs="Times New Roman"/>
          <w:b/>
          <w:i w:val="0"/>
          <w:noProof/>
          <w:color w:val="auto"/>
          <w:sz w:val="24"/>
          <w:szCs w:val="24"/>
        </w:rPr>
        <w:t>2</w:t>
      </w:r>
      <w:r w:rsidRPr="0037061D">
        <w:rPr>
          <w:rFonts w:ascii="Times New Roman" w:hAnsi="Times New Roman" w:cs="Times New Roman"/>
          <w:b/>
          <w:i w:val="0"/>
          <w:color w:val="auto"/>
          <w:sz w:val="24"/>
          <w:szCs w:val="24"/>
        </w:rPr>
        <w:fldChar w:fldCharType="end"/>
      </w:r>
      <w:r w:rsidRPr="0037061D">
        <w:rPr>
          <w:rFonts w:ascii="Times New Roman" w:hAnsi="Times New Roman" w:cs="Times New Roman"/>
          <w:b/>
          <w:i w:val="0"/>
          <w:color w:val="auto"/>
          <w:sz w:val="24"/>
          <w:szCs w:val="24"/>
        </w:rPr>
        <w:t>.</w:t>
      </w:r>
      <w:r w:rsidRPr="0037061D">
        <w:rPr>
          <w:rFonts w:ascii="Times New Roman" w:hAnsi="Times New Roman" w:cs="Times New Roman"/>
          <w:i w:val="0"/>
          <w:color w:val="auto"/>
          <w:sz w:val="24"/>
          <w:szCs w:val="24"/>
        </w:rPr>
        <w:t xml:space="preserve"> </w:t>
      </w:r>
      <w:r w:rsidR="00FB473D" w:rsidRPr="0037061D">
        <w:rPr>
          <w:rFonts w:ascii="Times New Roman" w:eastAsia="Times New Roman" w:hAnsi="Times New Roman" w:cs="Times New Roman"/>
          <w:i w:val="0"/>
          <w:color w:val="auto"/>
          <w:sz w:val="24"/>
          <w:szCs w:val="24"/>
          <w:lang w:val="en-GB" w:eastAsia="fr-FR"/>
        </w:rPr>
        <w:t>Daily exposure window – Bland-Altman plots for Protocols 1 (equal volumes of all spot urine voids were within-subject pooled) and 2 (equal volumes of three spot urine voids were within-subject pooled) daily averages of ln-transformed biomarkers.</w:t>
      </w:r>
      <w:bookmarkEnd w:id="4"/>
    </w:p>
    <w:p w:rsidR="00FB473D" w:rsidRPr="00FB473D" w:rsidRDefault="00FB473D" w:rsidP="00FB473D">
      <w:pPr>
        <w:spacing w:after="0" w:line="480" w:lineRule="auto"/>
        <w:ind w:left="-720" w:right="-450"/>
        <w:jc w:val="center"/>
        <w:rPr>
          <w:rFonts w:ascii="Times New Roman" w:eastAsia="Times New Roman" w:hAnsi="Times New Roman" w:cs="Times New Roman"/>
          <w:sz w:val="24"/>
          <w:szCs w:val="24"/>
          <w:lang w:val="en-GB" w:eastAsia="fr-FR"/>
        </w:rPr>
      </w:pPr>
      <w:r w:rsidRPr="00FB473D">
        <w:rPr>
          <w:rFonts w:ascii="Times New Roman" w:eastAsia="Times New Roman" w:hAnsi="Times New Roman" w:cs="Times New Roman"/>
          <w:noProof/>
          <w:sz w:val="24"/>
          <w:szCs w:val="24"/>
        </w:rPr>
        <w:drawing>
          <wp:inline distT="0" distB="0" distL="0" distR="0" wp14:anchorId="6D5E5CEB" wp14:editId="581F909A">
            <wp:extent cx="4770082" cy="6120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0082" cy="6120000"/>
                    </a:xfrm>
                    <a:prstGeom prst="rect">
                      <a:avLst/>
                    </a:prstGeom>
                    <a:noFill/>
                    <a:ln>
                      <a:noFill/>
                    </a:ln>
                  </pic:spPr>
                </pic:pic>
              </a:graphicData>
            </a:graphic>
          </wp:inline>
        </w:drawing>
      </w:r>
    </w:p>
    <w:p w:rsidR="00FB473D" w:rsidRPr="00FB473D" w:rsidRDefault="00FB473D" w:rsidP="00FB473D">
      <w:pPr>
        <w:spacing w:after="0" w:line="480" w:lineRule="auto"/>
        <w:jc w:val="both"/>
        <w:rPr>
          <w:rFonts w:ascii="Times New Roman" w:eastAsia="Times New Roman" w:hAnsi="Times New Roman" w:cs="Times New Roman"/>
          <w:sz w:val="20"/>
          <w:szCs w:val="20"/>
          <w:lang w:val="en-GB" w:eastAsia="fr-FR"/>
        </w:rPr>
      </w:pPr>
      <w:r w:rsidRPr="00FB473D">
        <w:rPr>
          <w:rFonts w:ascii="Times New Roman" w:eastAsia="Times New Roman" w:hAnsi="Times New Roman" w:cs="Times New Roman"/>
          <w:sz w:val="20"/>
          <w:szCs w:val="20"/>
          <w:lang w:val="en-GB" w:eastAsia="fr-FR"/>
        </w:rPr>
        <w:t xml:space="preserve">The filled red lines represent the biomarker-specific mean differences between Protocols 1 and 2 </w:t>
      </w:r>
      <w:proofErr w:type="gramStart"/>
      <w:r w:rsidRPr="00FB473D">
        <w:rPr>
          <w:rFonts w:ascii="Times New Roman" w:eastAsia="Times New Roman" w:hAnsi="Times New Roman" w:cs="Times New Roman"/>
          <w:sz w:val="20"/>
          <w:szCs w:val="20"/>
          <w:lang w:val="en-GB" w:eastAsia="fr-FR"/>
        </w:rPr>
        <w:t>concentrations, and</w:t>
      </w:r>
      <w:proofErr w:type="gramEnd"/>
      <w:r w:rsidRPr="00FB473D">
        <w:rPr>
          <w:rFonts w:ascii="Times New Roman" w:eastAsia="Times New Roman" w:hAnsi="Times New Roman" w:cs="Times New Roman"/>
          <w:sz w:val="20"/>
          <w:szCs w:val="20"/>
          <w:lang w:val="en-GB" w:eastAsia="fr-FR"/>
        </w:rPr>
        <w:t xml:space="preserve"> can be compared to the black dotted line (y=0). Dotted red lines indicate the biomarker-specific upper (mean difference + 1.96 standard deviation [SD]), and lower limits of agreement (mean difference - 1.96 SD).</w:t>
      </w:r>
    </w:p>
    <w:p w:rsidR="00FB473D" w:rsidRPr="00FB473D" w:rsidRDefault="00FB473D" w:rsidP="00FB473D">
      <w:pPr>
        <w:spacing w:after="0" w:line="480" w:lineRule="auto"/>
        <w:ind w:right="-450"/>
        <w:jc w:val="both"/>
        <w:rPr>
          <w:rFonts w:ascii="Times New Roman" w:eastAsia="Times New Roman" w:hAnsi="Times New Roman" w:cs="Times New Roman"/>
          <w:sz w:val="24"/>
          <w:szCs w:val="24"/>
          <w:lang w:val="en-GB" w:eastAsia="fr-FR"/>
        </w:rPr>
        <w:sectPr w:rsidR="00FB473D" w:rsidRPr="00FB473D" w:rsidSect="00CC7113">
          <w:pgSz w:w="12240" w:h="15840"/>
          <w:pgMar w:top="1418" w:right="1418" w:bottom="1418" w:left="1418" w:header="720" w:footer="720" w:gutter="0"/>
          <w:cols w:space="720"/>
          <w:docGrid w:linePitch="360"/>
        </w:sectPr>
      </w:pPr>
    </w:p>
    <w:p w:rsidR="00B12F4A" w:rsidRDefault="00B12F4A" w:rsidP="0069578D">
      <w:pPr>
        <w:pStyle w:val="Caption"/>
        <w:jc w:val="both"/>
        <w:rPr>
          <w:rFonts w:ascii="Times New Roman" w:eastAsia="Times New Roman" w:hAnsi="Times New Roman" w:cs="Times New Roman"/>
          <w:i w:val="0"/>
          <w:iCs w:val="0"/>
          <w:color w:val="auto"/>
          <w:sz w:val="20"/>
          <w:szCs w:val="20"/>
          <w:lang w:val="en-GB" w:eastAsia="fr-FR"/>
        </w:rPr>
      </w:pPr>
      <w:bookmarkStart w:id="5" w:name="_Toc531343074"/>
      <w:proofErr w:type="spellStart"/>
      <w:r w:rsidRPr="0037061D">
        <w:rPr>
          <w:rFonts w:ascii="Times New Roman" w:hAnsi="Times New Roman" w:cs="Times New Roman"/>
          <w:b/>
          <w:i w:val="0"/>
          <w:color w:val="auto"/>
          <w:sz w:val="24"/>
          <w:szCs w:val="24"/>
        </w:rPr>
        <w:lastRenderedPageBreak/>
        <w:t>eFigure</w:t>
      </w:r>
      <w:proofErr w:type="spellEnd"/>
      <w:r w:rsidRPr="0037061D">
        <w:rPr>
          <w:rFonts w:ascii="Times New Roman" w:hAnsi="Times New Roman" w:cs="Times New Roman"/>
          <w:b/>
          <w:i w:val="0"/>
          <w:color w:val="auto"/>
          <w:sz w:val="24"/>
          <w:szCs w:val="24"/>
        </w:rPr>
        <w:t xml:space="preserve"> </w:t>
      </w:r>
      <w:r w:rsidRPr="0037061D">
        <w:rPr>
          <w:rFonts w:ascii="Times New Roman" w:hAnsi="Times New Roman" w:cs="Times New Roman"/>
          <w:b/>
          <w:i w:val="0"/>
          <w:color w:val="auto"/>
          <w:sz w:val="24"/>
          <w:szCs w:val="24"/>
        </w:rPr>
        <w:fldChar w:fldCharType="begin"/>
      </w:r>
      <w:r w:rsidRPr="0037061D">
        <w:rPr>
          <w:rFonts w:ascii="Times New Roman" w:hAnsi="Times New Roman" w:cs="Times New Roman"/>
          <w:b/>
          <w:i w:val="0"/>
          <w:color w:val="auto"/>
          <w:sz w:val="24"/>
          <w:szCs w:val="24"/>
        </w:rPr>
        <w:instrText xml:space="preserve"> SEQ eFigure \* ARABIC </w:instrText>
      </w:r>
      <w:r w:rsidRPr="0037061D">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3</w:t>
      </w:r>
      <w:r w:rsidRPr="0037061D">
        <w:rPr>
          <w:rFonts w:ascii="Times New Roman" w:hAnsi="Times New Roman" w:cs="Times New Roman"/>
          <w:b/>
          <w:i w:val="0"/>
          <w:color w:val="auto"/>
          <w:sz w:val="24"/>
          <w:szCs w:val="24"/>
        </w:rPr>
        <w:fldChar w:fldCharType="end"/>
      </w:r>
      <w:r w:rsidRPr="0037061D">
        <w:rPr>
          <w:rFonts w:ascii="Times New Roman" w:hAnsi="Times New Roman" w:cs="Times New Roman"/>
          <w:b/>
          <w:i w:val="0"/>
          <w:color w:val="auto"/>
          <w:sz w:val="24"/>
          <w:szCs w:val="24"/>
        </w:rPr>
        <w:t>.</w:t>
      </w:r>
      <w:r>
        <w:rPr>
          <w:rFonts w:ascii="Times New Roman" w:hAnsi="Times New Roman" w:cs="Times New Roman"/>
          <w:i w:val="0"/>
          <w:color w:val="auto"/>
          <w:sz w:val="24"/>
          <w:szCs w:val="24"/>
        </w:rPr>
        <w:t xml:space="preserve"> </w:t>
      </w:r>
      <w:r w:rsidRPr="0037061D">
        <w:rPr>
          <w:rFonts w:ascii="Times New Roman" w:eastAsia="Times New Roman" w:hAnsi="Times New Roman" w:cs="Times New Roman"/>
          <w:i w:val="0"/>
          <w:color w:val="auto"/>
          <w:sz w:val="24"/>
          <w:szCs w:val="24"/>
          <w:lang w:val="en-GB" w:eastAsia="fr-FR"/>
        </w:rPr>
        <w:t xml:space="preserve">Weekly exposure window – </w:t>
      </w:r>
      <w:r w:rsidRPr="009E72BA">
        <w:rPr>
          <w:rFonts w:ascii="Times New Roman" w:eastAsia="Times New Roman" w:hAnsi="Times New Roman" w:cs="Times New Roman"/>
          <w:i w:val="0"/>
          <w:color w:val="auto"/>
          <w:sz w:val="24"/>
          <w:szCs w:val="24"/>
          <w:lang w:val="en-GB" w:eastAsia="fr-FR"/>
        </w:rPr>
        <w:t>Scatter plots of exposure estimates from Protocol 2 (equal volumes of three spot urine voids were pooled within-subject for daily pools) against those from Protocol 1 (equal volumes of all spot urine voids were pooled within-subject) (mean-</w:t>
      </w:r>
      <w:proofErr w:type="spellStart"/>
      <w:r w:rsidRPr="009E72BA">
        <w:rPr>
          <w:rFonts w:ascii="Times New Roman" w:eastAsia="Times New Roman" w:hAnsi="Times New Roman" w:cs="Times New Roman"/>
          <w:i w:val="0"/>
          <w:color w:val="auto"/>
          <w:sz w:val="24"/>
          <w:szCs w:val="24"/>
          <w:lang w:val="en-GB" w:eastAsia="fr-FR"/>
        </w:rPr>
        <w:t>centered</w:t>
      </w:r>
      <w:proofErr w:type="spellEnd"/>
      <w:r w:rsidRPr="009E72BA">
        <w:rPr>
          <w:rFonts w:ascii="Times New Roman" w:eastAsia="Times New Roman" w:hAnsi="Times New Roman" w:cs="Times New Roman"/>
          <w:i w:val="0"/>
          <w:color w:val="auto"/>
          <w:sz w:val="24"/>
          <w:szCs w:val="24"/>
          <w:lang w:val="en-GB" w:eastAsia="fr-FR"/>
        </w:rPr>
        <w:t xml:space="preserve"> ln-transformed biomarker concentrations, n = 8 women, N = 24 samples).</w:t>
      </w:r>
      <w:bookmarkEnd w:id="5"/>
      <w:r w:rsidRPr="009E72BA">
        <w:rPr>
          <w:rFonts w:ascii="Times New Roman" w:eastAsia="Times New Roman" w:hAnsi="Times New Roman" w:cs="Times New Roman"/>
          <w:i w:val="0"/>
          <w:iCs w:val="0"/>
          <w:color w:val="auto"/>
          <w:sz w:val="20"/>
          <w:szCs w:val="20"/>
          <w:lang w:val="en-GB" w:eastAsia="fr-FR"/>
        </w:rPr>
        <w:t xml:space="preserve"> </w:t>
      </w:r>
    </w:p>
    <w:p w:rsidR="00B12F4A" w:rsidRPr="009E72BA" w:rsidRDefault="00074981" w:rsidP="00074981">
      <w:pPr>
        <w:jc w:val="center"/>
        <w:rPr>
          <w:lang w:val="en-GB" w:eastAsia="fr-FR"/>
        </w:rPr>
      </w:pPr>
      <w:r>
        <w:rPr>
          <w:noProof/>
        </w:rPr>
        <w:drawing>
          <wp:inline distT="0" distB="0" distL="0" distR="0">
            <wp:extent cx="4658000" cy="6120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S2.gif"/>
                    <pic:cNvPicPr/>
                  </pic:nvPicPr>
                  <pic:blipFill>
                    <a:blip r:embed="rId11">
                      <a:extLst>
                        <a:ext uri="{28A0092B-C50C-407E-A947-70E740481C1C}">
                          <a14:useLocalDpi xmlns:a14="http://schemas.microsoft.com/office/drawing/2010/main" val="0"/>
                        </a:ext>
                      </a:extLst>
                    </a:blip>
                    <a:stretch>
                      <a:fillRect/>
                    </a:stretch>
                  </pic:blipFill>
                  <pic:spPr>
                    <a:xfrm>
                      <a:off x="0" y="0"/>
                      <a:ext cx="4658000" cy="6120000"/>
                    </a:xfrm>
                    <a:prstGeom prst="rect">
                      <a:avLst/>
                    </a:prstGeom>
                  </pic:spPr>
                </pic:pic>
              </a:graphicData>
            </a:graphic>
          </wp:inline>
        </w:drawing>
      </w:r>
    </w:p>
    <w:p w:rsidR="00B12F4A" w:rsidRPr="0037061D" w:rsidRDefault="00B12F4A" w:rsidP="0069578D">
      <w:pPr>
        <w:pStyle w:val="Caption"/>
        <w:spacing w:line="480" w:lineRule="auto"/>
        <w:jc w:val="both"/>
        <w:rPr>
          <w:rFonts w:ascii="Times New Roman" w:eastAsia="Times New Roman" w:hAnsi="Times New Roman" w:cs="Times New Roman"/>
          <w:i w:val="0"/>
          <w:color w:val="auto"/>
          <w:sz w:val="24"/>
          <w:szCs w:val="24"/>
          <w:lang w:val="en-GB" w:eastAsia="fr-FR"/>
        </w:rPr>
      </w:pPr>
      <w:r w:rsidRPr="009E72BA">
        <w:rPr>
          <w:rFonts w:ascii="Times New Roman" w:eastAsia="Times New Roman" w:hAnsi="Times New Roman" w:cs="Times New Roman"/>
          <w:i w:val="0"/>
          <w:iCs w:val="0"/>
          <w:color w:val="auto"/>
          <w:sz w:val="20"/>
          <w:szCs w:val="20"/>
          <w:lang w:val="en-GB" w:eastAsia="fr-FR"/>
        </w:rPr>
        <w:t>The filled red line represents the regression line and the filled black line the identity function. Horizontal and vertical dotted lines indicate the biomarker-specific limit of detection.</w:t>
      </w:r>
    </w:p>
    <w:p w:rsidR="00B12F4A" w:rsidRDefault="00B12F4A" w:rsidP="0037061D">
      <w:pPr>
        <w:pStyle w:val="Caption"/>
        <w:rPr>
          <w:rFonts w:ascii="Times New Roman" w:hAnsi="Times New Roman" w:cs="Times New Roman"/>
          <w:b/>
          <w:i w:val="0"/>
          <w:color w:val="auto"/>
          <w:sz w:val="24"/>
          <w:szCs w:val="24"/>
        </w:rPr>
        <w:sectPr w:rsidR="00B12F4A" w:rsidSect="00CC7113">
          <w:pgSz w:w="12240" w:h="15840"/>
          <w:pgMar w:top="1418" w:right="1418" w:bottom="1418" w:left="1418" w:header="720" w:footer="720" w:gutter="0"/>
          <w:cols w:space="720"/>
          <w:docGrid w:linePitch="360"/>
        </w:sectPr>
      </w:pPr>
    </w:p>
    <w:p w:rsidR="00FB473D" w:rsidRPr="0037061D" w:rsidRDefault="0037061D" w:rsidP="0037061D">
      <w:pPr>
        <w:pStyle w:val="Caption"/>
        <w:rPr>
          <w:rFonts w:ascii="Times New Roman" w:eastAsia="Times New Roman" w:hAnsi="Times New Roman" w:cs="Times New Roman"/>
          <w:i w:val="0"/>
          <w:color w:val="auto"/>
          <w:sz w:val="24"/>
          <w:szCs w:val="24"/>
          <w:lang w:val="en-GB" w:eastAsia="fr-FR"/>
        </w:rPr>
      </w:pPr>
      <w:bookmarkStart w:id="6" w:name="_Toc531343075"/>
      <w:proofErr w:type="spellStart"/>
      <w:r w:rsidRPr="0037061D">
        <w:rPr>
          <w:rFonts w:ascii="Times New Roman" w:hAnsi="Times New Roman" w:cs="Times New Roman"/>
          <w:b/>
          <w:i w:val="0"/>
          <w:color w:val="auto"/>
          <w:sz w:val="24"/>
          <w:szCs w:val="24"/>
        </w:rPr>
        <w:lastRenderedPageBreak/>
        <w:t>eFigure</w:t>
      </w:r>
      <w:proofErr w:type="spellEnd"/>
      <w:r w:rsidRPr="0037061D">
        <w:rPr>
          <w:rFonts w:ascii="Times New Roman" w:hAnsi="Times New Roman" w:cs="Times New Roman"/>
          <w:b/>
          <w:i w:val="0"/>
          <w:color w:val="auto"/>
          <w:sz w:val="24"/>
          <w:szCs w:val="24"/>
        </w:rPr>
        <w:t xml:space="preserve"> </w:t>
      </w:r>
      <w:r w:rsidRPr="0037061D">
        <w:rPr>
          <w:rFonts w:ascii="Times New Roman" w:hAnsi="Times New Roman" w:cs="Times New Roman"/>
          <w:b/>
          <w:i w:val="0"/>
          <w:color w:val="auto"/>
          <w:sz w:val="24"/>
          <w:szCs w:val="24"/>
        </w:rPr>
        <w:fldChar w:fldCharType="begin"/>
      </w:r>
      <w:r w:rsidRPr="0037061D">
        <w:rPr>
          <w:rFonts w:ascii="Times New Roman" w:hAnsi="Times New Roman" w:cs="Times New Roman"/>
          <w:b/>
          <w:i w:val="0"/>
          <w:color w:val="auto"/>
          <w:sz w:val="24"/>
          <w:szCs w:val="24"/>
        </w:rPr>
        <w:instrText xml:space="preserve"> SEQ eFigure \* ARABIC </w:instrText>
      </w:r>
      <w:r w:rsidRPr="0037061D">
        <w:rPr>
          <w:rFonts w:ascii="Times New Roman" w:hAnsi="Times New Roman" w:cs="Times New Roman"/>
          <w:b/>
          <w:i w:val="0"/>
          <w:color w:val="auto"/>
          <w:sz w:val="24"/>
          <w:szCs w:val="24"/>
        </w:rPr>
        <w:fldChar w:fldCharType="separate"/>
      </w:r>
      <w:r w:rsidR="0069578D">
        <w:rPr>
          <w:rFonts w:ascii="Times New Roman" w:hAnsi="Times New Roman" w:cs="Times New Roman"/>
          <w:b/>
          <w:i w:val="0"/>
          <w:noProof/>
          <w:color w:val="auto"/>
          <w:sz w:val="24"/>
          <w:szCs w:val="24"/>
        </w:rPr>
        <w:t>4</w:t>
      </w:r>
      <w:r w:rsidRPr="0037061D">
        <w:rPr>
          <w:rFonts w:ascii="Times New Roman" w:hAnsi="Times New Roman" w:cs="Times New Roman"/>
          <w:b/>
          <w:i w:val="0"/>
          <w:color w:val="auto"/>
          <w:sz w:val="24"/>
          <w:szCs w:val="24"/>
        </w:rPr>
        <w:fldChar w:fldCharType="end"/>
      </w:r>
      <w:r w:rsidRPr="0037061D">
        <w:rPr>
          <w:rFonts w:ascii="Times New Roman" w:hAnsi="Times New Roman" w:cs="Times New Roman"/>
          <w:b/>
          <w:i w:val="0"/>
          <w:color w:val="auto"/>
          <w:sz w:val="24"/>
          <w:szCs w:val="24"/>
        </w:rPr>
        <w:t>.</w:t>
      </w:r>
      <w:r>
        <w:rPr>
          <w:rFonts w:ascii="Times New Roman" w:hAnsi="Times New Roman" w:cs="Times New Roman"/>
          <w:i w:val="0"/>
          <w:color w:val="auto"/>
          <w:sz w:val="24"/>
          <w:szCs w:val="24"/>
        </w:rPr>
        <w:t xml:space="preserve"> </w:t>
      </w:r>
      <w:r w:rsidR="00FB473D" w:rsidRPr="0037061D">
        <w:rPr>
          <w:rFonts w:ascii="Times New Roman" w:eastAsia="Times New Roman" w:hAnsi="Times New Roman" w:cs="Times New Roman"/>
          <w:i w:val="0"/>
          <w:color w:val="auto"/>
          <w:sz w:val="24"/>
          <w:szCs w:val="24"/>
          <w:lang w:val="en-GB" w:eastAsia="fr-FR"/>
        </w:rPr>
        <w:t>Weekly exposure window – Bland-Altman plots for Protocols 1 (equal volumes of all spot urine voids were within-subject pooled) and 2 (equal volumes of three spot urine voids were within-subject pooled) weekly averages of ln-transformed biomarkers.</w:t>
      </w:r>
      <w:bookmarkEnd w:id="6"/>
    </w:p>
    <w:p w:rsidR="00FB473D" w:rsidRPr="00FB473D" w:rsidRDefault="00FB473D" w:rsidP="00FB473D">
      <w:pPr>
        <w:tabs>
          <w:tab w:val="left" w:pos="1223"/>
        </w:tabs>
        <w:spacing w:after="0" w:line="480" w:lineRule="auto"/>
        <w:ind w:right="-450"/>
        <w:jc w:val="center"/>
        <w:rPr>
          <w:rFonts w:ascii="Times New Roman" w:eastAsia="Times New Roman" w:hAnsi="Times New Roman" w:cs="Times New Roman"/>
          <w:sz w:val="24"/>
          <w:szCs w:val="24"/>
          <w:lang w:val="en-GB" w:eastAsia="fr-FR"/>
        </w:rPr>
      </w:pPr>
      <w:r w:rsidRPr="00FB473D">
        <w:rPr>
          <w:rFonts w:ascii="Times New Roman" w:eastAsia="Times New Roman" w:hAnsi="Times New Roman" w:cs="Times New Roman"/>
          <w:noProof/>
          <w:sz w:val="24"/>
          <w:szCs w:val="24"/>
        </w:rPr>
        <w:drawing>
          <wp:inline distT="0" distB="0" distL="0" distR="0" wp14:anchorId="4DFB46ED" wp14:editId="3BDCC9EA">
            <wp:extent cx="4658441" cy="6120000"/>
            <wp:effectExtent l="0" t="0" r="889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8441" cy="6120000"/>
                    </a:xfrm>
                    <a:prstGeom prst="rect">
                      <a:avLst/>
                    </a:prstGeom>
                    <a:noFill/>
                    <a:ln>
                      <a:noFill/>
                    </a:ln>
                  </pic:spPr>
                </pic:pic>
              </a:graphicData>
            </a:graphic>
          </wp:inline>
        </w:drawing>
      </w:r>
    </w:p>
    <w:p w:rsidR="00FB473D" w:rsidRPr="00FB473D" w:rsidRDefault="00FB473D" w:rsidP="00FB473D">
      <w:pPr>
        <w:spacing w:after="0" w:line="480" w:lineRule="auto"/>
        <w:jc w:val="both"/>
        <w:rPr>
          <w:rFonts w:ascii="Times New Roman" w:eastAsia="Times New Roman" w:hAnsi="Times New Roman" w:cs="Times New Roman"/>
          <w:sz w:val="20"/>
          <w:szCs w:val="20"/>
          <w:lang w:val="en-GB" w:eastAsia="fr-FR"/>
        </w:rPr>
      </w:pPr>
      <w:r w:rsidRPr="00FB473D">
        <w:rPr>
          <w:rFonts w:ascii="Times New Roman" w:eastAsia="Times New Roman" w:hAnsi="Times New Roman" w:cs="Times New Roman"/>
          <w:sz w:val="20"/>
          <w:szCs w:val="20"/>
          <w:lang w:val="en-GB" w:eastAsia="fr-FR"/>
        </w:rPr>
        <w:t xml:space="preserve">The filled red lines represent the biomarker-specific mean differences between Protocols 1 and 2 </w:t>
      </w:r>
      <w:proofErr w:type="gramStart"/>
      <w:r w:rsidRPr="00FB473D">
        <w:rPr>
          <w:rFonts w:ascii="Times New Roman" w:eastAsia="Times New Roman" w:hAnsi="Times New Roman" w:cs="Times New Roman"/>
          <w:sz w:val="20"/>
          <w:szCs w:val="20"/>
          <w:lang w:val="en-GB" w:eastAsia="fr-FR"/>
        </w:rPr>
        <w:t>concentrations, and</w:t>
      </w:r>
      <w:proofErr w:type="gramEnd"/>
      <w:r w:rsidRPr="00FB473D">
        <w:rPr>
          <w:rFonts w:ascii="Times New Roman" w:eastAsia="Times New Roman" w:hAnsi="Times New Roman" w:cs="Times New Roman"/>
          <w:sz w:val="20"/>
          <w:szCs w:val="20"/>
          <w:lang w:val="en-GB" w:eastAsia="fr-FR"/>
        </w:rPr>
        <w:t xml:space="preserve"> can be compared to the black dotted line (y=0). Dotted red lines indicate the biomarker-specific upper (mean difference + 1.96 SD), and lower limits of agreement (mean difference - 1.96 SD).</w:t>
      </w:r>
    </w:p>
    <w:p w:rsidR="00FB473D" w:rsidRPr="00FB473D" w:rsidRDefault="00FB473D" w:rsidP="00FB473D">
      <w:pPr>
        <w:tabs>
          <w:tab w:val="left" w:pos="1223"/>
        </w:tabs>
        <w:spacing w:after="0" w:line="360" w:lineRule="auto"/>
        <w:jc w:val="both"/>
        <w:rPr>
          <w:rFonts w:ascii="Times New Roman" w:eastAsia="Times New Roman" w:hAnsi="Times New Roman" w:cs="Times New Roman"/>
          <w:sz w:val="24"/>
          <w:szCs w:val="24"/>
          <w:lang w:val="en-GB" w:eastAsia="fr-FR"/>
        </w:rPr>
        <w:sectPr w:rsidR="00FB473D" w:rsidRPr="00FB473D" w:rsidSect="00CC7113">
          <w:pgSz w:w="12240" w:h="15840"/>
          <w:pgMar w:top="1418" w:right="1418" w:bottom="1418" w:left="1418" w:header="720" w:footer="720" w:gutter="0"/>
          <w:cols w:space="720"/>
          <w:docGrid w:linePitch="360"/>
        </w:sectPr>
      </w:pPr>
    </w:p>
    <w:p w:rsidR="00FB473D" w:rsidRPr="0037061D" w:rsidRDefault="0037061D" w:rsidP="0069578D">
      <w:pPr>
        <w:pStyle w:val="Caption"/>
        <w:jc w:val="both"/>
        <w:rPr>
          <w:rFonts w:ascii="Times New Roman" w:eastAsia="Times New Roman" w:hAnsi="Times New Roman" w:cs="Times New Roman"/>
          <w:i w:val="0"/>
          <w:color w:val="auto"/>
          <w:sz w:val="24"/>
          <w:szCs w:val="24"/>
          <w:lang w:val="en-GB" w:eastAsia="fr-FR"/>
        </w:rPr>
      </w:pPr>
      <w:bookmarkStart w:id="7" w:name="_Toc531343076"/>
      <w:proofErr w:type="spellStart"/>
      <w:r w:rsidRPr="0037061D">
        <w:rPr>
          <w:rFonts w:ascii="Times New Roman" w:hAnsi="Times New Roman" w:cs="Times New Roman"/>
          <w:b/>
          <w:i w:val="0"/>
          <w:color w:val="auto"/>
          <w:sz w:val="24"/>
          <w:szCs w:val="24"/>
        </w:rPr>
        <w:lastRenderedPageBreak/>
        <w:t>eFigure</w:t>
      </w:r>
      <w:proofErr w:type="spellEnd"/>
      <w:r w:rsidRPr="0037061D">
        <w:rPr>
          <w:rFonts w:ascii="Times New Roman" w:hAnsi="Times New Roman" w:cs="Times New Roman"/>
          <w:b/>
          <w:i w:val="0"/>
          <w:color w:val="auto"/>
          <w:sz w:val="24"/>
          <w:szCs w:val="24"/>
        </w:rPr>
        <w:t xml:space="preserve"> </w:t>
      </w:r>
      <w:r w:rsidRPr="0037061D">
        <w:rPr>
          <w:rFonts w:ascii="Times New Roman" w:hAnsi="Times New Roman" w:cs="Times New Roman"/>
          <w:b/>
          <w:i w:val="0"/>
          <w:color w:val="auto"/>
          <w:sz w:val="24"/>
          <w:szCs w:val="24"/>
        </w:rPr>
        <w:fldChar w:fldCharType="begin"/>
      </w:r>
      <w:r w:rsidRPr="0037061D">
        <w:rPr>
          <w:rFonts w:ascii="Times New Roman" w:hAnsi="Times New Roman" w:cs="Times New Roman"/>
          <w:b/>
          <w:i w:val="0"/>
          <w:color w:val="auto"/>
          <w:sz w:val="24"/>
          <w:szCs w:val="24"/>
        </w:rPr>
        <w:instrText xml:space="preserve"> SEQ eFigure \* ARABIC </w:instrText>
      </w:r>
      <w:r w:rsidRPr="0037061D">
        <w:rPr>
          <w:rFonts w:ascii="Times New Roman" w:hAnsi="Times New Roman" w:cs="Times New Roman"/>
          <w:b/>
          <w:i w:val="0"/>
          <w:color w:val="auto"/>
          <w:sz w:val="24"/>
          <w:szCs w:val="24"/>
        </w:rPr>
        <w:fldChar w:fldCharType="separate"/>
      </w:r>
      <w:r w:rsidR="0069578D">
        <w:rPr>
          <w:rFonts w:ascii="Times New Roman" w:hAnsi="Times New Roman" w:cs="Times New Roman"/>
          <w:b/>
          <w:i w:val="0"/>
          <w:noProof/>
          <w:color w:val="auto"/>
          <w:sz w:val="24"/>
          <w:szCs w:val="24"/>
        </w:rPr>
        <w:t>5</w:t>
      </w:r>
      <w:r w:rsidRPr="0037061D">
        <w:rPr>
          <w:rFonts w:ascii="Times New Roman" w:hAnsi="Times New Roman" w:cs="Times New Roman"/>
          <w:b/>
          <w:i w:val="0"/>
          <w:color w:val="auto"/>
          <w:sz w:val="24"/>
          <w:szCs w:val="24"/>
        </w:rPr>
        <w:fldChar w:fldCharType="end"/>
      </w:r>
      <w:r w:rsidRPr="0037061D">
        <w:rPr>
          <w:rFonts w:ascii="Times New Roman" w:hAnsi="Times New Roman" w:cs="Times New Roman"/>
          <w:b/>
          <w:i w:val="0"/>
          <w:color w:val="auto"/>
          <w:sz w:val="24"/>
          <w:szCs w:val="24"/>
        </w:rPr>
        <w:t>.</w:t>
      </w:r>
      <w:r w:rsidRPr="0037061D">
        <w:rPr>
          <w:rFonts w:ascii="Times New Roman" w:hAnsi="Times New Roman" w:cs="Times New Roman"/>
          <w:i w:val="0"/>
          <w:color w:val="auto"/>
          <w:sz w:val="24"/>
          <w:szCs w:val="24"/>
        </w:rPr>
        <w:t xml:space="preserve"> </w:t>
      </w:r>
      <w:r w:rsidR="00FB473D" w:rsidRPr="0037061D">
        <w:rPr>
          <w:rFonts w:ascii="Times New Roman" w:eastAsia="Times New Roman" w:hAnsi="Times New Roman" w:cs="Times New Roman"/>
          <w:i w:val="0"/>
          <w:color w:val="auto"/>
          <w:sz w:val="24"/>
          <w:szCs w:val="24"/>
          <w:lang w:val="en-GB" w:eastAsia="fr-FR"/>
        </w:rPr>
        <w:t>Pregnancy exposure window – Scatter plots of exposure estimates from Protocols 2-5 against Protocol 1 (pooling of all spot urine samples/day).</w:t>
      </w:r>
      <w:bookmarkEnd w:id="7"/>
    </w:p>
    <w:p w:rsidR="00FB473D" w:rsidRPr="00FB473D" w:rsidRDefault="00FB473D" w:rsidP="00FB473D">
      <w:pPr>
        <w:spacing w:after="0" w:line="480" w:lineRule="auto"/>
        <w:jc w:val="both"/>
        <w:rPr>
          <w:rFonts w:ascii="Times New Roman" w:eastAsia="Times New Roman" w:hAnsi="Times New Roman" w:cs="Times New Roman"/>
          <w:noProof/>
          <w:sz w:val="24"/>
          <w:szCs w:val="24"/>
        </w:rPr>
      </w:pPr>
      <w:r w:rsidRPr="00FB473D">
        <w:rPr>
          <w:rFonts w:ascii="Times New Roman" w:eastAsia="Times New Roman" w:hAnsi="Times New Roman" w:cs="Times New Roman"/>
          <w:noProof/>
          <w:sz w:val="24"/>
          <w:szCs w:val="24"/>
        </w:rPr>
        <w:drawing>
          <wp:inline distT="0" distB="0" distL="0" distR="0" wp14:anchorId="203AEB5A" wp14:editId="0F63B144">
            <wp:extent cx="5964555" cy="501840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4555" cy="5018405"/>
                    </a:xfrm>
                    <a:prstGeom prst="rect">
                      <a:avLst/>
                    </a:prstGeom>
                    <a:noFill/>
                    <a:ln>
                      <a:noFill/>
                    </a:ln>
                  </pic:spPr>
                </pic:pic>
              </a:graphicData>
            </a:graphic>
          </wp:inline>
        </w:drawing>
      </w:r>
    </w:p>
    <w:p w:rsidR="00FB473D" w:rsidRPr="00FB473D" w:rsidRDefault="00FB473D" w:rsidP="00FB473D">
      <w:pPr>
        <w:spacing w:after="0" w:line="480" w:lineRule="auto"/>
        <w:jc w:val="both"/>
        <w:rPr>
          <w:rFonts w:ascii="Times New Roman" w:eastAsia="Times New Roman" w:hAnsi="Times New Roman" w:cs="Times New Roman"/>
          <w:noProof/>
          <w:sz w:val="24"/>
          <w:szCs w:val="24"/>
        </w:rPr>
      </w:pPr>
    </w:p>
    <w:p w:rsidR="00FB473D" w:rsidRPr="00FB473D" w:rsidRDefault="00FB473D" w:rsidP="00FB473D">
      <w:pPr>
        <w:spacing w:after="152" w:line="269" w:lineRule="auto"/>
        <w:ind w:left="-15" w:right="9"/>
        <w:jc w:val="both"/>
        <w:rPr>
          <w:rFonts w:ascii="Times New Roman" w:eastAsia="Times New Roman" w:hAnsi="Times New Roman" w:cs="Times New Roman"/>
          <w:sz w:val="24"/>
          <w:szCs w:val="24"/>
          <w:lang w:val="en-GB" w:eastAsia="fr-FR"/>
        </w:rPr>
      </w:pPr>
      <w:r w:rsidRPr="00FB473D">
        <w:rPr>
          <w:rFonts w:ascii="Times New Roman" w:eastAsia="Times New Roman" w:hAnsi="Times New Roman" w:cs="Times New Roman"/>
          <w:sz w:val="24"/>
          <w:szCs w:val="24"/>
          <w:lang w:val="en-GB" w:eastAsia="fr-FR"/>
        </w:rPr>
        <w:t>Protocol 2 corresponds to within-subject pooling of 3 spot urine samples/day over three weeks, Protocol 3 to pregnancy exposure relying on one random spot sample, Protocol 4 on the average of three random spot samples, and Protocol 5 on the average of eight random spot samples. Each point corresponds to pregnancy exposure estimate after mean-</w:t>
      </w:r>
      <w:proofErr w:type="spellStart"/>
      <w:r w:rsidRPr="00FB473D">
        <w:rPr>
          <w:rFonts w:ascii="Times New Roman" w:eastAsia="Times New Roman" w:hAnsi="Times New Roman" w:cs="Times New Roman"/>
          <w:sz w:val="24"/>
          <w:szCs w:val="24"/>
          <w:lang w:val="en-GB" w:eastAsia="fr-FR"/>
        </w:rPr>
        <w:t>centering</w:t>
      </w:r>
      <w:proofErr w:type="spellEnd"/>
      <w:r w:rsidRPr="00FB473D">
        <w:rPr>
          <w:rFonts w:ascii="Times New Roman" w:eastAsia="Times New Roman" w:hAnsi="Times New Roman" w:cs="Times New Roman"/>
          <w:sz w:val="24"/>
          <w:szCs w:val="24"/>
          <w:lang w:val="en-GB" w:eastAsia="fr-FR"/>
        </w:rPr>
        <w:t xml:space="preserve"> (ln-transformed concentrations, n = 16 women, N = 16 samples for comparison between Protocols 1 and 2; n = 8 women, N = 8 samples for comparison between Protocol 1 and Protocols 3-5). The filled red line represents the regression line and the filled black line the identity line. Horizontal and vertical dotted lines showed the biomarker-specific limit of detection.</w:t>
      </w:r>
    </w:p>
    <w:p w:rsidR="00FB473D" w:rsidRPr="00FB473D" w:rsidRDefault="00FB473D" w:rsidP="00FB473D">
      <w:pPr>
        <w:spacing w:after="0" w:line="480" w:lineRule="auto"/>
        <w:jc w:val="both"/>
        <w:rPr>
          <w:rFonts w:ascii="Times New Roman" w:eastAsia="Times New Roman" w:hAnsi="Times New Roman" w:cs="Times New Roman"/>
          <w:noProof/>
          <w:sz w:val="20"/>
          <w:szCs w:val="20"/>
          <w:lang w:val="en-GB"/>
        </w:rPr>
        <w:sectPr w:rsidR="00FB473D" w:rsidRPr="00FB473D" w:rsidSect="00CC7113">
          <w:pgSz w:w="12240" w:h="15840"/>
          <w:pgMar w:top="1418" w:right="1418" w:bottom="1418" w:left="1418" w:header="720" w:footer="720" w:gutter="0"/>
          <w:cols w:space="720"/>
          <w:docGrid w:linePitch="360"/>
        </w:sectPr>
      </w:pPr>
    </w:p>
    <w:p w:rsidR="00FB473D" w:rsidRPr="00FB473D" w:rsidRDefault="00FB473D" w:rsidP="00FB473D">
      <w:pPr>
        <w:spacing w:after="0" w:line="480" w:lineRule="auto"/>
        <w:jc w:val="both"/>
        <w:rPr>
          <w:rFonts w:ascii="Times New Roman" w:eastAsia="Times New Roman" w:hAnsi="Times New Roman" w:cs="Times New Roman"/>
          <w:noProof/>
          <w:sz w:val="24"/>
          <w:szCs w:val="24"/>
        </w:rPr>
      </w:pPr>
      <w:proofErr w:type="spellStart"/>
      <w:r w:rsidRPr="00FB473D">
        <w:rPr>
          <w:rFonts w:ascii="Times New Roman" w:eastAsia="Times New Roman" w:hAnsi="Times New Roman" w:cs="Times New Roman"/>
          <w:b/>
          <w:sz w:val="24"/>
          <w:szCs w:val="24"/>
          <w:lang w:val="en-GB" w:eastAsia="fr-FR"/>
        </w:rPr>
        <w:lastRenderedPageBreak/>
        <w:t>eFigure</w:t>
      </w:r>
      <w:proofErr w:type="spellEnd"/>
      <w:r w:rsidRPr="00FB473D">
        <w:rPr>
          <w:rFonts w:ascii="Times New Roman" w:eastAsia="Times New Roman" w:hAnsi="Times New Roman" w:cs="Times New Roman"/>
          <w:b/>
          <w:sz w:val="24"/>
          <w:szCs w:val="24"/>
          <w:lang w:val="en-GB" w:eastAsia="fr-FR"/>
        </w:rPr>
        <w:t xml:space="preserve"> </w:t>
      </w:r>
      <w:r w:rsidR="0069578D">
        <w:rPr>
          <w:rFonts w:ascii="Times New Roman" w:eastAsia="Times New Roman" w:hAnsi="Times New Roman" w:cs="Times New Roman"/>
          <w:b/>
          <w:sz w:val="24"/>
          <w:szCs w:val="24"/>
          <w:lang w:val="en-GB" w:eastAsia="fr-FR"/>
        </w:rPr>
        <w:t>5</w:t>
      </w:r>
      <w:r w:rsidRPr="00FB473D">
        <w:rPr>
          <w:rFonts w:ascii="Times New Roman" w:eastAsia="Times New Roman" w:hAnsi="Times New Roman" w:cs="Times New Roman"/>
          <w:b/>
          <w:sz w:val="24"/>
          <w:szCs w:val="24"/>
          <w:lang w:val="en-GB" w:eastAsia="fr-FR"/>
        </w:rPr>
        <w:t xml:space="preserve">. </w:t>
      </w:r>
      <w:r w:rsidRPr="00FB473D">
        <w:rPr>
          <w:rFonts w:ascii="Times New Roman" w:eastAsia="Times New Roman" w:hAnsi="Times New Roman" w:cs="Times New Roman"/>
          <w:sz w:val="24"/>
          <w:szCs w:val="24"/>
          <w:lang w:val="en-GB" w:eastAsia="fr-FR"/>
        </w:rPr>
        <w:t>Continued</w:t>
      </w:r>
    </w:p>
    <w:p w:rsidR="00FB473D" w:rsidRPr="00FB473D" w:rsidRDefault="00FB473D" w:rsidP="00FB473D">
      <w:pPr>
        <w:spacing w:after="0" w:line="480" w:lineRule="auto"/>
        <w:jc w:val="both"/>
        <w:rPr>
          <w:rFonts w:ascii="Times New Roman" w:eastAsia="Times New Roman" w:hAnsi="Times New Roman" w:cs="Times New Roman"/>
          <w:noProof/>
          <w:sz w:val="24"/>
          <w:szCs w:val="24"/>
        </w:rPr>
      </w:pPr>
      <w:r w:rsidRPr="00FB473D">
        <w:rPr>
          <w:rFonts w:ascii="Times New Roman" w:eastAsia="Times New Roman" w:hAnsi="Times New Roman" w:cs="Times New Roman"/>
          <w:noProof/>
          <w:sz w:val="24"/>
          <w:szCs w:val="24"/>
        </w:rPr>
        <w:drawing>
          <wp:inline distT="0" distB="0" distL="0" distR="0" wp14:anchorId="7E9441CF" wp14:editId="18ADA6AD">
            <wp:extent cx="5964555" cy="497586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4555" cy="4975860"/>
                    </a:xfrm>
                    <a:prstGeom prst="rect">
                      <a:avLst/>
                    </a:prstGeom>
                    <a:noFill/>
                    <a:ln>
                      <a:noFill/>
                    </a:ln>
                  </pic:spPr>
                </pic:pic>
              </a:graphicData>
            </a:graphic>
          </wp:inline>
        </w:drawing>
      </w:r>
    </w:p>
    <w:p w:rsidR="00FB473D" w:rsidRPr="00FB473D" w:rsidRDefault="00FB473D" w:rsidP="00FB473D">
      <w:pPr>
        <w:spacing w:after="0" w:line="480" w:lineRule="auto"/>
        <w:jc w:val="both"/>
        <w:rPr>
          <w:rFonts w:ascii="Times New Roman" w:eastAsia="Times New Roman" w:hAnsi="Times New Roman" w:cs="Times New Roman"/>
          <w:sz w:val="24"/>
          <w:szCs w:val="24"/>
          <w:lang w:val="en-GB" w:eastAsia="fr-FR"/>
        </w:rPr>
      </w:pPr>
    </w:p>
    <w:p w:rsidR="00FB473D" w:rsidRPr="00FB473D" w:rsidRDefault="00FB473D" w:rsidP="00FB473D">
      <w:pPr>
        <w:spacing w:after="0" w:line="480" w:lineRule="auto"/>
        <w:ind w:left="-720" w:right="-450"/>
        <w:jc w:val="center"/>
        <w:rPr>
          <w:rFonts w:ascii="Times New Roman" w:eastAsia="Times New Roman" w:hAnsi="Times New Roman" w:cs="Times New Roman"/>
          <w:sz w:val="24"/>
          <w:szCs w:val="24"/>
          <w:lang w:val="en-GB" w:eastAsia="fr-FR"/>
        </w:rPr>
      </w:pPr>
    </w:p>
    <w:p w:rsidR="00FB473D" w:rsidRPr="00FB473D" w:rsidRDefault="00FB473D" w:rsidP="00FB473D">
      <w:pPr>
        <w:spacing w:after="0" w:line="480" w:lineRule="auto"/>
        <w:ind w:left="-720" w:right="-450"/>
        <w:jc w:val="both"/>
        <w:rPr>
          <w:rFonts w:ascii="Times New Roman" w:eastAsia="Times New Roman" w:hAnsi="Times New Roman" w:cs="Times New Roman"/>
          <w:sz w:val="24"/>
          <w:szCs w:val="24"/>
          <w:lang w:val="en-GB" w:eastAsia="fr-FR"/>
        </w:rPr>
        <w:sectPr w:rsidR="00FB473D" w:rsidRPr="00FB473D" w:rsidSect="00CC7113">
          <w:pgSz w:w="12240" w:h="15840"/>
          <w:pgMar w:top="1418" w:right="1418" w:bottom="1418" w:left="1418" w:header="720" w:footer="720" w:gutter="0"/>
          <w:cols w:space="720"/>
          <w:docGrid w:linePitch="360"/>
        </w:sectPr>
      </w:pPr>
    </w:p>
    <w:p w:rsidR="00FB473D" w:rsidRPr="0037061D" w:rsidRDefault="0037061D" w:rsidP="0069578D">
      <w:pPr>
        <w:pStyle w:val="Caption"/>
        <w:jc w:val="both"/>
        <w:rPr>
          <w:rFonts w:ascii="Times New Roman" w:eastAsia="Times New Roman" w:hAnsi="Times New Roman" w:cs="Times New Roman"/>
          <w:i w:val="0"/>
          <w:color w:val="auto"/>
          <w:sz w:val="24"/>
          <w:szCs w:val="24"/>
          <w:lang w:val="en-GB" w:eastAsia="fr-FR"/>
        </w:rPr>
      </w:pPr>
      <w:bookmarkStart w:id="8" w:name="_Toc531343077"/>
      <w:proofErr w:type="spellStart"/>
      <w:r w:rsidRPr="0037061D">
        <w:rPr>
          <w:rFonts w:ascii="Times New Roman" w:hAnsi="Times New Roman" w:cs="Times New Roman"/>
          <w:b/>
          <w:i w:val="0"/>
          <w:color w:val="auto"/>
          <w:sz w:val="24"/>
          <w:szCs w:val="24"/>
        </w:rPr>
        <w:lastRenderedPageBreak/>
        <w:t>eFigure</w:t>
      </w:r>
      <w:proofErr w:type="spellEnd"/>
      <w:r w:rsidRPr="0037061D">
        <w:rPr>
          <w:rFonts w:ascii="Times New Roman" w:hAnsi="Times New Roman" w:cs="Times New Roman"/>
          <w:b/>
          <w:i w:val="0"/>
          <w:color w:val="auto"/>
          <w:sz w:val="24"/>
          <w:szCs w:val="24"/>
        </w:rPr>
        <w:t xml:space="preserve"> </w:t>
      </w:r>
      <w:r w:rsidRPr="0037061D">
        <w:rPr>
          <w:rFonts w:ascii="Times New Roman" w:hAnsi="Times New Roman" w:cs="Times New Roman"/>
          <w:b/>
          <w:i w:val="0"/>
          <w:color w:val="auto"/>
          <w:sz w:val="24"/>
          <w:szCs w:val="24"/>
        </w:rPr>
        <w:fldChar w:fldCharType="begin"/>
      </w:r>
      <w:r w:rsidRPr="0037061D">
        <w:rPr>
          <w:rFonts w:ascii="Times New Roman" w:hAnsi="Times New Roman" w:cs="Times New Roman"/>
          <w:b/>
          <w:i w:val="0"/>
          <w:color w:val="auto"/>
          <w:sz w:val="24"/>
          <w:szCs w:val="24"/>
        </w:rPr>
        <w:instrText xml:space="preserve"> SEQ eFigure \* ARABIC </w:instrText>
      </w:r>
      <w:r w:rsidRPr="0037061D">
        <w:rPr>
          <w:rFonts w:ascii="Times New Roman" w:hAnsi="Times New Roman" w:cs="Times New Roman"/>
          <w:b/>
          <w:i w:val="0"/>
          <w:color w:val="auto"/>
          <w:sz w:val="24"/>
          <w:szCs w:val="24"/>
        </w:rPr>
        <w:fldChar w:fldCharType="separate"/>
      </w:r>
      <w:r w:rsidR="0069578D">
        <w:rPr>
          <w:rFonts w:ascii="Times New Roman" w:hAnsi="Times New Roman" w:cs="Times New Roman"/>
          <w:b/>
          <w:i w:val="0"/>
          <w:noProof/>
          <w:color w:val="auto"/>
          <w:sz w:val="24"/>
          <w:szCs w:val="24"/>
        </w:rPr>
        <w:t>6</w:t>
      </w:r>
      <w:r w:rsidRPr="0037061D">
        <w:rPr>
          <w:rFonts w:ascii="Times New Roman" w:hAnsi="Times New Roman" w:cs="Times New Roman"/>
          <w:b/>
          <w:i w:val="0"/>
          <w:color w:val="auto"/>
          <w:sz w:val="24"/>
          <w:szCs w:val="24"/>
        </w:rPr>
        <w:fldChar w:fldCharType="end"/>
      </w:r>
      <w:r w:rsidRPr="0037061D">
        <w:rPr>
          <w:rFonts w:ascii="Times New Roman" w:hAnsi="Times New Roman" w:cs="Times New Roman"/>
          <w:b/>
          <w:i w:val="0"/>
          <w:color w:val="auto"/>
          <w:sz w:val="24"/>
          <w:szCs w:val="24"/>
        </w:rPr>
        <w:t>.</w:t>
      </w:r>
      <w:r w:rsidRPr="0037061D">
        <w:rPr>
          <w:rFonts w:ascii="Times New Roman" w:hAnsi="Times New Roman" w:cs="Times New Roman"/>
          <w:i w:val="0"/>
          <w:color w:val="auto"/>
          <w:sz w:val="24"/>
          <w:szCs w:val="24"/>
        </w:rPr>
        <w:t xml:space="preserve"> </w:t>
      </w:r>
      <w:r w:rsidR="00FB473D" w:rsidRPr="0037061D">
        <w:rPr>
          <w:rFonts w:ascii="Times New Roman" w:eastAsia="Times New Roman" w:hAnsi="Times New Roman" w:cs="Times New Roman"/>
          <w:i w:val="0"/>
          <w:color w:val="auto"/>
          <w:sz w:val="24"/>
          <w:szCs w:val="24"/>
          <w:lang w:val="en-GB" w:eastAsia="fr-FR"/>
        </w:rPr>
        <w:t>Pregnancy exposure window – Bland-Altman plots for Protocols 3 (A), 4 (B), 5 (C) and 2 (D) against Protocol 1 (pooling of all spot urine samples/day) pregnancy averages of ln-transformed biomarkers.</w:t>
      </w:r>
      <w:bookmarkEnd w:id="8"/>
    </w:p>
    <w:p w:rsidR="00FB473D" w:rsidRPr="00FB473D" w:rsidRDefault="00FB473D" w:rsidP="00FB473D">
      <w:pPr>
        <w:tabs>
          <w:tab w:val="left" w:pos="1223"/>
        </w:tabs>
        <w:spacing w:after="0" w:line="480" w:lineRule="auto"/>
        <w:ind w:right="-450"/>
        <w:jc w:val="both"/>
        <w:rPr>
          <w:rFonts w:ascii="Times New Roman" w:eastAsia="Times New Roman" w:hAnsi="Times New Roman" w:cs="Times New Roman"/>
          <w:sz w:val="24"/>
          <w:szCs w:val="24"/>
          <w:lang w:val="en-GB" w:eastAsia="fr-FR"/>
        </w:rPr>
      </w:pPr>
      <w:r w:rsidRPr="00FB473D">
        <w:rPr>
          <w:rFonts w:ascii="Times New Roman" w:eastAsia="Times New Roman" w:hAnsi="Times New Roman" w:cs="Times New Roman"/>
          <w:noProof/>
          <w:sz w:val="24"/>
          <w:szCs w:val="24"/>
        </w:rPr>
        <w:drawing>
          <wp:inline distT="0" distB="0" distL="0" distR="0" wp14:anchorId="58DFF3B8" wp14:editId="2295AE84">
            <wp:extent cx="5964555" cy="501840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4555" cy="5018405"/>
                    </a:xfrm>
                    <a:prstGeom prst="rect">
                      <a:avLst/>
                    </a:prstGeom>
                    <a:noFill/>
                    <a:ln>
                      <a:noFill/>
                    </a:ln>
                  </pic:spPr>
                </pic:pic>
              </a:graphicData>
            </a:graphic>
          </wp:inline>
        </w:drawing>
      </w:r>
    </w:p>
    <w:p w:rsidR="00FB473D" w:rsidRPr="00FB473D" w:rsidRDefault="00FB473D" w:rsidP="00FB473D">
      <w:pPr>
        <w:spacing w:after="152" w:line="269" w:lineRule="auto"/>
        <w:ind w:right="9"/>
        <w:jc w:val="both"/>
        <w:rPr>
          <w:rFonts w:ascii="Times New Roman" w:eastAsia="Times New Roman" w:hAnsi="Times New Roman" w:cs="Times New Roman"/>
          <w:sz w:val="24"/>
          <w:szCs w:val="24"/>
          <w:lang w:val="en-GB" w:eastAsia="fr-FR"/>
        </w:rPr>
      </w:pPr>
      <w:r w:rsidRPr="00FB473D">
        <w:rPr>
          <w:rFonts w:ascii="Times New Roman" w:eastAsia="Times New Roman" w:hAnsi="Times New Roman" w:cs="Times New Roman"/>
          <w:sz w:val="24"/>
          <w:szCs w:val="24"/>
          <w:lang w:val="en-GB" w:eastAsia="fr-FR"/>
        </w:rPr>
        <w:t>Protocol 2 corresponds to within-subject pooling of 3 spot urine samples/day over three weeks, Protocol 3 to pregnancy exposure relying on one random spot sample, Protocol 4 on the average of three random spot samples, and Protocol 5 on the average of eight random spot samples.</w:t>
      </w:r>
    </w:p>
    <w:p w:rsidR="00FB473D" w:rsidRPr="00FB473D" w:rsidRDefault="00FB473D" w:rsidP="00FB473D">
      <w:pPr>
        <w:spacing w:after="152" w:line="269" w:lineRule="auto"/>
        <w:ind w:right="9"/>
        <w:jc w:val="both"/>
        <w:rPr>
          <w:rFonts w:ascii="Times New Roman" w:eastAsia="Times New Roman" w:hAnsi="Times New Roman" w:cs="Times New Roman"/>
          <w:sz w:val="24"/>
          <w:szCs w:val="24"/>
          <w:lang w:val="en-GB" w:eastAsia="fr-FR"/>
        </w:rPr>
      </w:pPr>
      <w:r w:rsidRPr="00FB473D">
        <w:rPr>
          <w:rFonts w:ascii="Times New Roman" w:eastAsia="Times New Roman" w:hAnsi="Times New Roman" w:cs="Times New Roman"/>
          <w:sz w:val="24"/>
          <w:szCs w:val="24"/>
          <w:lang w:val="en-GB" w:eastAsia="fr-FR"/>
        </w:rPr>
        <w:t xml:space="preserve">The filled red lines represent the biomarker-specific mean differences between Protocols 1 and 2 </w:t>
      </w:r>
      <w:proofErr w:type="gramStart"/>
      <w:r w:rsidRPr="00FB473D">
        <w:rPr>
          <w:rFonts w:ascii="Times New Roman" w:eastAsia="Times New Roman" w:hAnsi="Times New Roman" w:cs="Times New Roman"/>
          <w:sz w:val="24"/>
          <w:szCs w:val="24"/>
          <w:lang w:val="en-GB" w:eastAsia="fr-FR"/>
        </w:rPr>
        <w:t>concentrations, and</w:t>
      </w:r>
      <w:proofErr w:type="gramEnd"/>
      <w:r w:rsidRPr="00FB473D">
        <w:rPr>
          <w:rFonts w:ascii="Times New Roman" w:eastAsia="Times New Roman" w:hAnsi="Times New Roman" w:cs="Times New Roman"/>
          <w:sz w:val="24"/>
          <w:szCs w:val="24"/>
          <w:lang w:val="en-GB" w:eastAsia="fr-FR"/>
        </w:rPr>
        <w:t xml:space="preserve"> can be compared to the black dotted line (y=0). Dotted red lines indicate the biomarker-specific upper (mean difference + 1.96 SD), and lower limits of agreement (mean difference - 1.96 SD).</w:t>
      </w:r>
    </w:p>
    <w:p w:rsidR="00FB473D" w:rsidRPr="00FB473D" w:rsidRDefault="00FB473D" w:rsidP="00FB473D">
      <w:pPr>
        <w:tabs>
          <w:tab w:val="left" w:pos="1223"/>
        </w:tabs>
        <w:spacing w:after="0" w:line="480" w:lineRule="auto"/>
        <w:ind w:right="-450"/>
        <w:jc w:val="both"/>
        <w:rPr>
          <w:rFonts w:ascii="Times New Roman" w:eastAsia="Times New Roman" w:hAnsi="Times New Roman" w:cs="Times New Roman"/>
          <w:sz w:val="24"/>
          <w:szCs w:val="24"/>
          <w:lang w:val="en-GB" w:eastAsia="fr-FR"/>
        </w:rPr>
        <w:sectPr w:rsidR="00FB473D" w:rsidRPr="00FB473D" w:rsidSect="00CC7113">
          <w:pgSz w:w="12240" w:h="15840"/>
          <w:pgMar w:top="1418" w:right="1418" w:bottom="1418" w:left="1418" w:header="720" w:footer="720" w:gutter="0"/>
          <w:cols w:space="720"/>
          <w:docGrid w:linePitch="360"/>
        </w:sectPr>
      </w:pPr>
    </w:p>
    <w:p w:rsidR="00FB473D" w:rsidRPr="00FB473D" w:rsidRDefault="00FB473D" w:rsidP="00FB473D">
      <w:pPr>
        <w:spacing w:after="0" w:line="480" w:lineRule="auto"/>
        <w:jc w:val="both"/>
        <w:rPr>
          <w:rFonts w:ascii="Times New Roman" w:eastAsia="Times New Roman" w:hAnsi="Times New Roman" w:cs="Times New Roman"/>
          <w:noProof/>
          <w:sz w:val="24"/>
          <w:szCs w:val="24"/>
        </w:rPr>
      </w:pPr>
      <w:proofErr w:type="spellStart"/>
      <w:r w:rsidRPr="00FB473D">
        <w:rPr>
          <w:rFonts w:ascii="Times New Roman" w:eastAsia="Times New Roman" w:hAnsi="Times New Roman" w:cs="Times New Roman"/>
          <w:b/>
          <w:sz w:val="24"/>
          <w:szCs w:val="24"/>
          <w:lang w:val="en-GB" w:eastAsia="fr-FR"/>
        </w:rPr>
        <w:lastRenderedPageBreak/>
        <w:t>eFigure</w:t>
      </w:r>
      <w:proofErr w:type="spellEnd"/>
      <w:r w:rsidRPr="00FB473D">
        <w:rPr>
          <w:rFonts w:ascii="Times New Roman" w:eastAsia="Times New Roman" w:hAnsi="Times New Roman" w:cs="Times New Roman"/>
          <w:b/>
          <w:sz w:val="24"/>
          <w:szCs w:val="24"/>
          <w:lang w:val="en-GB" w:eastAsia="fr-FR"/>
        </w:rPr>
        <w:t xml:space="preserve"> </w:t>
      </w:r>
      <w:r w:rsidR="0069578D">
        <w:rPr>
          <w:rFonts w:ascii="Times New Roman" w:eastAsia="Times New Roman" w:hAnsi="Times New Roman" w:cs="Times New Roman"/>
          <w:b/>
          <w:sz w:val="24"/>
          <w:szCs w:val="24"/>
          <w:lang w:val="en-GB" w:eastAsia="fr-FR"/>
        </w:rPr>
        <w:t>6</w:t>
      </w:r>
      <w:r w:rsidRPr="00FB473D">
        <w:rPr>
          <w:rFonts w:ascii="Times New Roman" w:eastAsia="Times New Roman" w:hAnsi="Times New Roman" w:cs="Times New Roman"/>
          <w:b/>
          <w:sz w:val="24"/>
          <w:szCs w:val="24"/>
          <w:lang w:val="en-GB" w:eastAsia="fr-FR"/>
        </w:rPr>
        <w:t>.</w:t>
      </w:r>
      <w:r w:rsidRPr="00FB473D">
        <w:rPr>
          <w:rFonts w:ascii="Times New Roman" w:eastAsia="Times New Roman" w:hAnsi="Times New Roman" w:cs="Times New Roman"/>
          <w:sz w:val="24"/>
          <w:szCs w:val="24"/>
          <w:lang w:val="en-GB" w:eastAsia="fr-FR"/>
        </w:rPr>
        <w:t xml:space="preserve"> Continued</w:t>
      </w:r>
    </w:p>
    <w:p w:rsidR="00FB473D" w:rsidRPr="00FB473D" w:rsidRDefault="00FB473D" w:rsidP="00FB473D">
      <w:pPr>
        <w:spacing w:after="0" w:line="480" w:lineRule="auto"/>
        <w:jc w:val="both"/>
        <w:rPr>
          <w:rFonts w:ascii="Times New Roman" w:eastAsia="Times New Roman" w:hAnsi="Times New Roman" w:cs="Times New Roman"/>
          <w:sz w:val="24"/>
          <w:szCs w:val="24"/>
          <w:lang w:val="en-GB" w:eastAsia="fr-FR"/>
        </w:rPr>
      </w:pPr>
      <w:r w:rsidRPr="00FB473D">
        <w:rPr>
          <w:rFonts w:ascii="Times New Roman" w:eastAsia="Times New Roman" w:hAnsi="Times New Roman" w:cs="Times New Roman"/>
          <w:noProof/>
          <w:sz w:val="24"/>
          <w:szCs w:val="24"/>
        </w:rPr>
        <w:drawing>
          <wp:inline distT="0" distB="0" distL="0" distR="0" wp14:anchorId="6354BB2B" wp14:editId="449D49D2">
            <wp:extent cx="5964555" cy="5039995"/>
            <wp:effectExtent l="0" t="0" r="0" b="825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4555" cy="5039995"/>
                    </a:xfrm>
                    <a:prstGeom prst="rect">
                      <a:avLst/>
                    </a:prstGeom>
                    <a:noFill/>
                    <a:ln>
                      <a:noFill/>
                    </a:ln>
                  </pic:spPr>
                </pic:pic>
              </a:graphicData>
            </a:graphic>
          </wp:inline>
        </w:drawing>
      </w:r>
    </w:p>
    <w:p w:rsidR="00FB473D" w:rsidRPr="00FB473D" w:rsidRDefault="00FB473D" w:rsidP="00FB473D">
      <w:pPr>
        <w:spacing w:after="0" w:line="240" w:lineRule="auto"/>
        <w:jc w:val="both"/>
        <w:rPr>
          <w:rFonts w:ascii="Times New Roman" w:eastAsia="Times New Roman" w:hAnsi="Times New Roman" w:cs="Times New Roman"/>
          <w:b/>
          <w:sz w:val="24"/>
          <w:szCs w:val="24"/>
          <w:lang w:val="en-GB" w:eastAsia="fr-FR"/>
        </w:rPr>
        <w:sectPr w:rsidR="00FB473D" w:rsidRPr="00FB473D" w:rsidSect="00CC7113">
          <w:pgSz w:w="12240" w:h="15840"/>
          <w:pgMar w:top="1418" w:right="1418" w:bottom="1418" w:left="1418" w:header="720" w:footer="720" w:gutter="0"/>
          <w:cols w:space="720"/>
          <w:docGrid w:linePitch="360"/>
        </w:sectPr>
      </w:pPr>
    </w:p>
    <w:p w:rsidR="0069578D" w:rsidRPr="0069578D" w:rsidRDefault="0069578D" w:rsidP="0069578D">
      <w:pPr>
        <w:pStyle w:val="Caption"/>
        <w:jc w:val="both"/>
        <w:rPr>
          <w:rFonts w:ascii="Times New Roman" w:eastAsia="Times New Roman" w:hAnsi="Times New Roman" w:cs="Times New Roman"/>
          <w:color w:val="auto"/>
          <w:sz w:val="24"/>
          <w:szCs w:val="24"/>
          <w:lang w:val="en-GB" w:eastAsia="fr-FR"/>
        </w:rPr>
      </w:pPr>
      <w:bookmarkStart w:id="9" w:name="_Toc532441003"/>
      <w:proofErr w:type="spellStart"/>
      <w:r w:rsidRPr="0069578D">
        <w:rPr>
          <w:rFonts w:ascii="Times New Roman" w:hAnsi="Times New Roman" w:cs="Times New Roman"/>
          <w:b/>
          <w:i w:val="0"/>
          <w:color w:val="auto"/>
          <w:sz w:val="24"/>
          <w:szCs w:val="24"/>
        </w:rPr>
        <w:lastRenderedPageBreak/>
        <w:t>eTable</w:t>
      </w:r>
      <w:proofErr w:type="spellEnd"/>
      <w:r w:rsidRPr="0069578D">
        <w:rPr>
          <w:rFonts w:ascii="Times New Roman" w:hAnsi="Times New Roman" w:cs="Times New Roman"/>
          <w:b/>
          <w:i w:val="0"/>
          <w:color w:val="auto"/>
          <w:sz w:val="24"/>
          <w:szCs w:val="24"/>
        </w:rPr>
        <w:t xml:space="preserve"> </w:t>
      </w:r>
      <w:r w:rsidRPr="0069578D">
        <w:rPr>
          <w:rFonts w:ascii="Times New Roman" w:hAnsi="Times New Roman" w:cs="Times New Roman"/>
          <w:b/>
          <w:i w:val="0"/>
          <w:color w:val="auto"/>
          <w:sz w:val="24"/>
          <w:szCs w:val="24"/>
        </w:rPr>
        <w:fldChar w:fldCharType="begin"/>
      </w:r>
      <w:r w:rsidRPr="0069578D">
        <w:rPr>
          <w:rFonts w:ascii="Times New Roman" w:hAnsi="Times New Roman" w:cs="Times New Roman"/>
          <w:b/>
          <w:i w:val="0"/>
          <w:color w:val="auto"/>
          <w:sz w:val="24"/>
          <w:szCs w:val="24"/>
        </w:rPr>
        <w:instrText xml:space="preserve"> SEQ eTable \* ARABIC </w:instrText>
      </w:r>
      <w:r w:rsidRPr="0069578D">
        <w:rPr>
          <w:rFonts w:ascii="Times New Roman" w:hAnsi="Times New Roman" w:cs="Times New Roman"/>
          <w:b/>
          <w:i w:val="0"/>
          <w:color w:val="auto"/>
          <w:sz w:val="24"/>
          <w:szCs w:val="24"/>
        </w:rPr>
        <w:fldChar w:fldCharType="separate"/>
      </w:r>
      <w:r w:rsidR="009E4EC1">
        <w:rPr>
          <w:rFonts w:ascii="Times New Roman" w:hAnsi="Times New Roman" w:cs="Times New Roman"/>
          <w:b/>
          <w:i w:val="0"/>
          <w:noProof/>
          <w:color w:val="auto"/>
          <w:sz w:val="24"/>
          <w:szCs w:val="24"/>
        </w:rPr>
        <w:t>2</w:t>
      </w:r>
      <w:r w:rsidRPr="0069578D">
        <w:rPr>
          <w:rFonts w:ascii="Times New Roman" w:hAnsi="Times New Roman" w:cs="Times New Roman"/>
          <w:b/>
          <w:i w:val="0"/>
          <w:color w:val="auto"/>
          <w:sz w:val="24"/>
          <w:szCs w:val="24"/>
        </w:rPr>
        <w:fldChar w:fldCharType="end"/>
      </w:r>
      <w:r w:rsidRPr="0069578D">
        <w:rPr>
          <w:rFonts w:ascii="Times New Roman" w:eastAsia="Times New Roman" w:hAnsi="Times New Roman" w:cs="Times New Roman"/>
          <w:b/>
          <w:i w:val="0"/>
          <w:color w:val="auto"/>
          <w:sz w:val="24"/>
          <w:szCs w:val="24"/>
          <w:lang w:val="en-GB" w:eastAsia="fr-FR"/>
        </w:rPr>
        <w:t>.</w:t>
      </w:r>
      <w:r w:rsidRPr="0069578D">
        <w:rPr>
          <w:rFonts w:ascii="Times New Roman" w:eastAsia="Times New Roman" w:hAnsi="Times New Roman" w:cs="Times New Roman"/>
          <w:color w:val="auto"/>
          <w:sz w:val="24"/>
          <w:szCs w:val="24"/>
          <w:lang w:val="en-GB" w:eastAsia="fr-FR"/>
        </w:rPr>
        <w:t xml:space="preserve"> </w:t>
      </w:r>
      <w:r w:rsidRPr="0069578D">
        <w:rPr>
          <w:rFonts w:ascii="Times New Roman" w:eastAsia="Times New Roman" w:hAnsi="Times New Roman" w:cs="Times New Roman"/>
          <w:i w:val="0"/>
          <w:color w:val="auto"/>
          <w:sz w:val="24"/>
          <w:szCs w:val="24"/>
          <w:lang w:val="en-GB" w:eastAsia="fr-FR"/>
        </w:rPr>
        <w:t xml:space="preserve">Effect estimates and statistical power to detect associations between biomarker-based exposure to methylparaben and a continuous outcome, as a function of the number of biospecimens collected per subject to assess exposure (1,000 simulation runs with 3,000 subjects each; true effect, </w:t>
      </w:r>
      <m:oMath>
        <m:sSub>
          <m:sSubPr>
            <m:ctrlPr>
              <w:rPr>
                <w:rFonts w:ascii="Cambria Math" w:eastAsia="Times New Roman" w:hAnsi="Cambria Math" w:cs="Times New Roman"/>
                <w:i w:val="0"/>
                <w:color w:val="auto"/>
                <w:sz w:val="24"/>
                <w:szCs w:val="24"/>
                <w:lang w:val="en-GB" w:eastAsia="fr-FR"/>
              </w:rPr>
            </m:ctrlPr>
          </m:sSubPr>
          <m:e>
            <m:r>
              <w:rPr>
                <w:rFonts w:ascii="Cambria Math" w:eastAsia="Times New Roman" w:hAnsi="Cambria Math" w:cs="Times New Roman"/>
                <w:color w:val="auto"/>
                <w:sz w:val="24"/>
                <w:szCs w:val="24"/>
                <w:lang w:val="en-GB" w:eastAsia="fr-FR"/>
              </w:rPr>
              <m:t>β</m:t>
            </m:r>
          </m:e>
          <m:sub>
            <m:r>
              <w:rPr>
                <w:rFonts w:ascii="Cambria Math" w:eastAsia="Times New Roman" w:hAnsi="Cambria Math" w:cs="Times New Roman"/>
                <w:color w:val="auto"/>
                <w:sz w:val="24"/>
                <w:szCs w:val="24"/>
                <w:lang w:val="en-GB" w:eastAsia="fr-FR"/>
              </w:rPr>
              <m:t>true</m:t>
            </m:r>
          </m:sub>
        </m:sSub>
      </m:oMath>
      <w:r w:rsidRPr="0069578D">
        <w:rPr>
          <w:rFonts w:ascii="Times New Roman" w:eastAsia="Times New Roman" w:hAnsi="Times New Roman" w:cs="Times New Roman"/>
          <w:i w:val="0"/>
          <w:color w:val="auto"/>
          <w:sz w:val="24"/>
          <w:szCs w:val="24"/>
          <w:lang w:val="en-GB" w:eastAsia="fr-FR"/>
        </w:rPr>
        <w:t xml:space="preserve"> = -100g change in the outcome for each unit increase in the true (unmeasured) exposure).</w:t>
      </w:r>
      <w:bookmarkEnd w:id="9"/>
    </w:p>
    <w:p w:rsidR="0069578D" w:rsidRPr="0069578D" w:rsidRDefault="0069578D" w:rsidP="0069578D">
      <w:pPr>
        <w:spacing w:after="0" w:line="480" w:lineRule="auto"/>
        <w:jc w:val="both"/>
        <w:rPr>
          <w:rFonts w:ascii="Times New Roman" w:eastAsia="Times New Roman" w:hAnsi="Times New Roman" w:cs="Times New Roman"/>
          <w:sz w:val="24"/>
          <w:szCs w:val="24"/>
          <w:lang w:val="en-GB" w:eastAsia="fr-FR"/>
        </w:rPr>
      </w:pPr>
    </w:p>
    <w:tbl>
      <w:tblPr>
        <w:tblStyle w:val="TableGrid"/>
        <w:tblW w:w="143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4"/>
        <w:gridCol w:w="233"/>
        <w:gridCol w:w="705"/>
        <w:gridCol w:w="234"/>
        <w:gridCol w:w="1812"/>
        <w:gridCol w:w="818"/>
        <w:gridCol w:w="698"/>
        <w:gridCol w:w="236"/>
        <w:gridCol w:w="1812"/>
        <w:gridCol w:w="818"/>
        <w:gridCol w:w="1087"/>
        <w:gridCol w:w="236"/>
        <w:gridCol w:w="1701"/>
        <w:gridCol w:w="848"/>
        <w:gridCol w:w="1238"/>
      </w:tblGrid>
      <w:tr w:rsidR="0069578D" w:rsidRPr="0069578D" w:rsidTr="00CC7113">
        <w:trPr>
          <w:jc w:val="center"/>
        </w:trPr>
        <w:tc>
          <w:tcPr>
            <w:tcW w:w="1834" w:type="dxa"/>
            <w:vMerge w:val="restart"/>
            <w:tcBorders>
              <w:top w:val="single" w:sz="4" w:space="0" w:color="auto"/>
            </w:tcBorders>
            <w:vAlign w:val="center"/>
          </w:tcPr>
          <w:p w:rsidR="0069578D" w:rsidRPr="0069578D" w:rsidRDefault="0069578D" w:rsidP="0069578D">
            <w:pPr>
              <w:jc w:val="center"/>
              <w:rPr>
                <w:b/>
                <w:lang w:val="en-GB"/>
              </w:rPr>
            </w:pPr>
            <w:r w:rsidRPr="0069578D">
              <w:rPr>
                <w:b/>
                <w:lang w:val="en-GB"/>
              </w:rPr>
              <w:t>Number of</w:t>
            </w:r>
          </w:p>
          <w:p w:rsidR="0069578D" w:rsidRPr="0069578D" w:rsidRDefault="0069578D" w:rsidP="0069578D">
            <w:pPr>
              <w:jc w:val="center"/>
              <w:rPr>
                <w:b/>
                <w:lang w:val="en-GB"/>
              </w:rPr>
            </w:pPr>
            <w:r w:rsidRPr="0069578D">
              <w:rPr>
                <w:b/>
                <w:lang w:val="en-GB"/>
              </w:rPr>
              <w:t>biospecimens per subject</w:t>
            </w:r>
          </w:p>
        </w:tc>
        <w:tc>
          <w:tcPr>
            <w:tcW w:w="233" w:type="dxa"/>
            <w:tcBorders>
              <w:top w:val="single" w:sz="4" w:space="0" w:color="auto"/>
            </w:tcBorders>
            <w:vAlign w:val="center"/>
          </w:tcPr>
          <w:p w:rsidR="0069578D" w:rsidRPr="0069578D" w:rsidRDefault="0069578D" w:rsidP="0069578D">
            <w:pPr>
              <w:jc w:val="center"/>
              <w:rPr>
                <w:b/>
                <w:lang w:val="en-GB"/>
              </w:rPr>
            </w:pPr>
          </w:p>
        </w:tc>
        <w:tc>
          <w:tcPr>
            <w:tcW w:w="705" w:type="dxa"/>
            <w:tcBorders>
              <w:top w:val="single" w:sz="4" w:space="0" w:color="auto"/>
            </w:tcBorders>
            <w:vAlign w:val="center"/>
          </w:tcPr>
          <w:p w:rsidR="0069578D" w:rsidRPr="0069578D" w:rsidRDefault="0069578D" w:rsidP="0069578D">
            <w:pPr>
              <w:jc w:val="center"/>
              <w:rPr>
                <w:b/>
                <w:lang w:val="en-GB"/>
              </w:rPr>
            </w:pPr>
          </w:p>
        </w:tc>
        <w:tc>
          <w:tcPr>
            <w:tcW w:w="234" w:type="dxa"/>
            <w:tcBorders>
              <w:top w:val="single" w:sz="4" w:space="0" w:color="auto"/>
            </w:tcBorders>
            <w:vAlign w:val="center"/>
          </w:tcPr>
          <w:p w:rsidR="0069578D" w:rsidRPr="0069578D" w:rsidRDefault="0069578D" w:rsidP="0069578D">
            <w:pPr>
              <w:jc w:val="center"/>
              <w:rPr>
                <w:b/>
                <w:lang w:val="en-GB"/>
              </w:rPr>
            </w:pPr>
          </w:p>
        </w:tc>
        <w:tc>
          <w:tcPr>
            <w:tcW w:w="3328" w:type="dxa"/>
            <w:gridSpan w:val="3"/>
            <w:tcBorders>
              <w:top w:val="single" w:sz="4" w:space="0" w:color="auto"/>
              <w:bottom w:val="single" w:sz="4" w:space="0" w:color="auto"/>
            </w:tcBorders>
            <w:vAlign w:val="center"/>
          </w:tcPr>
          <w:p w:rsidR="0069578D" w:rsidRPr="0069578D" w:rsidRDefault="0069578D" w:rsidP="0069578D">
            <w:pPr>
              <w:jc w:val="center"/>
              <w:rPr>
                <w:b/>
                <w:lang w:val="en-GB"/>
              </w:rPr>
            </w:pPr>
            <w:r w:rsidRPr="0069578D">
              <w:rPr>
                <w:b/>
                <w:lang w:val="en-GB"/>
              </w:rPr>
              <w:t>Within-subject pooling</w:t>
            </w:r>
          </w:p>
        </w:tc>
        <w:tc>
          <w:tcPr>
            <w:tcW w:w="236" w:type="dxa"/>
            <w:tcBorders>
              <w:top w:val="single" w:sz="4" w:space="0" w:color="auto"/>
            </w:tcBorders>
            <w:vAlign w:val="center"/>
          </w:tcPr>
          <w:p w:rsidR="0069578D" w:rsidRPr="0069578D" w:rsidRDefault="0069578D" w:rsidP="0069578D">
            <w:pPr>
              <w:jc w:val="center"/>
              <w:rPr>
                <w:b/>
                <w:lang w:val="en-GB"/>
              </w:rPr>
            </w:pPr>
          </w:p>
        </w:tc>
        <w:tc>
          <w:tcPr>
            <w:tcW w:w="3717" w:type="dxa"/>
            <w:gridSpan w:val="3"/>
            <w:tcBorders>
              <w:top w:val="single" w:sz="4" w:space="0" w:color="auto"/>
              <w:bottom w:val="single" w:sz="4" w:space="0" w:color="auto"/>
            </w:tcBorders>
            <w:vAlign w:val="center"/>
          </w:tcPr>
          <w:p w:rsidR="0069578D" w:rsidRPr="0069578D" w:rsidRDefault="0069578D" w:rsidP="0069578D">
            <w:pPr>
              <w:jc w:val="center"/>
              <w:rPr>
                <w:b/>
                <w:lang w:val="en-GB"/>
              </w:rPr>
            </w:pPr>
            <w:r w:rsidRPr="0069578D">
              <w:rPr>
                <w:b/>
                <w:lang w:val="en-GB"/>
              </w:rPr>
              <w:t xml:space="preserve">Within-subject pooling </w:t>
            </w:r>
            <w:r w:rsidRPr="0069578D">
              <w:rPr>
                <w:b/>
                <w:lang w:val="en-GB"/>
              </w:rPr>
              <w:br/>
              <w:t xml:space="preserve">+ </w:t>
            </w:r>
            <w:r w:rsidRPr="0069578D">
              <w:rPr>
                <w:b/>
                <w:i/>
                <w:lang w:val="en-GB"/>
              </w:rPr>
              <w:t>a posteriori</w:t>
            </w:r>
            <w:r w:rsidRPr="0069578D">
              <w:rPr>
                <w:b/>
                <w:lang w:val="en-GB"/>
              </w:rPr>
              <w:t xml:space="preserve"> </w:t>
            </w:r>
            <w:proofErr w:type="spellStart"/>
            <w:r w:rsidRPr="0069578D">
              <w:rPr>
                <w:b/>
                <w:lang w:val="en-GB"/>
              </w:rPr>
              <w:t>disattenuation</w:t>
            </w:r>
            <w:proofErr w:type="spellEnd"/>
            <w:r w:rsidRPr="0069578D">
              <w:rPr>
                <w:b/>
                <w:lang w:val="en-GB"/>
              </w:rPr>
              <w:t xml:space="preserve"> using ICC</w:t>
            </w:r>
            <w:r w:rsidRPr="0069578D">
              <w:rPr>
                <w:b/>
                <w:vertAlign w:val="subscript"/>
                <w:lang w:val="en-GB"/>
              </w:rPr>
              <w:t xml:space="preserve">1 </w:t>
            </w:r>
            <w:r w:rsidRPr="0069578D">
              <w:rPr>
                <w:b/>
                <w:i/>
                <w:vertAlign w:val="superscript"/>
                <w:lang w:val="en-GB"/>
              </w:rPr>
              <w:t>f</w:t>
            </w:r>
          </w:p>
        </w:tc>
        <w:tc>
          <w:tcPr>
            <w:tcW w:w="236" w:type="dxa"/>
            <w:tcBorders>
              <w:top w:val="single" w:sz="4" w:space="0" w:color="auto"/>
            </w:tcBorders>
            <w:vAlign w:val="center"/>
          </w:tcPr>
          <w:p w:rsidR="0069578D" w:rsidRPr="0069578D" w:rsidRDefault="0069578D" w:rsidP="0069578D">
            <w:pPr>
              <w:jc w:val="center"/>
              <w:rPr>
                <w:b/>
                <w:lang w:val="en-GB"/>
              </w:rPr>
            </w:pPr>
          </w:p>
        </w:tc>
        <w:tc>
          <w:tcPr>
            <w:tcW w:w="3787" w:type="dxa"/>
            <w:gridSpan w:val="3"/>
            <w:tcBorders>
              <w:top w:val="single" w:sz="4" w:space="0" w:color="auto"/>
              <w:bottom w:val="single" w:sz="4" w:space="0" w:color="auto"/>
            </w:tcBorders>
            <w:vAlign w:val="center"/>
          </w:tcPr>
          <w:p w:rsidR="0069578D" w:rsidRPr="0069578D" w:rsidRDefault="0069578D" w:rsidP="0069578D">
            <w:pPr>
              <w:jc w:val="center"/>
              <w:rPr>
                <w:b/>
                <w:lang w:val="en-GB"/>
              </w:rPr>
            </w:pPr>
            <w:r w:rsidRPr="0069578D">
              <w:rPr>
                <w:b/>
                <w:lang w:val="en-GB"/>
              </w:rPr>
              <w:t xml:space="preserve">Within-subject pooling </w:t>
            </w:r>
          </w:p>
          <w:p w:rsidR="0069578D" w:rsidRPr="0069578D" w:rsidRDefault="0069578D" w:rsidP="0069578D">
            <w:pPr>
              <w:jc w:val="center"/>
              <w:rPr>
                <w:b/>
                <w:lang w:val="en-GB"/>
              </w:rPr>
            </w:pPr>
            <w:r w:rsidRPr="0069578D">
              <w:rPr>
                <w:b/>
                <w:lang w:val="en-GB"/>
              </w:rPr>
              <w:t xml:space="preserve">+ </w:t>
            </w:r>
            <w:r w:rsidRPr="0069578D">
              <w:rPr>
                <w:b/>
                <w:i/>
                <w:lang w:val="en-GB"/>
              </w:rPr>
              <w:t>a posteriori</w:t>
            </w:r>
            <w:r w:rsidRPr="0069578D">
              <w:rPr>
                <w:b/>
                <w:lang w:val="en-GB"/>
              </w:rPr>
              <w:t xml:space="preserve"> </w:t>
            </w:r>
            <w:proofErr w:type="spellStart"/>
            <w:r w:rsidRPr="0069578D">
              <w:rPr>
                <w:b/>
                <w:lang w:val="en-GB"/>
              </w:rPr>
              <w:t>disattenuation</w:t>
            </w:r>
            <w:proofErr w:type="spellEnd"/>
            <w:r w:rsidRPr="0069578D">
              <w:rPr>
                <w:b/>
                <w:lang w:val="en-GB"/>
              </w:rPr>
              <w:t xml:space="preserve"> using ICC</w:t>
            </w:r>
            <w:r w:rsidRPr="0069578D">
              <w:rPr>
                <w:b/>
                <w:vertAlign w:val="subscript"/>
                <w:lang w:val="en-GB"/>
              </w:rPr>
              <w:t xml:space="preserve">2 </w:t>
            </w:r>
            <w:r w:rsidRPr="0069578D">
              <w:rPr>
                <w:b/>
                <w:i/>
                <w:vertAlign w:val="superscript"/>
                <w:lang w:val="en-GB"/>
              </w:rPr>
              <w:t>g</w:t>
            </w:r>
          </w:p>
        </w:tc>
      </w:tr>
      <w:tr w:rsidR="0069578D" w:rsidRPr="0069578D" w:rsidTr="00CC7113">
        <w:trPr>
          <w:jc w:val="center"/>
        </w:trPr>
        <w:tc>
          <w:tcPr>
            <w:tcW w:w="1834" w:type="dxa"/>
            <w:vMerge/>
            <w:tcBorders>
              <w:bottom w:val="single" w:sz="4" w:space="0" w:color="auto"/>
            </w:tcBorders>
            <w:vAlign w:val="center"/>
          </w:tcPr>
          <w:p w:rsidR="0069578D" w:rsidRPr="0069578D" w:rsidRDefault="0069578D" w:rsidP="0069578D">
            <w:pPr>
              <w:jc w:val="center"/>
              <w:rPr>
                <w:b/>
                <w:lang w:val="en-GB"/>
              </w:rPr>
            </w:pPr>
          </w:p>
        </w:tc>
        <w:tc>
          <w:tcPr>
            <w:tcW w:w="233" w:type="dxa"/>
            <w:tcBorders>
              <w:bottom w:val="single" w:sz="4" w:space="0" w:color="auto"/>
            </w:tcBorders>
            <w:vAlign w:val="center"/>
          </w:tcPr>
          <w:p w:rsidR="0069578D" w:rsidRPr="0069578D" w:rsidRDefault="0069578D" w:rsidP="0069578D">
            <w:pPr>
              <w:jc w:val="center"/>
              <w:rPr>
                <w:b/>
                <w:lang w:val="en-GB"/>
              </w:rPr>
            </w:pPr>
          </w:p>
        </w:tc>
        <w:tc>
          <w:tcPr>
            <w:tcW w:w="705" w:type="dxa"/>
            <w:tcBorders>
              <w:bottom w:val="single" w:sz="4" w:space="0" w:color="auto"/>
            </w:tcBorders>
            <w:vAlign w:val="center"/>
          </w:tcPr>
          <w:p w:rsidR="0069578D" w:rsidRPr="0069578D" w:rsidRDefault="0069578D" w:rsidP="0069578D">
            <w:pPr>
              <w:jc w:val="center"/>
              <w:rPr>
                <w:b/>
                <w:lang w:val="en-GB"/>
              </w:rPr>
            </w:pPr>
            <w:r w:rsidRPr="0069578D">
              <w:rPr>
                <w:b/>
                <w:lang w:val="en-GB"/>
              </w:rPr>
              <w:t>True effect</w:t>
            </w:r>
          </w:p>
        </w:tc>
        <w:tc>
          <w:tcPr>
            <w:tcW w:w="234" w:type="dxa"/>
            <w:tcBorders>
              <w:bottom w:val="single" w:sz="4" w:space="0" w:color="auto"/>
            </w:tcBorders>
            <w:vAlign w:val="center"/>
          </w:tcPr>
          <w:p w:rsidR="0069578D" w:rsidRPr="0069578D" w:rsidRDefault="0069578D" w:rsidP="0069578D">
            <w:pPr>
              <w:jc w:val="center"/>
              <w:rPr>
                <w:b/>
                <w:lang w:val="en-GB"/>
              </w:rPr>
            </w:pPr>
          </w:p>
        </w:tc>
        <w:tc>
          <w:tcPr>
            <w:tcW w:w="1812" w:type="dxa"/>
            <w:tcBorders>
              <w:top w:val="single" w:sz="4" w:space="0" w:color="auto"/>
              <w:bottom w:val="single" w:sz="4" w:space="0" w:color="auto"/>
            </w:tcBorders>
            <w:vAlign w:val="center"/>
          </w:tcPr>
          <w:p w:rsidR="0069578D" w:rsidRPr="0069578D" w:rsidRDefault="0069578D" w:rsidP="0069578D">
            <w:pPr>
              <w:jc w:val="center"/>
              <w:rPr>
                <w:b/>
                <w:lang w:val="en-GB"/>
              </w:rPr>
            </w:pPr>
            <w:r w:rsidRPr="0069578D">
              <w:rPr>
                <w:b/>
                <w:lang w:val="en-GB"/>
              </w:rPr>
              <w:t xml:space="preserve">Estimated effect </w:t>
            </w:r>
            <w:r w:rsidRPr="0069578D">
              <w:rPr>
                <w:b/>
                <w:i/>
                <w:vertAlign w:val="superscript"/>
                <w:lang w:val="en-GB"/>
              </w:rPr>
              <w:t>a</w:t>
            </w:r>
          </w:p>
          <w:p w:rsidR="0069578D" w:rsidRPr="0069578D" w:rsidRDefault="0069578D" w:rsidP="0069578D">
            <w:pPr>
              <w:jc w:val="center"/>
              <w:rPr>
                <w:b/>
                <w:lang w:val="en-GB"/>
              </w:rPr>
            </w:pPr>
            <w:r w:rsidRPr="0069578D">
              <w:rPr>
                <w:b/>
                <w:lang w:val="en-GB"/>
              </w:rPr>
              <w:t xml:space="preserve">(95% CI </w:t>
            </w:r>
            <w:r w:rsidRPr="0069578D">
              <w:rPr>
                <w:b/>
                <w:i/>
                <w:vertAlign w:val="superscript"/>
                <w:lang w:val="en-GB"/>
              </w:rPr>
              <w:t>b</w:t>
            </w:r>
            <w:r w:rsidRPr="0069578D">
              <w:rPr>
                <w:b/>
                <w:lang w:val="en-GB"/>
              </w:rPr>
              <w:t>)</w:t>
            </w:r>
          </w:p>
        </w:tc>
        <w:tc>
          <w:tcPr>
            <w:tcW w:w="818" w:type="dxa"/>
            <w:tcBorders>
              <w:top w:val="single" w:sz="4" w:space="0" w:color="auto"/>
              <w:bottom w:val="single" w:sz="4" w:space="0" w:color="auto"/>
            </w:tcBorders>
            <w:vAlign w:val="center"/>
          </w:tcPr>
          <w:p w:rsidR="0069578D" w:rsidRPr="0069578D" w:rsidRDefault="0069578D" w:rsidP="0069578D">
            <w:pPr>
              <w:jc w:val="center"/>
              <w:rPr>
                <w:b/>
                <w:lang w:val="en-GB"/>
              </w:rPr>
            </w:pPr>
            <w:proofErr w:type="spellStart"/>
            <w:r w:rsidRPr="0069578D">
              <w:rPr>
                <w:b/>
                <w:lang w:val="en-GB"/>
              </w:rPr>
              <w:t>Power</w:t>
            </w:r>
            <w:r w:rsidRPr="0069578D">
              <w:rPr>
                <w:b/>
                <w:i/>
                <w:vertAlign w:val="superscript"/>
                <w:lang w:val="en-GB"/>
              </w:rPr>
              <w:t>c</w:t>
            </w:r>
            <w:proofErr w:type="spellEnd"/>
          </w:p>
        </w:tc>
        <w:tc>
          <w:tcPr>
            <w:tcW w:w="698" w:type="dxa"/>
            <w:tcBorders>
              <w:top w:val="single" w:sz="4" w:space="0" w:color="auto"/>
              <w:bottom w:val="single" w:sz="4" w:space="0" w:color="auto"/>
            </w:tcBorders>
            <w:vAlign w:val="center"/>
          </w:tcPr>
          <w:p w:rsidR="0069578D" w:rsidRPr="0069578D" w:rsidRDefault="0069578D" w:rsidP="0069578D">
            <w:pPr>
              <w:jc w:val="center"/>
              <w:rPr>
                <w:b/>
                <w:lang w:val="en-GB"/>
              </w:rPr>
            </w:pPr>
            <w:r w:rsidRPr="0069578D">
              <w:rPr>
                <w:b/>
                <w:lang w:val="en-GB"/>
              </w:rPr>
              <w:t>Bias (</w:t>
            </w:r>
            <w:proofErr w:type="gramStart"/>
            <w:r w:rsidRPr="0069578D">
              <w:rPr>
                <w:b/>
                <w:lang w:val="en-GB"/>
              </w:rPr>
              <w:t>%)</w:t>
            </w:r>
            <w:r w:rsidRPr="0069578D">
              <w:rPr>
                <w:b/>
                <w:i/>
                <w:vertAlign w:val="superscript"/>
                <w:lang w:val="en-GB"/>
              </w:rPr>
              <w:t>d</w:t>
            </w:r>
            <w:proofErr w:type="gramEnd"/>
          </w:p>
        </w:tc>
        <w:tc>
          <w:tcPr>
            <w:tcW w:w="236" w:type="dxa"/>
            <w:tcBorders>
              <w:bottom w:val="single" w:sz="4" w:space="0" w:color="auto"/>
            </w:tcBorders>
            <w:vAlign w:val="center"/>
          </w:tcPr>
          <w:p w:rsidR="0069578D" w:rsidRPr="0069578D" w:rsidRDefault="0069578D" w:rsidP="0069578D">
            <w:pPr>
              <w:jc w:val="center"/>
              <w:rPr>
                <w:b/>
                <w:lang w:val="en-GB"/>
              </w:rPr>
            </w:pPr>
          </w:p>
        </w:tc>
        <w:tc>
          <w:tcPr>
            <w:tcW w:w="1812" w:type="dxa"/>
            <w:tcBorders>
              <w:top w:val="single" w:sz="4" w:space="0" w:color="auto"/>
              <w:bottom w:val="single" w:sz="4" w:space="0" w:color="auto"/>
            </w:tcBorders>
            <w:vAlign w:val="center"/>
          </w:tcPr>
          <w:p w:rsidR="0069578D" w:rsidRPr="0069578D" w:rsidRDefault="0069578D" w:rsidP="0069578D">
            <w:pPr>
              <w:jc w:val="center"/>
              <w:rPr>
                <w:b/>
                <w:lang w:val="en-GB"/>
              </w:rPr>
            </w:pPr>
            <w:r w:rsidRPr="0069578D">
              <w:rPr>
                <w:b/>
                <w:lang w:val="en-GB"/>
              </w:rPr>
              <w:t xml:space="preserve">Estimated effect </w:t>
            </w:r>
            <w:r w:rsidRPr="0069578D">
              <w:rPr>
                <w:b/>
                <w:i/>
                <w:vertAlign w:val="superscript"/>
                <w:lang w:val="en-GB"/>
              </w:rPr>
              <w:t>a</w:t>
            </w:r>
            <w:r w:rsidRPr="0069578D">
              <w:rPr>
                <w:b/>
                <w:lang w:val="en-GB"/>
              </w:rPr>
              <w:t xml:space="preserve"> </w:t>
            </w:r>
            <w:r w:rsidRPr="0069578D">
              <w:rPr>
                <w:b/>
              </w:rPr>
              <w:t xml:space="preserve">(95% CI </w:t>
            </w:r>
            <w:r w:rsidRPr="0069578D">
              <w:rPr>
                <w:b/>
                <w:i/>
                <w:vertAlign w:val="superscript"/>
              </w:rPr>
              <w:t>b</w:t>
            </w:r>
            <w:r w:rsidRPr="0069578D">
              <w:rPr>
                <w:b/>
              </w:rPr>
              <w:t>)</w:t>
            </w:r>
          </w:p>
        </w:tc>
        <w:tc>
          <w:tcPr>
            <w:tcW w:w="818" w:type="dxa"/>
            <w:tcBorders>
              <w:top w:val="single" w:sz="4" w:space="0" w:color="auto"/>
              <w:bottom w:val="single" w:sz="4" w:space="0" w:color="auto"/>
            </w:tcBorders>
            <w:vAlign w:val="center"/>
          </w:tcPr>
          <w:p w:rsidR="0069578D" w:rsidRPr="0069578D" w:rsidRDefault="0069578D" w:rsidP="0069578D">
            <w:pPr>
              <w:jc w:val="center"/>
              <w:rPr>
                <w:b/>
                <w:lang w:val="en-GB"/>
              </w:rPr>
            </w:pPr>
            <w:proofErr w:type="spellStart"/>
            <w:r w:rsidRPr="0069578D">
              <w:rPr>
                <w:b/>
                <w:lang w:val="en-GB"/>
              </w:rPr>
              <w:t>Power</w:t>
            </w:r>
            <w:r w:rsidRPr="0069578D">
              <w:rPr>
                <w:b/>
                <w:i/>
                <w:vertAlign w:val="superscript"/>
                <w:lang w:val="en-GB"/>
              </w:rPr>
              <w:t>c</w:t>
            </w:r>
            <w:proofErr w:type="spellEnd"/>
          </w:p>
        </w:tc>
        <w:tc>
          <w:tcPr>
            <w:tcW w:w="1087" w:type="dxa"/>
            <w:tcBorders>
              <w:top w:val="single" w:sz="4" w:space="0" w:color="auto"/>
              <w:bottom w:val="single" w:sz="4" w:space="0" w:color="auto"/>
            </w:tcBorders>
            <w:vAlign w:val="center"/>
          </w:tcPr>
          <w:p w:rsidR="0069578D" w:rsidRPr="0069578D" w:rsidRDefault="0069578D" w:rsidP="0069578D">
            <w:pPr>
              <w:jc w:val="center"/>
              <w:rPr>
                <w:b/>
                <w:lang w:val="en-GB"/>
              </w:rPr>
            </w:pPr>
            <w:r w:rsidRPr="0069578D">
              <w:rPr>
                <w:b/>
                <w:lang w:val="en-GB"/>
              </w:rPr>
              <w:t xml:space="preserve">Bias (%) </w:t>
            </w:r>
            <w:r w:rsidRPr="0069578D">
              <w:rPr>
                <w:b/>
                <w:i/>
                <w:vertAlign w:val="superscript"/>
                <w:lang w:val="en-GB"/>
              </w:rPr>
              <w:t>d</w:t>
            </w:r>
          </w:p>
        </w:tc>
        <w:tc>
          <w:tcPr>
            <w:tcW w:w="236" w:type="dxa"/>
            <w:tcBorders>
              <w:bottom w:val="single" w:sz="4" w:space="0" w:color="auto"/>
            </w:tcBorders>
            <w:vAlign w:val="center"/>
          </w:tcPr>
          <w:p w:rsidR="0069578D" w:rsidRPr="0069578D" w:rsidRDefault="0069578D" w:rsidP="0069578D">
            <w:pPr>
              <w:jc w:val="center"/>
              <w:rPr>
                <w:b/>
                <w:lang w:val="en-GB"/>
              </w:rPr>
            </w:pPr>
          </w:p>
        </w:tc>
        <w:tc>
          <w:tcPr>
            <w:tcW w:w="1701" w:type="dxa"/>
            <w:tcBorders>
              <w:top w:val="single" w:sz="4" w:space="0" w:color="auto"/>
              <w:bottom w:val="single" w:sz="4" w:space="0" w:color="auto"/>
            </w:tcBorders>
            <w:vAlign w:val="center"/>
          </w:tcPr>
          <w:p w:rsidR="0069578D" w:rsidRPr="0069578D" w:rsidRDefault="0069578D" w:rsidP="0069578D">
            <w:pPr>
              <w:jc w:val="center"/>
              <w:rPr>
                <w:b/>
                <w:lang w:val="en-GB"/>
              </w:rPr>
            </w:pPr>
            <w:r w:rsidRPr="0069578D">
              <w:rPr>
                <w:b/>
                <w:lang w:val="en-GB"/>
              </w:rPr>
              <w:t xml:space="preserve">Estimated effect </w:t>
            </w:r>
            <w:r w:rsidRPr="0069578D">
              <w:rPr>
                <w:b/>
                <w:i/>
                <w:vertAlign w:val="superscript"/>
                <w:lang w:val="en-GB"/>
              </w:rPr>
              <w:t>a</w:t>
            </w:r>
            <w:r w:rsidRPr="0069578D">
              <w:rPr>
                <w:b/>
                <w:lang w:val="en-GB"/>
              </w:rPr>
              <w:t xml:space="preserve"> (95% CI </w:t>
            </w:r>
            <w:r w:rsidRPr="0069578D">
              <w:rPr>
                <w:b/>
                <w:i/>
                <w:vertAlign w:val="superscript"/>
                <w:lang w:val="en-GB"/>
              </w:rPr>
              <w:t>b</w:t>
            </w:r>
            <w:r w:rsidRPr="0069578D">
              <w:rPr>
                <w:b/>
                <w:lang w:val="en-GB"/>
              </w:rPr>
              <w:t>)</w:t>
            </w:r>
          </w:p>
        </w:tc>
        <w:tc>
          <w:tcPr>
            <w:tcW w:w="848" w:type="dxa"/>
            <w:tcBorders>
              <w:top w:val="single" w:sz="4" w:space="0" w:color="auto"/>
              <w:bottom w:val="single" w:sz="4" w:space="0" w:color="auto"/>
            </w:tcBorders>
            <w:vAlign w:val="center"/>
          </w:tcPr>
          <w:p w:rsidR="0069578D" w:rsidRPr="0069578D" w:rsidRDefault="0069578D" w:rsidP="0069578D">
            <w:pPr>
              <w:jc w:val="center"/>
              <w:rPr>
                <w:b/>
                <w:lang w:val="en-GB"/>
              </w:rPr>
            </w:pPr>
            <w:proofErr w:type="spellStart"/>
            <w:r w:rsidRPr="0069578D">
              <w:rPr>
                <w:b/>
                <w:lang w:val="en-GB"/>
              </w:rPr>
              <w:t>Power</w:t>
            </w:r>
            <w:r w:rsidRPr="0069578D">
              <w:rPr>
                <w:b/>
                <w:i/>
                <w:vertAlign w:val="superscript"/>
                <w:lang w:val="en-GB"/>
              </w:rPr>
              <w:t>c</w:t>
            </w:r>
            <w:proofErr w:type="spellEnd"/>
          </w:p>
        </w:tc>
        <w:tc>
          <w:tcPr>
            <w:tcW w:w="1238" w:type="dxa"/>
            <w:tcBorders>
              <w:top w:val="single" w:sz="4" w:space="0" w:color="auto"/>
              <w:bottom w:val="single" w:sz="4" w:space="0" w:color="auto"/>
            </w:tcBorders>
            <w:vAlign w:val="center"/>
          </w:tcPr>
          <w:p w:rsidR="0069578D" w:rsidRPr="0069578D" w:rsidRDefault="0069578D" w:rsidP="0069578D">
            <w:pPr>
              <w:jc w:val="center"/>
              <w:rPr>
                <w:b/>
                <w:lang w:val="en-GB"/>
              </w:rPr>
            </w:pPr>
            <w:r w:rsidRPr="0069578D">
              <w:rPr>
                <w:b/>
                <w:lang w:val="en-GB"/>
              </w:rPr>
              <w:t xml:space="preserve">Bias (%) </w:t>
            </w:r>
            <w:r w:rsidRPr="0069578D">
              <w:rPr>
                <w:b/>
                <w:i/>
                <w:vertAlign w:val="superscript"/>
                <w:lang w:val="en-GB"/>
              </w:rPr>
              <w:t>d</w:t>
            </w:r>
          </w:p>
        </w:tc>
      </w:tr>
      <w:tr w:rsidR="0069578D" w:rsidRPr="0069578D" w:rsidTr="00CC7113">
        <w:trPr>
          <w:jc w:val="center"/>
        </w:trPr>
        <w:tc>
          <w:tcPr>
            <w:tcW w:w="1834" w:type="dxa"/>
            <w:tcBorders>
              <w:top w:val="single" w:sz="4" w:space="0" w:color="auto"/>
            </w:tcBorders>
            <w:vAlign w:val="center"/>
          </w:tcPr>
          <w:p w:rsidR="0069578D" w:rsidRPr="0069578D" w:rsidRDefault="0069578D" w:rsidP="0069578D">
            <w:pPr>
              <w:tabs>
                <w:tab w:val="decimal" w:pos="880"/>
              </w:tabs>
              <w:rPr>
                <w:sz w:val="16"/>
                <w:szCs w:val="16"/>
                <w:lang w:val="en-GB"/>
              </w:rPr>
            </w:pPr>
            <w:r w:rsidRPr="0069578D">
              <w:rPr>
                <w:lang w:val="en-GB"/>
              </w:rPr>
              <w:t>1</w:t>
            </w:r>
          </w:p>
        </w:tc>
        <w:tc>
          <w:tcPr>
            <w:tcW w:w="233" w:type="dxa"/>
            <w:tcBorders>
              <w:top w:val="single" w:sz="4" w:space="0" w:color="auto"/>
            </w:tcBorders>
            <w:vAlign w:val="center"/>
          </w:tcPr>
          <w:p w:rsidR="0069578D" w:rsidRPr="0069578D" w:rsidRDefault="0069578D" w:rsidP="0069578D">
            <w:pPr>
              <w:jc w:val="center"/>
              <w:rPr>
                <w:sz w:val="16"/>
                <w:szCs w:val="16"/>
                <w:lang w:val="en-GB"/>
              </w:rPr>
            </w:pPr>
          </w:p>
        </w:tc>
        <w:tc>
          <w:tcPr>
            <w:tcW w:w="705" w:type="dxa"/>
            <w:tcBorders>
              <w:top w:val="single" w:sz="4" w:space="0" w:color="auto"/>
            </w:tcBorders>
            <w:vAlign w:val="center"/>
          </w:tcPr>
          <w:p w:rsidR="0069578D" w:rsidRPr="0069578D" w:rsidRDefault="0069578D" w:rsidP="0069578D">
            <w:pPr>
              <w:tabs>
                <w:tab w:val="decimal" w:pos="378"/>
              </w:tabs>
              <w:rPr>
                <w:sz w:val="16"/>
                <w:szCs w:val="16"/>
              </w:rPr>
            </w:pPr>
            <w:r w:rsidRPr="0069578D">
              <w:rPr>
                <w:lang w:val="en-GB"/>
              </w:rPr>
              <w:t>-100</w:t>
            </w:r>
          </w:p>
        </w:tc>
        <w:tc>
          <w:tcPr>
            <w:tcW w:w="234" w:type="dxa"/>
            <w:tcBorders>
              <w:top w:val="single" w:sz="4" w:space="0" w:color="auto"/>
            </w:tcBorders>
            <w:vAlign w:val="center"/>
          </w:tcPr>
          <w:p w:rsidR="0069578D" w:rsidRPr="0069578D" w:rsidRDefault="0069578D" w:rsidP="0069578D">
            <w:pPr>
              <w:jc w:val="center"/>
              <w:rPr>
                <w:sz w:val="16"/>
                <w:szCs w:val="16"/>
                <w:lang w:val="en-GB"/>
              </w:rPr>
            </w:pPr>
          </w:p>
        </w:tc>
        <w:tc>
          <w:tcPr>
            <w:tcW w:w="1812" w:type="dxa"/>
            <w:tcBorders>
              <w:top w:val="single" w:sz="4" w:space="0" w:color="auto"/>
            </w:tcBorders>
            <w:vAlign w:val="center"/>
          </w:tcPr>
          <w:p w:rsidR="0069578D" w:rsidRPr="0069578D" w:rsidRDefault="0069578D" w:rsidP="0069578D">
            <w:pPr>
              <w:jc w:val="center"/>
              <w:rPr>
                <w:sz w:val="16"/>
                <w:szCs w:val="16"/>
              </w:rPr>
            </w:pPr>
            <w:r w:rsidRPr="0069578D">
              <w:rPr>
                <w:lang w:val="en-GB"/>
              </w:rPr>
              <w:t>-71 (-101, -</w:t>
            </w:r>
            <w:proofErr w:type="gramStart"/>
            <w:r w:rsidRPr="0069578D">
              <w:rPr>
                <w:lang w:val="en-GB"/>
              </w:rPr>
              <w:t>40)</w:t>
            </w:r>
            <w:r w:rsidRPr="0069578D">
              <w:rPr>
                <w:i/>
                <w:vertAlign w:val="superscript"/>
                <w:lang w:val="en-GB"/>
              </w:rPr>
              <w:t>e</w:t>
            </w:r>
            <w:proofErr w:type="gramEnd"/>
          </w:p>
        </w:tc>
        <w:tc>
          <w:tcPr>
            <w:tcW w:w="818" w:type="dxa"/>
            <w:tcBorders>
              <w:top w:val="single" w:sz="4" w:space="0" w:color="auto"/>
            </w:tcBorders>
            <w:vAlign w:val="center"/>
          </w:tcPr>
          <w:p w:rsidR="0069578D" w:rsidRPr="0069578D" w:rsidRDefault="0069578D" w:rsidP="0069578D">
            <w:pPr>
              <w:jc w:val="center"/>
            </w:pPr>
            <w:r w:rsidRPr="0069578D">
              <w:rPr>
                <w:lang w:val="en-GB"/>
              </w:rPr>
              <w:t>0.99</w:t>
            </w:r>
          </w:p>
        </w:tc>
        <w:tc>
          <w:tcPr>
            <w:tcW w:w="698" w:type="dxa"/>
            <w:tcBorders>
              <w:top w:val="single" w:sz="4" w:space="0" w:color="auto"/>
            </w:tcBorders>
            <w:vAlign w:val="center"/>
          </w:tcPr>
          <w:p w:rsidR="0069578D" w:rsidRPr="0069578D" w:rsidRDefault="0069578D" w:rsidP="0069578D">
            <w:pPr>
              <w:jc w:val="center"/>
            </w:pPr>
            <w:r w:rsidRPr="0069578D">
              <w:rPr>
                <w:lang w:val="en-GB"/>
              </w:rPr>
              <w:t>-29</w:t>
            </w:r>
          </w:p>
        </w:tc>
        <w:tc>
          <w:tcPr>
            <w:tcW w:w="236" w:type="dxa"/>
            <w:tcBorders>
              <w:top w:val="single" w:sz="4" w:space="0" w:color="auto"/>
            </w:tcBorders>
            <w:vAlign w:val="center"/>
          </w:tcPr>
          <w:p w:rsidR="0069578D" w:rsidRPr="0069578D" w:rsidRDefault="0069578D" w:rsidP="0069578D">
            <w:pPr>
              <w:jc w:val="center"/>
              <w:rPr>
                <w:lang w:val="en-GB"/>
              </w:rPr>
            </w:pPr>
          </w:p>
        </w:tc>
        <w:tc>
          <w:tcPr>
            <w:tcW w:w="1812" w:type="dxa"/>
            <w:tcBorders>
              <w:top w:val="single" w:sz="4" w:space="0" w:color="auto"/>
            </w:tcBorders>
            <w:vAlign w:val="center"/>
          </w:tcPr>
          <w:p w:rsidR="0069578D" w:rsidRPr="0069578D" w:rsidRDefault="0069578D" w:rsidP="0069578D">
            <w:pPr>
              <w:jc w:val="center"/>
            </w:pPr>
            <w:r w:rsidRPr="0069578D">
              <w:rPr>
                <w:lang w:val="en-GB"/>
              </w:rPr>
              <w:t>-84 (-119, -</w:t>
            </w:r>
            <w:proofErr w:type="gramStart"/>
            <w:r w:rsidRPr="0069578D">
              <w:rPr>
                <w:lang w:val="en-GB"/>
              </w:rPr>
              <w:t>47)</w:t>
            </w:r>
            <w:r w:rsidRPr="0069578D">
              <w:rPr>
                <w:i/>
                <w:vertAlign w:val="superscript"/>
                <w:lang w:val="en-GB"/>
              </w:rPr>
              <w:t>e</w:t>
            </w:r>
            <w:proofErr w:type="gramEnd"/>
          </w:p>
        </w:tc>
        <w:tc>
          <w:tcPr>
            <w:tcW w:w="818" w:type="dxa"/>
            <w:tcBorders>
              <w:top w:val="single" w:sz="4" w:space="0" w:color="auto"/>
            </w:tcBorders>
            <w:vAlign w:val="center"/>
          </w:tcPr>
          <w:p w:rsidR="0069578D" w:rsidRPr="0069578D" w:rsidRDefault="0069578D" w:rsidP="0069578D">
            <w:pPr>
              <w:jc w:val="center"/>
            </w:pPr>
            <w:r w:rsidRPr="0069578D">
              <w:rPr>
                <w:lang w:val="en-GB"/>
              </w:rPr>
              <w:t>0.99</w:t>
            </w:r>
          </w:p>
        </w:tc>
        <w:tc>
          <w:tcPr>
            <w:tcW w:w="1087" w:type="dxa"/>
            <w:tcBorders>
              <w:top w:val="single" w:sz="4" w:space="0" w:color="auto"/>
            </w:tcBorders>
            <w:vAlign w:val="center"/>
          </w:tcPr>
          <w:p w:rsidR="0069578D" w:rsidRPr="0069578D" w:rsidRDefault="0069578D" w:rsidP="0069578D">
            <w:pPr>
              <w:tabs>
                <w:tab w:val="decimal" w:pos="477"/>
              </w:tabs>
            </w:pPr>
            <w:r w:rsidRPr="0069578D">
              <w:rPr>
                <w:lang w:val="en-GB"/>
              </w:rPr>
              <w:t>-16</w:t>
            </w:r>
          </w:p>
        </w:tc>
        <w:tc>
          <w:tcPr>
            <w:tcW w:w="236" w:type="dxa"/>
            <w:tcBorders>
              <w:top w:val="single" w:sz="4" w:space="0" w:color="auto"/>
            </w:tcBorders>
            <w:vAlign w:val="center"/>
          </w:tcPr>
          <w:p w:rsidR="0069578D" w:rsidRPr="0069578D" w:rsidRDefault="0069578D" w:rsidP="0069578D">
            <w:pPr>
              <w:jc w:val="center"/>
              <w:rPr>
                <w:lang w:val="en-GB"/>
              </w:rPr>
            </w:pPr>
          </w:p>
        </w:tc>
        <w:tc>
          <w:tcPr>
            <w:tcW w:w="1701" w:type="dxa"/>
            <w:tcBorders>
              <w:top w:val="single" w:sz="4" w:space="0" w:color="auto"/>
            </w:tcBorders>
            <w:vAlign w:val="center"/>
          </w:tcPr>
          <w:p w:rsidR="0069578D" w:rsidRPr="0069578D" w:rsidRDefault="0069578D" w:rsidP="0069578D">
            <w:pPr>
              <w:jc w:val="center"/>
            </w:pPr>
            <w:r w:rsidRPr="0069578D">
              <w:rPr>
                <w:lang w:val="en-GB"/>
              </w:rPr>
              <w:t>-158 (-225, -</w:t>
            </w:r>
            <w:proofErr w:type="gramStart"/>
            <w:r w:rsidRPr="0069578D">
              <w:rPr>
                <w:lang w:val="en-GB"/>
              </w:rPr>
              <w:t>89)</w:t>
            </w:r>
            <w:r w:rsidRPr="0069578D">
              <w:rPr>
                <w:i/>
                <w:vertAlign w:val="superscript"/>
                <w:lang w:val="en-GB"/>
              </w:rPr>
              <w:t>e</w:t>
            </w:r>
            <w:proofErr w:type="gramEnd"/>
          </w:p>
        </w:tc>
        <w:tc>
          <w:tcPr>
            <w:tcW w:w="848" w:type="dxa"/>
            <w:tcBorders>
              <w:top w:val="single" w:sz="4" w:space="0" w:color="auto"/>
            </w:tcBorders>
            <w:vAlign w:val="center"/>
          </w:tcPr>
          <w:p w:rsidR="0069578D" w:rsidRPr="0069578D" w:rsidRDefault="0069578D" w:rsidP="0069578D">
            <w:pPr>
              <w:jc w:val="center"/>
            </w:pPr>
            <w:r w:rsidRPr="0069578D">
              <w:rPr>
                <w:lang w:val="en-GB"/>
              </w:rPr>
              <w:t>0.99</w:t>
            </w:r>
          </w:p>
        </w:tc>
        <w:tc>
          <w:tcPr>
            <w:tcW w:w="1238" w:type="dxa"/>
            <w:tcBorders>
              <w:top w:val="single" w:sz="4" w:space="0" w:color="auto"/>
            </w:tcBorders>
            <w:vAlign w:val="center"/>
          </w:tcPr>
          <w:p w:rsidR="0069578D" w:rsidRPr="0069578D" w:rsidRDefault="0069578D" w:rsidP="0069578D">
            <w:pPr>
              <w:tabs>
                <w:tab w:val="decimal" w:pos="422"/>
              </w:tabs>
            </w:pPr>
            <w:r w:rsidRPr="0069578D">
              <w:rPr>
                <w:lang w:val="en-GB"/>
              </w:rPr>
              <w:t>58</w:t>
            </w:r>
          </w:p>
        </w:tc>
      </w:tr>
      <w:tr w:rsidR="0069578D" w:rsidRPr="0069578D" w:rsidTr="00CC7113">
        <w:trPr>
          <w:jc w:val="center"/>
        </w:trPr>
        <w:tc>
          <w:tcPr>
            <w:tcW w:w="1834" w:type="dxa"/>
            <w:vAlign w:val="center"/>
          </w:tcPr>
          <w:p w:rsidR="0069578D" w:rsidRPr="0069578D" w:rsidRDefault="0069578D" w:rsidP="0069578D">
            <w:pPr>
              <w:tabs>
                <w:tab w:val="decimal" w:pos="880"/>
              </w:tabs>
              <w:rPr>
                <w:sz w:val="16"/>
                <w:szCs w:val="16"/>
                <w:lang w:val="en-GB"/>
              </w:rPr>
            </w:pPr>
            <w:r w:rsidRPr="0069578D">
              <w:rPr>
                <w:lang w:val="en-GB"/>
              </w:rPr>
              <w:t>2</w:t>
            </w:r>
          </w:p>
        </w:tc>
        <w:tc>
          <w:tcPr>
            <w:tcW w:w="233" w:type="dxa"/>
            <w:vAlign w:val="center"/>
          </w:tcPr>
          <w:p w:rsidR="0069578D" w:rsidRPr="0069578D" w:rsidRDefault="0069578D" w:rsidP="0069578D">
            <w:pPr>
              <w:jc w:val="center"/>
              <w:rPr>
                <w:sz w:val="16"/>
                <w:szCs w:val="16"/>
                <w:lang w:val="en-GB"/>
              </w:rPr>
            </w:pPr>
          </w:p>
        </w:tc>
        <w:tc>
          <w:tcPr>
            <w:tcW w:w="705" w:type="dxa"/>
            <w:vAlign w:val="center"/>
          </w:tcPr>
          <w:p w:rsidR="0069578D" w:rsidRPr="0069578D" w:rsidRDefault="0069578D" w:rsidP="0069578D">
            <w:pPr>
              <w:tabs>
                <w:tab w:val="decimal" w:pos="378"/>
              </w:tabs>
              <w:rPr>
                <w:sz w:val="16"/>
                <w:szCs w:val="16"/>
                <w:lang w:val="en-GB"/>
              </w:rPr>
            </w:pPr>
            <w:r w:rsidRPr="0069578D">
              <w:rPr>
                <w:lang w:val="en-GB"/>
              </w:rPr>
              <w:t>-100</w:t>
            </w:r>
          </w:p>
        </w:tc>
        <w:tc>
          <w:tcPr>
            <w:tcW w:w="234" w:type="dxa"/>
            <w:vAlign w:val="center"/>
          </w:tcPr>
          <w:p w:rsidR="0069578D" w:rsidRPr="0069578D" w:rsidRDefault="0069578D" w:rsidP="0069578D">
            <w:pPr>
              <w:jc w:val="center"/>
              <w:rPr>
                <w:sz w:val="16"/>
                <w:szCs w:val="16"/>
                <w:lang w:val="en-GB"/>
              </w:rPr>
            </w:pPr>
          </w:p>
        </w:tc>
        <w:tc>
          <w:tcPr>
            <w:tcW w:w="1812" w:type="dxa"/>
            <w:vAlign w:val="center"/>
          </w:tcPr>
          <w:p w:rsidR="0069578D" w:rsidRPr="0069578D" w:rsidRDefault="0069578D" w:rsidP="0069578D">
            <w:pPr>
              <w:jc w:val="center"/>
              <w:rPr>
                <w:sz w:val="16"/>
                <w:szCs w:val="16"/>
                <w:lang w:val="en-GB"/>
              </w:rPr>
            </w:pPr>
            <w:r w:rsidRPr="0069578D">
              <w:rPr>
                <w:lang w:val="en-GB"/>
              </w:rPr>
              <w:t>-83 (-116, -49)</w:t>
            </w:r>
          </w:p>
        </w:tc>
        <w:tc>
          <w:tcPr>
            <w:tcW w:w="818" w:type="dxa"/>
            <w:vAlign w:val="center"/>
          </w:tcPr>
          <w:p w:rsidR="0069578D" w:rsidRPr="0069578D" w:rsidRDefault="0069578D" w:rsidP="0069578D">
            <w:pPr>
              <w:jc w:val="center"/>
              <w:rPr>
                <w:lang w:val="en-GB"/>
              </w:rPr>
            </w:pPr>
            <w:r w:rsidRPr="0069578D">
              <w:rPr>
                <w:lang w:val="en-GB"/>
              </w:rPr>
              <w:t>1</w:t>
            </w:r>
          </w:p>
        </w:tc>
        <w:tc>
          <w:tcPr>
            <w:tcW w:w="698" w:type="dxa"/>
            <w:vAlign w:val="center"/>
          </w:tcPr>
          <w:p w:rsidR="0069578D" w:rsidRPr="0069578D" w:rsidRDefault="0069578D" w:rsidP="0069578D">
            <w:pPr>
              <w:jc w:val="center"/>
              <w:rPr>
                <w:lang w:val="en-GB"/>
              </w:rPr>
            </w:pPr>
            <w:r w:rsidRPr="0069578D">
              <w:rPr>
                <w:lang w:val="en-GB"/>
              </w:rPr>
              <w:t>-17</w:t>
            </w:r>
          </w:p>
        </w:tc>
        <w:tc>
          <w:tcPr>
            <w:tcW w:w="236" w:type="dxa"/>
            <w:vAlign w:val="center"/>
          </w:tcPr>
          <w:p w:rsidR="0069578D" w:rsidRPr="0069578D" w:rsidRDefault="0069578D" w:rsidP="0069578D">
            <w:pPr>
              <w:jc w:val="center"/>
              <w:rPr>
                <w:lang w:val="en-GB"/>
              </w:rPr>
            </w:pPr>
          </w:p>
        </w:tc>
        <w:tc>
          <w:tcPr>
            <w:tcW w:w="1812" w:type="dxa"/>
            <w:vAlign w:val="center"/>
          </w:tcPr>
          <w:p w:rsidR="0069578D" w:rsidRPr="0069578D" w:rsidRDefault="0069578D" w:rsidP="0069578D">
            <w:pPr>
              <w:jc w:val="center"/>
              <w:rPr>
                <w:lang w:val="en-GB"/>
              </w:rPr>
            </w:pPr>
            <w:r w:rsidRPr="0069578D">
              <w:rPr>
                <w:lang w:val="en-GB"/>
              </w:rPr>
              <w:t>-91 (-127, -53)</w:t>
            </w:r>
          </w:p>
        </w:tc>
        <w:tc>
          <w:tcPr>
            <w:tcW w:w="818" w:type="dxa"/>
            <w:vAlign w:val="center"/>
          </w:tcPr>
          <w:p w:rsidR="0069578D" w:rsidRPr="0069578D" w:rsidRDefault="0069578D" w:rsidP="0069578D">
            <w:pPr>
              <w:jc w:val="center"/>
              <w:rPr>
                <w:lang w:val="en-GB"/>
              </w:rPr>
            </w:pPr>
            <w:r w:rsidRPr="0069578D">
              <w:rPr>
                <w:lang w:val="en-GB"/>
              </w:rPr>
              <w:t>1</w:t>
            </w:r>
          </w:p>
        </w:tc>
        <w:tc>
          <w:tcPr>
            <w:tcW w:w="1087" w:type="dxa"/>
            <w:vAlign w:val="center"/>
          </w:tcPr>
          <w:p w:rsidR="0069578D" w:rsidRPr="0069578D" w:rsidRDefault="0069578D" w:rsidP="0069578D">
            <w:pPr>
              <w:tabs>
                <w:tab w:val="decimal" w:pos="477"/>
              </w:tabs>
              <w:rPr>
                <w:lang w:val="en-GB"/>
              </w:rPr>
            </w:pPr>
            <w:r w:rsidRPr="0069578D">
              <w:rPr>
                <w:lang w:val="en-GB"/>
              </w:rPr>
              <w:t>-9</w:t>
            </w:r>
          </w:p>
        </w:tc>
        <w:tc>
          <w:tcPr>
            <w:tcW w:w="236" w:type="dxa"/>
            <w:vAlign w:val="center"/>
          </w:tcPr>
          <w:p w:rsidR="0069578D" w:rsidRPr="0069578D" w:rsidRDefault="0069578D" w:rsidP="0069578D">
            <w:pPr>
              <w:jc w:val="center"/>
              <w:rPr>
                <w:lang w:val="en-GB"/>
              </w:rPr>
            </w:pPr>
          </w:p>
        </w:tc>
        <w:tc>
          <w:tcPr>
            <w:tcW w:w="1701" w:type="dxa"/>
            <w:vAlign w:val="center"/>
          </w:tcPr>
          <w:p w:rsidR="0069578D" w:rsidRPr="0069578D" w:rsidRDefault="0069578D" w:rsidP="0069578D">
            <w:pPr>
              <w:jc w:val="center"/>
              <w:rPr>
                <w:lang w:val="en-GB"/>
              </w:rPr>
            </w:pPr>
            <w:r w:rsidRPr="0069578D">
              <w:rPr>
                <w:lang w:val="en-GB"/>
              </w:rPr>
              <w:t>-134 (-188, -79)</w:t>
            </w:r>
          </w:p>
        </w:tc>
        <w:tc>
          <w:tcPr>
            <w:tcW w:w="848" w:type="dxa"/>
            <w:vAlign w:val="center"/>
          </w:tcPr>
          <w:p w:rsidR="0069578D" w:rsidRPr="0069578D" w:rsidRDefault="0069578D" w:rsidP="0069578D">
            <w:pPr>
              <w:jc w:val="center"/>
              <w:rPr>
                <w:lang w:val="en-GB"/>
              </w:rPr>
            </w:pPr>
            <w:r w:rsidRPr="0069578D">
              <w:rPr>
                <w:lang w:val="en-GB"/>
              </w:rPr>
              <w:t>1</w:t>
            </w:r>
          </w:p>
        </w:tc>
        <w:tc>
          <w:tcPr>
            <w:tcW w:w="1238" w:type="dxa"/>
            <w:vAlign w:val="center"/>
          </w:tcPr>
          <w:p w:rsidR="0069578D" w:rsidRPr="0069578D" w:rsidRDefault="0069578D" w:rsidP="0069578D">
            <w:pPr>
              <w:tabs>
                <w:tab w:val="decimal" w:pos="422"/>
              </w:tabs>
              <w:rPr>
                <w:lang w:val="en-GB"/>
              </w:rPr>
            </w:pPr>
            <w:r w:rsidRPr="0069578D">
              <w:rPr>
                <w:lang w:val="en-GB"/>
              </w:rPr>
              <w:t>34</w:t>
            </w:r>
          </w:p>
        </w:tc>
      </w:tr>
      <w:tr w:rsidR="0069578D" w:rsidRPr="0069578D" w:rsidTr="00CC7113">
        <w:trPr>
          <w:jc w:val="center"/>
        </w:trPr>
        <w:tc>
          <w:tcPr>
            <w:tcW w:w="1834" w:type="dxa"/>
            <w:vAlign w:val="center"/>
          </w:tcPr>
          <w:p w:rsidR="0069578D" w:rsidRPr="0069578D" w:rsidRDefault="0069578D" w:rsidP="0069578D">
            <w:pPr>
              <w:tabs>
                <w:tab w:val="decimal" w:pos="880"/>
              </w:tabs>
              <w:rPr>
                <w:sz w:val="16"/>
                <w:szCs w:val="16"/>
                <w:lang w:val="en-GB"/>
              </w:rPr>
            </w:pPr>
            <w:r w:rsidRPr="0069578D">
              <w:rPr>
                <w:lang w:val="en-GB"/>
              </w:rPr>
              <w:t>3</w:t>
            </w:r>
          </w:p>
        </w:tc>
        <w:tc>
          <w:tcPr>
            <w:tcW w:w="233" w:type="dxa"/>
            <w:vAlign w:val="center"/>
          </w:tcPr>
          <w:p w:rsidR="0069578D" w:rsidRPr="0069578D" w:rsidRDefault="0069578D" w:rsidP="0069578D">
            <w:pPr>
              <w:jc w:val="center"/>
              <w:rPr>
                <w:sz w:val="16"/>
                <w:szCs w:val="16"/>
                <w:lang w:val="en-GB"/>
              </w:rPr>
            </w:pPr>
          </w:p>
        </w:tc>
        <w:tc>
          <w:tcPr>
            <w:tcW w:w="705" w:type="dxa"/>
            <w:vAlign w:val="center"/>
          </w:tcPr>
          <w:p w:rsidR="0069578D" w:rsidRPr="0069578D" w:rsidRDefault="0069578D" w:rsidP="0069578D">
            <w:pPr>
              <w:tabs>
                <w:tab w:val="decimal" w:pos="378"/>
              </w:tabs>
              <w:rPr>
                <w:sz w:val="16"/>
                <w:szCs w:val="16"/>
                <w:lang w:val="en-GB"/>
              </w:rPr>
            </w:pPr>
            <w:r w:rsidRPr="0069578D">
              <w:rPr>
                <w:lang w:val="en-GB"/>
              </w:rPr>
              <w:t>-101</w:t>
            </w:r>
          </w:p>
        </w:tc>
        <w:tc>
          <w:tcPr>
            <w:tcW w:w="234" w:type="dxa"/>
            <w:vAlign w:val="center"/>
          </w:tcPr>
          <w:p w:rsidR="0069578D" w:rsidRPr="0069578D" w:rsidRDefault="0069578D" w:rsidP="0069578D">
            <w:pPr>
              <w:jc w:val="center"/>
              <w:rPr>
                <w:sz w:val="16"/>
                <w:szCs w:val="16"/>
                <w:lang w:val="en-GB"/>
              </w:rPr>
            </w:pPr>
          </w:p>
        </w:tc>
        <w:tc>
          <w:tcPr>
            <w:tcW w:w="1812" w:type="dxa"/>
            <w:vAlign w:val="center"/>
          </w:tcPr>
          <w:p w:rsidR="0069578D" w:rsidRPr="0069578D" w:rsidRDefault="0069578D" w:rsidP="0069578D">
            <w:pPr>
              <w:jc w:val="center"/>
              <w:rPr>
                <w:sz w:val="16"/>
                <w:szCs w:val="16"/>
                <w:lang w:val="en-GB"/>
              </w:rPr>
            </w:pPr>
            <w:r w:rsidRPr="0069578D">
              <w:rPr>
                <w:lang w:val="en-GB"/>
              </w:rPr>
              <w:t>-89 (-122, -53)</w:t>
            </w:r>
          </w:p>
        </w:tc>
        <w:tc>
          <w:tcPr>
            <w:tcW w:w="818" w:type="dxa"/>
            <w:vAlign w:val="center"/>
          </w:tcPr>
          <w:p w:rsidR="0069578D" w:rsidRPr="0069578D" w:rsidRDefault="0069578D" w:rsidP="0069578D">
            <w:pPr>
              <w:jc w:val="center"/>
              <w:rPr>
                <w:lang w:val="en-GB"/>
              </w:rPr>
            </w:pPr>
            <w:r w:rsidRPr="0069578D">
              <w:rPr>
                <w:lang w:val="en-GB"/>
              </w:rPr>
              <w:t>1</w:t>
            </w:r>
          </w:p>
        </w:tc>
        <w:tc>
          <w:tcPr>
            <w:tcW w:w="698" w:type="dxa"/>
            <w:vAlign w:val="center"/>
          </w:tcPr>
          <w:p w:rsidR="0069578D" w:rsidRPr="0069578D" w:rsidRDefault="0069578D" w:rsidP="0069578D">
            <w:pPr>
              <w:jc w:val="center"/>
              <w:rPr>
                <w:lang w:val="en-GB"/>
              </w:rPr>
            </w:pPr>
            <w:r w:rsidRPr="0069578D">
              <w:rPr>
                <w:lang w:val="en-GB"/>
              </w:rPr>
              <w:t>-12</w:t>
            </w:r>
          </w:p>
        </w:tc>
        <w:tc>
          <w:tcPr>
            <w:tcW w:w="236" w:type="dxa"/>
            <w:vAlign w:val="center"/>
          </w:tcPr>
          <w:p w:rsidR="0069578D" w:rsidRPr="0069578D" w:rsidRDefault="0069578D" w:rsidP="0069578D">
            <w:pPr>
              <w:jc w:val="center"/>
              <w:rPr>
                <w:lang w:val="en-GB"/>
              </w:rPr>
            </w:pPr>
          </w:p>
        </w:tc>
        <w:tc>
          <w:tcPr>
            <w:tcW w:w="1812" w:type="dxa"/>
            <w:vAlign w:val="center"/>
          </w:tcPr>
          <w:p w:rsidR="0069578D" w:rsidRPr="0069578D" w:rsidRDefault="0069578D" w:rsidP="0069578D">
            <w:pPr>
              <w:jc w:val="center"/>
              <w:rPr>
                <w:lang w:val="en-GB"/>
              </w:rPr>
            </w:pPr>
            <w:r w:rsidRPr="0069578D">
              <w:rPr>
                <w:lang w:val="en-GB"/>
              </w:rPr>
              <w:t>-94 (-129, -56)</w:t>
            </w:r>
          </w:p>
        </w:tc>
        <w:tc>
          <w:tcPr>
            <w:tcW w:w="818" w:type="dxa"/>
            <w:vAlign w:val="center"/>
          </w:tcPr>
          <w:p w:rsidR="0069578D" w:rsidRPr="0069578D" w:rsidRDefault="0069578D" w:rsidP="0069578D">
            <w:pPr>
              <w:jc w:val="center"/>
              <w:rPr>
                <w:lang w:val="en-GB"/>
              </w:rPr>
            </w:pPr>
            <w:r w:rsidRPr="0069578D">
              <w:rPr>
                <w:lang w:val="en-GB"/>
              </w:rPr>
              <w:t>1</w:t>
            </w:r>
          </w:p>
        </w:tc>
        <w:tc>
          <w:tcPr>
            <w:tcW w:w="1087" w:type="dxa"/>
            <w:vAlign w:val="center"/>
          </w:tcPr>
          <w:p w:rsidR="0069578D" w:rsidRPr="0069578D" w:rsidRDefault="0069578D" w:rsidP="0069578D">
            <w:pPr>
              <w:tabs>
                <w:tab w:val="decimal" w:pos="477"/>
              </w:tabs>
              <w:rPr>
                <w:lang w:val="en-GB"/>
              </w:rPr>
            </w:pPr>
            <w:r w:rsidRPr="0069578D">
              <w:rPr>
                <w:lang w:val="en-GB"/>
              </w:rPr>
              <w:t>-7</w:t>
            </w:r>
          </w:p>
        </w:tc>
        <w:tc>
          <w:tcPr>
            <w:tcW w:w="236" w:type="dxa"/>
            <w:vAlign w:val="center"/>
          </w:tcPr>
          <w:p w:rsidR="0069578D" w:rsidRPr="0069578D" w:rsidRDefault="0069578D" w:rsidP="0069578D">
            <w:pPr>
              <w:jc w:val="center"/>
              <w:rPr>
                <w:lang w:val="en-GB"/>
              </w:rPr>
            </w:pPr>
          </w:p>
        </w:tc>
        <w:tc>
          <w:tcPr>
            <w:tcW w:w="1701" w:type="dxa"/>
            <w:vAlign w:val="center"/>
          </w:tcPr>
          <w:p w:rsidR="0069578D" w:rsidRPr="0069578D" w:rsidRDefault="0069578D" w:rsidP="0069578D">
            <w:pPr>
              <w:jc w:val="center"/>
              <w:rPr>
                <w:lang w:val="en-GB"/>
              </w:rPr>
            </w:pPr>
            <w:r w:rsidRPr="0069578D">
              <w:rPr>
                <w:lang w:val="en-GB"/>
              </w:rPr>
              <w:t>-125 (-172, -75)</w:t>
            </w:r>
          </w:p>
        </w:tc>
        <w:tc>
          <w:tcPr>
            <w:tcW w:w="848" w:type="dxa"/>
            <w:vAlign w:val="center"/>
          </w:tcPr>
          <w:p w:rsidR="0069578D" w:rsidRPr="0069578D" w:rsidRDefault="0069578D" w:rsidP="0069578D">
            <w:pPr>
              <w:jc w:val="center"/>
              <w:rPr>
                <w:lang w:val="en-GB"/>
              </w:rPr>
            </w:pPr>
            <w:r w:rsidRPr="0069578D">
              <w:rPr>
                <w:lang w:val="en-GB"/>
              </w:rPr>
              <w:t>1</w:t>
            </w:r>
          </w:p>
        </w:tc>
        <w:tc>
          <w:tcPr>
            <w:tcW w:w="1238" w:type="dxa"/>
            <w:vAlign w:val="center"/>
          </w:tcPr>
          <w:p w:rsidR="0069578D" w:rsidRPr="0069578D" w:rsidRDefault="0069578D" w:rsidP="0069578D">
            <w:pPr>
              <w:tabs>
                <w:tab w:val="decimal" w:pos="422"/>
              </w:tabs>
              <w:rPr>
                <w:lang w:val="en-GB"/>
              </w:rPr>
            </w:pPr>
            <w:r w:rsidRPr="0069578D">
              <w:rPr>
                <w:lang w:val="en-GB"/>
              </w:rPr>
              <w:t>24</w:t>
            </w:r>
          </w:p>
        </w:tc>
      </w:tr>
      <w:tr w:rsidR="0069578D" w:rsidRPr="0069578D" w:rsidTr="00CC7113">
        <w:trPr>
          <w:jc w:val="center"/>
        </w:trPr>
        <w:tc>
          <w:tcPr>
            <w:tcW w:w="1834" w:type="dxa"/>
            <w:vAlign w:val="center"/>
          </w:tcPr>
          <w:p w:rsidR="0069578D" w:rsidRPr="0069578D" w:rsidRDefault="0069578D" w:rsidP="0069578D">
            <w:pPr>
              <w:tabs>
                <w:tab w:val="decimal" w:pos="880"/>
              </w:tabs>
              <w:rPr>
                <w:sz w:val="16"/>
                <w:szCs w:val="16"/>
                <w:lang w:val="en-GB"/>
              </w:rPr>
            </w:pPr>
            <w:r w:rsidRPr="0069578D">
              <w:rPr>
                <w:lang w:val="en-GB"/>
              </w:rPr>
              <w:t>4</w:t>
            </w:r>
          </w:p>
        </w:tc>
        <w:tc>
          <w:tcPr>
            <w:tcW w:w="233" w:type="dxa"/>
            <w:vAlign w:val="center"/>
          </w:tcPr>
          <w:p w:rsidR="0069578D" w:rsidRPr="0069578D" w:rsidRDefault="0069578D" w:rsidP="0069578D">
            <w:pPr>
              <w:jc w:val="center"/>
              <w:rPr>
                <w:sz w:val="16"/>
                <w:szCs w:val="16"/>
                <w:lang w:val="en-GB"/>
              </w:rPr>
            </w:pPr>
          </w:p>
        </w:tc>
        <w:tc>
          <w:tcPr>
            <w:tcW w:w="705" w:type="dxa"/>
            <w:vAlign w:val="center"/>
          </w:tcPr>
          <w:p w:rsidR="0069578D" w:rsidRPr="0069578D" w:rsidRDefault="0069578D" w:rsidP="0069578D">
            <w:pPr>
              <w:tabs>
                <w:tab w:val="decimal" w:pos="378"/>
              </w:tabs>
              <w:rPr>
                <w:sz w:val="16"/>
                <w:szCs w:val="16"/>
                <w:lang w:val="en-GB"/>
              </w:rPr>
            </w:pPr>
            <w:r w:rsidRPr="0069578D">
              <w:rPr>
                <w:lang w:val="en-GB"/>
              </w:rPr>
              <w:t>-99</w:t>
            </w:r>
          </w:p>
        </w:tc>
        <w:tc>
          <w:tcPr>
            <w:tcW w:w="234" w:type="dxa"/>
            <w:vAlign w:val="center"/>
          </w:tcPr>
          <w:p w:rsidR="0069578D" w:rsidRPr="0069578D" w:rsidRDefault="0069578D" w:rsidP="0069578D">
            <w:pPr>
              <w:jc w:val="center"/>
              <w:rPr>
                <w:sz w:val="16"/>
                <w:szCs w:val="16"/>
                <w:lang w:val="en-GB"/>
              </w:rPr>
            </w:pPr>
          </w:p>
        </w:tc>
        <w:tc>
          <w:tcPr>
            <w:tcW w:w="1812" w:type="dxa"/>
            <w:vAlign w:val="center"/>
          </w:tcPr>
          <w:p w:rsidR="0069578D" w:rsidRPr="0069578D" w:rsidRDefault="0069578D" w:rsidP="0069578D">
            <w:pPr>
              <w:jc w:val="center"/>
              <w:rPr>
                <w:sz w:val="16"/>
                <w:szCs w:val="16"/>
                <w:lang w:val="en-GB"/>
              </w:rPr>
            </w:pPr>
            <w:r w:rsidRPr="0069578D">
              <w:rPr>
                <w:lang w:val="en-GB"/>
              </w:rPr>
              <w:t>-91 (-127, -54)</w:t>
            </w:r>
          </w:p>
        </w:tc>
        <w:tc>
          <w:tcPr>
            <w:tcW w:w="818" w:type="dxa"/>
            <w:vAlign w:val="center"/>
          </w:tcPr>
          <w:p w:rsidR="0069578D" w:rsidRPr="0069578D" w:rsidRDefault="0069578D" w:rsidP="0069578D">
            <w:pPr>
              <w:jc w:val="center"/>
              <w:rPr>
                <w:lang w:val="en-GB"/>
              </w:rPr>
            </w:pPr>
            <w:r w:rsidRPr="0069578D">
              <w:rPr>
                <w:lang w:val="en-GB"/>
              </w:rPr>
              <w:t>1</w:t>
            </w:r>
          </w:p>
        </w:tc>
        <w:tc>
          <w:tcPr>
            <w:tcW w:w="698" w:type="dxa"/>
            <w:vAlign w:val="center"/>
          </w:tcPr>
          <w:p w:rsidR="0069578D" w:rsidRPr="0069578D" w:rsidRDefault="0069578D" w:rsidP="0069578D">
            <w:pPr>
              <w:jc w:val="center"/>
              <w:rPr>
                <w:lang w:val="en-GB"/>
              </w:rPr>
            </w:pPr>
            <w:r w:rsidRPr="0069578D">
              <w:rPr>
                <w:lang w:val="en-GB"/>
              </w:rPr>
              <w:t>-9</w:t>
            </w:r>
          </w:p>
        </w:tc>
        <w:tc>
          <w:tcPr>
            <w:tcW w:w="236" w:type="dxa"/>
            <w:vAlign w:val="center"/>
          </w:tcPr>
          <w:p w:rsidR="0069578D" w:rsidRPr="0069578D" w:rsidRDefault="0069578D" w:rsidP="0069578D">
            <w:pPr>
              <w:jc w:val="center"/>
              <w:rPr>
                <w:lang w:val="en-GB"/>
              </w:rPr>
            </w:pPr>
          </w:p>
        </w:tc>
        <w:tc>
          <w:tcPr>
            <w:tcW w:w="1812" w:type="dxa"/>
            <w:vAlign w:val="center"/>
          </w:tcPr>
          <w:p w:rsidR="0069578D" w:rsidRPr="0069578D" w:rsidRDefault="0069578D" w:rsidP="0069578D">
            <w:pPr>
              <w:jc w:val="center"/>
              <w:rPr>
                <w:lang w:val="en-GB"/>
              </w:rPr>
            </w:pPr>
            <w:r w:rsidRPr="0069578D">
              <w:rPr>
                <w:lang w:val="en-GB"/>
              </w:rPr>
              <w:t>-95 (-132, -56)</w:t>
            </w:r>
          </w:p>
        </w:tc>
        <w:tc>
          <w:tcPr>
            <w:tcW w:w="818" w:type="dxa"/>
            <w:vAlign w:val="center"/>
          </w:tcPr>
          <w:p w:rsidR="0069578D" w:rsidRPr="0069578D" w:rsidRDefault="0069578D" w:rsidP="0069578D">
            <w:pPr>
              <w:jc w:val="center"/>
              <w:rPr>
                <w:lang w:val="en-GB"/>
              </w:rPr>
            </w:pPr>
            <w:r w:rsidRPr="0069578D">
              <w:rPr>
                <w:lang w:val="en-GB"/>
              </w:rPr>
              <w:t>1</w:t>
            </w:r>
          </w:p>
        </w:tc>
        <w:tc>
          <w:tcPr>
            <w:tcW w:w="1087" w:type="dxa"/>
            <w:vAlign w:val="center"/>
          </w:tcPr>
          <w:p w:rsidR="0069578D" w:rsidRPr="0069578D" w:rsidRDefault="0069578D" w:rsidP="0069578D">
            <w:pPr>
              <w:tabs>
                <w:tab w:val="decimal" w:pos="477"/>
              </w:tabs>
              <w:rPr>
                <w:lang w:val="en-GB"/>
              </w:rPr>
            </w:pPr>
            <w:r w:rsidRPr="0069578D">
              <w:rPr>
                <w:lang w:val="en-GB"/>
              </w:rPr>
              <w:t>-5</w:t>
            </w:r>
          </w:p>
        </w:tc>
        <w:tc>
          <w:tcPr>
            <w:tcW w:w="236" w:type="dxa"/>
            <w:vAlign w:val="center"/>
          </w:tcPr>
          <w:p w:rsidR="0069578D" w:rsidRPr="0069578D" w:rsidRDefault="0069578D" w:rsidP="0069578D">
            <w:pPr>
              <w:jc w:val="center"/>
              <w:rPr>
                <w:lang w:val="en-GB"/>
              </w:rPr>
            </w:pPr>
          </w:p>
        </w:tc>
        <w:tc>
          <w:tcPr>
            <w:tcW w:w="1701" w:type="dxa"/>
            <w:vAlign w:val="center"/>
          </w:tcPr>
          <w:p w:rsidR="0069578D" w:rsidRPr="0069578D" w:rsidRDefault="0069578D" w:rsidP="0069578D">
            <w:pPr>
              <w:jc w:val="center"/>
              <w:rPr>
                <w:lang w:val="en-GB"/>
              </w:rPr>
            </w:pPr>
            <w:r w:rsidRPr="0069578D">
              <w:rPr>
                <w:lang w:val="en-GB"/>
              </w:rPr>
              <w:t>-118 (-166, -70)</w:t>
            </w:r>
          </w:p>
        </w:tc>
        <w:tc>
          <w:tcPr>
            <w:tcW w:w="848" w:type="dxa"/>
            <w:vAlign w:val="center"/>
          </w:tcPr>
          <w:p w:rsidR="0069578D" w:rsidRPr="0069578D" w:rsidRDefault="0069578D" w:rsidP="0069578D">
            <w:pPr>
              <w:jc w:val="center"/>
              <w:rPr>
                <w:lang w:val="en-GB"/>
              </w:rPr>
            </w:pPr>
            <w:r w:rsidRPr="0069578D">
              <w:rPr>
                <w:lang w:val="en-GB"/>
              </w:rPr>
              <w:t>1</w:t>
            </w:r>
          </w:p>
        </w:tc>
        <w:tc>
          <w:tcPr>
            <w:tcW w:w="1238" w:type="dxa"/>
            <w:vAlign w:val="center"/>
          </w:tcPr>
          <w:p w:rsidR="0069578D" w:rsidRPr="0069578D" w:rsidRDefault="0069578D" w:rsidP="0069578D">
            <w:pPr>
              <w:tabs>
                <w:tab w:val="decimal" w:pos="422"/>
              </w:tabs>
              <w:rPr>
                <w:lang w:val="en-GB"/>
              </w:rPr>
            </w:pPr>
            <w:r w:rsidRPr="0069578D">
              <w:rPr>
                <w:lang w:val="en-GB"/>
              </w:rPr>
              <w:t>19</w:t>
            </w:r>
          </w:p>
        </w:tc>
      </w:tr>
      <w:tr w:rsidR="0069578D" w:rsidRPr="0069578D" w:rsidTr="00CC7113">
        <w:trPr>
          <w:jc w:val="center"/>
        </w:trPr>
        <w:tc>
          <w:tcPr>
            <w:tcW w:w="1834" w:type="dxa"/>
            <w:vAlign w:val="center"/>
          </w:tcPr>
          <w:p w:rsidR="0069578D" w:rsidRPr="0069578D" w:rsidRDefault="0069578D" w:rsidP="0069578D">
            <w:pPr>
              <w:tabs>
                <w:tab w:val="decimal" w:pos="880"/>
              </w:tabs>
              <w:rPr>
                <w:sz w:val="16"/>
                <w:szCs w:val="16"/>
                <w:lang w:val="en-GB"/>
              </w:rPr>
            </w:pPr>
            <w:r w:rsidRPr="0069578D">
              <w:rPr>
                <w:lang w:val="en-GB"/>
              </w:rPr>
              <w:t>5</w:t>
            </w:r>
          </w:p>
        </w:tc>
        <w:tc>
          <w:tcPr>
            <w:tcW w:w="233" w:type="dxa"/>
            <w:vAlign w:val="center"/>
          </w:tcPr>
          <w:p w:rsidR="0069578D" w:rsidRPr="0069578D" w:rsidRDefault="0069578D" w:rsidP="0069578D">
            <w:pPr>
              <w:jc w:val="center"/>
              <w:rPr>
                <w:sz w:val="16"/>
                <w:szCs w:val="16"/>
                <w:lang w:val="en-GB"/>
              </w:rPr>
            </w:pPr>
          </w:p>
        </w:tc>
        <w:tc>
          <w:tcPr>
            <w:tcW w:w="705" w:type="dxa"/>
            <w:vAlign w:val="center"/>
          </w:tcPr>
          <w:p w:rsidR="0069578D" w:rsidRPr="0069578D" w:rsidRDefault="0069578D" w:rsidP="0069578D">
            <w:pPr>
              <w:tabs>
                <w:tab w:val="decimal" w:pos="378"/>
              </w:tabs>
              <w:rPr>
                <w:sz w:val="16"/>
                <w:szCs w:val="16"/>
                <w:lang w:val="en-GB"/>
              </w:rPr>
            </w:pPr>
            <w:r w:rsidRPr="0069578D">
              <w:rPr>
                <w:lang w:val="en-GB"/>
              </w:rPr>
              <w:t>-100</w:t>
            </w:r>
          </w:p>
        </w:tc>
        <w:tc>
          <w:tcPr>
            <w:tcW w:w="234" w:type="dxa"/>
            <w:vAlign w:val="center"/>
          </w:tcPr>
          <w:p w:rsidR="0069578D" w:rsidRPr="0069578D" w:rsidRDefault="0069578D" w:rsidP="0069578D">
            <w:pPr>
              <w:jc w:val="center"/>
              <w:rPr>
                <w:sz w:val="16"/>
                <w:szCs w:val="16"/>
                <w:lang w:val="en-GB"/>
              </w:rPr>
            </w:pPr>
          </w:p>
        </w:tc>
        <w:tc>
          <w:tcPr>
            <w:tcW w:w="1812" w:type="dxa"/>
            <w:vAlign w:val="center"/>
          </w:tcPr>
          <w:p w:rsidR="0069578D" w:rsidRPr="0069578D" w:rsidRDefault="0069578D" w:rsidP="0069578D">
            <w:pPr>
              <w:jc w:val="center"/>
              <w:rPr>
                <w:sz w:val="16"/>
                <w:szCs w:val="16"/>
                <w:lang w:val="en-GB"/>
              </w:rPr>
            </w:pPr>
            <w:r w:rsidRPr="0069578D">
              <w:rPr>
                <w:lang w:val="en-GB"/>
              </w:rPr>
              <w:t>-93 (-126, -58)</w:t>
            </w:r>
          </w:p>
        </w:tc>
        <w:tc>
          <w:tcPr>
            <w:tcW w:w="818" w:type="dxa"/>
            <w:vAlign w:val="center"/>
          </w:tcPr>
          <w:p w:rsidR="0069578D" w:rsidRPr="0069578D" w:rsidRDefault="0069578D" w:rsidP="0069578D">
            <w:pPr>
              <w:jc w:val="center"/>
              <w:rPr>
                <w:lang w:val="en-GB"/>
              </w:rPr>
            </w:pPr>
            <w:r w:rsidRPr="0069578D">
              <w:rPr>
                <w:lang w:val="en-GB"/>
              </w:rPr>
              <w:t>1</w:t>
            </w:r>
          </w:p>
        </w:tc>
        <w:tc>
          <w:tcPr>
            <w:tcW w:w="698" w:type="dxa"/>
            <w:vAlign w:val="center"/>
          </w:tcPr>
          <w:p w:rsidR="0069578D" w:rsidRPr="0069578D" w:rsidRDefault="0069578D" w:rsidP="0069578D">
            <w:pPr>
              <w:jc w:val="center"/>
              <w:rPr>
                <w:lang w:val="en-GB"/>
              </w:rPr>
            </w:pPr>
            <w:r w:rsidRPr="0069578D">
              <w:rPr>
                <w:lang w:val="en-GB"/>
              </w:rPr>
              <w:t>-7</w:t>
            </w:r>
          </w:p>
        </w:tc>
        <w:tc>
          <w:tcPr>
            <w:tcW w:w="236" w:type="dxa"/>
            <w:vAlign w:val="center"/>
          </w:tcPr>
          <w:p w:rsidR="0069578D" w:rsidRPr="0069578D" w:rsidRDefault="0069578D" w:rsidP="0069578D">
            <w:pPr>
              <w:jc w:val="center"/>
              <w:rPr>
                <w:lang w:val="en-GB"/>
              </w:rPr>
            </w:pPr>
          </w:p>
        </w:tc>
        <w:tc>
          <w:tcPr>
            <w:tcW w:w="1812" w:type="dxa"/>
            <w:vAlign w:val="center"/>
          </w:tcPr>
          <w:p w:rsidR="0069578D" w:rsidRPr="0069578D" w:rsidRDefault="0069578D" w:rsidP="0069578D">
            <w:pPr>
              <w:jc w:val="center"/>
              <w:rPr>
                <w:lang w:val="en-GB"/>
              </w:rPr>
            </w:pPr>
            <w:r w:rsidRPr="0069578D">
              <w:rPr>
                <w:lang w:val="en-GB"/>
              </w:rPr>
              <w:t>-96 (-131, -60)</w:t>
            </w:r>
          </w:p>
        </w:tc>
        <w:tc>
          <w:tcPr>
            <w:tcW w:w="818" w:type="dxa"/>
            <w:vAlign w:val="center"/>
          </w:tcPr>
          <w:p w:rsidR="0069578D" w:rsidRPr="0069578D" w:rsidRDefault="0069578D" w:rsidP="0069578D">
            <w:pPr>
              <w:jc w:val="center"/>
              <w:rPr>
                <w:lang w:val="en-GB"/>
              </w:rPr>
            </w:pPr>
            <w:r w:rsidRPr="0069578D">
              <w:rPr>
                <w:lang w:val="en-GB"/>
              </w:rPr>
              <w:t>1</w:t>
            </w:r>
          </w:p>
        </w:tc>
        <w:tc>
          <w:tcPr>
            <w:tcW w:w="1087" w:type="dxa"/>
            <w:vAlign w:val="center"/>
          </w:tcPr>
          <w:p w:rsidR="0069578D" w:rsidRPr="0069578D" w:rsidRDefault="0069578D" w:rsidP="0069578D">
            <w:pPr>
              <w:tabs>
                <w:tab w:val="decimal" w:pos="477"/>
              </w:tabs>
              <w:rPr>
                <w:lang w:val="en-GB"/>
              </w:rPr>
            </w:pPr>
            <w:r w:rsidRPr="0069578D">
              <w:rPr>
                <w:lang w:val="en-GB"/>
              </w:rPr>
              <w:t>-4</w:t>
            </w:r>
          </w:p>
        </w:tc>
        <w:tc>
          <w:tcPr>
            <w:tcW w:w="236" w:type="dxa"/>
            <w:vAlign w:val="center"/>
          </w:tcPr>
          <w:p w:rsidR="0069578D" w:rsidRPr="0069578D" w:rsidRDefault="0069578D" w:rsidP="0069578D">
            <w:pPr>
              <w:jc w:val="center"/>
              <w:rPr>
                <w:lang w:val="en-GB"/>
              </w:rPr>
            </w:pPr>
          </w:p>
        </w:tc>
        <w:tc>
          <w:tcPr>
            <w:tcW w:w="1701" w:type="dxa"/>
            <w:vAlign w:val="center"/>
          </w:tcPr>
          <w:p w:rsidR="0069578D" w:rsidRPr="0069578D" w:rsidRDefault="0069578D" w:rsidP="0069578D">
            <w:pPr>
              <w:jc w:val="center"/>
              <w:rPr>
                <w:lang w:val="en-GB"/>
              </w:rPr>
            </w:pPr>
            <w:r w:rsidRPr="0069578D">
              <w:rPr>
                <w:lang w:val="en-GB"/>
              </w:rPr>
              <w:t>-116 (-157, -72)</w:t>
            </w:r>
          </w:p>
        </w:tc>
        <w:tc>
          <w:tcPr>
            <w:tcW w:w="848" w:type="dxa"/>
            <w:vAlign w:val="center"/>
          </w:tcPr>
          <w:p w:rsidR="0069578D" w:rsidRPr="0069578D" w:rsidRDefault="0069578D" w:rsidP="0069578D">
            <w:pPr>
              <w:jc w:val="center"/>
              <w:rPr>
                <w:lang w:val="en-GB"/>
              </w:rPr>
            </w:pPr>
            <w:r w:rsidRPr="0069578D">
              <w:rPr>
                <w:lang w:val="en-GB"/>
              </w:rPr>
              <w:t>1</w:t>
            </w:r>
          </w:p>
        </w:tc>
        <w:tc>
          <w:tcPr>
            <w:tcW w:w="1238" w:type="dxa"/>
            <w:vAlign w:val="center"/>
          </w:tcPr>
          <w:p w:rsidR="0069578D" w:rsidRPr="0069578D" w:rsidRDefault="0069578D" w:rsidP="0069578D">
            <w:pPr>
              <w:tabs>
                <w:tab w:val="decimal" w:pos="422"/>
              </w:tabs>
              <w:rPr>
                <w:lang w:val="en-GB"/>
              </w:rPr>
            </w:pPr>
            <w:r w:rsidRPr="0069578D">
              <w:rPr>
                <w:lang w:val="en-GB"/>
              </w:rPr>
              <w:t>15</w:t>
            </w:r>
          </w:p>
        </w:tc>
      </w:tr>
      <w:tr w:rsidR="0069578D" w:rsidRPr="0069578D" w:rsidTr="00CC7113">
        <w:trPr>
          <w:jc w:val="center"/>
        </w:trPr>
        <w:tc>
          <w:tcPr>
            <w:tcW w:w="1834" w:type="dxa"/>
            <w:vAlign w:val="center"/>
          </w:tcPr>
          <w:p w:rsidR="0069578D" w:rsidRPr="0069578D" w:rsidRDefault="0069578D" w:rsidP="0069578D">
            <w:pPr>
              <w:tabs>
                <w:tab w:val="decimal" w:pos="880"/>
              </w:tabs>
              <w:rPr>
                <w:sz w:val="16"/>
                <w:szCs w:val="16"/>
                <w:lang w:val="en-GB"/>
              </w:rPr>
            </w:pPr>
            <w:r w:rsidRPr="0069578D">
              <w:rPr>
                <w:lang w:val="en-GB"/>
              </w:rPr>
              <w:t>6</w:t>
            </w:r>
          </w:p>
        </w:tc>
        <w:tc>
          <w:tcPr>
            <w:tcW w:w="233" w:type="dxa"/>
            <w:vAlign w:val="center"/>
          </w:tcPr>
          <w:p w:rsidR="0069578D" w:rsidRPr="0069578D" w:rsidRDefault="0069578D" w:rsidP="0069578D">
            <w:pPr>
              <w:jc w:val="center"/>
              <w:rPr>
                <w:sz w:val="16"/>
                <w:szCs w:val="16"/>
                <w:lang w:val="en-GB"/>
              </w:rPr>
            </w:pPr>
          </w:p>
        </w:tc>
        <w:tc>
          <w:tcPr>
            <w:tcW w:w="705" w:type="dxa"/>
            <w:vAlign w:val="center"/>
          </w:tcPr>
          <w:p w:rsidR="0069578D" w:rsidRPr="0069578D" w:rsidRDefault="0069578D" w:rsidP="0069578D">
            <w:pPr>
              <w:tabs>
                <w:tab w:val="decimal" w:pos="378"/>
              </w:tabs>
              <w:rPr>
                <w:sz w:val="16"/>
                <w:szCs w:val="16"/>
                <w:lang w:val="en-GB"/>
              </w:rPr>
            </w:pPr>
            <w:r w:rsidRPr="0069578D">
              <w:rPr>
                <w:lang w:val="en-GB"/>
              </w:rPr>
              <w:t>-101</w:t>
            </w:r>
          </w:p>
        </w:tc>
        <w:tc>
          <w:tcPr>
            <w:tcW w:w="234" w:type="dxa"/>
            <w:vAlign w:val="center"/>
          </w:tcPr>
          <w:p w:rsidR="0069578D" w:rsidRPr="0069578D" w:rsidRDefault="0069578D" w:rsidP="0069578D">
            <w:pPr>
              <w:jc w:val="center"/>
              <w:rPr>
                <w:sz w:val="16"/>
                <w:szCs w:val="16"/>
                <w:lang w:val="en-GB"/>
              </w:rPr>
            </w:pPr>
          </w:p>
        </w:tc>
        <w:tc>
          <w:tcPr>
            <w:tcW w:w="1812" w:type="dxa"/>
            <w:vAlign w:val="center"/>
          </w:tcPr>
          <w:p w:rsidR="0069578D" w:rsidRPr="0069578D" w:rsidRDefault="0069578D" w:rsidP="0069578D">
            <w:pPr>
              <w:jc w:val="center"/>
              <w:rPr>
                <w:sz w:val="16"/>
                <w:szCs w:val="16"/>
                <w:lang w:val="en-GB"/>
              </w:rPr>
            </w:pPr>
            <w:r w:rsidRPr="0069578D">
              <w:rPr>
                <w:lang w:val="en-GB"/>
              </w:rPr>
              <w:t>-94 (-129, -60)</w:t>
            </w:r>
          </w:p>
        </w:tc>
        <w:tc>
          <w:tcPr>
            <w:tcW w:w="818" w:type="dxa"/>
            <w:vAlign w:val="center"/>
          </w:tcPr>
          <w:p w:rsidR="0069578D" w:rsidRPr="0069578D" w:rsidRDefault="0069578D" w:rsidP="0069578D">
            <w:pPr>
              <w:jc w:val="center"/>
              <w:rPr>
                <w:lang w:val="en-GB"/>
              </w:rPr>
            </w:pPr>
            <w:r w:rsidRPr="0069578D">
              <w:rPr>
                <w:lang w:val="en-GB"/>
              </w:rPr>
              <w:t>1</w:t>
            </w:r>
          </w:p>
        </w:tc>
        <w:tc>
          <w:tcPr>
            <w:tcW w:w="698" w:type="dxa"/>
            <w:vAlign w:val="center"/>
          </w:tcPr>
          <w:p w:rsidR="0069578D" w:rsidRPr="0069578D" w:rsidRDefault="0069578D" w:rsidP="0069578D">
            <w:pPr>
              <w:jc w:val="center"/>
              <w:rPr>
                <w:lang w:val="en-GB"/>
              </w:rPr>
            </w:pPr>
            <w:r w:rsidRPr="0069578D">
              <w:rPr>
                <w:lang w:val="en-GB"/>
              </w:rPr>
              <w:t>-6</w:t>
            </w:r>
          </w:p>
        </w:tc>
        <w:tc>
          <w:tcPr>
            <w:tcW w:w="236" w:type="dxa"/>
            <w:vAlign w:val="center"/>
          </w:tcPr>
          <w:p w:rsidR="0069578D" w:rsidRPr="0069578D" w:rsidRDefault="0069578D" w:rsidP="0069578D">
            <w:pPr>
              <w:jc w:val="center"/>
              <w:rPr>
                <w:lang w:val="en-GB"/>
              </w:rPr>
            </w:pPr>
          </w:p>
        </w:tc>
        <w:tc>
          <w:tcPr>
            <w:tcW w:w="1812" w:type="dxa"/>
            <w:vAlign w:val="center"/>
          </w:tcPr>
          <w:p w:rsidR="0069578D" w:rsidRPr="0069578D" w:rsidRDefault="0069578D" w:rsidP="0069578D">
            <w:pPr>
              <w:jc w:val="center"/>
              <w:rPr>
                <w:lang w:val="en-GB"/>
              </w:rPr>
            </w:pPr>
            <w:r w:rsidRPr="0069578D">
              <w:rPr>
                <w:lang w:val="en-GB"/>
              </w:rPr>
              <w:t>-97 (-133, -62)</w:t>
            </w:r>
          </w:p>
        </w:tc>
        <w:tc>
          <w:tcPr>
            <w:tcW w:w="818" w:type="dxa"/>
            <w:vAlign w:val="center"/>
          </w:tcPr>
          <w:p w:rsidR="0069578D" w:rsidRPr="0069578D" w:rsidRDefault="0069578D" w:rsidP="0069578D">
            <w:pPr>
              <w:jc w:val="center"/>
              <w:rPr>
                <w:lang w:val="en-GB"/>
              </w:rPr>
            </w:pPr>
            <w:r w:rsidRPr="0069578D">
              <w:rPr>
                <w:lang w:val="en-GB"/>
              </w:rPr>
              <w:t>1</w:t>
            </w:r>
          </w:p>
        </w:tc>
        <w:tc>
          <w:tcPr>
            <w:tcW w:w="1087" w:type="dxa"/>
            <w:vAlign w:val="center"/>
          </w:tcPr>
          <w:p w:rsidR="0069578D" w:rsidRPr="0069578D" w:rsidRDefault="0069578D" w:rsidP="0069578D">
            <w:pPr>
              <w:tabs>
                <w:tab w:val="decimal" w:pos="477"/>
              </w:tabs>
              <w:rPr>
                <w:lang w:val="en-GB"/>
              </w:rPr>
            </w:pPr>
            <w:r w:rsidRPr="0069578D">
              <w:rPr>
                <w:lang w:val="en-GB"/>
              </w:rPr>
              <w:t>-3</w:t>
            </w:r>
          </w:p>
        </w:tc>
        <w:tc>
          <w:tcPr>
            <w:tcW w:w="236" w:type="dxa"/>
            <w:vAlign w:val="center"/>
          </w:tcPr>
          <w:p w:rsidR="0069578D" w:rsidRPr="0069578D" w:rsidRDefault="0069578D" w:rsidP="0069578D">
            <w:pPr>
              <w:jc w:val="center"/>
              <w:rPr>
                <w:lang w:val="en-GB"/>
              </w:rPr>
            </w:pPr>
          </w:p>
        </w:tc>
        <w:tc>
          <w:tcPr>
            <w:tcW w:w="1701" w:type="dxa"/>
            <w:vAlign w:val="center"/>
          </w:tcPr>
          <w:p w:rsidR="0069578D" w:rsidRPr="0069578D" w:rsidRDefault="0069578D" w:rsidP="0069578D">
            <w:pPr>
              <w:jc w:val="center"/>
              <w:rPr>
                <w:lang w:val="en-GB"/>
              </w:rPr>
            </w:pPr>
            <w:r w:rsidRPr="0069578D">
              <w:rPr>
                <w:lang w:val="en-GB"/>
              </w:rPr>
              <w:t>-113 (-155, -72)</w:t>
            </w:r>
          </w:p>
        </w:tc>
        <w:tc>
          <w:tcPr>
            <w:tcW w:w="848" w:type="dxa"/>
            <w:vAlign w:val="center"/>
          </w:tcPr>
          <w:p w:rsidR="0069578D" w:rsidRPr="0069578D" w:rsidRDefault="0069578D" w:rsidP="0069578D">
            <w:pPr>
              <w:jc w:val="center"/>
              <w:rPr>
                <w:lang w:val="en-GB"/>
              </w:rPr>
            </w:pPr>
            <w:r w:rsidRPr="0069578D">
              <w:rPr>
                <w:lang w:val="en-GB"/>
              </w:rPr>
              <w:t>1</w:t>
            </w:r>
          </w:p>
        </w:tc>
        <w:tc>
          <w:tcPr>
            <w:tcW w:w="1238" w:type="dxa"/>
            <w:vAlign w:val="center"/>
          </w:tcPr>
          <w:p w:rsidR="0069578D" w:rsidRPr="0069578D" w:rsidRDefault="0069578D" w:rsidP="0069578D">
            <w:pPr>
              <w:tabs>
                <w:tab w:val="decimal" w:pos="422"/>
              </w:tabs>
              <w:rPr>
                <w:lang w:val="en-GB"/>
              </w:rPr>
            </w:pPr>
            <w:r w:rsidRPr="0069578D">
              <w:rPr>
                <w:lang w:val="en-GB"/>
              </w:rPr>
              <w:t>13</w:t>
            </w:r>
          </w:p>
        </w:tc>
      </w:tr>
      <w:tr w:rsidR="0069578D" w:rsidRPr="0069578D" w:rsidTr="00CC7113">
        <w:trPr>
          <w:jc w:val="center"/>
        </w:trPr>
        <w:tc>
          <w:tcPr>
            <w:tcW w:w="1834" w:type="dxa"/>
            <w:vAlign w:val="center"/>
          </w:tcPr>
          <w:p w:rsidR="0069578D" w:rsidRPr="0069578D" w:rsidRDefault="0069578D" w:rsidP="0069578D">
            <w:pPr>
              <w:tabs>
                <w:tab w:val="decimal" w:pos="880"/>
              </w:tabs>
              <w:rPr>
                <w:sz w:val="16"/>
                <w:szCs w:val="16"/>
                <w:lang w:val="en-GB"/>
              </w:rPr>
            </w:pPr>
            <w:r w:rsidRPr="0069578D">
              <w:rPr>
                <w:lang w:val="en-GB"/>
              </w:rPr>
              <w:t>7</w:t>
            </w:r>
          </w:p>
        </w:tc>
        <w:tc>
          <w:tcPr>
            <w:tcW w:w="233" w:type="dxa"/>
            <w:vAlign w:val="center"/>
          </w:tcPr>
          <w:p w:rsidR="0069578D" w:rsidRPr="0069578D" w:rsidRDefault="0069578D" w:rsidP="0069578D">
            <w:pPr>
              <w:jc w:val="center"/>
              <w:rPr>
                <w:sz w:val="16"/>
                <w:szCs w:val="16"/>
                <w:lang w:val="en-GB"/>
              </w:rPr>
            </w:pPr>
          </w:p>
        </w:tc>
        <w:tc>
          <w:tcPr>
            <w:tcW w:w="705" w:type="dxa"/>
            <w:vAlign w:val="center"/>
          </w:tcPr>
          <w:p w:rsidR="0069578D" w:rsidRPr="0069578D" w:rsidRDefault="0069578D" w:rsidP="0069578D">
            <w:pPr>
              <w:tabs>
                <w:tab w:val="decimal" w:pos="378"/>
              </w:tabs>
              <w:rPr>
                <w:sz w:val="16"/>
                <w:szCs w:val="16"/>
                <w:lang w:val="en-GB"/>
              </w:rPr>
            </w:pPr>
            <w:r w:rsidRPr="0069578D">
              <w:rPr>
                <w:lang w:val="en-GB"/>
              </w:rPr>
              <w:t>-99</w:t>
            </w:r>
          </w:p>
        </w:tc>
        <w:tc>
          <w:tcPr>
            <w:tcW w:w="234" w:type="dxa"/>
            <w:vAlign w:val="center"/>
          </w:tcPr>
          <w:p w:rsidR="0069578D" w:rsidRPr="0069578D" w:rsidRDefault="0069578D" w:rsidP="0069578D">
            <w:pPr>
              <w:jc w:val="center"/>
              <w:rPr>
                <w:sz w:val="16"/>
                <w:szCs w:val="16"/>
                <w:lang w:val="en-GB"/>
              </w:rPr>
            </w:pPr>
          </w:p>
        </w:tc>
        <w:tc>
          <w:tcPr>
            <w:tcW w:w="1812" w:type="dxa"/>
            <w:vAlign w:val="center"/>
          </w:tcPr>
          <w:p w:rsidR="0069578D" w:rsidRPr="0069578D" w:rsidRDefault="0069578D" w:rsidP="0069578D">
            <w:pPr>
              <w:jc w:val="center"/>
              <w:rPr>
                <w:sz w:val="16"/>
                <w:szCs w:val="16"/>
                <w:lang w:val="en-GB"/>
              </w:rPr>
            </w:pPr>
            <w:r w:rsidRPr="0069578D">
              <w:rPr>
                <w:lang w:val="en-GB"/>
              </w:rPr>
              <w:t>-94 (-129, -57)</w:t>
            </w:r>
          </w:p>
        </w:tc>
        <w:tc>
          <w:tcPr>
            <w:tcW w:w="818" w:type="dxa"/>
            <w:vAlign w:val="center"/>
          </w:tcPr>
          <w:p w:rsidR="0069578D" w:rsidRPr="0069578D" w:rsidRDefault="0069578D" w:rsidP="0069578D">
            <w:pPr>
              <w:jc w:val="center"/>
              <w:rPr>
                <w:lang w:val="en-GB"/>
              </w:rPr>
            </w:pPr>
            <w:r w:rsidRPr="0069578D">
              <w:rPr>
                <w:lang w:val="en-GB"/>
              </w:rPr>
              <w:t>1</w:t>
            </w:r>
          </w:p>
        </w:tc>
        <w:tc>
          <w:tcPr>
            <w:tcW w:w="698" w:type="dxa"/>
            <w:vAlign w:val="center"/>
          </w:tcPr>
          <w:p w:rsidR="0069578D" w:rsidRPr="0069578D" w:rsidRDefault="0069578D" w:rsidP="0069578D">
            <w:pPr>
              <w:jc w:val="center"/>
              <w:rPr>
                <w:lang w:val="en-GB"/>
              </w:rPr>
            </w:pPr>
            <w:r w:rsidRPr="0069578D">
              <w:rPr>
                <w:lang w:val="en-GB"/>
              </w:rPr>
              <w:t>-5</w:t>
            </w:r>
          </w:p>
        </w:tc>
        <w:tc>
          <w:tcPr>
            <w:tcW w:w="236" w:type="dxa"/>
            <w:vAlign w:val="center"/>
          </w:tcPr>
          <w:p w:rsidR="0069578D" w:rsidRPr="0069578D" w:rsidRDefault="0069578D" w:rsidP="0069578D">
            <w:pPr>
              <w:jc w:val="center"/>
              <w:rPr>
                <w:lang w:val="en-GB"/>
              </w:rPr>
            </w:pPr>
          </w:p>
        </w:tc>
        <w:tc>
          <w:tcPr>
            <w:tcW w:w="1812" w:type="dxa"/>
            <w:vAlign w:val="center"/>
          </w:tcPr>
          <w:p w:rsidR="0069578D" w:rsidRPr="0069578D" w:rsidRDefault="0069578D" w:rsidP="0069578D">
            <w:pPr>
              <w:jc w:val="center"/>
              <w:rPr>
                <w:lang w:val="en-GB"/>
              </w:rPr>
            </w:pPr>
            <w:r w:rsidRPr="0069578D">
              <w:rPr>
                <w:lang w:val="en-GB"/>
              </w:rPr>
              <w:t>-96 (-132, -58)</w:t>
            </w:r>
          </w:p>
        </w:tc>
        <w:tc>
          <w:tcPr>
            <w:tcW w:w="818" w:type="dxa"/>
            <w:vAlign w:val="center"/>
          </w:tcPr>
          <w:p w:rsidR="0069578D" w:rsidRPr="0069578D" w:rsidRDefault="0069578D" w:rsidP="0069578D">
            <w:pPr>
              <w:jc w:val="center"/>
              <w:rPr>
                <w:lang w:val="en-GB"/>
              </w:rPr>
            </w:pPr>
            <w:r w:rsidRPr="0069578D">
              <w:rPr>
                <w:lang w:val="en-GB"/>
              </w:rPr>
              <w:t>1</w:t>
            </w:r>
          </w:p>
        </w:tc>
        <w:tc>
          <w:tcPr>
            <w:tcW w:w="1087" w:type="dxa"/>
            <w:vAlign w:val="center"/>
          </w:tcPr>
          <w:p w:rsidR="0069578D" w:rsidRPr="0069578D" w:rsidRDefault="0069578D" w:rsidP="0069578D">
            <w:pPr>
              <w:tabs>
                <w:tab w:val="decimal" w:pos="477"/>
              </w:tabs>
              <w:rPr>
                <w:lang w:val="en-GB"/>
              </w:rPr>
            </w:pPr>
            <w:r w:rsidRPr="0069578D">
              <w:rPr>
                <w:lang w:val="en-GB"/>
              </w:rPr>
              <w:t>-3</w:t>
            </w:r>
          </w:p>
        </w:tc>
        <w:tc>
          <w:tcPr>
            <w:tcW w:w="236" w:type="dxa"/>
            <w:vAlign w:val="center"/>
          </w:tcPr>
          <w:p w:rsidR="0069578D" w:rsidRPr="0069578D" w:rsidRDefault="0069578D" w:rsidP="0069578D">
            <w:pPr>
              <w:jc w:val="center"/>
              <w:rPr>
                <w:lang w:val="en-GB"/>
              </w:rPr>
            </w:pPr>
          </w:p>
        </w:tc>
        <w:tc>
          <w:tcPr>
            <w:tcW w:w="1701" w:type="dxa"/>
            <w:vAlign w:val="center"/>
          </w:tcPr>
          <w:p w:rsidR="0069578D" w:rsidRPr="0069578D" w:rsidRDefault="0069578D" w:rsidP="0069578D">
            <w:pPr>
              <w:jc w:val="center"/>
              <w:rPr>
                <w:lang w:val="en-GB"/>
              </w:rPr>
            </w:pPr>
            <w:r w:rsidRPr="0069578D">
              <w:rPr>
                <w:lang w:val="en-GB"/>
              </w:rPr>
              <w:t>-110 (-151, -67)</w:t>
            </w:r>
          </w:p>
        </w:tc>
        <w:tc>
          <w:tcPr>
            <w:tcW w:w="848" w:type="dxa"/>
            <w:vAlign w:val="center"/>
          </w:tcPr>
          <w:p w:rsidR="0069578D" w:rsidRPr="0069578D" w:rsidRDefault="0069578D" w:rsidP="0069578D">
            <w:pPr>
              <w:jc w:val="center"/>
              <w:rPr>
                <w:lang w:val="en-GB"/>
              </w:rPr>
            </w:pPr>
            <w:r w:rsidRPr="0069578D">
              <w:rPr>
                <w:lang w:val="en-GB"/>
              </w:rPr>
              <w:t>1</w:t>
            </w:r>
          </w:p>
        </w:tc>
        <w:tc>
          <w:tcPr>
            <w:tcW w:w="1238" w:type="dxa"/>
            <w:vAlign w:val="center"/>
          </w:tcPr>
          <w:p w:rsidR="0069578D" w:rsidRPr="0069578D" w:rsidRDefault="0069578D" w:rsidP="0069578D">
            <w:pPr>
              <w:tabs>
                <w:tab w:val="decimal" w:pos="422"/>
              </w:tabs>
              <w:rPr>
                <w:lang w:val="en-GB"/>
              </w:rPr>
            </w:pPr>
            <w:r w:rsidRPr="0069578D">
              <w:rPr>
                <w:lang w:val="en-GB"/>
              </w:rPr>
              <w:t>11</w:t>
            </w:r>
          </w:p>
        </w:tc>
      </w:tr>
      <w:tr w:rsidR="0069578D" w:rsidRPr="0069578D" w:rsidTr="00CC7113">
        <w:trPr>
          <w:jc w:val="center"/>
        </w:trPr>
        <w:tc>
          <w:tcPr>
            <w:tcW w:w="1834" w:type="dxa"/>
            <w:vAlign w:val="center"/>
          </w:tcPr>
          <w:p w:rsidR="0069578D" w:rsidRPr="0069578D" w:rsidRDefault="0069578D" w:rsidP="0069578D">
            <w:pPr>
              <w:tabs>
                <w:tab w:val="decimal" w:pos="880"/>
              </w:tabs>
              <w:rPr>
                <w:sz w:val="16"/>
                <w:szCs w:val="16"/>
                <w:lang w:val="en-GB"/>
              </w:rPr>
            </w:pPr>
            <w:r w:rsidRPr="0069578D">
              <w:rPr>
                <w:lang w:val="en-GB"/>
              </w:rPr>
              <w:t>8</w:t>
            </w:r>
          </w:p>
        </w:tc>
        <w:tc>
          <w:tcPr>
            <w:tcW w:w="233" w:type="dxa"/>
            <w:vAlign w:val="center"/>
          </w:tcPr>
          <w:p w:rsidR="0069578D" w:rsidRPr="0069578D" w:rsidRDefault="0069578D" w:rsidP="0069578D">
            <w:pPr>
              <w:jc w:val="center"/>
              <w:rPr>
                <w:sz w:val="16"/>
                <w:szCs w:val="16"/>
                <w:lang w:val="en-GB"/>
              </w:rPr>
            </w:pPr>
          </w:p>
        </w:tc>
        <w:tc>
          <w:tcPr>
            <w:tcW w:w="705" w:type="dxa"/>
            <w:vAlign w:val="center"/>
          </w:tcPr>
          <w:p w:rsidR="0069578D" w:rsidRPr="0069578D" w:rsidRDefault="0069578D" w:rsidP="0069578D">
            <w:pPr>
              <w:tabs>
                <w:tab w:val="decimal" w:pos="378"/>
              </w:tabs>
              <w:rPr>
                <w:sz w:val="16"/>
                <w:szCs w:val="16"/>
                <w:lang w:val="en-GB"/>
              </w:rPr>
            </w:pPr>
            <w:r w:rsidRPr="0069578D">
              <w:rPr>
                <w:lang w:val="en-GB"/>
              </w:rPr>
              <w:t>-99</w:t>
            </w:r>
          </w:p>
        </w:tc>
        <w:tc>
          <w:tcPr>
            <w:tcW w:w="234" w:type="dxa"/>
            <w:vAlign w:val="center"/>
          </w:tcPr>
          <w:p w:rsidR="0069578D" w:rsidRPr="0069578D" w:rsidRDefault="0069578D" w:rsidP="0069578D">
            <w:pPr>
              <w:jc w:val="center"/>
              <w:rPr>
                <w:sz w:val="16"/>
                <w:szCs w:val="16"/>
                <w:lang w:val="en-GB"/>
              </w:rPr>
            </w:pPr>
          </w:p>
        </w:tc>
        <w:tc>
          <w:tcPr>
            <w:tcW w:w="1812" w:type="dxa"/>
            <w:vAlign w:val="center"/>
          </w:tcPr>
          <w:p w:rsidR="0069578D" w:rsidRPr="0069578D" w:rsidRDefault="0069578D" w:rsidP="0069578D">
            <w:pPr>
              <w:jc w:val="center"/>
              <w:rPr>
                <w:sz w:val="16"/>
                <w:szCs w:val="16"/>
                <w:lang w:val="en-GB"/>
              </w:rPr>
            </w:pPr>
            <w:r w:rsidRPr="0069578D">
              <w:rPr>
                <w:lang w:val="en-GB"/>
              </w:rPr>
              <w:t>-95 (-130, -59)</w:t>
            </w:r>
          </w:p>
        </w:tc>
        <w:tc>
          <w:tcPr>
            <w:tcW w:w="818" w:type="dxa"/>
            <w:vAlign w:val="center"/>
          </w:tcPr>
          <w:p w:rsidR="0069578D" w:rsidRPr="0069578D" w:rsidRDefault="0069578D" w:rsidP="0069578D">
            <w:pPr>
              <w:jc w:val="center"/>
              <w:rPr>
                <w:lang w:val="en-GB"/>
              </w:rPr>
            </w:pPr>
            <w:r w:rsidRPr="0069578D">
              <w:rPr>
                <w:lang w:val="en-GB"/>
              </w:rPr>
              <w:t>1</w:t>
            </w:r>
          </w:p>
        </w:tc>
        <w:tc>
          <w:tcPr>
            <w:tcW w:w="698" w:type="dxa"/>
            <w:vAlign w:val="center"/>
          </w:tcPr>
          <w:p w:rsidR="0069578D" w:rsidRPr="0069578D" w:rsidRDefault="0069578D" w:rsidP="0069578D">
            <w:pPr>
              <w:jc w:val="center"/>
              <w:rPr>
                <w:lang w:val="en-GB"/>
              </w:rPr>
            </w:pPr>
            <w:r w:rsidRPr="0069578D">
              <w:rPr>
                <w:lang w:val="en-GB"/>
              </w:rPr>
              <w:t>-5</w:t>
            </w:r>
          </w:p>
        </w:tc>
        <w:tc>
          <w:tcPr>
            <w:tcW w:w="236" w:type="dxa"/>
            <w:vAlign w:val="center"/>
          </w:tcPr>
          <w:p w:rsidR="0069578D" w:rsidRPr="0069578D" w:rsidRDefault="0069578D" w:rsidP="0069578D">
            <w:pPr>
              <w:jc w:val="center"/>
              <w:rPr>
                <w:lang w:val="en-GB"/>
              </w:rPr>
            </w:pPr>
          </w:p>
        </w:tc>
        <w:tc>
          <w:tcPr>
            <w:tcW w:w="1812" w:type="dxa"/>
            <w:vAlign w:val="center"/>
          </w:tcPr>
          <w:p w:rsidR="0069578D" w:rsidRPr="0069578D" w:rsidRDefault="0069578D" w:rsidP="0069578D">
            <w:pPr>
              <w:jc w:val="center"/>
              <w:rPr>
                <w:lang w:val="en-GB"/>
              </w:rPr>
            </w:pPr>
            <w:r w:rsidRPr="0069578D">
              <w:rPr>
                <w:lang w:val="en-GB"/>
              </w:rPr>
              <w:t>-97 (-133, -61)</w:t>
            </w:r>
          </w:p>
        </w:tc>
        <w:tc>
          <w:tcPr>
            <w:tcW w:w="818" w:type="dxa"/>
            <w:vAlign w:val="center"/>
          </w:tcPr>
          <w:p w:rsidR="0069578D" w:rsidRPr="0069578D" w:rsidRDefault="0069578D" w:rsidP="0069578D">
            <w:pPr>
              <w:jc w:val="center"/>
              <w:rPr>
                <w:lang w:val="en-GB"/>
              </w:rPr>
            </w:pPr>
            <w:r w:rsidRPr="0069578D">
              <w:rPr>
                <w:lang w:val="en-GB"/>
              </w:rPr>
              <w:t>1</w:t>
            </w:r>
          </w:p>
        </w:tc>
        <w:tc>
          <w:tcPr>
            <w:tcW w:w="1087" w:type="dxa"/>
            <w:vAlign w:val="center"/>
          </w:tcPr>
          <w:p w:rsidR="0069578D" w:rsidRPr="0069578D" w:rsidRDefault="0069578D" w:rsidP="0069578D">
            <w:pPr>
              <w:tabs>
                <w:tab w:val="decimal" w:pos="477"/>
              </w:tabs>
              <w:rPr>
                <w:lang w:val="en-GB"/>
              </w:rPr>
            </w:pPr>
            <w:r w:rsidRPr="0069578D">
              <w:rPr>
                <w:lang w:val="en-GB"/>
              </w:rPr>
              <w:t>-3</w:t>
            </w:r>
          </w:p>
        </w:tc>
        <w:tc>
          <w:tcPr>
            <w:tcW w:w="236" w:type="dxa"/>
            <w:vAlign w:val="center"/>
          </w:tcPr>
          <w:p w:rsidR="0069578D" w:rsidRPr="0069578D" w:rsidRDefault="0069578D" w:rsidP="0069578D">
            <w:pPr>
              <w:jc w:val="center"/>
              <w:rPr>
                <w:lang w:val="en-GB"/>
              </w:rPr>
            </w:pPr>
          </w:p>
        </w:tc>
        <w:tc>
          <w:tcPr>
            <w:tcW w:w="1701" w:type="dxa"/>
            <w:vAlign w:val="center"/>
          </w:tcPr>
          <w:p w:rsidR="0069578D" w:rsidRPr="0069578D" w:rsidRDefault="0069578D" w:rsidP="0069578D">
            <w:pPr>
              <w:jc w:val="center"/>
              <w:rPr>
                <w:lang w:val="en-GB"/>
              </w:rPr>
            </w:pPr>
            <w:r w:rsidRPr="0069578D">
              <w:rPr>
                <w:lang w:val="en-GB"/>
              </w:rPr>
              <w:t>-109 (-150, -68)</w:t>
            </w:r>
          </w:p>
        </w:tc>
        <w:tc>
          <w:tcPr>
            <w:tcW w:w="848" w:type="dxa"/>
            <w:vAlign w:val="center"/>
          </w:tcPr>
          <w:p w:rsidR="0069578D" w:rsidRPr="0069578D" w:rsidRDefault="0069578D" w:rsidP="0069578D">
            <w:pPr>
              <w:jc w:val="center"/>
              <w:rPr>
                <w:lang w:val="en-GB"/>
              </w:rPr>
            </w:pPr>
            <w:r w:rsidRPr="0069578D">
              <w:rPr>
                <w:lang w:val="en-GB"/>
              </w:rPr>
              <w:t>1</w:t>
            </w:r>
          </w:p>
        </w:tc>
        <w:tc>
          <w:tcPr>
            <w:tcW w:w="1238" w:type="dxa"/>
            <w:vAlign w:val="center"/>
          </w:tcPr>
          <w:p w:rsidR="0069578D" w:rsidRPr="0069578D" w:rsidRDefault="0069578D" w:rsidP="0069578D">
            <w:pPr>
              <w:tabs>
                <w:tab w:val="decimal" w:pos="422"/>
              </w:tabs>
              <w:rPr>
                <w:lang w:val="en-GB"/>
              </w:rPr>
            </w:pPr>
            <w:r w:rsidRPr="0069578D">
              <w:rPr>
                <w:lang w:val="en-GB"/>
              </w:rPr>
              <w:t>10</w:t>
            </w:r>
          </w:p>
        </w:tc>
      </w:tr>
      <w:tr w:rsidR="0069578D" w:rsidRPr="0069578D" w:rsidTr="00CC7113">
        <w:trPr>
          <w:jc w:val="center"/>
        </w:trPr>
        <w:tc>
          <w:tcPr>
            <w:tcW w:w="1834" w:type="dxa"/>
            <w:vAlign w:val="center"/>
          </w:tcPr>
          <w:p w:rsidR="0069578D" w:rsidRPr="0069578D" w:rsidRDefault="0069578D" w:rsidP="0069578D">
            <w:pPr>
              <w:tabs>
                <w:tab w:val="decimal" w:pos="880"/>
              </w:tabs>
              <w:rPr>
                <w:sz w:val="16"/>
                <w:szCs w:val="16"/>
                <w:lang w:val="en-GB"/>
              </w:rPr>
            </w:pPr>
            <w:r w:rsidRPr="0069578D">
              <w:rPr>
                <w:lang w:val="en-GB"/>
              </w:rPr>
              <w:t>9</w:t>
            </w:r>
          </w:p>
        </w:tc>
        <w:tc>
          <w:tcPr>
            <w:tcW w:w="233" w:type="dxa"/>
            <w:vAlign w:val="center"/>
          </w:tcPr>
          <w:p w:rsidR="0069578D" w:rsidRPr="0069578D" w:rsidRDefault="0069578D" w:rsidP="0069578D">
            <w:pPr>
              <w:jc w:val="center"/>
              <w:rPr>
                <w:sz w:val="16"/>
                <w:szCs w:val="16"/>
                <w:lang w:val="en-GB"/>
              </w:rPr>
            </w:pPr>
          </w:p>
        </w:tc>
        <w:tc>
          <w:tcPr>
            <w:tcW w:w="705" w:type="dxa"/>
            <w:vAlign w:val="center"/>
          </w:tcPr>
          <w:p w:rsidR="0069578D" w:rsidRPr="0069578D" w:rsidRDefault="0069578D" w:rsidP="0069578D">
            <w:pPr>
              <w:tabs>
                <w:tab w:val="decimal" w:pos="378"/>
              </w:tabs>
              <w:rPr>
                <w:sz w:val="16"/>
                <w:szCs w:val="16"/>
                <w:lang w:val="en-GB"/>
              </w:rPr>
            </w:pPr>
            <w:r w:rsidRPr="0069578D">
              <w:rPr>
                <w:lang w:val="en-GB"/>
              </w:rPr>
              <w:t>-102</w:t>
            </w:r>
          </w:p>
        </w:tc>
        <w:tc>
          <w:tcPr>
            <w:tcW w:w="234" w:type="dxa"/>
            <w:vAlign w:val="center"/>
          </w:tcPr>
          <w:p w:rsidR="0069578D" w:rsidRPr="0069578D" w:rsidRDefault="0069578D" w:rsidP="0069578D">
            <w:pPr>
              <w:jc w:val="center"/>
              <w:rPr>
                <w:sz w:val="16"/>
                <w:szCs w:val="16"/>
                <w:lang w:val="en-GB"/>
              </w:rPr>
            </w:pPr>
          </w:p>
        </w:tc>
        <w:tc>
          <w:tcPr>
            <w:tcW w:w="1812" w:type="dxa"/>
            <w:vAlign w:val="center"/>
          </w:tcPr>
          <w:p w:rsidR="0069578D" w:rsidRPr="0069578D" w:rsidRDefault="0069578D" w:rsidP="0069578D">
            <w:pPr>
              <w:jc w:val="center"/>
              <w:rPr>
                <w:sz w:val="16"/>
                <w:szCs w:val="16"/>
                <w:lang w:val="en-GB"/>
              </w:rPr>
            </w:pPr>
            <w:r w:rsidRPr="0069578D">
              <w:rPr>
                <w:lang w:val="en-GB"/>
              </w:rPr>
              <w:t>-96 (-134, -58)</w:t>
            </w:r>
          </w:p>
        </w:tc>
        <w:tc>
          <w:tcPr>
            <w:tcW w:w="818" w:type="dxa"/>
            <w:vAlign w:val="center"/>
          </w:tcPr>
          <w:p w:rsidR="0069578D" w:rsidRPr="0069578D" w:rsidRDefault="0069578D" w:rsidP="0069578D">
            <w:pPr>
              <w:jc w:val="center"/>
              <w:rPr>
                <w:lang w:val="en-GB"/>
              </w:rPr>
            </w:pPr>
            <w:r w:rsidRPr="0069578D">
              <w:rPr>
                <w:lang w:val="en-GB"/>
              </w:rPr>
              <w:t>1</w:t>
            </w:r>
          </w:p>
        </w:tc>
        <w:tc>
          <w:tcPr>
            <w:tcW w:w="698" w:type="dxa"/>
            <w:vAlign w:val="center"/>
          </w:tcPr>
          <w:p w:rsidR="0069578D" w:rsidRPr="0069578D" w:rsidRDefault="0069578D" w:rsidP="0069578D">
            <w:pPr>
              <w:jc w:val="center"/>
              <w:rPr>
                <w:lang w:val="en-GB"/>
              </w:rPr>
            </w:pPr>
            <w:r w:rsidRPr="0069578D">
              <w:rPr>
                <w:lang w:val="en-GB"/>
              </w:rPr>
              <w:t>-4</w:t>
            </w:r>
          </w:p>
        </w:tc>
        <w:tc>
          <w:tcPr>
            <w:tcW w:w="236" w:type="dxa"/>
            <w:vAlign w:val="center"/>
          </w:tcPr>
          <w:p w:rsidR="0069578D" w:rsidRPr="0069578D" w:rsidRDefault="0069578D" w:rsidP="0069578D">
            <w:pPr>
              <w:jc w:val="center"/>
              <w:rPr>
                <w:lang w:val="en-GB"/>
              </w:rPr>
            </w:pPr>
          </w:p>
        </w:tc>
        <w:tc>
          <w:tcPr>
            <w:tcW w:w="1812" w:type="dxa"/>
            <w:vAlign w:val="center"/>
          </w:tcPr>
          <w:p w:rsidR="0069578D" w:rsidRPr="0069578D" w:rsidRDefault="0069578D" w:rsidP="0069578D">
            <w:pPr>
              <w:jc w:val="center"/>
              <w:rPr>
                <w:lang w:val="en-GB"/>
              </w:rPr>
            </w:pPr>
            <w:r w:rsidRPr="0069578D">
              <w:rPr>
                <w:lang w:val="en-GB"/>
              </w:rPr>
              <w:t>-98 (-136, -59)</w:t>
            </w:r>
          </w:p>
        </w:tc>
        <w:tc>
          <w:tcPr>
            <w:tcW w:w="818" w:type="dxa"/>
            <w:vAlign w:val="center"/>
          </w:tcPr>
          <w:p w:rsidR="0069578D" w:rsidRPr="0069578D" w:rsidRDefault="0069578D" w:rsidP="0069578D">
            <w:pPr>
              <w:jc w:val="center"/>
              <w:rPr>
                <w:lang w:val="en-GB"/>
              </w:rPr>
            </w:pPr>
            <w:r w:rsidRPr="0069578D">
              <w:rPr>
                <w:lang w:val="en-GB"/>
              </w:rPr>
              <w:t>1</w:t>
            </w:r>
          </w:p>
        </w:tc>
        <w:tc>
          <w:tcPr>
            <w:tcW w:w="1087" w:type="dxa"/>
            <w:vAlign w:val="center"/>
          </w:tcPr>
          <w:p w:rsidR="0069578D" w:rsidRPr="0069578D" w:rsidRDefault="0069578D" w:rsidP="0069578D">
            <w:pPr>
              <w:tabs>
                <w:tab w:val="decimal" w:pos="477"/>
              </w:tabs>
              <w:rPr>
                <w:lang w:val="en-GB"/>
              </w:rPr>
            </w:pPr>
            <w:r w:rsidRPr="0069578D">
              <w:rPr>
                <w:lang w:val="en-GB"/>
              </w:rPr>
              <w:t>-2</w:t>
            </w:r>
          </w:p>
        </w:tc>
        <w:tc>
          <w:tcPr>
            <w:tcW w:w="236" w:type="dxa"/>
            <w:vAlign w:val="center"/>
          </w:tcPr>
          <w:p w:rsidR="0069578D" w:rsidRPr="0069578D" w:rsidRDefault="0069578D" w:rsidP="0069578D">
            <w:pPr>
              <w:jc w:val="center"/>
              <w:rPr>
                <w:lang w:val="en-GB"/>
              </w:rPr>
            </w:pPr>
          </w:p>
        </w:tc>
        <w:tc>
          <w:tcPr>
            <w:tcW w:w="1701" w:type="dxa"/>
            <w:vAlign w:val="center"/>
          </w:tcPr>
          <w:p w:rsidR="0069578D" w:rsidRPr="0069578D" w:rsidRDefault="0069578D" w:rsidP="0069578D">
            <w:pPr>
              <w:jc w:val="center"/>
              <w:rPr>
                <w:lang w:val="en-GB"/>
              </w:rPr>
            </w:pPr>
            <w:r w:rsidRPr="0069578D">
              <w:rPr>
                <w:lang w:val="en-GB"/>
              </w:rPr>
              <w:t>-109 (-152, -65)</w:t>
            </w:r>
          </w:p>
        </w:tc>
        <w:tc>
          <w:tcPr>
            <w:tcW w:w="848" w:type="dxa"/>
            <w:vAlign w:val="center"/>
          </w:tcPr>
          <w:p w:rsidR="0069578D" w:rsidRPr="0069578D" w:rsidRDefault="0069578D" w:rsidP="0069578D">
            <w:pPr>
              <w:jc w:val="center"/>
              <w:rPr>
                <w:lang w:val="en-GB"/>
              </w:rPr>
            </w:pPr>
            <w:r w:rsidRPr="0069578D">
              <w:rPr>
                <w:lang w:val="en-GB"/>
              </w:rPr>
              <w:t>1</w:t>
            </w:r>
          </w:p>
        </w:tc>
        <w:tc>
          <w:tcPr>
            <w:tcW w:w="1238" w:type="dxa"/>
            <w:vAlign w:val="center"/>
          </w:tcPr>
          <w:p w:rsidR="0069578D" w:rsidRPr="0069578D" w:rsidRDefault="0069578D" w:rsidP="0069578D">
            <w:pPr>
              <w:tabs>
                <w:tab w:val="decimal" w:pos="422"/>
              </w:tabs>
              <w:rPr>
                <w:lang w:val="en-GB"/>
              </w:rPr>
            </w:pPr>
            <w:r w:rsidRPr="0069578D">
              <w:rPr>
                <w:lang w:val="en-GB"/>
              </w:rPr>
              <w:t>9</w:t>
            </w:r>
          </w:p>
        </w:tc>
      </w:tr>
      <w:tr w:rsidR="0069578D" w:rsidRPr="0069578D" w:rsidTr="00CC7113">
        <w:trPr>
          <w:jc w:val="center"/>
        </w:trPr>
        <w:tc>
          <w:tcPr>
            <w:tcW w:w="1834" w:type="dxa"/>
            <w:vAlign w:val="center"/>
          </w:tcPr>
          <w:p w:rsidR="0069578D" w:rsidRPr="0069578D" w:rsidRDefault="0069578D" w:rsidP="0069578D">
            <w:pPr>
              <w:tabs>
                <w:tab w:val="decimal" w:pos="880"/>
              </w:tabs>
              <w:rPr>
                <w:sz w:val="16"/>
                <w:szCs w:val="16"/>
                <w:lang w:val="en-GB"/>
              </w:rPr>
            </w:pPr>
            <w:r w:rsidRPr="0069578D">
              <w:rPr>
                <w:lang w:val="en-GB"/>
              </w:rPr>
              <w:t>10</w:t>
            </w:r>
          </w:p>
        </w:tc>
        <w:tc>
          <w:tcPr>
            <w:tcW w:w="233" w:type="dxa"/>
            <w:vAlign w:val="center"/>
          </w:tcPr>
          <w:p w:rsidR="0069578D" w:rsidRPr="0069578D" w:rsidRDefault="0069578D" w:rsidP="0069578D">
            <w:pPr>
              <w:jc w:val="center"/>
              <w:rPr>
                <w:sz w:val="16"/>
                <w:szCs w:val="16"/>
                <w:lang w:val="en-GB"/>
              </w:rPr>
            </w:pPr>
          </w:p>
        </w:tc>
        <w:tc>
          <w:tcPr>
            <w:tcW w:w="705" w:type="dxa"/>
            <w:vAlign w:val="center"/>
          </w:tcPr>
          <w:p w:rsidR="0069578D" w:rsidRPr="0069578D" w:rsidRDefault="0069578D" w:rsidP="0069578D">
            <w:pPr>
              <w:tabs>
                <w:tab w:val="decimal" w:pos="378"/>
              </w:tabs>
              <w:rPr>
                <w:sz w:val="16"/>
                <w:szCs w:val="16"/>
                <w:lang w:val="en-GB"/>
              </w:rPr>
            </w:pPr>
            <w:r w:rsidRPr="0069578D">
              <w:rPr>
                <w:lang w:val="en-GB"/>
              </w:rPr>
              <w:t>-100</w:t>
            </w:r>
          </w:p>
        </w:tc>
        <w:tc>
          <w:tcPr>
            <w:tcW w:w="234" w:type="dxa"/>
            <w:vAlign w:val="center"/>
          </w:tcPr>
          <w:p w:rsidR="0069578D" w:rsidRPr="0069578D" w:rsidRDefault="0069578D" w:rsidP="0069578D">
            <w:pPr>
              <w:jc w:val="center"/>
              <w:rPr>
                <w:sz w:val="16"/>
                <w:szCs w:val="16"/>
                <w:lang w:val="en-GB"/>
              </w:rPr>
            </w:pPr>
          </w:p>
        </w:tc>
        <w:tc>
          <w:tcPr>
            <w:tcW w:w="1812" w:type="dxa"/>
            <w:vAlign w:val="center"/>
          </w:tcPr>
          <w:p w:rsidR="0069578D" w:rsidRPr="0069578D" w:rsidRDefault="0069578D" w:rsidP="0069578D">
            <w:pPr>
              <w:jc w:val="center"/>
              <w:rPr>
                <w:sz w:val="16"/>
                <w:szCs w:val="16"/>
                <w:lang w:val="en-GB"/>
              </w:rPr>
            </w:pPr>
            <w:r w:rsidRPr="0069578D">
              <w:rPr>
                <w:lang w:val="en-GB"/>
              </w:rPr>
              <w:t>-96 (-133, -60)</w:t>
            </w:r>
          </w:p>
        </w:tc>
        <w:tc>
          <w:tcPr>
            <w:tcW w:w="818" w:type="dxa"/>
            <w:vAlign w:val="center"/>
          </w:tcPr>
          <w:p w:rsidR="0069578D" w:rsidRPr="0069578D" w:rsidRDefault="0069578D" w:rsidP="0069578D">
            <w:pPr>
              <w:jc w:val="center"/>
              <w:rPr>
                <w:lang w:val="en-GB"/>
              </w:rPr>
            </w:pPr>
            <w:r w:rsidRPr="0069578D">
              <w:rPr>
                <w:lang w:val="en-GB"/>
              </w:rPr>
              <w:t>1</w:t>
            </w:r>
          </w:p>
        </w:tc>
        <w:tc>
          <w:tcPr>
            <w:tcW w:w="698" w:type="dxa"/>
            <w:vAlign w:val="center"/>
          </w:tcPr>
          <w:p w:rsidR="0069578D" w:rsidRPr="0069578D" w:rsidRDefault="0069578D" w:rsidP="0069578D">
            <w:pPr>
              <w:jc w:val="center"/>
              <w:rPr>
                <w:lang w:val="en-GB"/>
              </w:rPr>
            </w:pPr>
            <w:r w:rsidRPr="0069578D">
              <w:rPr>
                <w:lang w:val="en-GB"/>
              </w:rPr>
              <w:t>-4</w:t>
            </w:r>
          </w:p>
        </w:tc>
        <w:tc>
          <w:tcPr>
            <w:tcW w:w="236" w:type="dxa"/>
            <w:vAlign w:val="center"/>
          </w:tcPr>
          <w:p w:rsidR="0069578D" w:rsidRPr="0069578D" w:rsidRDefault="0069578D" w:rsidP="0069578D">
            <w:pPr>
              <w:jc w:val="center"/>
              <w:rPr>
                <w:lang w:val="en-GB"/>
              </w:rPr>
            </w:pPr>
          </w:p>
        </w:tc>
        <w:tc>
          <w:tcPr>
            <w:tcW w:w="1812" w:type="dxa"/>
            <w:vAlign w:val="center"/>
          </w:tcPr>
          <w:p w:rsidR="0069578D" w:rsidRPr="0069578D" w:rsidRDefault="0069578D" w:rsidP="0069578D">
            <w:pPr>
              <w:jc w:val="center"/>
              <w:rPr>
                <w:lang w:val="en-GB"/>
              </w:rPr>
            </w:pPr>
            <w:r w:rsidRPr="0069578D">
              <w:rPr>
                <w:lang w:val="en-GB"/>
              </w:rPr>
              <w:t>-98 (-135, -61)</w:t>
            </w:r>
          </w:p>
        </w:tc>
        <w:tc>
          <w:tcPr>
            <w:tcW w:w="818" w:type="dxa"/>
            <w:vAlign w:val="center"/>
          </w:tcPr>
          <w:p w:rsidR="0069578D" w:rsidRPr="0069578D" w:rsidRDefault="0069578D" w:rsidP="0069578D">
            <w:pPr>
              <w:jc w:val="center"/>
              <w:rPr>
                <w:lang w:val="en-GB"/>
              </w:rPr>
            </w:pPr>
            <w:r w:rsidRPr="0069578D">
              <w:rPr>
                <w:lang w:val="en-GB"/>
              </w:rPr>
              <w:t>1</w:t>
            </w:r>
          </w:p>
        </w:tc>
        <w:tc>
          <w:tcPr>
            <w:tcW w:w="1087" w:type="dxa"/>
            <w:vAlign w:val="center"/>
          </w:tcPr>
          <w:p w:rsidR="0069578D" w:rsidRPr="0069578D" w:rsidRDefault="0069578D" w:rsidP="0069578D">
            <w:pPr>
              <w:tabs>
                <w:tab w:val="decimal" w:pos="477"/>
              </w:tabs>
              <w:rPr>
                <w:lang w:val="en-GB"/>
              </w:rPr>
            </w:pPr>
            <w:r w:rsidRPr="0069578D">
              <w:rPr>
                <w:lang w:val="en-GB"/>
              </w:rPr>
              <w:t>-2</w:t>
            </w:r>
          </w:p>
        </w:tc>
        <w:tc>
          <w:tcPr>
            <w:tcW w:w="236" w:type="dxa"/>
            <w:vAlign w:val="center"/>
          </w:tcPr>
          <w:p w:rsidR="0069578D" w:rsidRPr="0069578D" w:rsidRDefault="0069578D" w:rsidP="0069578D">
            <w:pPr>
              <w:jc w:val="center"/>
              <w:rPr>
                <w:lang w:val="en-GB"/>
              </w:rPr>
            </w:pPr>
          </w:p>
        </w:tc>
        <w:tc>
          <w:tcPr>
            <w:tcW w:w="1701" w:type="dxa"/>
            <w:vAlign w:val="center"/>
          </w:tcPr>
          <w:p w:rsidR="0069578D" w:rsidRPr="0069578D" w:rsidRDefault="0069578D" w:rsidP="0069578D">
            <w:pPr>
              <w:jc w:val="center"/>
              <w:rPr>
                <w:lang w:val="en-GB"/>
              </w:rPr>
            </w:pPr>
            <w:r w:rsidRPr="0069578D">
              <w:rPr>
                <w:lang w:val="en-GB"/>
              </w:rPr>
              <w:t>-108 (-149, -67)</w:t>
            </w:r>
          </w:p>
        </w:tc>
        <w:tc>
          <w:tcPr>
            <w:tcW w:w="848" w:type="dxa"/>
            <w:vAlign w:val="center"/>
          </w:tcPr>
          <w:p w:rsidR="0069578D" w:rsidRPr="0069578D" w:rsidRDefault="0069578D" w:rsidP="0069578D">
            <w:pPr>
              <w:jc w:val="center"/>
              <w:rPr>
                <w:lang w:val="en-GB"/>
              </w:rPr>
            </w:pPr>
            <w:r w:rsidRPr="0069578D">
              <w:rPr>
                <w:lang w:val="en-GB"/>
              </w:rPr>
              <w:t>1</w:t>
            </w:r>
          </w:p>
        </w:tc>
        <w:tc>
          <w:tcPr>
            <w:tcW w:w="1238" w:type="dxa"/>
            <w:vAlign w:val="center"/>
          </w:tcPr>
          <w:p w:rsidR="0069578D" w:rsidRPr="0069578D" w:rsidRDefault="0069578D" w:rsidP="0069578D">
            <w:pPr>
              <w:tabs>
                <w:tab w:val="decimal" w:pos="422"/>
              </w:tabs>
              <w:rPr>
                <w:lang w:val="en-GB"/>
              </w:rPr>
            </w:pPr>
            <w:r w:rsidRPr="0069578D">
              <w:rPr>
                <w:lang w:val="en-GB"/>
              </w:rPr>
              <w:t>8</w:t>
            </w:r>
          </w:p>
        </w:tc>
      </w:tr>
      <w:tr w:rsidR="0069578D" w:rsidRPr="0069578D" w:rsidTr="00CC7113">
        <w:trPr>
          <w:jc w:val="center"/>
        </w:trPr>
        <w:tc>
          <w:tcPr>
            <w:tcW w:w="1834" w:type="dxa"/>
            <w:vAlign w:val="center"/>
          </w:tcPr>
          <w:p w:rsidR="0069578D" w:rsidRPr="0069578D" w:rsidRDefault="0069578D" w:rsidP="0069578D">
            <w:pPr>
              <w:tabs>
                <w:tab w:val="decimal" w:pos="880"/>
              </w:tabs>
              <w:rPr>
                <w:sz w:val="16"/>
                <w:szCs w:val="16"/>
                <w:lang w:val="en-GB"/>
              </w:rPr>
            </w:pPr>
            <w:r w:rsidRPr="0069578D">
              <w:rPr>
                <w:lang w:val="en-GB"/>
              </w:rPr>
              <w:t>12</w:t>
            </w:r>
          </w:p>
        </w:tc>
        <w:tc>
          <w:tcPr>
            <w:tcW w:w="233" w:type="dxa"/>
            <w:vAlign w:val="center"/>
          </w:tcPr>
          <w:p w:rsidR="0069578D" w:rsidRPr="0069578D" w:rsidRDefault="0069578D" w:rsidP="0069578D">
            <w:pPr>
              <w:jc w:val="center"/>
              <w:rPr>
                <w:sz w:val="16"/>
                <w:szCs w:val="16"/>
                <w:lang w:val="en-GB"/>
              </w:rPr>
            </w:pPr>
          </w:p>
        </w:tc>
        <w:tc>
          <w:tcPr>
            <w:tcW w:w="705" w:type="dxa"/>
            <w:vAlign w:val="center"/>
          </w:tcPr>
          <w:p w:rsidR="0069578D" w:rsidRPr="0069578D" w:rsidRDefault="0069578D" w:rsidP="0069578D">
            <w:pPr>
              <w:tabs>
                <w:tab w:val="decimal" w:pos="378"/>
              </w:tabs>
              <w:rPr>
                <w:sz w:val="16"/>
                <w:szCs w:val="16"/>
                <w:lang w:val="en-GB"/>
              </w:rPr>
            </w:pPr>
            <w:r w:rsidRPr="0069578D">
              <w:rPr>
                <w:lang w:val="en-GB"/>
              </w:rPr>
              <w:t>-101</w:t>
            </w:r>
          </w:p>
        </w:tc>
        <w:tc>
          <w:tcPr>
            <w:tcW w:w="234" w:type="dxa"/>
            <w:vAlign w:val="center"/>
          </w:tcPr>
          <w:p w:rsidR="0069578D" w:rsidRPr="0069578D" w:rsidRDefault="0069578D" w:rsidP="0069578D">
            <w:pPr>
              <w:jc w:val="center"/>
              <w:rPr>
                <w:sz w:val="16"/>
                <w:szCs w:val="16"/>
                <w:lang w:val="en-GB"/>
              </w:rPr>
            </w:pPr>
          </w:p>
        </w:tc>
        <w:tc>
          <w:tcPr>
            <w:tcW w:w="1812" w:type="dxa"/>
            <w:vAlign w:val="center"/>
          </w:tcPr>
          <w:p w:rsidR="0069578D" w:rsidRPr="0069578D" w:rsidRDefault="0069578D" w:rsidP="0069578D">
            <w:pPr>
              <w:jc w:val="center"/>
              <w:rPr>
                <w:sz w:val="16"/>
                <w:szCs w:val="16"/>
                <w:lang w:val="en-GB"/>
              </w:rPr>
            </w:pPr>
            <w:r w:rsidRPr="0069578D">
              <w:rPr>
                <w:lang w:val="en-GB"/>
              </w:rPr>
              <w:t>-97 (-134, -61)</w:t>
            </w:r>
          </w:p>
        </w:tc>
        <w:tc>
          <w:tcPr>
            <w:tcW w:w="818" w:type="dxa"/>
            <w:vAlign w:val="center"/>
          </w:tcPr>
          <w:p w:rsidR="0069578D" w:rsidRPr="0069578D" w:rsidRDefault="0069578D" w:rsidP="0069578D">
            <w:pPr>
              <w:jc w:val="center"/>
              <w:rPr>
                <w:lang w:val="en-GB"/>
              </w:rPr>
            </w:pPr>
            <w:r w:rsidRPr="0069578D">
              <w:rPr>
                <w:lang w:val="en-GB"/>
              </w:rPr>
              <w:t>1</w:t>
            </w:r>
          </w:p>
        </w:tc>
        <w:tc>
          <w:tcPr>
            <w:tcW w:w="698" w:type="dxa"/>
            <w:vAlign w:val="center"/>
          </w:tcPr>
          <w:p w:rsidR="0069578D" w:rsidRPr="0069578D" w:rsidRDefault="0069578D" w:rsidP="0069578D">
            <w:pPr>
              <w:jc w:val="center"/>
              <w:rPr>
                <w:lang w:val="en-GB"/>
              </w:rPr>
            </w:pPr>
            <w:r w:rsidRPr="0069578D">
              <w:rPr>
                <w:lang w:val="en-GB"/>
              </w:rPr>
              <w:t>-3</w:t>
            </w:r>
          </w:p>
        </w:tc>
        <w:tc>
          <w:tcPr>
            <w:tcW w:w="236" w:type="dxa"/>
            <w:vAlign w:val="center"/>
          </w:tcPr>
          <w:p w:rsidR="0069578D" w:rsidRPr="0069578D" w:rsidRDefault="0069578D" w:rsidP="0069578D">
            <w:pPr>
              <w:jc w:val="center"/>
              <w:rPr>
                <w:lang w:val="en-GB"/>
              </w:rPr>
            </w:pPr>
          </w:p>
        </w:tc>
        <w:tc>
          <w:tcPr>
            <w:tcW w:w="1812" w:type="dxa"/>
            <w:vAlign w:val="center"/>
          </w:tcPr>
          <w:p w:rsidR="0069578D" w:rsidRPr="0069578D" w:rsidRDefault="0069578D" w:rsidP="0069578D">
            <w:pPr>
              <w:jc w:val="center"/>
              <w:rPr>
                <w:lang w:val="en-GB"/>
              </w:rPr>
            </w:pPr>
            <w:r w:rsidRPr="0069578D">
              <w:rPr>
                <w:lang w:val="en-GB"/>
              </w:rPr>
              <w:t>-99 (-136, -62)</w:t>
            </w:r>
          </w:p>
        </w:tc>
        <w:tc>
          <w:tcPr>
            <w:tcW w:w="818" w:type="dxa"/>
            <w:vAlign w:val="center"/>
          </w:tcPr>
          <w:p w:rsidR="0069578D" w:rsidRPr="0069578D" w:rsidRDefault="0069578D" w:rsidP="0069578D">
            <w:pPr>
              <w:jc w:val="center"/>
              <w:rPr>
                <w:lang w:val="en-GB"/>
              </w:rPr>
            </w:pPr>
            <w:r w:rsidRPr="0069578D">
              <w:rPr>
                <w:lang w:val="en-GB"/>
              </w:rPr>
              <w:t>1</w:t>
            </w:r>
          </w:p>
        </w:tc>
        <w:tc>
          <w:tcPr>
            <w:tcW w:w="1087" w:type="dxa"/>
            <w:vAlign w:val="center"/>
          </w:tcPr>
          <w:p w:rsidR="0069578D" w:rsidRPr="0069578D" w:rsidRDefault="0069578D" w:rsidP="0069578D">
            <w:pPr>
              <w:tabs>
                <w:tab w:val="decimal" w:pos="477"/>
              </w:tabs>
              <w:rPr>
                <w:lang w:val="en-GB"/>
              </w:rPr>
            </w:pPr>
            <w:r w:rsidRPr="0069578D">
              <w:rPr>
                <w:lang w:val="en-GB"/>
              </w:rPr>
              <w:t>-2</w:t>
            </w:r>
          </w:p>
        </w:tc>
        <w:tc>
          <w:tcPr>
            <w:tcW w:w="236" w:type="dxa"/>
            <w:vAlign w:val="center"/>
          </w:tcPr>
          <w:p w:rsidR="0069578D" w:rsidRPr="0069578D" w:rsidRDefault="0069578D" w:rsidP="0069578D">
            <w:pPr>
              <w:jc w:val="center"/>
              <w:rPr>
                <w:lang w:val="en-GB"/>
              </w:rPr>
            </w:pPr>
          </w:p>
        </w:tc>
        <w:tc>
          <w:tcPr>
            <w:tcW w:w="1701" w:type="dxa"/>
            <w:vAlign w:val="center"/>
          </w:tcPr>
          <w:p w:rsidR="0069578D" w:rsidRPr="0069578D" w:rsidRDefault="0069578D" w:rsidP="0069578D">
            <w:pPr>
              <w:jc w:val="center"/>
              <w:rPr>
                <w:lang w:val="en-GB"/>
              </w:rPr>
            </w:pPr>
            <w:r w:rsidRPr="0069578D">
              <w:rPr>
                <w:lang w:val="en-GB"/>
              </w:rPr>
              <w:t>-107 (-148, -68)</w:t>
            </w:r>
          </w:p>
        </w:tc>
        <w:tc>
          <w:tcPr>
            <w:tcW w:w="848" w:type="dxa"/>
            <w:vAlign w:val="center"/>
          </w:tcPr>
          <w:p w:rsidR="0069578D" w:rsidRPr="0069578D" w:rsidRDefault="0069578D" w:rsidP="0069578D">
            <w:pPr>
              <w:jc w:val="center"/>
              <w:rPr>
                <w:lang w:val="en-GB"/>
              </w:rPr>
            </w:pPr>
            <w:r w:rsidRPr="0069578D">
              <w:rPr>
                <w:lang w:val="en-GB"/>
              </w:rPr>
              <w:t>1</w:t>
            </w:r>
          </w:p>
        </w:tc>
        <w:tc>
          <w:tcPr>
            <w:tcW w:w="1238" w:type="dxa"/>
            <w:vAlign w:val="center"/>
          </w:tcPr>
          <w:p w:rsidR="0069578D" w:rsidRPr="0069578D" w:rsidRDefault="0069578D" w:rsidP="0069578D">
            <w:pPr>
              <w:tabs>
                <w:tab w:val="decimal" w:pos="422"/>
              </w:tabs>
              <w:rPr>
                <w:lang w:val="en-GB"/>
              </w:rPr>
            </w:pPr>
            <w:r w:rsidRPr="0069578D">
              <w:rPr>
                <w:lang w:val="en-GB"/>
              </w:rPr>
              <w:t>7</w:t>
            </w:r>
          </w:p>
        </w:tc>
      </w:tr>
      <w:tr w:rsidR="0069578D" w:rsidRPr="0069578D" w:rsidTr="00CC7113">
        <w:trPr>
          <w:jc w:val="center"/>
        </w:trPr>
        <w:tc>
          <w:tcPr>
            <w:tcW w:w="1834" w:type="dxa"/>
            <w:vAlign w:val="center"/>
          </w:tcPr>
          <w:p w:rsidR="0069578D" w:rsidRPr="0069578D" w:rsidRDefault="0069578D" w:rsidP="0069578D">
            <w:pPr>
              <w:tabs>
                <w:tab w:val="decimal" w:pos="880"/>
              </w:tabs>
              <w:rPr>
                <w:sz w:val="16"/>
                <w:szCs w:val="16"/>
                <w:lang w:val="en-GB"/>
              </w:rPr>
            </w:pPr>
            <w:r w:rsidRPr="0069578D">
              <w:rPr>
                <w:lang w:val="en-GB"/>
              </w:rPr>
              <w:t>15</w:t>
            </w:r>
          </w:p>
        </w:tc>
        <w:tc>
          <w:tcPr>
            <w:tcW w:w="233" w:type="dxa"/>
            <w:vAlign w:val="center"/>
          </w:tcPr>
          <w:p w:rsidR="0069578D" w:rsidRPr="0069578D" w:rsidRDefault="0069578D" w:rsidP="0069578D">
            <w:pPr>
              <w:jc w:val="center"/>
              <w:rPr>
                <w:sz w:val="16"/>
                <w:szCs w:val="16"/>
                <w:lang w:val="en-GB"/>
              </w:rPr>
            </w:pPr>
          </w:p>
        </w:tc>
        <w:tc>
          <w:tcPr>
            <w:tcW w:w="705" w:type="dxa"/>
            <w:vAlign w:val="center"/>
          </w:tcPr>
          <w:p w:rsidR="0069578D" w:rsidRPr="0069578D" w:rsidRDefault="0069578D" w:rsidP="0069578D">
            <w:pPr>
              <w:tabs>
                <w:tab w:val="decimal" w:pos="378"/>
              </w:tabs>
              <w:rPr>
                <w:sz w:val="16"/>
                <w:szCs w:val="16"/>
                <w:lang w:val="en-GB"/>
              </w:rPr>
            </w:pPr>
            <w:r w:rsidRPr="0069578D">
              <w:rPr>
                <w:lang w:val="en-GB"/>
              </w:rPr>
              <w:t>-100</w:t>
            </w:r>
          </w:p>
        </w:tc>
        <w:tc>
          <w:tcPr>
            <w:tcW w:w="234" w:type="dxa"/>
            <w:vAlign w:val="center"/>
          </w:tcPr>
          <w:p w:rsidR="0069578D" w:rsidRPr="0069578D" w:rsidRDefault="0069578D" w:rsidP="0069578D">
            <w:pPr>
              <w:jc w:val="center"/>
              <w:rPr>
                <w:sz w:val="16"/>
                <w:szCs w:val="16"/>
                <w:lang w:val="en-GB"/>
              </w:rPr>
            </w:pPr>
          </w:p>
        </w:tc>
        <w:tc>
          <w:tcPr>
            <w:tcW w:w="1812" w:type="dxa"/>
            <w:vAlign w:val="center"/>
          </w:tcPr>
          <w:p w:rsidR="0069578D" w:rsidRPr="0069578D" w:rsidRDefault="0069578D" w:rsidP="0069578D">
            <w:pPr>
              <w:jc w:val="center"/>
              <w:rPr>
                <w:sz w:val="16"/>
                <w:szCs w:val="16"/>
                <w:lang w:val="en-GB"/>
              </w:rPr>
            </w:pPr>
            <w:r w:rsidRPr="0069578D">
              <w:rPr>
                <w:lang w:val="en-GB"/>
              </w:rPr>
              <w:t>-97 (-135, -61)</w:t>
            </w:r>
          </w:p>
        </w:tc>
        <w:tc>
          <w:tcPr>
            <w:tcW w:w="818" w:type="dxa"/>
            <w:vAlign w:val="center"/>
          </w:tcPr>
          <w:p w:rsidR="0069578D" w:rsidRPr="0069578D" w:rsidRDefault="0069578D" w:rsidP="0069578D">
            <w:pPr>
              <w:jc w:val="center"/>
              <w:rPr>
                <w:lang w:val="en-GB"/>
              </w:rPr>
            </w:pPr>
            <w:r w:rsidRPr="0069578D">
              <w:rPr>
                <w:lang w:val="en-GB"/>
              </w:rPr>
              <w:t>1</w:t>
            </w:r>
          </w:p>
        </w:tc>
        <w:tc>
          <w:tcPr>
            <w:tcW w:w="698" w:type="dxa"/>
            <w:vAlign w:val="center"/>
          </w:tcPr>
          <w:p w:rsidR="0069578D" w:rsidRPr="0069578D" w:rsidRDefault="0069578D" w:rsidP="0069578D">
            <w:pPr>
              <w:jc w:val="center"/>
              <w:rPr>
                <w:lang w:val="en-GB"/>
              </w:rPr>
            </w:pPr>
            <w:r w:rsidRPr="0069578D">
              <w:rPr>
                <w:lang w:val="en-GB"/>
              </w:rPr>
              <w:t>-3</w:t>
            </w:r>
          </w:p>
        </w:tc>
        <w:tc>
          <w:tcPr>
            <w:tcW w:w="236" w:type="dxa"/>
            <w:vAlign w:val="center"/>
          </w:tcPr>
          <w:p w:rsidR="0069578D" w:rsidRPr="0069578D" w:rsidRDefault="0069578D" w:rsidP="0069578D">
            <w:pPr>
              <w:jc w:val="center"/>
              <w:rPr>
                <w:lang w:val="en-GB"/>
              </w:rPr>
            </w:pPr>
          </w:p>
        </w:tc>
        <w:tc>
          <w:tcPr>
            <w:tcW w:w="1812" w:type="dxa"/>
            <w:vAlign w:val="center"/>
          </w:tcPr>
          <w:p w:rsidR="0069578D" w:rsidRPr="0069578D" w:rsidRDefault="0069578D" w:rsidP="0069578D">
            <w:pPr>
              <w:jc w:val="center"/>
              <w:rPr>
                <w:lang w:val="en-GB"/>
              </w:rPr>
            </w:pPr>
            <w:r w:rsidRPr="0069578D">
              <w:rPr>
                <w:lang w:val="en-GB"/>
              </w:rPr>
              <w:t>-98 (-136, -61)</w:t>
            </w:r>
          </w:p>
        </w:tc>
        <w:tc>
          <w:tcPr>
            <w:tcW w:w="818" w:type="dxa"/>
            <w:vAlign w:val="center"/>
          </w:tcPr>
          <w:p w:rsidR="0069578D" w:rsidRPr="0069578D" w:rsidRDefault="0069578D" w:rsidP="0069578D">
            <w:pPr>
              <w:jc w:val="center"/>
              <w:rPr>
                <w:lang w:val="en-GB"/>
              </w:rPr>
            </w:pPr>
            <w:r w:rsidRPr="0069578D">
              <w:rPr>
                <w:lang w:val="en-GB"/>
              </w:rPr>
              <w:t>1</w:t>
            </w:r>
          </w:p>
        </w:tc>
        <w:tc>
          <w:tcPr>
            <w:tcW w:w="1087" w:type="dxa"/>
            <w:vAlign w:val="center"/>
          </w:tcPr>
          <w:p w:rsidR="0069578D" w:rsidRPr="0069578D" w:rsidRDefault="0069578D" w:rsidP="0069578D">
            <w:pPr>
              <w:tabs>
                <w:tab w:val="decimal" w:pos="477"/>
              </w:tabs>
              <w:rPr>
                <w:lang w:val="en-GB"/>
              </w:rPr>
            </w:pPr>
            <w:r w:rsidRPr="0069578D">
              <w:rPr>
                <w:lang w:val="en-GB"/>
              </w:rPr>
              <w:t>-2</w:t>
            </w:r>
          </w:p>
        </w:tc>
        <w:tc>
          <w:tcPr>
            <w:tcW w:w="236" w:type="dxa"/>
            <w:vAlign w:val="center"/>
          </w:tcPr>
          <w:p w:rsidR="0069578D" w:rsidRPr="0069578D" w:rsidRDefault="0069578D" w:rsidP="0069578D">
            <w:pPr>
              <w:jc w:val="center"/>
              <w:rPr>
                <w:lang w:val="en-GB"/>
              </w:rPr>
            </w:pPr>
          </w:p>
        </w:tc>
        <w:tc>
          <w:tcPr>
            <w:tcW w:w="1701" w:type="dxa"/>
            <w:vAlign w:val="center"/>
          </w:tcPr>
          <w:p w:rsidR="0069578D" w:rsidRPr="0069578D" w:rsidRDefault="0069578D" w:rsidP="0069578D">
            <w:pPr>
              <w:jc w:val="center"/>
              <w:rPr>
                <w:lang w:val="en-GB"/>
              </w:rPr>
            </w:pPr>
            <w:r w:rsidRPr="0069578D">
              <w:rPr>
                <w:lang w:val="en-GB"/>
              </w:rPr>
              <w:t>-105 (-145, -65)</w:t>
            </w:r>
          </w:p>
        </w:tc>
        <w:tc>
          <w:tcPr>
            <w:tcW w:w="848" w:type="dxa"/>
            <w:vAlign w:val="center"/>
          </w:tcPr>
          <w:p w:rsidR="0069578D" w:rsidRPr="0069578D" w:rsidRDefault="0069578D" w:rsidP="0069578D">
            <w:pPr>
              <w:jc w:val="center"/>
              <w:rPr>
                <w:lang w:val="en-GB"/>
              </w:rPr>
            </w:pPr>
            <w:r w:rsidRPr="0069578D">
              <w:rPr>
                <w:lang w:val="en-GB"/>
              </w:rPr>
              <w:t>1</w:t>
            </w:r>
          </w:p>
        </w:tc>
        <w:tc>
          <w:tcPr>
            <w:tcW w:w="1238" w:type="dxa"/>
            <w:vAlign w:val="center"/>
          </w:tcPr>
          <w:p w:rsidR="0069578D" w:rsidRPr="0069578D" w:rsidRDefault="0069578D" w:rsidP="0069578D">
            <w:pPr>
              <w:tabs>
                <w:tab w:val="decimal" w:pos="422"/>
              </w:tabs>
              <w:rPr>
                <w:lang w:val="en-GB"/>
              </w:rPr>
            </w:pPr>
            <w:r w:rsidRPr="0069578D">
              <w:rPr>
                <w:lang w:val="en-GB"/>
              </w:rPr>
              <w:t>5</w:t>
            </w:r>
          </w:p>
        </w:tc>
      </w:tr>
      <w:tr w:rsidR="0069578D" w:rsidRPr="0069578D" w:rsidTr="00CC7113">
        <w:trPr>
          <w:jc w:val="center"/>
        </w:trPr>
        <w:tc>
          <w:tcPr>
            <w:tcW w:w="1834" w:type="dxa"/>
            <w:vAlign w:val="center"/>
          </w:tcPr>
          <w:p w:rsidR="0069578D" w:rsidRPr="0069578D" w:rsidRDefault="0069578D" w:rsidP="0069578D">
            <w:pPr>
              <w:tabs>
                <w:tab w:val="decimal" w:pos="880"/>
              </w:tabs>
              <w:rPr>
                <w:sz w:val="16"/>
                <w:szCs w:val="16"/>
                <w:lang w:val="en-GB"/>
              </w:rPr>
            </w:pPr>
            <w:r w:rsidRPr="0069578D">
              <w:rPr>
                <w:lang w:val="en-GB"/>
              </w:rPr>
              <w:t>18</w:t>
            </w:r>
          </w:p>
        </w:tc>
        <w:tc>
          <w:tcPr>
            <w:tcW w:w="233" w:type="dxa"/>
            <w:vAlign w:val="center"/>
          </w:tcPr>
          <w:p w:rsidR="0069578D" w:rsidRPr="0069578D" w:rsidRDefault="0069578D" w:rsidP="0069578D">
            <w:pPr>
              <w:jc w:val="center"/>
              <w:rPr>
                <w:sz w:val="16"/>
                <w:szCs w:val="16"/>
                <w:lang w:val="en-GB"/>
              </w:rPr>
            </w:pPr>
          </w:p>
        </w:tc>
        <w:tc>
          <w:tcPr>
            <w:tcW w:w="705" w:type="dxa"/>
            <w:vAlign w:val="center"/>
          </w:tcPr>
          <w:p w:rsidR="0069578D" w:rsidRPr="0069578D" w:rsidRDefault="0069578D" w:rsidP="0069578D">
            <w:pPr>
              <w:tabs>
                <w:tab w:val="decimal" w:pos="378"/>
              </w:tabs>
              <w:rPr>
                <w:sz w:val="16"/>
                <w:szCs w:val="16"/>
                <w:lang w:val="en-GB"/>
              </w:rPr>
            </w:pPr>
            <w:r w:rsidRPr="0069578D">
              <w:rPr>
                <w:lang w:val="en-GB"/>
              </w:rPr>
              <w:t>-100</w:t>
            </w:r>
          </w:p>
        </w:tc>
        <w:tc>
          <w:tcPr>
            <w:tcW w:w="234" w:type="dxa"/>
            <w:vAlign w:val="center"/>
          </w:tcPr>
          <w:p w:rsidR="0069578D" w:rsidRPr="0069578D" w:rsidRDefault="0069578D" w:rsidP="0069578D">
            <w:pPr>
              <w:jc w:val="center"/>
              <w:rPr>
                <w:sz w:val="16"/>
                <w:szCs w:val="16"/>
                <w:lang w:val="en-GB"/>
              </w:rPr>
            </w:pPr>
          </w:p>
        </w:tc>
        <w:tc>
          <w:tcPr>
            <w:tcW w:w="1812" w:type="dxa"/>
            <w:vAlign w:val="center"/>
          </w:tcPr>
          <w:p w:rsidR="0069578D" w:rsidRPr="0069578D" w:rsidRDefault="0069578D" w:rsidP="0069578D">
            <w:pPr>
              <w:jc w:val="center"/>
              <w:rPr>
                <w:sz w:val="16"/>
                <w:szCs w:val="16"/>
                <w:lang w:val="en-GB"/>
              </w:rPr>
            </w:pPr>
            <w:r w:rsidRPr="0069578D">
              <w:rPr>
                <w:lang w:val="en-GB"/>
              </w:rPr>
              <w:t>-98 (-135, -61)</w:t>
            </w:r>
          </w:p>
        </w:tc>
        <w:tc>
          <w:tcPr>
            <w:tcW w:w="818" w:type="dxa"/>
            <w:vAlign w:val="center"/>
          </w:tcPr>
          <w:p w:rsidR="0069578D" w:rsidRPr="0069578D" w:rsidRDefault="0069578D" w:rsidP="0069578D">
            <w:pPr>
              <w:jc w:val="center"/>
              <w:rPr>
                <w:lang w:val="en-GB"/>
              </w:rPr>
            </w:pPr>
            <w:r w:rsidRPr="0069578D">
              <w:rPr>
                <w:lang w:val="en-GB"/>
              </w:rPr>
              <w:t>1</w:t>
            </w:r>
          </w:p>
        </w:tc>
        <w:tc>
          <w:tcPr>
            <w:tcW w:w="698" w:type="dxa"/>
            <w:vAlign w:val="center"/>
          </w:tcPr>
          <w:p w:rsidR="0069578D" w:rsidRPr="0069578D" w:rsidRDefault="0069578D" w:rsidP="0069578D">
            <w:pPr>
              <w:jc w:val="center"/>
              <w:rPr>
                <w:lang w:val="en-GB"/>
              </w:rPr>
            </w:pPr>
            <w:r w:rsidRPr="0069578D">
              <w:rPr>
                <w:lang w:val="en-GB"/>
              </w:rPr>
              <w:t>-2</w:t>
            </w:r>
          </w:p>
        </w:tc>
        <w:tc>
          <w:tcPr>
            <w:tcW w:w="236" w:type="dxa"/>
            <w:vAlign w:val="center"/>
          </w:tcPr>
          <w:p w:rsidR="0069578D" w:rsidRPr="0069578D" w:rsidRDefault="0069578D" w:rsidP="0069578D">
            <w:pPr>
              <w:jc w:val="center"/>
              <w:rPr>
                <w:lang w:val="en-GB"/>
              </w:rPr>
            </w:pPr>
          </w:p>
        </w:tc>
        <w:tc>
          <w:tcPr>
            <w:tcW w:w="1812" w:type="dxa"/>
            <w:vAlign w:val="center"/>
          </w:tcPr>
          <w:p w:rsidR="0069578D" w:rsidRPr="0069578D" w:rsidRDefault="0069578D" w:rsidP="0069578D">
            <w:pPr>
              <w:jc w:val="center"/>
              <w:rPr>
                <w:lang w:val="en-GB"/>
              </w:rPr>
            </w:pPr>
            <w:r w:rsidRPr="0069578D">
              <w:rPr>
                <w:lang w:val="en-GB"/>
              </w:rPr>
              <w:t>-99 (-137, -61)</w:t>
            </w:r>
          </w:p>
        </w:tc>
        <w:tc>
          <w:tcPr>
            <w:tcW w:w="818" w:type="dxa"/>
            <w:vAlign w:val="center"/>
          </w:tcPr>
          <w:p w:rsidR="0069578D" w:rsidRPr="0069578D" w:rsidRDefault="0069578D" w:rsidP="0069578D">
            <w:pPr>
              <w:jc w:val="center"/>
              <w:rPr>
                <w:lang w:val="en-GB"/>
              </w:rPr>
            </w:pPr>
            <w:r w:rsidRPr="0069578D">
              <w:rPr>
                <w:lang w:val="en-GB"/>
              </w:rPr>
              <w:t>1</w:t>
            </w:r>
          </w:p>
        </w:tc>
        <w:tc>
          <w:tcPr>
            <w:tcW w:w="1087" w:type="dxa"/>
            <w:vAlign w:val="center"/>
          </w:tcPr>
          <w:p w:rsidR="0069578D" w:rsidRPr="0069578D" w:rsidRDefault="0069578D" w:rsidP="0069578D">
            <w:pPr>
              <w:tabs>
                <w:tab w:val="decimal" w:pos="477"/>
              </w:tabs>
              <w:rPr>
                <w:lang w:val="en-GB"/>
              </w:rPr>
            </w:pPr>
            <w:r w:rsidRPr="0069578D">
              <w:rPr>
                <w:lang w:val="en-GB"/>
              </w:rPr>
              <w:t>-1</w:t>
            </w:r>
          </w:p>
        </w:tc>
        <w:tc>
          <w:tcPr>
            <w:tcW w:w="236" w:type="dxa"/>
            <w:vAlign w:val="center"/>
          </w:tcPr>
          <w:p w:rsidR="0069578D" w:rsidRPr="0069578D" w:rsidRDefault="0069578D" w:rsidP="0069578D">
            <w:pPr>
              <w:jc w:val="center"/>
              <w:rPr>
                <w:lang w:val="en-GB"/>
              </w:rPr>
            </w:pPr>
          </w:p>
        </w:tc>
        <w:tc>
          <w:tcPr>
            <w:tcW w:w="1701" w:type="dxa"/>
            <w:vAlign w:val="center"/>
          </w:tcPr>
          <w:p w:rsidR="0069578D" w:rsidRPr="0069578D" w:rsidRDefault="0069578D" w:rsidP="0069578D">
            <w:pPr>
              <w:jc w:val="center"/>
              <w:rPr>
                <w:lang w:val="en-GB"/>
              </w:rPr>
            </w:pPr>
            <w:r w:rsidRPr="0069578D">
              <w:rPr>
                <w:lang w:val="en-GB"/>
              </w:rPr>
              <w:t>-105 (-144, -65)</w:t>
            </w:r>
          </w:p>
        </w:tc>
        <w:tc>
          <w:tcPr>
            <w:tcW w:w="848" w:type="dxa"/>
            <w:vAlign w:val="center"/>
          </w:tcPr>
          <w:p w:rsidR="0069578D" w:rsidRPr="0069578D" w:rsidRDefault="0069578D" w:rsidP="0069578D">
            <w:pPr>
              <w:jc w:val="center"/>
              <w:rPr>
                <w:lang w:val="en-GB"/>
              </w:rPr>
            </w:pPr>
            <w:r w:rsidRPr="0069578D">
              <w:rPr>
                <w:lang w:val="en-GB"/>
              </w:rPr>
              <w:t>1</w:t>
            </w:r>
          </w:p>
        </w:tc>
        <w:tc>
          <w:tcPr>
            <w:tcW w:w="1238" w:type="dxa"/>
            <w:vAlign w:val="center"/>
          </w:tcPr>
          <w:p w:rsidR="0069578D" w:rsidRPr="0069578D" w:rsidRDefault="0069578D" w:rsidP="0069578D">
            <w:pPr>
              <w:tabs>
                <w:tab w:val="decimal" w:pos="422"/>
              </w:tabs>
              <w:rPr>
                <w:lang w:val="en-GB"/>
              </w:rPr>
            </w:pPr>
            <w:r w:rsidRPr="0069578D">
              <w:rPr>
                <w:lang w:val="en-GB"/>
              </w:rPr>
              <w:t>4</w:t>
            </w:r>
          </w:p>
        </w:tc>
      </w:tr>
      <w:tr w:rsidR="0069578D" w:rsidRPr="0069578D" w:rsidTr="00CC7113">
        <w:trPr>
          <w:jc w:val="center"/>
        </w:trPr>
        <w:tc>
          <w:tcPr>
            <w:tcW w:w="1834" w:type="dxa"/>
            <w:tcBorders>
              <w:bottom w:val="single" w:sz="4" w:space="0" w:color="auto"/>
            </w:tcBorders>
            <w:vAlign w:val="center"/>
          </w:tcPr>
          <w:p w:rsidR="0069578D" w:rsidRPr="0069578D" w:rsidRDefault="0069578D" w:rsidP="0069578D">
            <w:pPr>
              <w:tabs>
                <w:tab w:val="decimal" w:pos="880"/>
              </w:tabs>
              <w:rPr>
                <w:sz w:val="16"/>
                <w:szCs w:val="16"/>
                <w:lang w:val="en-GB"/>
              </w:rPr>
            </w:pPr>
            <w:r w:rsidRPr="0069578D">
              <w:rPr>
                <w:lang w:val="en-GB"/>
              </w:rPr>
              <w:t>20</w:t>
            </w:r>
          </w:p>
        </w:tc>
        <w:tc>
          <w:tcPr>
            <w:tcW w:w="233" w:type="dxa"/>
            <w:tcBorders>
              <w:bottom w:val="single" w:sz="4" w:space="0" w:color="auto"/>
            </w:tcBorders>
            <w:vAlign w:val="center"/>
          </w:tcPr>
          <w:p w:rsidR="0069578D" w:rsidRPr="0069578D" w:rsidRDefault="0069578D" w:rsidP="0069578D">
            <w:pPr>
              <w:jc w:val="center"/>
              <w:rPr>
                <w:sz w:val="16"/>
                <w:szCs w:val="16"/>
                <w:lang w:val="en-GB"/>
              </w:rPr>
            </w:pPr>
          </w:p>
        </w:tc>
        <w:tc>
          <w:tcPr>
            <w:tcW w:w="705" w:type="dxa"/>
            <w:tcBorders>
              <w:bottom w:val="single" w:sz="4" w:space="0" w:color="auto"/>
            </w:tcBorders>
            <w:vAlign w:val="center"/>
          </w:tcPr>
          <w:p w:rsidR="0069578D" w:rsidRPr="0069578D" w:rsidRDefault="0069578D" w:rsidP="0069578D">
            <w:pPr>
              <w:tabs>
                <w:tab w:val="decimal" w:pos="378"/>
              </w:tabs>
              <w:rPr>
                <w:sz w:val="16"/>
                <w:szCs w:val="16"/>
                <w:lang w:val="en-GB"/>
              </w:rPr>
            </w:pPr>
            <w:r w:rsidRPr="0069578D">
              <w:rPr>
                <w:lang w:val="en-GB"/>
              </w:rPr>
              <w:t>-99</w:t>
            </w:r>
          </w:p>
        </w:tc>
        <w:tc>
          <w:tcPr>
            <w:tcW w:w="234" w:type="dxa"/>
            <w:tcBorders>
              <w:bottom w:val="single" w:sz="4" w:space="0" w:color="auto"/>
            </w:tcBorders>
            <w:vAlign w:val="center"/>
          </w:tcPr>
          <w:p w:rsidR="0069578D" w:rsidRPr="0069578D" w:rsidRDefault="0069578D" w:rsidP="0069578D">
            <w:pPr>
              <w:jc w:val="center"/>
              <w:rPr>
                <w:sz w:val="16"/>
                <w:szCs w:val="16"/>
                <w:lang w:val="en-GB"/>
              </w:rPr>
            </w:pPr>
          </w:p>
        </w:tc>
        <w:tc>
          <w:tcPr>
            <w:tcW w:w="1812" w:type="dxa"/>
            <w:tcBorders>
              <w:bottom w:val="single" w:sz="4" w:space="0" w:color="auto"/>
            </w:tcBorders>
            <w:vAlign w:val="center"/>
          </w:tcPr>
          <w:p w:rsidR="0069578D" w:rsidRPr="0069578D" w:rsidRDefault="0069578D" w:rsidP="0069578D">
            <w:pPr>
              <w:jc w:val="center"/>
              <w:rPr>
                <w:sz w:val="16"/>
                <w:szCs w:val="16"/>
                <w:lang w:val="en-GB"/>
              </w:rPr>
            </w:pPr>
            <w:r w:rsidRPr="0069578D">
              <w:rPr>
                <w:lang w:val="en-GB"/>
              </w:rPr>
              <w:t>-97 (-132, -60)</w:t>
            </w:r>
          </w:p>
        </w:tc>
        <w:tc>
          <w:tcPr>
            <w:tcW w:w="818" w:type="dxa"/>
            <w:tcBorders>
              <w:bottom w:val="single" w:sz="4" w:space="0" w:color="auto"/>
            </w:tcBorders>
            <w:vAlign w:val="center"/>
          </w:tcPr>
          <w:p w:rsidR="0069578D" w:rsidRPr="0069578D" w:rsidRDefault="0069578D" w:rsidP="0069578D">
            <w:pPr>
              <w:jc w:val="center"/>
              <w:rPr>
                <w:lang w:val="en-GB"/>
              </w:rPr>
            </w:pPr>
            <w:r w:rsidRPr="0069578D">
              <w:rPr>
                <w:lang w:val="en-GB"/>
              </w:rPr>
              <w:t>1</w:t>
            </w:r>
          </w:p>
        </w:tc>
        <w:tc>
          <w:tcPr>
            <w:tcW w:w="698" w:type="dxa"/>
            <w:tcBorders>
              <w:bottom w:val="single" w:sz="4" w:space="0" w:color="auto"/>
            </w:tcBorders>
            <w:vAlign w:val="center"/>
          </w:tcPr>
          <w:p w:rsidR="0069578D" w:rsidRPr="0069578D" w:rsidRDefault="0069578D" w:rsidP="0069578D">
            <w:pPr>
              <w:jc w:val="center"/>
              <w:rPr>
                <w:lang w:val="en-GB"/>
              </w:rPr>
            </w:pPr>
            <w:r w:rsidRPr="0069578D">
              <w:rPr>
                <w:lang w:val="en-GB"/>
              </w:rPr>
              <w:t>-2</w:t>
            </w:r>
          </w:p>
        </w:tc>
        <w:tc>
          <w:tcPr>
            <w:tcW w:w="236" w:type="dxa"/>
            <w:tcBorders>
              <w:bottom w:val="single" w:sz="4" w:space="0" w:color="auto"/>
            </w:tcBorders>
            <w:vAlign w:val="center"/>
          </w:tcPr>
          <w:p w:rsidR="0069578D" w:rsidRPr="0069578D" w:rsidRDefault="0069578D" w:rsidP="0069578D">
            <w:pPr>
              <w:jc w:val="center"/>
              <w:rPr>
                <w:lang w:val="en-GB"/>
              </w:rPr>
            </w:pPr>
          </w:p>
        </w:tc>
        <w:tc>
          <w:tcPr>
            <w:tcW w:w="1812" w:type="dxa"/>
            <w:tcBorders>
              <w:bottom w:val="single" w:sz="4" w:space="0" w:color="auto"/>
            </w:tcBorders>
            <w:vAlign w:val="center"/>
          </w:tcPr>
          <w:p w:rsidR="0069578D" w:rsidRPr="0069578D" w:rsidRDefault="0069578D" w:rsidP="0069578D">
            <w:pPr>
              <w:jc w:val="center"/>
              <w:rPr>
                <w:lang w:val="en-GB"/>
              </w:rPr>
            </w:pPr>
            <w:r w:rsidRPr="0069578D">
              <w:rPr>
                <w:lang w:val="en-GB"/>
              </w:rPr>
              <w:t>-98 (-133, -61)</w:t>
            </w:r>
          </w:p>
        </w:tc>
        <w:tc>
          <w:tcPr>
            <w:tcW w:w="818" w:type="dxa"/>
            <w:tcBorders>
              <w:bottom w:val="single" w:sz="4" w:space="0" w:color="auto"/>
            </w:tcBorders>
            <w:vAlign w:val="center"/>
          </w:tcPr>
          <w:p w:rsidR="0069578D" w:rsidRPr="0069578D" w:rsidRDefault="0069578D" w:rsidP="0069578D">
            <w:pPr>
              <w:jc w:val="center"/>
              <w:rPr>
                <w:lang w:val="en-GB"/>
              </w:rPr>
            </w:pPr>
            <w:r w:rsidRPr="0069578D">
              <w:rPr>
                <w:lang w:val="en-GB"/>
              </w:rPr>
              <w:t>1</w:t>
            </w:r>
          </w:p>
        </w:tc>
        <w:tc>
          <w:tcPr>
            <w:tcW w:w="1087" w:type="dxa"/>
            <w:tcBorders>
              <w:bottom w:val="single" w:sz="4" w:space="0" w:color="auto"/>
            </w:tcBorders>
            <w:vAlign w:val="center"/>
          </w:tcPr>
          <w:p w:rsidR="0069578D" w:rsidRPr="0069578D" w:rsidRDefault="0069578D" w:rsidP="0069578D">
            <w:pPr>
              <w:tabs>
                <w:tab w:val="decimal" w:pos="477"/>
              </w:tabs>
              <w:rPr>
                <w:lang w:val="en-GB"/>
              </w:rPr>
            </w:pPr>
            <w:r w:rsidRPr="0069578D">
              <w:rPr>
                <w:lang w:val="en-GB"/>
              </w:rPr>
              <w:t>-1</w:t>
            </w:r>
          </w:p>
        </w:tc>
        <w:tc>
          <w:tcPr>
            <w:tcW w:w="236" w:type="dxa"/>
            <w:tcBorders>
              <w:bottom w:val="single" w:sz="4" w:space="0" w:color="auto"/>
            </w:tcBorders>
            <w:vAlign w:val="center"/>
          </w:tcPr>
          <w:p w:rsidR="0069578D" w:rsidRPr="0069578D" w:rsidRDefault="0069578D" w:rsidP="0069578D">
            <w:pPr>
              <w:jc w:val="center"/>
              <w:rPr>
                <w:lang w:val="en-GB"/>
              </w:rPr>
            </w:pPr>
          </w:p>
        </w:tc>
        <w:tc>
          <w:tcPr>
            <w:tcW w:w="1701" w:type="dxa"/>
            <w:tcBorders>
              <w:bottom w:val="single" w:sz="4" w:space="0" w:color="auto"/>
            </w:tcBorders>
            <w:vAlign w:val="center"/>
          </w:tcPr>
          <w:p w:rsidR="0069578D" w:rsidRPr="0069578D" w:rsidRDefault="0069578D" w:rsidP="0069578D">
            <w:pPr>
              <w:jc w:val="center"/>
              <w:rPr>
                <w:lang w:val="en-GB"/>
              </w:rPr>
            </w:pPr>
            <w:r w:rsidRPr="0069578D">
              <w:rPr>
                <w:lang w:val="en-GB"/>
              </w:rPr>
              <w:t>-103 (-140, -64)</w:t>
            </w:r>
          </w:p>
        </w:tc>
        <w:tc>
          <w:tcPr>
            <w:tcW w:w="848" w:type="dxa"/>
            <w:tcBorders>
              <w:bottom w:val="single" w:sz="4" w:space="0" w:color="auto"/>
            </w:tcBorders>
            <w:vAlign w:val="center"/>
          </w:tcPr>
          <w:p w:rsidR="0069578D" w:rsidRPr="0069578D" w:rsidRDefault="0069578D" w:rsidP="0069578D">
            <w:pPr>
              <w:jc w:val="center"/>
              <w:rPr>
                <w:lang w:val="en-GB"/>
              </w:rPr>
            </w:pPr>
            <w:r w:rsidRPr="0069578D">
              <w:rPr>
                <w:lang w:val="en-GB"/>
              </w:rPr>
              <w:t>1</w:t>
            </w:r>
          </w:p>
        </w:tc>
        <w:tc>
          <w:tcPr>
            <w:tcW w:w="1238" w:type="dxa"/>
            <w:tcBorders>
              <w:bottom w:val="single" w:sz="4" w:space="0" w:color="auto"/>
            </w:tcBorders>
            <w:vAlign w:val="center"/>
          </w:tcPr>
          <w:p w:rsidR="0069578D" w:rsidRPr="0069578D" w:rsidRDefault="0069578D" w:rsidP="0069578D">
            <w:pPr>
              <w:tabs>
                <w:tab w:val="decimal" w:pos="422"/>
              </w:tabs>
              <w:rPr>
                <w:lang w:val="en-GB"/>
              </w:rPr>
            </w:pPr>
            <w:r w:rsidRPr="0069578D">
              <w:rPr>
                <w:lang w:val="en-GB"/>
              </w:rPr>
              <w:t>4</w:t>
            </w:r>
          </w:p>
        </w:tc>
      </w:tr>
      <w:tr w:rsidR="0069578D" w:rsidRPr="0069578D" w:rsidTr="00CC7113">
        <w:trPr>
          <w:jc w:val="center"/>
        </w:trPr>
        <w:tc>
          <w:tcPr>
            <w:tcW w:w="14310" w:type="dxa"/>
            <w:gridSpan w:val="15"/>
            <w:tcBorders>
              <w:top w:val="single" w:sz="4" w:space="0" w:color="auto"/>
            </w:tcBorders>
            <w:vAlign w:val="center"/>
          </w:tcPr>
          <w:p w:rsidR="0069578D" w:rsidRPr="0069578D" w:rsidRDefault="0069578D" w:rsidP="0069578D">
            <w:pPr>
              <w:rPr>
                <w:sz w:val="18"/>
                <w:szCs w:val="18"/>
                <w:lang w:val="en-GB"/>
              </w:rPr>
            </w:pPr>
            <w:r w:rsidRPr="0069578D">
              <w:rPr>
                <w:i/>
                <w:sz w:val="18"/>
                <w:szCs w:val="18"/>
                <w:vertAlign w:val="superscript"/>
                <w:lang w:val="en-GB"/>
              </w:rPr>
              <w:t xml:space="preserve">a </w:t>
            </w:r>
            <w:r w:rsidRPr="0069578D">
              <w:rPr>
                <w:sz w:val="18"/>
                <w:szCs w:val="18"/>
                <w:lang w:val="en-GB"/>
              </w:rPr>
              <w:t>Mean of effect estimates over 1,000 simulated studies.</w:t>
            </w:r>
          </w:p>
          <w:p w:rsidR="0069578D" w:rsidRPr="0069578D" w:rsidRDefault="0069578D" w:rsidP="0069578D">
            <w:pPr>
              <w:autoSpaceDE w:val="0"/>
              <w:autoSpaceDN w:val="0"/>
              <w:adjustRightInd w:val="0"/>
              <w:rPr>
                <w:sz w:val="18"/>
                <w:szCs w:val="18"/>
                <w:lang w:val="en-GB"/>
              </w:rPr>
            </w:pPr>
            <w:r w:rsidRPr="0069578D">
              <w:rPr>
                <w:i/>
                <w:sz w:val="18"/>
                <w:szCs w:val="18"/>
                <w:vertAlign w:val="superscript"/>
                <w:lang w:val="en-GB"/>
              </w:rPr>
              <w:t xml:space="preserve">b </w:t>
            </w:r>
            <w:r w:rsidRPr="0069578D">
              <w:rPr>
                <w:sz w:val="18"/>
                <w:szCs w:val="18"/>
                <w:lang w:val="en-GB"/>
              </w:rPr>
              <w:t>Empirical confidence interval, corresponding to the empirical 2.5 and 97.5 percentiles of the health effect estimates over the 1,000 simulation runs.</w:t>
            </w:r>
          </w:p>
          <w:p w:rsidR="0069578D" w:rsidRPr="0069578D" w:rsidRDefault="0069578D" w:rsidP="0069578D">
            <w:pPr>
              <w:autoSpaceDE w:val="0"/>
              <w:autoSpaceDN w:val="0"/>
              <w:adjustRightInd w:val="0"/>
              <w:rPr>
                <w:sz w:val="18"/>
                <w:szCs w:val="18"/>
                <w:lang w:val="en-GB"/>
              </w:rPr>
            </w:pPr>
            <w:proofErr w:type="gramStart"/>
            <w:r w:rsidRPr="0069578D">
              <w:rPr>
                <w:i/>
                <w:sz w:val="18"/>
                <w:szCs w:val="18"/>
                <w:vertAlign w:val="superscript"/>
                <w:lang w:val="en-GB"/>
              </w:rPr>
              <w:t xml:space="preserve">c </w:t>
            </w:r>
            <w:r w:rsidRPr="0069578D">
              <w:rPr>
                <w:sz w:val="18"/>
                <w:szCs w:val="18"/>
                <w:lang w:val="en-GB"/>
              </w:rPr>
              <w:t>Statistical power,</w:t>
            </w:r>
            <w:proofErr w:type="gramEnd"/>
            <w:r w:rsidRPr="0069578D">
              <w:rPr>
                <w:sz w:val="18"/>
                <w:szCs w:val="18"/>
                <w:lang w:val="en-GB"/>
              </w:rPr>
              <w:t xml:space="preserve"> estimated as the proportion of studies in which the </w:t>
            </w:r>
            <w:r w:rsidRPr="0069578D">
              <w:rPr>
                <w:i/>
                <w:iCs/>
                <w:sz w:val="18"/>
                <w:szCs w:val="18"/>
                <w:lang w:val="en-GB"/>
              </w:rPr>
              <w:t>P-</w:t>
            </w:r>
            <w:r w:rsidRPr="0069578D">
              <w:rPr>
                <w:sz w:val="18"/>
                <w:szCs w:val="18"/>
                <w:lang w:val="en-GB"/>
              </w:rPr>
              <w:t>value of the parameter characterizing the association between the error-prone exposure variables (</w:t>
            </w:r>
            <m:oMath>
              <m:sSub>
                <m:sSubPr>
                  <m:ctrlPr>
                    <w:rPr>
                      <w:rFonts w:ascii="Cambria Math" w:hAnsi="Cambria Math"/>
                      <w:i/>
                      <w:sz w:val="18"/>
                      <w:szCs w:val="18"/>
                      <w:lang w:val="en-GB"/>
                    </w:rPr>
                  </m:ctrlPr>
                </m:sSubPr>
                <m:e>
                  <m:r>
                    <w:rPr>
                      <w:rFonts w:ascii="Cambria Math" w:hAnsi="Cambria Math"/>
                      <w:sz w:val="18"/>
                      <w:szCs w:val="18"/>
                      <w:lang w:val="en-GB"/>
                    </w:rPr>
                    <m:t>W</m:t>
                  </m:r>
                </m:e>
                <m:sub>
                  <m:r>
                    <w:rPr>
                      <w:rFonts w:ascii="Cambria Math" w:hAnsi="Cambria Math"/>
                      <w:sz w:val="18"/>
                      <w:szCs w:val="18"/>
                      <w:lang w:val="en-GB"/>
                    </w:rPr>
                    <m:t>ij</m:t>
                  </m:r>
                </m:sub>
              </m:sSub>
            </m:oMath>
            <w:r w:rsidRPr="0069578D">
              <w:rPr>
                <w:iCs/>
                <w:sz w:val="18"/>
                <w:szCs w:val="18"/>
                <w:lang w:val="en-GB"/>
              </w:rPr>
              <w:t>)</w:t>
            </w:r>
            <w:r w:rsidRPr="0069578D">
              <w:rPr>
                <w:i/>
                <w:iCs/>
                <w:sz w:val="18"/>
                <w:szCs w:val="18"/>
                <w:lang w:val="en-GB"/>
              </w:rPr>
              <w:t xml:space="preserve"> </w:t>
            </w:r>
            <w:r w:rsidRPr="0069578D">
              <w:rPr>
                <w:sz w:val="18"/>
                <w:szCs w:val="18"/>
                <w:lang w:val="en-GB"/>
              </w:rPr>
              <w:t>and the continuous outcome was below 0.05.</w:t>
            </w:r>
          </w:p>
          <w:p w:rsidR="0069578D" w:rsidRPr="0069578D" w:rsidRDefault="0069578D" w:rsidP="0069578D">
            <w:pPr>
              <w:autoSpaceDE w:val="0"/>
              <w:autoSpaceDN w:val="0"/>
              <w:adjustRightInd w:val="0"/>
              <w:rPr>
                <w:sz w:val="18"/>
                <w:szCs w:val="18"/>
                <w:lang w:val="en-GB"/>
              </w:rPr>
            </w:pPr>
            <w:r w:rsidRPr="0069578D">
              <w:rPr>
                <w:i/>
                <w:sz w:val="18"/>
                <w:szCs w:val="18"/>
                <w:vertAlign w:val="superscript"/>
                <w:lang w:val="en-GB"/>
              </w:rPr>
              <w:t xml:space="preserve">d </w:t>
            </w:r>
            <w:r w:rsidRPr="0069578D">
              <w:rPr>
                <w:sz w:val="18"/>
                <w:szCs w:val="18"/>
                <w:lang w:val="en-GB"/>
              </w:rPr>
              <w:t>Difference between the true effect and the effect estimate, divided by the true effect.</w:t>
            </w:r>
          </w:p>
          <w:p w:rsidR="0069578D" w:rsidRPr="0069578D" w:rsidRDefault="0069578D" w:rsidP="0069578D">
            <w:pPr>
              <w:rPr>
                <w:sz w:val="18"/>
                <w:szCs w:val="18"/>
                <w:lang w:val="en-GB"/>
              </w:rPr>
            </w:pPr>
            <w:r w:rsidRPr="0069578D">
              <w:rPr>
                <w:i/>
                <w:sz w:val="18"/>
                <w:szCs w:val="18"/>
                <w:vertAlign w:val="superscript"/>
                <w:lang w:val="en-GB"/>
              </w:rPr>
              <w:t xml:space="preserve">e </w:t>
            </w:r>
            <w:r w:rsidRPr="0069578D">
              <w:rPr>
                <w:sz w:val="18"/>
                <w:szCs w:val="18"/>
                <w:lang w:val="en-GB"/>
              </w:rPr>
              <w:t>Corresponds to a situation without pooling.</w:t>
            </w:r>
          </w:p>
          <w:p w:rsidR="0069578D" w:rsidRPr="0069578D" w:rsidRDefault="0069578D" w:rsidP="0069578D">
            <w:pPr>
              <w:rPr>
                <w:sz w:val="18"/>
                <w:szCs w:val="18"/>
                <w:lang w:val="en-GB"/>
              </w:rPr>
            </w:pPr>
            <w:r w:rsidRPr="0069578D">
              <w:rPr>
                <w:i/>
                <w:sz w:val="18"/>
                <w:szCs w:val="18"/>
                <w:vertAlign w:val="superscript"/>
                <w:lang w:val="en-GB"/>
              </w:rPr>
              <w:t>f</w:t>
            </w:r>
            <w:r w:rsidRPr="0069578D">
              <w:rPr>
                <w:sz w:val="18"/>
                <w:szCs w:val="18"/>
                <w:vertAlign w:val="superscript"/>
                <w:lang w:val="en-GB"/>
              </w:rPr>
              <w:t xml:space="preserve"> </w:t>
            </w:r>
            <w:r w:rsidRPr="0069578D">
              <w:rPr>
                <w:sz w:val="18"/>
                <w:szCs w:val="18"/>
                <w:lang w:val="en-GB"/>
              </w:rPr>
              <w:t>ICC</w:t>
            </w:r>
            <w:r w:rsidRPr="0069578D">
              <w:rPr>
                <w:sz w:val="18"/>
                <w:szCs w:val="18"/>
                <w:vertAlign w:val="subscript"/>
                <w:lang w:val="en-GB"/>
              </w:rPr>
              <w:t>1</w:t>
            </w:r>
            <w:r w:rsidRPr="0069578D">
              <w:rPr>
                <w:sz w:val="18"/>
                <w:szCs w:val="18"/>
                <w:lang w:val="en-GB"/>
              </w:rPr>
              <w:t xml:space="preserve"> = 0.85 and corresponds to the value estimated in our study population of eight women. </w:t>
            </w:r>
          </w:p>
          <w:p w:rsidR="0069578D" w:rsidRPr="0069578D" w:rsidRDefault="0069578D" w:rsidP="0069578D">
            <w:pPr>
              <w:rPr>
                <w:sz w:val="15"/>
                <w:szCs w:val="15"/>
                <w:lang w:val="en-GB"/>
              </w:rPr>
            </w:pPr>
            <w:r w:rsidRPr="0069578D">
              <w:rPr>
                <w:i/>
                <w:sz w:val="18"/>
                <w:szCs w:val="18"/>
                <w:vertAlign w:val="superscript"/>
                <w:lang w:val="en-GB"/>
              </w:rPr>
              <w:t>g</w:t>
            </w:r>
            <w:r w:rsidRPr="0069578D">
              <w:rPr>
                <w:sz w:val="18"/>
                <w:szCs w:val="18"/>
                <w:lang w:val="en-GB"/>
              </w:rPr>
              <w:t xml:space="preserve"> ICC</w:t>
            </w:r>
            <w:r w:rsidRPr="0069578D">
              <w:rPr>
                <w:sz w:val="18"/>
                <w:szCs w:val="18"/>
                <w:vertAlign w:val="subscript"/>
                <w:lang w:val="en-GB"/>
              </w:rPr>
              <w:t>2</w:t>
            </w:r>
            <w:r w:rsidRPr="0069578D">
              <w:rPr>
                <w:sz w:val="18"/>
                <w:szCs w:val="18"/>
                <w:lang w:val="en-GB"/>
              </w:rPr>
              <w:t xml:space="preserve"> = 0.45 and corresponds to the average from previously published studies in pregnant women.</w:t>
            </w:r>
            <w:r w:rsidRPr="0069578D">
              <w:rPr>
                <w:sz w:val="18"/>
                <w:szCs w:val="18"/>
                <w:lang w:val="en-GB"/>
              </w:rPr>
              <w:fldChar w:fldCharType="begin"/>
            </w:r>
            <w:r w:rsidRPr="0069578D">
              <w:rPr>
                <w:sz w:val="18"/>
                <w:szCs w:val="18"/>
                <w:lang w:val="en-GB"/>
              </w:rPr>
              <w:instrText xml:space="preserve"> ADDIN ZOTERO_ITEM CSL_CITATION {"citationID":"EBFDE7J0","properties":{"formattedCitation":"\\super 13\\uc0\\u8211{}18\\nosupersub{}","plainCitation":"13–18","noteIndex":0},"citationItems":[{"id":"3zEJNu0Z/F092soBP","uris":["http://zotero.org/users/local/SVr6rUJo/items/G7EW6IZT"],"uri":["http://zotero.org/users/local/SVr6rUJo/items/G7EW6IZT"],"itemData":{"id":1873,"type":"article-journal","title":"Variability and Predictors of Urinary Bisphenol A Concentrations during Pregnancy","container-title":"Environmental Health Perspectives","page":"131","volume":"119","issue":"1","source":"www-ncbi-nlm-nih-gov.gate2.inist.fr","abstract":"Prenatal bisphenol A (BPA) exposure may be associated with developmental toxicity, but few studies have examined the variability and predictors of urinary BPA concentrations during pregnancy.Our goal was to estimate the variability and predictors of serial ...","DOI":"10.1289/ehp.1002366","note":"PMID: 21205581","language":"en","author":[{"family":"Braun","given":"Joe M."},{"family":"Kalkbrenner","given":"Amy E."},{"family":"Calafat","given":"Antonia M."},{"family":"Bernert","given":"John T."},{"family":"Ye","given":"Xiaoyun"},{"family":"Silva","given":"Manori J."},{"family":"Barr","given":"Dana Boyd"},{"family":"Sathyanarayana","given":"Sheela"},{"family":"Lanphear","given":"Bruce P."}],"issued":{"date-parts":[["2011",1]]}}},{"id":"3zEJNu0Z/EJlld39b","uris":["http://zotero.org/users/local/SVr6rUJo/items/ZNXCBJZE"],"uri":["http://zotero.org/users/local/SVr6rUJo/items/ZNXCBJZE"],"itemData":{"id":278,"type":"article-journal","title":"Variability of Urinary Phthalate Metabolite and Bisphenol A Concentrations before and during Pregnancy","container-title":"Environmental Health Perspectives","page":"739-745","volume":"120","issue":"5","source":"CrossRef","DOI":"10.1289/ehp.1104139","ISSN":"0091-6765","language":"en","author":[{"family":"Braun","given":"Joe M."},{"family":"Smith","given":"Kristen W."},{"family":"Williams","given":"Paige L."},{"family":"Calafat","given":"Antonia M."},{"family":"Berry","given":"Katharine"},{"family":"Ehrlich","given":"Shelley"},{"family":"Hauser","given":"Russ"}],"issued":{"date-parts":[["2012",1,19]]}}},{"id":"3zEJNu0Z/HEd8o1Do","uris":["http://zotero.org/users/local/SVr6rUJo/items/QMPKQ3WR"],"uri":["http://zotero.org/users/local/SVr6rUJo/items/QMPKQ3WR"],"itemData":{"id":1913,"type":"article-journal","title":"Reproducibility of Urinary Bisphenol A Concentrations Measured During Pregnancy in the Generation R Study","container-title":"Journal of exposure science &amp; environmental epidemiology","page":"532","volume":"24","issue":"5","source":"www-ncbi-nlm-nih-gov.gate2.inist.fr","abstract":"The potential human health effects of bisphenol A (BPA) exposure are a public health concern. In order to design adequately powered epidemiological studies to address potential health effects, data on the reproducibility of BPA concentration in serial ...","DOI":"10.1038/jes.2014.23","note":"PMID: 24736100","language":"en","author":[{"family":"Jusko","given":"Todd A."},{"family":"Shaw","given":"Pamela A."},{"family":"Snijder","given":"Claudia A."},{"family":"Pierik","given":"Frank H."},{"family":"Koch","given":"Holger M."},{"family":"Hauser","given":"Russ"},{"family":"Jaddoe","given":"Vincent W. V."},{"family":"Burdorf","given":"Alex"},{"family":"Hofman","given":"Albert"},{"family":"Tiemeier","given":"Henning"},{"family":"Longnecker","given":"Matthew P."}],"issued":{"date-parts":[["2014",9]]}}},{"id":"3zEJNu0Z/TPIP0gwS","uris":["http://zotero.org/users/local/SVr6rUJo/items/CWJCENKP"],"uri":["http://zotero.org/users/local/SVr6rUJo/items/CWJCENKP"],"itemData":{"id":1899,"type":"article-journal","title":"Distribution, variability and predictors of urinary concentrations of phenols and parabens among pregnant women in Puerto Rico","container-title":"Environmental science &amp; technology","page":"3439","volume":"47","issue":"7","source":"www-ncbi-nlm-nih-gov.gate2.inist.fr","abstract":"Puerto Rico has higher rates of a range of endocrine-related diseases and disorders compared to the United States. However, little is known to date about human exposures to known or potential endocrine disrupting chemicals (EDCs) in Puerto Rico. We recruited ...","DOI":"10.1021/es400510g","note":"PMID: 23469879","language":"en","author":[{"family":"Meeker","given":"John D."},{"family":"Cantonwine","given":"David E."},{"family":"Rivera-González","given":"Luis O."},{"family":"Ferguson","given":"Kelly K."},{"family":"Mukherjee","given":"Bhramar"},{"family":"Calafat","given":"Antonia M."},{"family":"Ye","given":"Xiaoyun"},{"family":"Toro","given":"Liza V. Anzalota Del"},{"family":"Crespo","given":"Noe"},{"family":"Jiménez-Vélez","given":"Braulio"},{"family":"Alshawabkeh","given":"Akram N."},{"family":"Cordero","given":"José F."}],"issued":{"date-parts":[["2013",4,2]]}}},{"id":"3zEJNu0Z/IobpNlz6","uris":["http://zotero.org/users/local/SVr6rUJo/items/CMMVJA7W"],"uri":["http://zotero.org/users/local/SVr6rUJo/items/CMMVJA7W"],"itemData":{"id":214,"type":"article-journal","title":"Prenatal Exposure to Environmental Phenols: Concentrations in Amniotic Fluid and Variability in Urinary Concentrations during Pregnancy","container-title":"Environmental Health Perspectives","page":"1225-31","volume":"121","issue":"10","source":"CrossRef","DOI":"10.1289/ehp.1206335","ISSN":"0091-6765","shortTitle":"Prenatal Exposure to Environmental Phenols","language":"en","author":[{"family":"Philippat","given":"Claire"},{"family":"Wolff","given":"Mary S."},{"family":"Calafat","given":"Antonia M."},{"family":"Ye","given":"Xiaoyun"},{"family":"Bausell","given":"Rebecca"},{"family":"Meadows","given":"Molly"},{"family":"Stone","given":"Joanne"},{"family":"Slama","given":"Rémy"},{"family":"Engel","given":"Stephanie M."}],"issued":{"date-parts":[["2013",8,13]]}}},{"id":"3zEJNu0Z/AaZEqjQW","uris":["http://zotero.org/users/local/SVr6rUJo/items/E83HKWPN"],"uri":["http://zotero.org/users/local/SVr6rUJo/items/E83HKWPN"],"itemData":{"id":1902,"type":"article-journal","title":"Predictors and Variability of Urinary Paraben Concentrations in Men and Women, Including before and during Pregnancy","container-title":"Environmental Health Perspectives","page":"1538","volume":"120","issue":"11","source":"www-ncbi-nlm-nih-gov.gate2.inist.fr","abstract":"Background: Parabens are suspected endocrine disruptors and ubiquitous preservatives used in personal care products, pharmaceuticals, and foods. No studies have assessed the variability of parabens in women, including during pregnancy.Objective: We evaluated ...","DOI":"10.1289/ehp.1104614","note":"PMID: 22721761","language":"en","author":[{"family":"Smith","given":"Kristen W."},{"family":"Braun","given":"Joe M."},{"family":"Williams","given":"Paige L."},{"family":"Ehrlich","given":"Shelley"},{"family":"Correia","given":"Katharine F."},{"family":"Calafat","given":"Antonia M."},{"family":"Ye","given":"Xiaoyun"},{"family":"Ford","given":"Jennifer"},{"family":"Keller","given":"Myra"},{"family":"Meeker","given":"John D."},{"family":"Hauser","given":"Russ"}],"issued":{"date-parts":[["2012",11]]}}}],"schema":"https://github.com/citation-style-language/schema/raw/master/csl-citation.json"} </w:instrText>
            </w:r>
            <w:r w:rsidRPr="0069578D">
              <w:rPr>
                <w:sz w:val="18"/>
                <w:szCs w:val="18"/>
                <w:lang w:val="en-GB"/>
              </w:rPr>
              <w:fldChar w:fldCharType="separate"/>
            </w:r>
            <w:r w:rsidRPr="0069578D">
              <w:rPr>
                <w:sz w:val="18"/>
                <w:szCs w:val="24"/>
                <w:vertAlign w:val="superscript"/>
                <w:lang w:val="en-GB"/>
              </w:rPr>
              <w:t>1</w:t>
            </w:r>
            <w:r w:rsidR="00C32816">
              <w:rPr>
                <w:sz w:val="18"/>
                <w:szCs w:val="24"/>
                <w:vertAlign w:val="superscript"/>
                <w:lang w:val="en-GB"/>
              </w:rPr>
              <w:t>5</w:t>
            </w:r>
            <w:r w:rsidRPr="0069578D">
              <w:rPr>
                <w:sz w:val="18"/>
                <w:szCs w:val="24"/>
                <w:vertAlign w:val="superscript"/>
                <w:lang w:val="en-GB"/>
              </w:rPr>
              <w:t>–</w:t>
            </w:r>
            <w:r w:rsidR="00C32816">
              <w:rPr>
                <w:sz w:val="18"/>
                <w:szCs w:val="24"/>
                <w:vertAlign w:val="superscript"/>
                <w:lang w:val="en-GB"/>
              </w:rPr>
              <w:t>20</w:t>
            </w:r>
            <w:r w:rsidRPr="0069578D">
              <w:rPr>
                <w:sz w:val="18"/>
                <w:szCs w:val="18"/>
                <w:lang w:val="en-GB"/>
              </w:rPr>
              <w:fldChar w:fldCharType="end"/>
            </w:r>
          </w:p>
        </w:tc>
      </w:tr>
    </w:tbl>
    <w:p w:rsidR="009E4EC1" w:rsidRDefault="009E4EC1" w:rsidP="0037061D">
      <w:pPr>
        <w:pStyle w:val="Caption"/>
        <w:rPr>
          <w:rFonts w:ascii="Times New Roman" w:hAnsi="Times New Roman" w:cs="Times New Roman"/>
          <w:b/>
          <w:i w:val="0"/>
          <w:color w:val="auto"/>
          <w:sz w:val="24"/>
          <w:szCs w:val="24"/>
        </w:rPr>
        <w:sectPr w:rsidR="009E4EC1" w:rsidSect="0069578D">
          <w:pgSz w:w="15840" w:h="12240" w:orient="landscape"/>
          <w:pgMar w:top="1418" w:right="1418" w:bottom="1418" w:left="1418" w:header="720" w:footer="720" w:gutter="0"/>
          <w:cols w:space="720"/>
          <w:docGrid w:linePitch="360"/>
        </w:sectPr>
      </w:pPr>
    </w:p>
    <w:p w:rsidR="0069578D" w:rsidRDefault="009E4EC1" w:rsidP="0037061D">
      <w:pPr>
        <w:pStyle w:val="Caption"/>
      </w:pPr>
      <w:bookmarkStart w:id="10" w:name="_Toc532441004"/>
      <w:proofErr w:type="spellStart"/>
      <w:r w:rsidRPr="009E4EC1">
        <w:rPr>
          <w:rFonts w:ascii="Times New Roman" w:hAnsi="Times New Roman" w:cs="Times New Roman"/>
          <w:b/>
          <w:i w:val="0"/>
          <w:color w:val="auto"/>
          <w:sz w:val="24"/>
          <w:szCs w:val="24"/>
        </w:rPr>
        <w:lastRenderedPageBreak/>
        <w:t>eTable</w:t>
      </w:r>
      <w:proofErr w:type="spellEnd"/>
      <w:r w:rsidRPr="009E4EC1">
        <w:rPr>
          <w:rFonts w:ascii="Times New Roman" w:hAnsi="Times New Roman" w:cs="Times New Roman"/>
          <w:b/>
          <w:i w:val="0"/>
          <w:color w:val="auto"/>
          <w:sz w:val="24"/>
          <w:szCs w:val="24"/>
        </w:rPr>
        <w:t xml:space="preserve"> </w:t>
      </w:r>
      <w:r w:rsidRPr="009E4EC1">
        <w:rPr>
          <w:rFonts w:ascii="Times New Roman" w:hAnsi="Times New Roman" w:cs="Times New Roman"/>
          <w:b/>
          <w:i w:val="0"/>
          <w:color w:val="auto"/>
          <w:sz w:val="24"/>
          <w:szCs w:val="24"/>
        </w:rPr>
        <w:fldChar w:fldCharType="begin"/>
      </w:r>
      <w:r w:rsidRPr="009E4EC1">
        <w:rPr>
          <w:rFonts w:ascii="Times New Roman" w:hAnsi="Times New Roman" w:cs="Times New Roman"/>
          <w:b/>
          <w:i w:val="0"/>
          <w:color w:val="auto"/>
          <w:sz w:val="24"/>
          <w:szCs w:val="24"/>
        </w:rPr>
        <w:instrText xml:space="preserve"> SEQ eTable \* ARABIC </w:instrText>
      </w:r>
      <w:r w:rsidRPr="009E4EC1">
        <w:rPr>
          <w:rFonts w:ascii="Times New Roman" w:hAnsi="Times New Roman" w:cs="Times New Roman"/>
          <w:b/>
          <w:i w:val="0"/>
          <w:color w:val="auto"/>
          <w:sz w:val="24"/>
          <w:szCs w:val="24"/>
        </w:rPr>
        <w:fldChar w:fldCharType="separate"/>
      </w:r>
      <w:r w:rsidRPr="009E4EC1">
        <w:rPr>
          <w:rFonts w:ascii="Times New Roman" w:hAnsi="Times New Roman" w:cs="Times New Roman"/>
          <w:b/>
          <w:i w:val="0"/>
          <w:noProof/>
          <w:color w:val="auto"/>
          <w:sz w:val="24"/>
          <w:szCs w:val="24"/>
        </w:rPr>
        <w:t>3</w:t>
      </w:r>
      <w:r w:rsidRPr="009E4EC1">
        <w:rPr>
          <w:rFonts w:ascii="Times New Roman" w:hAnsi="Times New Roman" w:cs="Times New Roman"/>
          <w:b/>
          <w:i w:val="0"/>
          <w:color w:val="auto"/>
          <w:sz w:val="24"/>
          <w:szCs w:val="24"/>
        </w:rPr>
        <w:fldChar w:fldCharType="end"/>
      </w:r>
      <w:r w:rsidRPr="009E4EC1">
        <w:rPr>
          <w:rFonts w:ascii="Times New Roman" w:hAnsi="Times New Roman" w:cs="Times New Roman"/>
          <w:b/>
          <w:i w:val="0"/>
          <w:color w:val="auto"/>
          <w:sz w:val="24"/>
          <w:szCs w:val="24"/>
        </w:rPr>
        <w:t xml:space="preserve">. </w:t>
      </w:r>
      <w:r w:rsidRPr="009E4EC1">
        <w:rPr>
          <w:rFonts w:ascii="Times New Roman" w:hAnsi="Times New Roman" w:cs="Times New Roman"/>
          <w:i w:val="0"/>
          <w:color w:val="auto"/>
          <w:sz w:val="24"/>
          <w:szCs w:val="24"/>
        </w:rPr>
        <w:t xml:space="preserve">Effect estimates and statistical power to detect associations between biomarker-based exposure to bisphenol A and a continuous outcome, as a function of the number of biospecimens collected per subject to assess exposure (1,000 simulation runs with 3,000 subjects each; true effect, </w:t>
      </w:r>
      <m:oMath>
        <m:sSub>
          <m:sSubPr>
            <m:ctrlPr>
              <w:rPr>
                <w:rFonts w:ascii="Cambria Math" w:hAnsi="Cambria Math" w:cs="Times New Roman"/>
                <w:i w:val="0"/>
                <w:color w:val="auto"/>
                <w:sz w:val="24"/>
                <w:szCs w:val="24"/>
              </w:rPr>
            </m:ctrlPr>
          </m:sSubPr>
          <m:e>
            <m:r>
              <w:rPr>
                <w:rFonts w:ascii="Cambria Math" w:hAnsi="Cambria Math" w:cs="Times New Roman"/>
                <w:color w:val="auto"/>
                <w:sz w:val="24"/>
                <w:szCs w:val="24"/>
              </w:rPr>
              <m:t>β</m:t>
            </m:r>
          </m:e>
          <m:sub>
            <m:r>
              <w:rPr>
                <w:rFonts w:ascii="Cambria Math" w:hAnsi="Cambria Math" w:cs="Times New Roman"/>
                <w:color w:val="auto"/>
                <w:sz w:val="24"/>
                <w:szCs w:val="24"/>
              </w:rPr>
              <m:t>true</m:t>
            </m:r>
          </m:sub>
        </m:sSub>
      </m:oMath>
      <w:r w:rsidRPr="009E4EC1">
        <w:rPr>
          <w:rFonts w:ascii="Times New Roman" w:hAnsi="Times New Roman" w:cs="Times New Roman"/>
          <w:i w:val="0"/>
          <w:color w:val="auto"/>
          <w:sz w:val="24"/>
          <w:szCs w:val="24"/>
        </w:rPr>
        <w:t xml:space="preserve"> = -100g change in the outcome for each unit increase in the true (unmeasured) exposure).</w:t>
      </w:r>
      <w:bookmarkEnd w:id="10"/>
    </w:p>
    <w:p w:rsidR="009E4EC1" w:rsidRPr="009E4EC1" w:rsidRDefault="009E4EC1" w:rsidP="009E4EC1">
      <w:pPr>
        <w:spacing w:after="0" w:line="480" w:lineRule="auto"/>
        <w:jc w:val="both"/>
        <w:rPr>
          <w:rFonts w:ascii="Times New Roman" w:eastAsia="Times New Roman" w:hAnsi="Times New Roman" w:cs="Times New Roman"/>
          <w:sz w:val="24"/>
          <w:szCs w:val="24"/>
          <w:lang w:val="en-GB" w:eastAsia="fr-FR"/>
        </w:rPr>
      </w:pPr>
    </w:p>
    <w:tbl>
      <w:tblPr>
        <w:tblW w:w="15026" w:type="dxa"/>
        <w:jc w:val="center"/>
        <w:tblLayout w:type="fixed"/>
        <w:tblLook w:val="04A0" w:firstRow="1" w:lastRow="0" w:firstColumn="1" w:lastColumn="0" w:noHBand="0" w:noVBand="1"/>
      </w:tblPr>
      <w:tblGrid>
        <w:gridCol w:w="1850"/>
        <w:gridCol w:w="236"/>
        <w:gridCol w:w="759"/>
        <w:gridCol w:w="238"/>
        <w:gridCol w:w="3876"/>
        <w:gridCol w:w="271"/>
        <w:gridCol w:w="3827"/>
        <w:gridCol w:w="244"/>
        <w:gridCol w:w="3725"/>
      </w:tblGrid>
      <w:tr w:rsidR="009E4EC1" w:rsidRPr="009E4EC1" w:rsidTr="009E4EC1">
        <w:trPr>
          <w:jc w:val="center"/>
        </w:trPr>
        <w:tc>
          <w:tcPr>
            <w:tcW w:w="1850" w:type="dxa"/>
            <w:tcBorders>
              <w:top w:val="single" w:sz="4" w:space="0" w:color="auto"/>
            </w:tcBorders>
            <w:vAlign w:val="center"/>
          </w:tcPr>
          <w:p w:rsidR="009E4EC1" w:rsidRPr="009E4EC1" w:rsidRDefault="009E4EC1" w:rsidP="009E4EC1">
            <w:pPr>
              <w:spacing w:after="0" w:line="240" w:lineRule="auto"/>
              <w:jc w:val="center"/>
              <w:rPr>
                <w:rFonts w:ascii="Times New Roman" w:eastAsia="Times New Roman" w:hAnsi="Times New Roman" w:cs="Times New Roman"/>
                <w:b/>
                <w:sz w:val="16"/>
                <w:szCs w:val="16"/>
                <w:lang w:val="en-GB" w:eastAsia="fr-FR"/>
              </w:rPr>
            </w:pPr>
          </w:p>
        </w:tc>
        <w:tc>
          <w:tcPr>
            <w:tcW w:w="236" w:type="dxa"/>
            <w:tcBorders>
              <w:top w:val="single" w:sz="4" w:space="0" w:color="auto"/>
            </w:tcBorders>
            <w:vAlign w:val="center"/>
          </w:tcPr>
          <w:p w:rsidR="009E4EC1" w:rsidRPr="009E4EC1" w:rsidRDefault="009E4EC1" w:rsidP="009E4EC1">
            <w:pPr>
              <w:spacing w:after="0" w:line="240" w:lineRule="auto"/>
              <w:jc w:val="center"/>
              <w:rPr>
                <w:rFonts w:ascii="Times New Roman" w:eastAsia="Times New Roman" w:hAnsi="Times New Roman" w:cs="Times New Roman"/>
                <w:b/>
                <w:sz w:val="16"/>
                <w:szCs w:val="16"/>
                <w:lang w:val="en-GB" w:eastAsia="fr-FR"/>
              </w:rPr>
            </w:pPr>
          </w:p>
        </w:tc>
        <w:tc>
          <w:tcPr>
            <w:tcW w:w="759" w:type="dxa"/>
            <w:tcBorders>
              <w:top w:val="single" w:sz="4" w:space="0" w:color="auto"/>
            </w:tcBorders>
            <w:vAlign w:val="bottom"/>
          </w:tcPr>
          <w:p w:rsidR="009E4EC1" w:rsidRPr="009E4EC1" w:rsidRDefault="009E4EC1" w:rsidP="009E4EC1">
            <w:pPr>
              <w:spacing w:after="0" w:line="240" w:lineRule="auto"/>
              <w:jc w:val="center"/>
              <w:rPr>
                <w:rFonts w:ascii="Times New Roman" w:eastAsia="Times New Roman" w:hAnsi="Times New Roman" w:cs="Times New Roman"/>
                <w:b/>
                <w:sz w:val="16"/>
                <w:szCs w:val="16"/>
                <w:lang w:val="en-GB" w:eastAsia="fr-FR"/>
              </w:rPr>
            </w:pPr>
          </w:p>
        </w:tc>
        <w:tc>
          <w:tcPr>
            <w:tcW w:w="238" w:type="dxa"/>
            <w:tcBorders>
              <w:top w:val="single" w:sz="4" w:space="0" w:color="auto"/>
            </w:tcBorders>
            <w:vAlign w:val="center"/>
          </w:tcPr>
          <w:p w:rsidR="009E4EC1" w:rsidRPr="009E4EC1" w:rsidRDefault="009E4EC1" w:rsidP="009E4EC1">
            <w:pPr>
              <w:spacing w:after="0" w:line="240" w:lineRule="auto"/>
              <w:jc w:val="center"/>
              <w:rPr>
                <w:rFonts w:ascii="Times New Roman" w:eastAsia="Times New Roman" w:hAnsi="Times New Roman" w:cs="Times New Roman"/>
                <w:b/>
                <w:sz w:val="16"/>
                <w:szCs w:val="16"/>
                <w:lang w:val="en-GB" w:eastAsia="fr-FR"/>
              </w:rPr>
            </w:pPr>
          </w:p>
        </w:tc>
        <w:tc>
          <w:tcPr>
            <w:tcW w:w="3876" w:type="dxa"/>
            <w:tcBorders>
              <w:top w:val="single" w:sz="4" w:space="0" w:color="auto"/>
              <w:bottom w:val="single" w:sz="4" w:space="0" w:color="auto"/>
            </w:tcBorders>
            <w:vAlign w:val="center"/>
          </w:tcPr>
          <w:p w:rsidR="009E4EC1" w:rsidRPr="009E4EC1" w:rsidRDefault="009E4EC1" w:rsidP="009E4EC1">
            <w:pPr>
              <w:spacing w:after="0" w:line="240" w:lineRule="auto"/>
              <w:jc w:val="center"/>
              <w:rPr>
                <w:rFonts w:ascii="Times New Roman" w:eastAsia="Times New Roman" w:hAnsi="Times New Roman" w:cs="Times New Roman"/>
                <w:b/>
                <w:sz w:val="20"/>
                <w:szCs w:val="20"/>
                <w:lang w:val="en-GB" w:eastAsia="fr-FR"/>
              </w:rPr>
            </w:pPr>
            <w:r w:rsidRPr="009E4EC1">
              <w:rPr>
                <w:rFonts w:ascii="Times New Roman" w:eastAsia="Times New Roman" w:hAnsi="Times New Roman" w:cs="Times New Roman"/>
                <w:b/>
                <w:sz w:val="20"/>
                <w:szCs w:val="20"/>
                <w:lang w:val="en-GB" w:eastAsia="fr-FR"/>
              </w:rPr>
              <w:t>Within-subject pooling</w:t>
            </w:r>
          </w:p>
        </w:tc>
        <w:tc>
          <w:tcPr>
            <w:tcW w:w="271" w:type="dxa"/>
            <w:tcBorders>
              <w:top w:val="single" w:sz="4" w:space="0" w:color="auto"/>
            </w:tcBorders>
            <w:vAlign w:val="center"/>
          </w:tcPr>
          <w:p w:rsidR="009E4EC1" w:rsidRPr="009E4EC1" w:rsidRDefault="009E4EC1" w:rsidP="009E4EC1">
            <w:pPr>
              <w:spacing w:after="0" w:line="240" w:lineRule="auto"/>
              <w:jc w:val="center"/>
              <w:rPr>
                <w:rFonts w:ascii="Times New Roman" w:eastAsia="Times New Roman" w:hAnsi="Times New Roman" w:cs="Times New Roman"/>
                <w:b/>
                <w:sz w:val="20"/>
                <w:szCs w:val="20"/>
                <w:lang w:val="en-GB" w:eastAsia="fr-FR"/>
              </w:rPr>
            </w:pPr>
          </w:p>
        </w:tc>
        <w:tc>
          <w:tcPr>
            <w:tcW w:w="3827" w:type="dxa"/>
            <w:tcBorders>
              <w:top w:val="single" w:sz="4" w:space="0" w:color="auto"/>
              <w:bottom w:val="single" w:sz="4" w:space="0" w:color="auto"/>
            </w:tcBorders>
            <w:vAlign w:val="center"/>
          </w:tcPr>
          <w:p w:rsidR="009E4EC1" w:rsidRPr="009E4EC1" w:rsidRDefault="009E4EC1" w:rsidP="009E4EC1">
            <w:pPr>
              <w:spacing w:after="0" w:line="240" w:lineRule="auto"/>
              <w:jc w:val="center"/>
              <w:rPr>
                <w:rFonts w:ascii="Times New Roman" w:eastAsia="Times New Roman" w:hAnsi="Times New Roman" w:cs="Times New Roman"/>
                <w:b/>
                <w:sz w:val="20"/>
                <w:szCs w:val="20"/>
                <w:lang w:val="en-GB" w:eastAsia="fr-FR"/>
              </w:rPr>
            </w:pPr>
            <w:r w:rsidRPr="009E4EC1">
              <w:rPr>
                <w:rFonts w:ascii="Times New Roman" w:eastAsia="Times New Roman" w:hAnsi="Times New Roman" w:cs="Times New Roman"/>
                <w:b/>
                <w:sz w:val="20"/>
                <w:szCs w:val="20"/>
                <w:lang w:val="en-GB" w:eastAsia="fr-FR"/>
              </w:rPr>
              <w:t xml:space="preserve">Within-subject pooling </w:t>
            </w:r>
            <w:r w:rsidRPr="009E4EC1">
              <w:rPr>
                <w:rFonts w:ascii="Times New Roman" w:eastAsia="Times New Roman" w:hAnsi="Times New Roman" w:cs="Times New Roman"/>
                <w:b/>
                <w:sz w:val="20"/>
                <w:szCs w:val="20"/>
                <w:lang w:val="en-GB" w:eastAsia="fr-FR"/>
              </w:rPr>
              <w:br/>
              <w:t xml:space="preserve">+ </w:t>
            </w:r>
            <w:r w:rsidRPr="009E4EC1">
              <w:rPr>
                <w:rFonts w:ascii="Times New Roman" w:eastAsia="Times New Roman" w:hAnsi="Times New Roman" w:cs="Times New Roman"/>
                <w:b/>
                <w:i/>
                <w:sz w:val="20"/>
                <w:szCs w:val="20"/>
                <w:lang w:val="en-GB" w:eastAsia="fr-FR"/>
              </w:rPr>
              <w:t>a posteriori</w:t>
            </w:r>
            <w:r w:rsidRPr="009E4EC1">
              <w:rPr>
                <w:rFonts w:ascii="Times New Roman" w:eastAsia="Times New Roman" w:hAnsi="Times New Roman" w:cs="Times New Roman"/>
                <w:b/>
                <w:sz w:val="20"/>
                <w:szCs w:val="20"/>
                <w:lang w:val="en-GB" w:eastAsia="fr-FR"/>
              </w:rPr>
              <w:t xml:space="preserve"> </w:t>
            </w:r>
            <w:proofErr w:type="spellStart"/>
            <w:r w:rsidRPr="009E4EC1">
              <w:rPr>
                <w:rFonts w:ascii="Times New Roman" w:eastAsia="Times New Roman" w:hAnsi="Times New Roman" w:cs="Times New Roman"/>
                <w:b/>
                <w:sz w:val="20"/>
                <w:szCs w:val="20"/>
                <w:lang w:val="en-GB" w:eastAsia="fr-FR"/>
              </w:rPr>
              <w:t>disattenuation</w:t>
            </w:r>
            <w:proofErr w:type="spellEnd"/>
            <w:r w:rsidRPr="009E4EC1">
              <w:rPr>
                <w:rFonts w:ascii="Times New Roman" w:eastAsia="Times New Roman" w:hAnsi="Times New Roman" w:cs="Times New Roman"/>
                <w:b/>
                <w:sz w:val="20"/>
                <w:szCs w:val="20"/>
                <w:lang w:val="en-GB" w:eastAsia="fr-FR"/>
              </w:rPr>
              <w:t xml:space="preserve"> using ICC</w:t>
            </w:r>
            <w:r w:rsidRPr="009E4EC1">
              <w:rPr>
                <w:rFonts w:ascii="Times New Roman" w:eastAsia="Times New Roman" w:hAnsi="Times New Roman" w:cs="Times New Roman"/>
                <w:b/>
                <w:sz w:val="20"/>
                <w:szCs w:val="20"/>
                <w:vertAlign w:val="subscript"/>
                <w:lang w:val="en-GB" w:eastAsia="fr-FR"/>
              </w:rPr>
              <w:t>1</w:t>
            </w:r>
            <w:r w:rsidRPr="009E4EC1">
              <w:rPr>
                <w:rFonts w:ascii="Times New Roman" w:eastAsia="Times New Roman" w:hAnsi="Times New Roman" w:cs="Times New Roman"/>
                <w:b/>
                <w:i/>
                <w:sz w:val="20"/>
                <w:szCs w:val="20"/>
                <w:vertAlign w:val="superscript"/>
                <w:lang w:val="en-GB" w:eastAsia="fr-FR"/>
              </w:rPr>
              <w:t>f</w:t>
            </w:r>
          </w:p>
        </w:tc>
        <w:tc>
          <w:tcPr>
            <w:tcW w:w="244" w:type="dxa"/>
            <w:tcBorders>
              <w:top w:val="single" w:sz="4" w:space="0" w:color="auto"/>
            </w:tcBorders>
            <w:vAlign w:val="center"/>
          </w:tcPr>
          <w:p w:rsidR="009E4EC1" w:rsidRPr="009E4EC1" w:rsidRDefault="009E4EC1" w:rsidP="009E4EC1">
            <w:pPr>
              <w:spacing w:after="0" w:line="240" w:lineRule="auto"/>
              <w:jc w:val="center"/>
              <w:rPr>
                <w:rFonts w:ascii="Times New Roman" w:eastAsia="Times New Roman" w:hAnsi="Times New Roman" w:cs="Times New Roman"/>
                <w:b/>
                <w:sz w:val="20"/>
                <w:szCs w:val="20"/>
                <w:lang w:val="en-GB" w:eastAsia="fr-FR"/>
              </w:rPr>
            </w:pPr>
          </w:p>
        </w:tc>
        <w:tc>
          <w:tcPr>
            <w:tcW w:w="3725" w:type="dxa"/>
            <w:tcBorders>
              <w:top w:val="single" w:sz="4" w:space="0" w:color="auto"/>
              <w:bottom w:val="single" w:sz="4" w:space="0" w:color="auto"/>
            </w:tcBorders>
            <w:vAlign w:val="center"/>
          </w:tcPr>
          <w:p w:rsidR="009E4EC1" w:rsidRPr="009E4EC1" w:rsidRDefault="009E4EC1" w:rsidP="009E4EC1">
            <w:pPr>
              <w:spacing w:after="0" w:line="240" w:lineRule="auto"/>
              <w:jc w:val="center"/>
              <w:rPr>
                <w:rFonts w:ascii="Times New Roman" w:eastAsia="Times New Roman" w:hAnsi="Times New Roman" w:cs="Times New Roman"/>
                <w:b/>
                <w:sz w:val="20"/>
                <w:szCs w:val="20"/>
                <w:lang w:val="en-GB" w:eastAsia="fr-FR"/>
              </w:rPr>
            </w:pPr>
            <w:r w:rsidRPr="009E4EC1">
              <w:rPr>
                <w:rFonts w:ascii="Times New Roman" w:eastAsia="Times New Roman" w:hAnsi="Times New Roman" w:cs="Times New Roman"/>
                <w:b/>
                <w:sz w:val="20"/>
                <w:szCs w:val="20"/>
                <w:lang w:val="en-GB" w:eastAsia="fr-FR"/>
              </w:rPr>
              <w:t xml:space="preserve">Within-subject pooling </w:t>
            </w:r>
          </w:p>
          <w:p w:rsidR="009E4EC1" w:rsidRPr="009E4EC1" w:rsidRDefault="009E4EC1" w:rsidP="009E4EC1">
            <w:pPr>
              <w:spacing w:after="0" w:line="240" w:lineRule="auto"/>
              <w:jc w:val="center"/>
              <w:rPr>
                <w:rFonts w:ascii="Times New Roman" w:eastAsia="Times New Roman" w:hAnsi="Times New Roman" w:cs="Times New Roman"/>
                <w:b/>
                <w:sz w:val="20"/>
                <w:szCs w:val="20"/>
                <w:lang w:val="en-GB" w:eastAsia="fr-FR"/>
              </w:rPr>
            </w:pPr>
            <w:r w:rsidRPr="009E4EC1">
              <w:rPr>
                <w:rFonts w:ascii="Times New Roman" w:eastAsia="Times New Roman" w:hAnsi="Times New Roman" w:cs="Times New Roman"/>
                <w:b/>
                <w:sz w:val="20"/>
                <w:szCs w:val="20"/>
                <w:lang w:val="en-GB" w:eastAsia="fr-FR"/>
              </w:rPr>
              <w:t xml:space="preserve">+ </w:t>
            </w:r>
            <w:r w:rsidRPr="009E4EC1">
              <w:rPr>
                <w:rFonts w:ascii="Times New Roman" w:eastAsia="Times New Roman" w:hAnsi="Times New Roman" w:cs="Times New Roman"/>
                <w:b/>
                <w:i/>
                <w:sz w:val="20"/>
                <w:szCs w:val="20"/>
                <w:lang w:val="en-GB" w:eastAsia="fr-FR"/>
              </w:rPr>
              <w:t>a posteriori</w:t>
            </w:r>
            <w:r w:rsidRPr="009E4EC1">
              <w:rPr>
                <w:rFonts w:ascii="Times New Roman" w:eastAsia="Times New Roman" w:hAnsi="Times New Roman" w:cs="Times New Roman"/>
                <w:b/>
                <w:sz w:val="20"/>
                <w:szCs w:val="20"/>
                <w:lang w:val="en-GB" w:eastAsia="fr-FR"/>
              </w:rPr>
              <w:t xml:space="preserve"> </w:t>
            </w:r>
            <w:proofErr w:type="spellStart"/>
            <w:r w:rsidRPr="009E4EC1">
              <w:rPr>
                <w:rFonts w:ascii="Times New Roman" w:eastAsia="Times New Roman" w:hAnsi="Times New Roman" w:cs="Times New Roman"/>
                <w:b/>
                <w:sz w:val="20"/>
                <w:szCs w:val="20"/>
                <w:lang w:val="en-GB" w:eastAsia="fr-FR"/>
              </w:rPr>
              <w:t>disattenuation</w:t>
            </w:r>
            <w:proofErr w:type="spellEnd"/>
            <w:r w:rsidRPr="009E4EC1">
              <w:rPr>
                <w:rFonts w:ascii="Times New Roman" w:eastAsia="Times New Roman" w:hAnsi="Times New Roman" w:cs="Times New Roman"/>
                <w:b/>
                <w:sz w:val="20"/>
                <w:szCs w:val="20"/>
                <w:lang w:val="en-GB" w:eastAsia="fr-FR"/>
              </w:rPr>
              <w:t xml:space="preserve"> using ICC</w:t>
            </w:r>
            <w:r w:rsidRPr="009E4EC1">
              <w:rPr>
                <w:rFonts w:ascii="Times New Roman" w:eastAsia="Times New Roman" w:hAnsi="Times New Roman" w:cs="Times New Roman"/>
                <w:b/>
                <w:sz w:val="20"/>
                <w:szCs w:val="20"/>
                <w:vertAlign w:val="subscript"/>
                <w:lang w:val="en-GB" w:eastAsia="fr-FR"/>
              </w:rPr>
              <w:t>2</w:t>
            </w:r>
            <w:r w:rsidRPr="009E4EC1">
              <w:rPr>
                <w:rFonts w:ascii="Times New Roman" w:eastAsia="Times New Roman" w:hAnsi="Times New Roman" w:cs="Times New Roman"/>
                <w:b/>
                <w:sz w:val="20"/>
                <w:szCs w:val="20"/>
                <w:lang w:val="en-GB" w:eastAsia="fr-FR"/>
              </w:rPr>
              <w:t xml:space="preserve"> </w:t>
            </w:r>
            <w:r w:rsidRPr="009E4EC1">
              <w:rPr>
                <w:rFonts w:ascii="Times New Roman" w:eastAsia="Times New Roman" w:hAnsi="Times New Roman" w:cs="Times New Roman"/>
                <w:b/>
                <w:i/>
                <w:sz w:val="20"/>
                <w:szCs w:val="20"/>
                <w:vertAlign w:val="superscript"/>
                <w:lang w:val="en-GB" w:eastAsia="fr-FR"/>
              </w:rPr>
              <w:t>g</w:t>
            </w:r>
          </w:p>
        </w:tc>
      </w:tr>
    </w:tbl>
    <w:tbl>
      <w:tblPr>
        <w:tblStyle w:val="TableGrid"/>
        <w:tblW w:w="150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236"/>
        <w:gridCol w:w="755"/>
        <w:gridCol w:w="236"/>
        <w:gridCol w:w="1798"/>
        <w:gridCol w:w="943"/>
        <w:gridCol w:w="1160"/>
        <w:gridCol w:w="236"/>
        <w:gridCol w:w="1890"/>
        <w:gridCol w:w="825"/>
        <w:gridCol w:w="1093"/>
        <w:gridCol w:w="236"/>
        <w:gridCol w:w="1727"/>
        <w:gridCol w:w="848"/>
        <w:gridCol w:w="1199"/>
      </w:tblGrid>
      <w:tr w:rsidR="009E4EC1" w:rsidRPr="009E4EC1" w:rsidTr="009E4EC1">
        <w:trPr>
          <w:trHeight w:val="20"/>
          <w:jc w:val="center"/>
        </w:trPr>
        <w:tc>
          <w:tcPr>
            <w:tcW w:w="1844" w:type="dxa"/>
            <w:tcBorders>
              <w:bottom w:val="single" w:sz="4" w:space="0" w:color="auto"/>
            </w:tcBorders>
            <w:vAlign w:val="center"/>
          </w:tcPr>
          <w:p w:rsidR="009E4EC1" w:rsidRPr="009E4EC1" w:rsidRDefault="009E4EC1" w:rsidP="009E4EC1">
            <w:pPr>
              <w:jc w:val="center"/>
              <w:rPr>
                <w:lang w:val="en-GB"/>
              </w:rPr>
            </w:pPr>
            <w:r w:rsidRPr="009E4EC1">
              <w:rPr>
                <w:b/>
                <w:lang w:val="en-GB"/>
              </w:rPr>
              <w:t>Number of biospecimens per subject</w:t>
            </w:r>
          </w:p>
        </w:tc>
        <w:tc>
          <w:tcPr>
            <w:tcW w:w="236" w:type="dxa"/>
            <w:tcBorders>
              <w:bottom w:val="single" w:sz="4" w:space="0" w:color="auto"/>
            </w:tcBorders>
            <w:vAlign w:val="center"/>
          </w:tcPr>
          <w:p w:rsidR="009E4EC1" w:rsidRPr="009E4EC1" w:rsidRDefault="009E4EC1" w:rsidP="009E4EC1">
            <w:pPr>
              <w:jc w:val="center"/>
              <w:rPr>
                <w:lang w:val="en-GB"/>
              </w:rPr>
            </w:pPr>
          </w:p>
        </w:tc>
        <w:tc>
          <w:tcPr>
            <w:tcW w:w="755" w:type="dxa"/>
            <w:tcBorders>
              <w:bottom w:val="single" w:sz="4" w:space="0" w:color="auto"/>
            </w:tcBorders>
            <w:vAlign w:val="center"/>
          </w:tcPr>
          <w:p w:rsidR="009E4EC1" w:rsidRPr="009E4EC1" w:rsidRDefault="009E4EC1" w:rsidP="009E4EC1">
            <w:pPr>
              <w:jc w:val="center"/>
              <w:rPr>
                <w:b/>
                <w:lang w:val="en-GB"/>
              </w:rPr>
            </w:pPr>
            <w:r w:rsidRPr="009E4EC1">
              <w:rPr>
                <w:b/>
                <w:lang w:val="en-GB"/>
              </w:rPr>
              <w:t>True Effect</w:t>
            </w:r>
          </w:p>
        </w:tc>
        <w:tc>
          <w:tcPr>
            <w:tcW w:w="236" w:type="dxa"/>
            <w:tcBorders>
              <w:bottom w:val="single" w:sz="4" w:space="0" w:color="auto"/>
            </w:tcBorders>
            <w:vAlign w:val="center"/>
          </w:tcPr>
          <w:p w:rsidR="009E4EC1" w:rsidRPr="009E4EC1" w:rsidRDefault="009E4EC1" w:rsidP="009E4EC1">
            <w:pPr>
              <w:jc w:val="center"/>
              <w:rPr>
                <w:b/>
                <w:lang w:val="en-GB"/>
              </w:rPr>
            </w:pPr>
          </w:p>
        </w:tc>
        <w:tc>
          <w:tcPr>
            <w:tcW w:w="1798" w:type="dxa"/>
            <w:tcBorders>
              <w:top w:val="single" w:sz="4" w:space="0" w:color="auto"/>
              <w:bottom w:val="single" w:sz="4" w:space="0" w:color="auto"/>
            </w:tcBorders>
            <w:vAlign w:val="center"/>
          </w:tcPr>
          <w:p w:rsidR="009E4EC1" w:rsidRPr="009E4EC1" w:rsidRDefault="009E4EC1" w:rsidP="009E4EC1">
            <w:pPr>
              <w:jc w:val="center"/>
              <w:rPr>
                <w:b/>
                <w:lang w:val="en-GB"/>
              </w:rPr>
            </w:pPr>
            <w:r w:rsidRPr="009E4EC1">
              <w:rPr>
                <w:b/>
                <w:lang w:val="en-GB"/>
              </w:rPr>
              <w:t xml:space="preserve">Estimated effect </w:t>
            </w:r>
            <w:r w:rsidRPr="009E4EC1">
              <w:rPr>
                <w:b/>
                <w:i/>
                <w:vertAlign w:val="superscript"/>
                <w:lang w:val="en-GB"/>
              </w:rPr>
              <w:t>a</w:t>
            </w:r>
            <w:r w:rsidRPr="009E4EC1">
              <w:rPr>
                <w:b/>
                <w:lang w:val="en-GB"/>
              </w:rPr>
              <w:t xml:space="preserve"> (95% CI </w:t>
            </w:r>
            <w:r w:rsidRPr="009E4EC1">
              <w:rPr>
                <w:b/>
                <w:i/>
                <w:vertAlign w:val="superscript"/>
                <w:lang w:val="en-GB"/>
              </w:rPr>
              <w:t>b</w:t>
            </w:r>
            <w:r w:rsidRPr="009E4EC1">
              <w:rPr>
                <w:b/>
                <w:lang w:val="en-GB"/>
              </w:rPr>
              <w:t>)</w:t>
            </w:r>
          </w:p>
        </w:tc>
        <w:tc>
          <w:tcPr>
            <w:tcW w:w="943" w:type="dxa"/>
            <w:tcBorders>
              <w:top w:val="single" w:sz="4" w:space="0" w:color="auto"/>
              <w:bottom w:val="single" w:sz="4" w:space="0" w:color="auto"/>
            </w:tcBorders>
            <w:vAlign w:val="center"/>
          </w:tcPr>
          <w:p w:rsidR="009E4EC1" w:rsidRPr="009E4EC1" w:rsidRDefault="009E4EC1" w:rsidP="009E4EC1">
            <w:pPr>
              <w:jc w:val="center"/>
              <w:rPr>
                <w:b/>
                <w:lang w:val="en-GB"/>
              </w:rPr>
            </w:pPr>
            <w:proofErr w:type="spellStart"/>
            <w:r w:rsidRPr="009E4EC1">
              <w:rPr>
                <w:b/>
                <w:lang w:val="en-GB"/>
              </w:rPr>
              <w:t>Power</w:t>
            </w:r>
            <w:r w:rsidRPr="009E4EC1">
              <w:rPr>
                <w:b/>
                <w:i/>
                <w:vertAlign w:val="superscript"/>
                <w:lang w:val="en-GB"/>
              </w:rPr>
              <w:t>c</w:t>
            </w:r>
            <w:proofErr w:type="spellEnd"/>
          </w:p>
        </w:tc>
        <w:tc>
          <w:tcPr>
            <w:tcW w:w="1160" w:type="dxa"/>
            <w:tcBorders>
              <w:top w:val="single" w:sz="4" w:space="0" w:color="auto"/>
              <w:bottom w:val="single" w:sz="4" w:space="0" w:color="auto"/>
            </w:tcBorders>
            <w:vAlign w:val="center"/>
          </w:tcPr>
          <w:p w:rsidR="009E4EC1" w:rsidRPr="009E4EC1" w:rsidRDefault="009E4EC1" w:rsidP="009E4EC1">
            <w:pPr>
              <w:jc w:val="center"/>
              <w:rPr>
                <w:b/>
                <w:lang w:val="en-GB"/>
              </w:rPr>
            </w:pPr>
            <w:r w:rsidRPr="009E4EC1">
              <w:rPr>
                <w:b/>
                <w:lang w:val="en-GB"/>
              </w:rPr>
              <w:t xml:space="preserve">Bias (%) </w:t>
            </w:r>
            <w:r w:rsidRPr="009E4EC1">
              <w:rPr>
                <w:b/>
                <w:i/>
                <w:vertAlign w:val="superscript"/>
                <w:lang w:val="en-GB"/>
              </w:rPr>
              <w:t>d</w:t>
            </w:r>
          </w:p>
        </w:tc>
        <w:tc>
          <w:tcPr>
            <w:tcW w:w="236" w:type="dxa"/>
            <w:tcBorders>
              <w:bottom w:val="single" w:sz="4" w:space="0" w:color="auto"/>
            </w:tcBorders>
            <w:vAlign w:val="center"/>
          </w:tcPr>
          <w:p w:rsidR="009E4EC1" w:rsidRPr="009E4EC1" w:rsidRDefault="009E4EC1" w:rsidP="009E4EC1">
            <w:pPr>
              <w:jc w:val="center"/>
              <w:rPr>
                <w:b/>
                <w:lang w:val="en-GB"/>
              </w:rPr>
            </w:pPr>
          </w:p>
        </w:tc>
        <w:tc>
          <w:tcPr>
            <w:tcW w:w="1890" w:type="dxa"/>
            <w:tcBorders>
              <w:top w:val="single" w:sz="4" w:space="0" w:color="auto"/>
              <w:bottom w:val="single" w:sz="4" w:space="0" w:color="auto"/>
            </w:tcBorders>
            <w:vAlign w:val="center"/>
          </w:tcPr>
          <w:p w:rsidR="009E4EC1" w:rsidRPr="009E4EC1" w:rsidRDefault="009E4EC1" w:rsidP="009E4EC1">
            <w:pPr>
              <w:jc w:val="center"/>
              <w:rPr>
                <w:b/>
                <w:lang w:val="en-GB"/>
              </w:rPr>
            </w:pPr>
            <w:r w:rsidRPr="009E4EC1">
              <w:rPr>
                <w:b/>
                <w:lang w:val="en-GB"/>
              </w:rPr>
              <w:t xml:space="preserve">Estimated effect </w:t>
            </w:r>
            <w:r w:rsidRPr="009E4EC1">
              <w:rPr>
                <w:b/>
                <w:i/>
                <w:vertAlign w:val="superscript"/>
                <w:lang w:val="en-GB"/>
              </w:rPr>
              <w:t>a</w:t>
            </w:r>
          </w:p>
          <w:p w:rsidR="009E4EC1" w:rsidRPr="009E4EC1" w:rsidRDefault="009E4EC1" w:rsidP="009E4EC1">
            <w:pPr>
              <w:jc w:val="center"/>
              <w:rPr>
                <w:b/>
                <w:lang w:val="en-GB"/>
              </w:rPr>
            </w:pPr>
            <w:r w:rsidRPr="009E4EC1">
              <w:rPr>
                <w:b/>
                <w:lang w:val="en-GB"/>
              </w:rPr>
              <w:t xml:space="preserve">(95% CI </w:t>
            </w:r>
            <w:r w:rsidRPr="009E4EC1">
              <w:rPr>
                <w:b/>
                <w:i/>
                <w:vertAlign w:val="superscript"/>
                <w:lang w:val="en-GB"/>
              </w:rPr>
              <w:t>b</w:t>
            </w:r>
            <w:r w:rsidRPr="009E4EC1">
              <w:rPr>
                <w:b/>
                <w:lang w:val="en-GB"/>
              </w:rPr>
              <w:t>)</w:t>
            </w:r>
          </w:p>
        </w:tc>
        <w:tc>
          <w:tcPr>
            <w:tcW w:w="825" w:type="dxa"/>
            <w:tcBorders>
              <w:top w:val="single" w:sz="4" w:space="0" w:color="auto"/>
              <w:bottom w:val="single" w:sz="4" w:space="0" w:color="auto"/>
            </w:tcBorders>
            <w:vAlign w:val="center"/>
          </w:tcPr>
          <w:p w:rsidR="009E4EC1" w:rsidRPr="009E4EC1" w:rsidRDefault="009E4EC1" w:rsidP="009E4EC1">
            <w:pPr>
              <w:jc w:val="center"/>
              <w:rPr>
                <w:b/>
                <w:lang w:val="en-GB"/>
              </w:rPr>
            </w:pPr>
            <w:proofErr w:type="spellStart"/>
            <w:r w:rsidRPr="009E4EC1">
              <w:rPr>
                <w:b/>
                <w:lang w:val="en-GB"/>
              </w:rPr>
              <w:t>Power</w:t>
            </w:r>
            <w:r w:rsidRPr="009E4EC1">
              <w:rPr>
                <w:b/>
                <w:i/>
                <w:vertAlign w:val="superscript"/>
                <w:lang w:val="en-GB"/>
              </w:rPr>
              <w:t>c</w:t>
            </w:r>
            <w:proofErr w:type="spellEnd"/>
          </w:p>
        </w:tc>
        <w:tc>
          <w:tcPr>
            <w:tcW w:w="1093" w:type="dxa"/>
            <w:tcBorders>
              <w:top w:val="single" w:sz="4" w:space="0" w:color="auto"/>
              <w:bottom w:val="single" w:sz="4" w:space="0" w:color="auto"/>
            </w:tcBorders>
            <w:vAlign w:val="center"/>
          </w:tcPr>
          <w:p w:rsidR="009E4EC1" w:rsidRPr="009E4EC1" w:rsidRDefault="009E4EC1" w:rsidP="009E4EC1">
            <w:pPr>
              <w:jc w:val="center"/>
              <w:rPr>
                <w:b/>
                <w:lang w:val="en-GB"/>
              </w:rPr>
            </w:pPr>
            <w:r w:rsidRPr="009E4EC1">
              <w:rPr>
                <w:b/>
                <w:lang w:val="en-GB"/>
              </w:rPr>
              <w:t xml:space="preserve">Bias (%) </w:t>
            </w:r>
            <w:r w:rsidRPr="009E4EC1">
              <w:rPr>
                <w:b/>
                <w:i/>
                <w:vertAlign w:val="superscript"/>
                <w:lang w:val="en-GB"/>
              </w:rPr>
              <w:t>d</w:t>
            </w:r>
          </w:p>
        </w:tc>
        <w:tc>
          <w:tcPr>
            <w:tcW w:w="236" w:type="dxa"/>
            <w:tcBorders>
              <w:bottom w:val="single" w:sz="4" w:space="0" w:color="auto"/>
            </w:tcBorders>
            <w:vAlign w:val="center"/>
          </w:tcPr>
          <w:p w:rsidR="009E4EC1" w:rsidRPr="009E4EC1" w:rsidRDefault="009E4EC1" w:rsidP="009E4EC1">
            <w:pPr>
              <w:jc w:val="center"/>
              <w:rPr>
                <w:b/>
                <w:lang w:val="en-GB"/>
              </w:rPr>
            </w:pPr>
          </w:p>
        </w:tc>
        <w:tc>
          <w:tcPr>
            <w:tcW w:w="1727" w:type="dxa"/>
            <w:tcBorders>
              <w:top w:val="single" w:sz="4" w:space="0" w:color="auto"/>
              <w:bottom w:val="single" w:sz="4" w:space="0" w:color="auto"/>
            </w:tcBorders>
            <w:vAlign w:val="center"/>
          </w:tcPr>
          <w:p w:rsidR="009E4EC1" w:rsidRPr="009E4EC1" w:rsidRDefault="009E4EC1" w:rsidP="009E4EC1">
            <w:pPr>
              <w:jc w:val="center"/>
              <w:rPr>
                <w:b/>
                <w:lang w:val="en-GB"/>
              </w:rPr>
            </w:pPr>
            <w:r w:rsidRPr="009E4EC1">
              <w:rPr>
                <w:b/>
                <w:lang w:val="en-GB"/>
              </w:rPr>
              <w:t xml:space="preserve">Estimated effect </w:t>
            </w:r>
            <w:r w:rsidRPr="009E4EC1">
              <w:rPr>
                <w:b/>
                <w:i/>
                <w:vertAlign w:val="superscript"/>
                <w:lang w:val="en-GB"/>
              </w:rPr>
              <w:t>a</w:t>
            </w:r>
          </w:p>
          <w:p w:rsidR="009E4EC1" w:rsidRPr="009E4EC1" w:rsidRDefault="009E4EC1" w:rsidP="009E4EC1">
            <w:pPr>
              <w:jc w:val="center"/>
              <w:rPr>
                <w:b/>
                <w:lang w:val="en-GB"/>
              </w:rPr>
            </w:pPr>
            <w:r w:rsidRPr="009E4EC1">
              <w:rPr>
                <w:b/>
                <w:lang w:val="en-GB"/>
              </w:rPr>
              <w:t xml:space="preserve">(95% CI </w:t>
            </w:r>
            <w:r w:rsidRPr="009E4EC1">
              <w:rPr>
                <w:b/>
                <w:i/>
                <w:vertAlign w:val="superscript"/>
                <w:lang w:val="en-GB"/>
              </w:rPr>
              <w:t>b</w:t>
            </w:r>
            <w:r w:rsidRPr="009E4EC1">
              <w:rPr>
                <w:b/>
                <w:lang w:val="en-GB"/>
              </w:rPr>
              <w:t>)</w:t>
            </w:r>
          </w:p>
        </w:tc>
        <w:tc>
          <w:tcPr>
            <w:tcW w:w="848" w:type="dxa"/>
            <w:tcBorders>
              <w:top w:val="single" w:sz="4" w:space="0" w:color="auto"/>
              <w:bottom w:val="single" w:sz="4" w:space="0" w:color="auto"/>
            </w:tcBorders>
            <w:vAlign w:val="center"/>
          </w:tcPr>
          <w:p w:rsidR="009E4EC1" w:rsidRPr="009E4EC1" w:rsidRDefault="009E4EC1" w:rsidP="009E4EC1">
            <w:pPr>
              <w:jc w:val="center"/>
              <w:rPr>
                <w:b/>
                <w:lang w:val="en-GB"/>
              </w:rPr>
            </w:pPr>
            <w:proofErr w:type="spellStart"/>
            <w:r w:rsidRPr="009E4EC1">
              <w:rPr>
                <w:b/>
                <w:lang w:val="en-GB"/>
              </w:rPr>
              <w:t>Power</w:t>
            </w:r>
            <w:r w:rsidRPr="009E4EC1">
              <w:rPr>
                <w:b/>
                <w:i/>
                <w:vertAlign w:val="superscript"/>
                <w:lang w:val="en-GB"/>
              </w:rPr>
              <w:t>c</w:t>
            </w:r>
            <w:proofErr w:type="spellEnd"/>
          </w:p>
        </w:tc>
        <w:tc>
          <w:tcPr>
            <w:tcW w:w="1199" w:type="dxa"/>
            <w:tcBorders>
              <w:top w:val="single" w:sz="4" w:space="0" w:color="auto"/>
              <w:bottom w:val="single" w:sz="4" w:space="0" w:color="auto"/>
            </w:tcBorders>
            <w:vAlign w:val="center"/>
          </w:tcPr>
          <w:p w:rsidR="009E4EC1" w:rsidRPr="009E4EC1" w:rsidRDefault="009E4EC1" w:rsidP="009E4EC1">
            <w:pPr>
              <w:jc w:val="center"/>
              <w:rPr>
                <w:b/>
                <w:lang w:val="en-GB"/>
              </w:rPr>
            </w:pPr>
            <w:r w:rsidRPr="009E4EC1">
              <w:rPr>
                <w:b/>
                <w:lang w:val="en-GB"/>
              </w:rPr>
              <w:t xml:space="preserve">Bias (%) </w:t>
            </w:r>
            <w:r w:rsidRPr="009E4EC1">
              <w:rPr>
                <w:b/>
                <w:i/>
                <w:vertAlign w:val="superscript"/>
                <w:lang w:val="en-GB"/>
              </w:rPr>
              <w:t>d</w:t>
            </w:r>
          </w:p>
        </w:tc>
      </w:tr>
      <w:tr w:rsidR="009E4EC1" w:rsidRPr="009E4EC1" w:rsidTr="009E4EC1">
        <w:trPr>
          <w:jc w:val="center"/>
        </w:trPr>
        <w:tc>
          <w:tcPr>
            <w:tcW w:w="1844" w:type="dxa"/>
            <w:tcBorders>
              <w:top w:val="single" w:sz="4" w:space="0" w:color="auto"/>
            </w:tcBorders>
            <w:vAlign w:val="center"/>
          </w:tcPr>
          <w:p w:rsidR="009E4EC1" w:rsidRPr="009E4EC1" w:rsidRDefault="009E4EC1" w:rsidP="009E4EC1">
            <w:pPr>
              <w:tabs>
                <w:tab w:val="decimal" w:pos="880"/>
              </w:tabs>
              <w:rPr>
                <w:lang w:val="en-GB"/>
              </w:rPr>
            </w:pPr>
            <w:r w:rsidRPr="009E4EC1">
              <w:rPr>
                <w:lang w:val="en-GB"/>
              </w:rPr>
              <w:t>1</w:t>
            </w:r>
          </w:p>
        </w:tc>
        <w:tc>
          <w:tcPr>
            <w:tcW w:w="236" w:type="dxa"/>
            <w:tcBorders>
              <w:top w:val="single" w:sz="4" w:space="0" w:color="auto"/>
            </w:tcBorders>
            <w:vAlign w:val="center"/>
          </w:tcPr>
          <w:p w:rsidR="009E4EC1" w:rsidRPr="009E4EC1" w:rsidRDefault="009E4EC1" w:rsidP="009E4EC1">
            <w:pPr>
              <w:jc w:val="center"/>
              <w:rPr>
                <w:lang w:val="en-GB"/>
              </w:rPr>
            </w:pPr>
          </w:p>
        </w:tc>
        <w:tc>
          <w:tcPr>
            <w:tcW w:w="755" w:type="dxa"/>
            <w:tcBorders>
              <w:top w:val="single" w:sz="4" w:space="0" w:color="auto"/>
            </w:tcBorders>
            <w:vAlign w:val="center"/>
          </w:tcPr>
          <w:p w:rsidR="009E4EC1" w:rsidRPr="009E4EC1" w:rsidRDefault="009E4EC1" w:rsidP="009E4EC1">
            <w:pPr>
              <w:tabs>
                <w:tab w:val="decimal" w:pos="364"/>
              </w:tabs>
              <w:jc w:val="center"/>
            </w:pPr>
            <w:r w:rsidRPr="009E4EC1">
              <w:rPr>
                <w:lang w:val="en-GB"/>
              </w:rPr>
              <w:t>-100</w:t>
            </w:r>
          </w:p>
        </w:tc>
        <w:tc>
          <w:tcPr>
            <w:tcW w:w="236" w:type="dxa"/>
            <w:tcBorders>
              <w:top w:val="single" w:sz="4" w:space="0" w:color="auto"/>
            </w:tcBorders>
            <w:vAlign w:val="center"/>
          </w:tcPr>
          <w:p w:rsidR="009E4EC1" w:rsidRPr="009E4EC1" w:rsidRDefault="009E4EC1" w:rsidP="009E4EC1">
            <w:pPr>
              <w:jc w:val="center"/>
              <w:rPr>
                <w:lang w:val="en-GB"/>
              </w:rPr>
            </w:pPr>
          </w:p>
        </w:tc>
        <w:tc>
          <w:tcPr>
            <w:tcW w:w="1798" w:type="dxa"/>
            <w:tcBorders>
              <w:top w:val="single" w:sz="4" w:space="0" w:color="auto"/>
            </w:tcBorders>
            <w:vAlign w:val="center"/>
          </w:tcPr>
          <w:p w:rsidR="009E4EC1" w:rsidRPr="009E4EC1" w:rsidRDefault="009E4EC1" w:rsidP="009E4EC1">
            <w:pPr>
              <w:ind w:firstLine="135"/>
            </w:pPr>
            <w:r w:rsidRPr="009E4EC1">
              <w:rPr>
                <w:lang w:val="en-GB"/>
              </w:rPr>
              <w:t xml:space="preserve">-31 (-76, 16) </w:t>
            </w:r>
            <w:r w:rsidRPr="009E4EC1">
              <w:rPr>
                <w:i/>
                <w:vertAlign w:val="superscript"/>
                <w:lang w:val="en-GB"/>
              </w:rPr>
              <w:t>e</w:t>
            </w:r>
          </w:p>
        </w:tc>
        <w:tc>
          <w:tcPr>
            <w:tcW w:w="943" w:type="dxa"/>
            <w:tcBorders>
              <w:top w:val="single" w:sz="4" w:space="0" w:color="auto"/>
            </w:tcBorders>
            <w:vAlign w:val="center"/>
          </w:tcPr>
          <w:p w:rsidR="009E4EC1" w:rsidRPr="009E4EC1" w:rsidRDefault="009E4EC1" w:rsidP="009E4EC1">
            <w:pPr>
              <w:jc w:val="center"/>
            </w:pPr>
            <w:r w:rsidRPr="009E4EC1">
              <w:rPr>
                <w:lang w:val="en-GB"/>
              </w:rPr>
              <w:t>0.27</w:t>
            </w:r>
          </w:p>
        </w:tc>
        <w:tc>
          <w:tcPr>
            <w:tcW w:w="1160" w:type="dxa"/>
            <w:tcBorders>
              <w:top w:val="single" w:sz="4" w:space="0" w:color="auto"/>
            </w:tcBorders>
            <w:vAlign w:val="center"/>
          </w:tcPr>
          <w:p w:rsidR="009E4EC1" w:rsidRPr="009E4EC1" w:rsidRDefault="009E4EC1" w:rsidP="009E4EC1">
            <w:pPr>
              <w:jc w:val="center"/>
            </w:pPr>
            <w:r w:rsidRPr="009E4EC1">
              <w:rPr>
                <w:lang w:val="en-GB"/>
              </w:rPr>
              <w:t>-69</w:t>
            </w:r>
          </w:p>
        </w:tc>
        <w:tc>
          <w:tcPr>
            <w:tcW w:w="236" w:type="dxa"/>
            <w:tcBorders>
              <w:top w:val="single" w:sz="4" w:space="0" w:color="auto"/>
            </w:tcBorders>
            <w:vAlign w:val="center"/>
          </w:tcPr>
          <w:p w:rsidR="009E4EC1" w:rsidRPr="009E4EC1" w:rsidRDefault="009E4EC1" w:rsidP="009E4EC1">
            <w:pPr>
              <w:jc w:val="center"/>
              <w:rPr>
                <w:lang w:val="en-GB"/>
              </w:rPr>
            </w:pPr>
          </w:p>
        </w:tc>
        <w:tc>
          <w:tcPr>
            <w:tcW w:w="1890" w:type="dxa"/>
            <w:tcBorders>
              <w:top w:val="single" w:sz="4" w:space="0" w:color="auto"/>
            </w:tcBorders>
            <w:vAlign w:val="center"/>
          </w:tcPr>
          <w:p w:rsidR="009E4EC1" w:rsidRPr="009E4EC1" w:rsidRDefault="009E4EC1" w:rsidP="009E4EC1">
            <w:pPr>
              <w:ind w:firstLine="121"/>
            </w:pPr>
            <w:r w:rsidRPr="009E4EC1">
              <w:rPr>
                <w:lang w:val="en-GB"/>
              </w:rPr>
              <w:t xml:space="preserve">-81 (-199, 43) </w:t>
            </w:r>
            <w:r w:rsidRPr="009E4EC1">
              <w:rPr>
                <w:i/>
                <w:vertAlign w:val="superscript"/>
                <w:lang w:val="en-GB"/>
              </w:rPr>
              <w:t>e</w:t>
            </w:r>
          </w:p>
        </w:tc>
        <w:tc>
          <w:tcPr>
            <w:tcW w:w="825" w:type="dxa"/>
            <w:tcBorders>
              <w:top w:val="single" w:sz="4" w:space="0" w:color="auto"/>
            </w:tcBorders>
            <w:vAlign w:val="center"/>
          </w:tcPr>
          <w:p w:rsidR="009E4EC1" w:rsidRPr="009E4EC1" w:rsidRDefault="009E4EC1" w:rsidP="009E4EC1">
            <w:pPr>
              <w:jc w:val="center"/>
            </w:pPr>
            <w:r w:rsidRPr="009E4EC1">
              <w:rPr>
                <w:lang w:val="en-GB"/>
              </w:rPr>
              <w:t>0.27</w:t>
            </w:r>
          </w:p>
        </w:tc>
        <w:tc>
          <w:tcPr>
            <w:tcW w:w="1093" w:type="dxa"/>
            <w:tcBorders>
              <w:top w:val="single" w:sz="4" w:space="0" w:color="auto"/>
            </w:tcBorders>
            <w:vAlign w:val="center"/>
          </w:tcPr>
          <w:p w:rsidR="009E4EC1" w:rsidRPr="009E4EC1" w:rsidRDefault="009E4EC1" w:rsidP="009E4EC1">
            <w:pPr>
              <w:tabs>
                <w:tab w:val="decimal" w:pos="281"/>
              </w:tabs>
              <w:jc w:val="center"/>
            </w:pPr>
            <w:r w:rsidRPr="009E4EC1">
              <w:rPr>
                <w:lang w:val="en-GB"/>
              </w:rPr>
              <w:t>-19</w:t>
            </w:r>
          </w:p>
        </w:tc>
        <w:tc>
          <w:tcPr>
            <w:tcW w:w="236" w:type="dxa"/>
            <w:tcBorders>
              <w:top w:val="single" w:sz="4" w:space="0" w:color="auto"/>
            </w:tcBorders>
            <w:vAlign w:val="center"/>
          </w:tcPr>
          <w:p w:rsidR="009E4EC1" w:rsidRPr="009E4EC1" w:rsidRDefault="009E4EC1" w:rsidP="009E4EC1">
            <w:pPr>
              <w:jc w:val="center"/>
              <w:rPr>
                <w:lang w:val="en-GB"/>
              </w:rPr>
            </w:pPr>
          </w:p>
        </w:tc>
        <w:tc>
          <w:tcPr>
            <w:tcW w:w="1727" w:type="dxa"/>
            <w:tcBorders>
              <w:top w:val="single" w:sz="4" w:space="0" w:color="auto"/>
            </w:tcBorders>
            <w:vAlign w:val="center"/>
          </w:tcPr>
          <w:p w:rsidR="009E4EC1" w:rsidRPr="009E4EC1" w:rsidRDefault="009E4EC1" w:rsidP="009E4EC1">
            <w:pPr>
              <w:ind w:firstLine="52"/>
            </w:pPr>
            <w:r w:rsidRPr="009E4EC1">
              <w:rPr>
                <w:lang w:val="en-GB"/>
              </w:rPr>
              <w:t xml:space="preserve">-153 (-378, 82) </w:t>
            </w:r>
            <w:r w:rsidRPr="009E4EC1">
              <w:rPr>
                <w:i/>
                <w:vertAlign w:val="superscript"/>
                <w:lang w:val="en-GB"/>
              </w:rPr>
              <w:t>e</w:t>
            </w:r>
          </w:p>
        </w:tc>
        <w:tc>
          <w:tcPr>
            <w:tcW w:w="848" w:type="dxa"/>
            <w:tcBorders>
              <w:top w:val="single" w:sz="4" w:space="0" w:color="auto"/>
            </w:tcBorders>
            <w:vAlign w:val="center"/>
          </w:tcPr>
          <w:p w:rsidR="009E4EC1" w:rsidRPr="009E4EC1" w:rsidRDefault="009E4EC1" w:rsidP="009E4EC1">
            <w:pPr>
              <w:jc w:val="center"/>
            </w:pPr>
            <w:r w:rsidRPr="009E4EC1">
              <w:rPr>
                <w:lang w:val="en-GB"/>
              </w:rPr>
              <w:t>0.27</w:t>
            </w:r>
          </w:p>
        </w:tc>
        <w:tc>
          <w:tcPr>
            <w:tcW w:w="1199" w:type="dxa"/>
            <w:tcBorders>
              <w:top w:val="single" w:sz="4" w:space="0" w:color="auto"/>
            </w:tcBorders>
            <w:vAlign w:val="center"/>
          </w:tcPr>
          <w:p w:rsidR="009E4EC1" w:rsidRPr="009E4EC1" w:rsidRDefault="009E4EC1" w:rsidP="009E4EC1">
            <w:pPr>
              <w:tabs>
                <w:tab w:val="decimal" w:pos="481"/>
              </w:tabs>
            </w:pPr>
            <w:r w:rsidRPr="009E4EC1">
              <w:rPr>
                <w:lang w:val="en-GB"/>
              </w:rPr>
              <w:t>54</w:t>
            </w:r>
          </w:p>
        </w:tc>
      </w:tr>
      <w:tr w:rsidR="009E4EC1" w:rsidRPr="009E4EC1" w:rsidTr="009E4EC1">
        <w:trPr>
          <w:jc w:val="center"/>
        </w:trPr>
        <w:tc>
          <w:tcPr>
            <w:tcW w:w="1844" w:type="dxa"/>
            <w:vAlign w:val="center"/>
          </w:tcPr>
          <w:p w:rsidR="009E4EC1" w:rsidRPr="009E4EC1" w:rsidRDefault="009E4EC1" w:rsidP="009E4EC1">
            <w:pPr>
              <w:tabs>
                <w:tab w:val="decimal" w:pos="880"/>
              </w:tabs>
              <w:rPr>
                <w:lang w:val="en-GB"/>
              </w:rPr>
            </w:pPr>
            <w:r w:rsidRPr="009E4EC1">
              <w:rPr>
                <w:lang w:val="en-GB"/>
              </w:rPr>
              <w:t>2</w:t>
            </w:r>
          </w:p>
        </w:tc>
        <w:tc>
          <w:tcPr>
            <w:tcW w:w="236" w:type="dxa"/>
            <w:vAlign w:val="center"/>
          </w:tcPr>
          <w:p w:rsidR="009E4EC1" w:rsidRPr="009E4EC1" w:rsidRDefault="009E4EC1" w:rsidP="009E4EC1">
            <w:pPr>
              <w:jc w:val="center"/>
              <w:rPr>
                <w:lang w:val="en-GB"/>
              </w:rPr>
            </w:pPr>
          </w:p>
        </w:tc>
        <w:tc>
          <w:tcPr>
            <w:tcW w:w="755" w:type="dxa"/>
            <w:vAlign w:val="center"/>
          </w:tcPr>
          <w:p w:rsidR="009E4EC1" w:rsidRPr="009E4EC1" w:rsidRDefault="009E4EC1" w:rsidP="009E4EC1">
            <w:pPr>
              <w:tabs>
                <w:tab w:val="decimal" w:pos="364"/>
              </w:tabs>
              <w:jc w:val="center"/>
              <w:rPr>
                <w:lang w:val="en-GB"/>
              </w:rPr>
            </w:pPr>
            <w:r w:rsidRPr="009E4EC1">
              <w:rPr>
                <w:lang w:val="en-GB"/>
              </w:rPr>
              <w:t>-100</w:t>
            </w:r>
          </w:p>
        </w:tc>
        <w:tc>
          <w:tcPr>
            <w:tcW w:w="236" w:type="dxa"/>
            <w:vAlign w:val="center"/>
          </w:tcPr>
          <w:p w:rsidR="009E4EC1" w:rsidRPr="009E4EC1" w:rsidRDefault="009E4EC1" w:rsidP="009E4EC1">
            <w:pPr>
              <w:jc w:val="center"/>
              <w:rPr>
                <w:lang w:val="en-GB"/>
              </w:rPr>
            </w:pPr>
          </w:p>
        </w:tc>
        <w:tc>
          <w:tcPr>
            <w:tcW w:w="1798" w:type="dxa"/>
            <w:vAlign w:val="center"/>
          </w:tcPr>
          <w:p w:rsidR="009E4EC1" w:rsidRPr="009E4EC1" w:rsidRDefault="009E4EC1" w:rsidP="009E4EC1">
            <w:pPr>
              <w:ind w:firstLine="135"/>
              <w:rPr>
                <w:lang w:val="en-GB"/>
              </w:rPr>
            </w:pPr>
            <w:r w:rsidRPr="009E4EC1">
              <w:rPr>
                <w:lang w:val="en-GB"/>
              </w:rPr>
              <w:t>-48 (-98, 4)</w:t>
            </w:r>
          </w:p>
        </w:tc>
        <w:tc>
          <w:tcPr>
            <w:tcW w:w="943" w:type="dxa"/>
            <w:vAlign w:val="center"/>
          </w:tcPr>
          <w:p w:rsidR="009E4EC1" w:rsidRPr="009E4EC1" w:rsidRDefault="009E4EC1" w:rsidP="009E4EC1">
            <w:pPr>
              <w:jc w:val="center"/>
              <w:rPr>
                <w:lang w:val="en-GB"/>
              </w:rPr>
            </w:pPr>
            <w:r w:rsidRPr="009E4EC1">
              <w:rPr>
                <w:lang w:val="en-GB"/>
              </w:rPr>
              <w:t>0.40</w:t>
            </w:r>
          </w:p>
        </w:tc>
        <w:tc>
          <w:tcPr>
            <w:tcW w:w="1160" w:type="dxa"/>
            <w:vAlign w:val="center"/>
          </w:tcPr>
          <w:p w:rsidR="009E4EC1" w:rsidRPr="009E4EC1" w:rsidRDefault="009E4EC1" w:rsidP="009E4EC1">
            <w:pPr>
              <w:jc w:val="center"/>
              <w:rPr>
                <w:lang w:val="en-GB"/>
              </w:rPr>
            </w:pPr>
            <w:r w:rsidRPr="009E4EC1">
              <w:rPr>
                <w:lang w:val="en-GB"/>
              </w:rPr>
              <w:t>-52</w:t>
            </w:r>
          </w:p>
        </w:tc>
        <w:tc>
          <w:tcPr>
            <w:tcW w:w="236" w:type="dxa"/>
            <w:vAlign w:val="center"/>
          </w:tcPr>
          <w:p w:rsidR="009E4EC1" w:rsidRPr="009E4EC1" w:rsidRDefault="009E4EC1" w:rsidP="009E4EC1">
            <w:pPr>
              <w:jc w:val="center"/>
              <w:rPr>
                <w:lang w:val="en-GB"/>
              </w:rPr>
            </w:pPr>
          </w:p>
        </w:tc>
        <w:tc>
          <w:tcPr>
            <w:tcW w:w="1890" w:type="dxa"/>
            <w:vAlign w:val="center"/>
          </w:tcPr>
          <w:p w:rsidR="009E4EC1" w:rsidRPr="009E4EC1" w:rsidRDefault="009E4EC1" w:rsidP="009E4EC1">
            <w:pPr>
              <w:ind w:firstLine="121"/>
              <w:rPr>
                <w:lang w:val="en-GB"/>
              </w:rPr>
            </w:pPr>
            <w:r w:rsidRPr="009E4EC1">
              <w:rPr>
                <w:lang w:val="en-GB"/>
              </w:rPr>
              <w:t>-86 (-178, 7)</w:t>
            </w:r>
          </w:p>
        </w:tc>
        <w:tc>
          <w:tcPr>
            <w:tcW w:w="825" w:type="dxa"/>
            <w:vAlign w:val="center"/>
          </w:tcPr>
          <w:p w:rsidR="009E4EC1" w:rsidRPr="009E4EC1" w:rsidRDefault="009E4EC1" w:rsidP="009E4EC1">
            <w:pPr>
              <w:jc w:val="center"/>
              <w:rPr>
                <w:lang w:val="en-GB"/>
              </w:rPr>
            </w:pPr>
            <w:r w:rsidRPr="009E4EC1">
              <w:rPr>
                <w:lang w:val="en-GB"/>
              </w:rPr>
              <w:t>0.40</w:t>
            </w:r>
          </w:p>
        </w:tc>
        <w:tc>
          <w:tcPr>
            <w:tcW w:w="1093" w:type="dxa"/>
            <w:vAlign w:val="center"/>
          </w:tcPr>
          <w:p w:rsidR="009E4EC1" w:rsidRPr="009E4EC1" w:rsidRDefault="009E4EC1" w:rsidP="009E4EC1">
            <w:pPr>
              <w:tabs>
                <w:tab w:val="decimal" w:pos="281"/>
              </w:tabs>
              <w:jc w:val="center"/>
              <w:rPr>
                <w:lang w:val="en-GB"/>
              </w:rPr>
            </w:pPr>
            <w:r w:rsidRPr="009E4EC1">
              <w:rPr>
                <w:lang w:val="en-GB"/>
              </w:rPr>
              <w:t>-13</w:t>
            </w:r>
          </w:p>
        </w:tc>
        <w:tc>
          <w:tcPr>
            <w:tcW w:w="236" w:type="dxa"/>
            <w:vAlign w:val="center"/>
          </w:tcPr>
          <w:p w:rsidR="009E4EC1" w:rsidRPr="009E4EC1" w:rsidRDefault="009E4EC1" w:rsidP="009E4EC1">
            <w:pPr>
              <w:jc w:val="center"/>
              <w:rPr>
                <w:lang w:val="en-GB"/>
              </w:rPr>
            </w:pPr>
          </w:p>
        </w:tc>
        <w:tc>
          <w:tcPr>
            <w:tcW w:w="1727" w:type="dxa"/>
            <w:vAlign w:val="center"/>
          </w:tcPr>
          <w:p w:rsidR="009E4EC1" w:rsidRPr="009E4EC1" w:rsidRDefault="009E4EC1" w:rsidP="009E4EC1">
            <w:pPr>
              <w:ind w:firstLine="52"/>
              <w:rPr>
                <w:lang w:val="en-GB"/>
              </w:rPr>
            </w:pPr>
            <w:r w:rsidRPr="009E4EC1">
              <w:rPr>
                <w:lang w:val="en-GB"/>
              </w:rPr>
              <w:t>-143 (-294, 12)</w:t>
            </w:r>
          </w:p>
        </w:tc>
        <w:tc>
          <w:tcPr>
            <w:tcW w:w="848" w:type="dxa"/>
            <w:vAlign w:val="center"/>
          </w:tcPr>
          <w:p w:rsidR="009E4EC1" w:rsidRPr="009E4EC1" w:rsidRDefault="009E4EC1" w:rsidP="009E4EC1">
            <w:pPr>
              <w:jc w:val="center"/>
              <w:rPr>
                <w:lang w:val="en-GB"/>
              </w:rPr>
            </w:pPr>
            <w:r w:rsidRPr="009E4EC1">
              <w:rPr>
                <w:lang w:val="en-GB"/>
              </w:rPr>
              <w:t>0.40</w:t>
            </w:r>
          </w:p>
        </w:tc>
        <w:tc>
          <w:tcPr>
            <w:tcW w:w="1199" w:type="dxa"/>
            <w:vAlign w:val="center"/>
          </w:tcPr>
          <w:p w:rsidR="009E4EC1" w:rsidRPr="009E4EC1" w:rsidRDefault="009E4EC1" w:rsidP="009E4EC1">
            <w:pPr>
              <w:tabs>
                <w:tab w:val="decimal" w:pos="481"/>
              </w:tabs>
              <w:rPr>
                <w:lang w:val="en-GB"/>
              </w:rPr>
            </w:pPr>
            <w:r w:rsidRPr="009E4EC1">
              <w:rPr>
                <w:lang w:val="en-GB"/>
              </w:rPr>
              <w:t>43</w:t>
            </w:r>
          </w:p>
        </w:tc>
      </w:tr>
      <w:tr w:rsidR="009E4EC1" w:rsidRPr="009E4EC1" w:rsidTr="009E4EC1">
        <w:trPr>
          <w:jc w:val="center"/>
        </w:trPr>
        <w:tc>
          <w:tcPr>
            <w:tcW w:w="1844" w:type="dxa"/>
            <w:vAlign w:val="center"/>
          </w:tcPr>
          <w:p w:rsidR="009E4EC1" w:rsidRPr="009E4EC1" w:rsidRDefault="009E4EC1" w:rsidP="009E4EC1">
            <w:pPr>
              <w:tabs>
                <w:tab w:val="decimal" w:pos="880"/>
              </w:tabs>
              <w:rPr>
                <w:lang w:val="en-GB"/>
              </w:rPr>
            </w:pPr>
            <w:r w:rsidRPr="009E4EC1">
              <w:rPr>
                <w:lang w:val="en-GB"/>
              </w:rPr>
              <w:t>3</w:t>
            </w:r>
          </w:p>
        </w:tc>
        <w:tc>
          <w:tcPr>
            <w:tcW w:w="236" w:type="dxa"/>
            <w:vAlign w:val="center"/>
          </w:tcPr>
          <w:p w:rsidR="009E4EC1" w:rsidRPr="009E4EC1" w:rsidRDefault="009E4EC1" w:rsidP="009E4EC1">
            <w:pPr>
              <w:jc w:val="center"/>
              <w:rPr>
                <w:lang w:val="en-GB"/>
              </w:rPr>
            </w:pPr>
          </w:p>
        </w:tc>
        <w:tc>
          <w:tcPr>
            <w:tcW w:w="755" w:type="dxa"/>
            <w:vAlign w:val="center"/>
          </w:tcPr>
          <w:p w:rsidR="009E4EC1" w:rsidRPr="009E4EC1" w:rsidRDefault="009E4EC1" w:rsidP="009E4EC1">
            <w:pPr>
              <w:tabs>
                <w:tab w:val="decimal" w:pos="364"/>
              </w:tabs>
              <w:jc w:val="center"/>
              <w:rPr>
                <w:lang w:val="en-GB"/>
              </w:rPr>
            </w:pPr>
            <w:r w:rsidRPr="009E4EC1">
              <w:rPr>
                <w:lang w:val="en-GB"/>
              </w:rPr>
              <w:t>-101</w:t>
            </w:r>
          </w:p>
        </w:tc>
        <w:tc>
          <w:tcPr>
            <w:tcW w:w="236" w:type="dxa"/>
            <w:vAlign w:val="center"/>
          </w:tcPr>
          <w:p w:rsidR="009E4EC1" w:rsidRPr="009E4EC1" w:rsidRDefault="009E4EC1" w:rsidP="009E4EC1">
            <w:pPr>
              <w:jc w:val="center"/>
              <w:rPr>
                <w:lang w:val="en-GB"/>
              </w:rPr>
            </w:pPr>
          </w:p>
        </w:tc>
        <w:tc>
          <w:tcPr>
            <w:tcW w:w="1798" w:type="dxa"/>
            <w:vAlign w:val="center"/>
          </w:tcPr>
          <w:p w:rsidR="009E4EC1" w:rsidRPr="009E4EC1" w:rsidRDefault="009E4EC1" w:rsidP="009E4EC1">
            <w:pPr>
              <w:ind w:firstLine="135"/>
              <w:rPr>
                <w:lang w:val="en-GB"/>
              </w:rPr>
            </w:pPr>
            <w:r w:rsidRPr="009E4EC1">
              <w:rPr>
                <w:lang w:val="en-GB"/>
              </w:rPr>
              <w:t>-59 (-121, -0)</w:t>
            </w:r>
          </w:p>
        </w:tc>
        <w:tc>
          <w:tcPr>
            <w:tcW w:w="943" w:type="dxa"/>
            <w:vAlign w:val="center"/>
          </w:tcPr>
          <w:p w:rsidR="009E4EC1" w:rsidRPr="009E4EC1" w:rsidRDefault="009E4EC1" w:rsidP="009E4EC1">
            <w:pPr>
              <w:jc w:val="center"/>
              <w:rPr>
                <w:lang w:val="en-GB"/>
              </w:rPr>
            </w:pPr>
            <w:r w:rsidRPr="009E4EC1">
              <w:rPr>
                <w:lang w:val="en-GB"/>
              </w:rPr>
              <w:t>0.48</w:t>
            </w:r>
          </w:p>
        </w:tc>
        <w:tc>
          <w:tcPr>
            <w:tcW w:w="1160" w:type="dxa"/>
            <w:vAlign w:val="center"/>
          </w:tcPr>
          <w:p w:rsidR="009E4EC1" w:rsidRPr="009E4EC1" w:rsidRDefault="009E4EC1" w:rsidP="009E4EC1">
            <w:pPr>
              <w:jc w:val="center"/>
              <w:rPr>
                <w:lang w:val="en-GB"/>
              </w:rPr>
            </w:pPr>
            <w:r w:rsidRPr="009E4EC1">
              <w:rPr>
                <w:lang w:val="en-GB"/>
              </w:rPr>
              <w:t>-42</w:t>
            </w:r>
          </w:p>
        </w:tc>
        <w:tc>
          <w:tcPr>
            <w:tcW w:w="236" w:type="dxa"/>
            <w:vAlign w:val="center"/>
          </w:tcPr>
          <w:p w:rsidR="009E4EC1" w:rsidRPr="009E4EC1" w:rsidRDefault="009E4EC1" w:rsidP="009E4EC1">
            <w:pPr>
              <w:jc w:val="center"/>
              <w:rPr>
                <w:lang w:val="en-GB"/>
              </w:rPr>
            </w:pPr>
          </w:p>
        </w:tc>
        <w:tc>
          <w:tcPr>
            <w:tcW w:w="1890" w:type="dxa"/>
            <w:vAlign w:val="center"/>
          </w:tcPr>
          <w:p w:rsidR="009E4EC1" w:rsidRPr="009E4EC1" w:rsidRDefault="009E4EC1" w:rsidP="009E4EC1">
            <w:pPr>
              <w:ind w:firstLine="121"/>
              <w:rPr>
                <w:lang w:val="en-GB"/>
              </w:rPr>
            </w:pPr>
            <w:r w:rsidRPr="009E4EC1">
              <w:rPr>
                <w:lang w:val="en-GB"/>
              </w:rPr>
              <w:t>-91 (-187, -0)</w:t>
            </w:r>
          </w:p>
        </w:tc>
        <w:tc>
          <w:tcPr>
            <w:tcW w:w="825" w:type="dxa"/>
            <w:vAlign w:val="center"/>
          </w:tcPr>
          <w:p w:rsidR="009E4EC1" w:rsidRPr="009E4EC1" w:rsidRDefault="009E4EC1" w:rsidP="009E4EC1">
            <w:pPr>
              <w:jc w:val="center"/>
              <w:rPr>
                <w:lang w:val="en-GB"/>
              </w:rPr>
            </w:pPr>
            <w:r w:rsidRPr="009E4EC1">
              <w:rPr>
                <w:lang w:val="en-GB"/>
              </w:rPr>
              <w:t>0.48</w:t>
            </w:r>
          </w:p>
        </w:tc>
        <w:tc>
          <w:tcPr>
            <w:tcW w:w="1093" w:type="dxa"/>
            <w:vAlign w:val="center"/>
          </w:tcPr>
          <w:p w:rsidR="009E4EC1" w:rsidRPr="009E4EC1" w:rsidRDefault="009E4EC1" w:rsidP="009E4EC1">
            <w:pPr>
              <w:tabs>
                <w:tab w:val="decimal" w:pos="281"/>
              </w:tabs>
              <w:jc w:val="center"/>
              <w:rPr>
                <w:lang w:val="en-GB"/>
              </w:rPr>
            </w:pPr>
            <w:r w:rsidRPr="009E4EC1">
              <w:rPr>
                <w:lang w:val="en-GB"/>
              </w:rPr>
              <w:t>-10</w:t>
            </w:r>
          </w:p>
        </w:tc>
        <w:tc>
          <w:tcPr>
            <w:tcW w:w="236" w:type="dxa"/>
            <w:vAlign w:val="center"/>
          </w:tcPr>
          <w:p w:rsidR="009E4EC1" w:rsidRPr="009E4EC1" w:rsidRDefault="009E4EC1" w:rsidP="009E4EC1">
            <w:pPr>
              <w:jc w:val="center"/>
              <w:rPr>
                <w:lang w:val="en-GB"/>
              </w:rPr>
            </w:pPr>
          </w:p>
        </w:tc>
        <w:tc>
          <w:tcPr>
            <w:tcW w:w="1727" w:type="dxa"/>
            <w:vAlign w:val="center"/>
          </w:tcPr>
          <w:p w:rsidR="009E4EC1" w:rsidRPr="009E4EC1" w:rsidRDefault="009E4EC1" w:rsidP="009E4EC1">
            <w:pPr>
              <w:ind w:firstLine="52"/>
              <w:rPr>
                <w:lang w:val="en-GB"/>
              </w:rPr>
            </w:pPr>
            <w:r w:rsidRPr="009E4EC1">
              <w:rPr>
                <w:lang w:val="en-GB"/>
              </w:rPr>
              <w:t>-137 (-283, -0)</w:t>
            </w:r>
          </w:p>
        </w:tc>
        <w:tc>
          <w:tcPr>
            <w:tcW w:w="848" w:type="dxa"/>
            <w:vAlign w:val="center"/>
          </w:tcPr>
          <w:p w:rsidR="009E4EC1" w:rsidRPr="009E4EC1" w:rsidRDefault="009E4EC1" w:rsidP="009E4EC1">
            <w:pPr>
              <w:jc w:val="center"/>
              <w:rPr>
                <w:lang w:val="en-GB"/>
              </w:rPr>
            </w:pPr>
            <w:r w:rsidRPr="009E4EC1">
              <w:rPr>
                <w:lang w:val="en-GB"/>
              </w:rPr>
              <w:t>0.48</w:t>
            </w:r>
          </w:p>
        </w:tc>
        <w:tc>
          <w:tcPr>
            <w:tcW w:w="1199" w:type="dxa"/>
            <w:vAlign w:val="center"/>
          </w:tcPr>
          <w:p w:rsidR="009E4EC1" w:rsidRPr="009E4EC1" w:rsidRDefault="009E4EC1" w:rsidP="009E4EC1">
            <w:pPr>
              <w:tabs>
                <w:tab w:val="decimal" w:pos="481"/>
              </w:tabs>
              <w:rPr>
                <w:lang w:val="en-GB"/>
              </w:rPr>
            </w:pPr>
            <w:r w:rsidRPr="009E4EC1">
              <w:rPr>
                <w:lang w:val="en-GB"/>
              </w:rPr>
              <w:t>36</w:t>
            </w:r>
          </w:p>
        </w:tc>
      </w:tr>
      <w:tr w:rsidR="009E4EC1" w:rsidRPr="009E4EC1" w:rsidTr="009E4EC1">
        <w:trPr>
          <w:jc w:val="center"/>
        </w:trPr>
        <w:tc>
          <w:tcPr>
            <w:tcW w:w="1844" w:type="dxa"/>
            <w:vAlign w:val="center"/>
          </w:tcPr>
          <w:p w:rsidR="009E4EC1" w:rsidRPr="009E4EC1" w:rsidRDefault="009E4EC1" w:rsidP="009E4EC1">
            <w:pPr>
              <w:tabs>
                <w:tab w:val="decimal" w:pos="880"/>
              </w:tabs>
              <w:rPr>
                <w:lang w:val="en-GB"/>
              </w:rPr>
            </w:pPr>
            <w:r w:rsidRPr="009E4EC1">
              <w:rPr>
                <w:lang w:val="en-GB"/>
              </w:rPr>
              <w:t>4</w:t>
            </w:r>
          </w:p>
        </w:tc>
        <w:tc>
          <w:tcPr>
            <w:tcW w:w="236" w:type="dxa"/>
            <w:vAlign w:val="center"/>
          </w:tcPr>
          <w:p w:rsidR="009E4EC1" w:rsidRPr="009E4EC1" w:rsidRDefault="009E4EC1" w:rsidP="009E4EC1">
            <w:pPr>
              <w:jc w:val="center"/>
              <w:rPr>
                <w:lang w:val="en-GB"/>
              </w:rPr>
            </w:pPr>
          </w:p>
        </w:tc>
        <w:tc>
          <w:tcPr>
            <w:tcW w:w="755" w:type="dxa"/>
            <w:vAlign w:val="center"/>
          </w:tcPr>
          <w:p w:rsidR="009E4EC1" w:rsidRPr="009E4EC1" w:rsidRDefault="009E4EC1" w:rsidP="009E4EC1">
            <w:pPr>
              <w:tabs>
                <w:tab w:val="decimal" w:pos="364"/>
              </w:tabs>
              <w:jc w:val="center"/>
              <w:rPr>
                <w:lang w:val="en-GB"/>
              </w:rPr>
            </w:pPr>
            <w:r w:rsidRPr="009E4EC1">
              <w:rPr>
                <w:lang w:val="en-GB"/>
              </w:rPr>
              <w:t>-99</w:t>
            </w:r>
          </w:p>
        </w:tc>
        <w:tc>
          <w:tcPr>
            <w:tcW w:w="236" w:type="dxa"/>
            <w:vAlign w:val="center"/>
          </w:tcPr>
          <w:p w:rsidR="009E4EC1" w:rsidRPr="009E4EC1" w:rsidRDefault="009E4EC1" w:rsidP="009E4EC1">
            <w:pPr>
              <w:jc w:val="center"/>
              <w:rPr>
                <w:lang w:val="en-GB"/>
              </w:rPr>
            </w:pPr>
          </w:p>
        </w:tc>
        <w:tc>
          <w:tcPr>
            <w:tcW w:w="1798" w:type="dxa"/>
            <w:vAlign w:val="center"/>
          </w:tcPr>
          <w:p w:rsidR="009E4EC1" w:rsidRPr="009E4EC1" w:rsidRDefault="009E4EC1" w:rsidP="009E4EC1">
            <w:pPr>
              <w:ind w:firstLine="135"/>
              <w:rPr>
                <w:lang w:val="en-GB"/>
              </w:rPr>
            </w:pPr>
            <w:r w:rsidRPr="009E4EC1">
              <w:rPr>
                <w:lang w:val="en-GB"/>
              </w:rPr>
              <w:t>-65 (-129, 1)</w:t>
            </w:r>
          </w:p>
        </w:tc>
        <w:tc>
          <w:tcPr>
            <w:tcW w:w="943" w:type="dxa"/>
            <w:vAlign w:val="center"/>
          </w:tcPr>
          <w:p w:rsidR="009E4EC1" w:rsidRPr="009E4EC1" w:rsidRDefault="009E4EC1" w:rsidP="009E4EC1">
            <w:pPr>
              <w:jc w:val="center"/>
              <w:rPr>
                <w:lang w:val="en-GB"/>
              </w:rPr>
            </w:pPr>
            <w:r w:rsidRPr="009E4EC1">
              <w:rPr>
                <w:lang w:val="en-GB"/>
              </w:rPr>
              <w:t>0.53</w:t>
            </w:r>
          </w:p>
        </w:tc>
        <w:tc>
          <w:tcPr>
            <w:tcW w:w="1160" w:type="dxa"/>
            <w:vAlign w:val="center"/>
          </w:tcPr>
          <w:p w:rsidR="009E4EC1" w:rsidRPr="009E4EC1" w:rsidRDefault="009E4EC1" w:rsidP="009E4EC1">
            <w:pPr>
              <w:jc w:val="center"/>
              <w:rPr>
                <w:lang w:val="en-GB"/>
              </w:rPr>
            </w:pPr>
            <w:r w:rsidRPr="009E4EC1">
              <w:rPr>
                <w:lang w:val="en-GB"/>
              </w:rPr>
              <w:t>-34</w:t>
            </w:r>
          </w:p>
        </w:tc>
        <w:tc>
          <w:tcPr>
            <w:tcW w:w="236" w:type="dxa"/>
            <w:vAlign w:val="center"/>
          </w:tcPr>
          <w:p w:rsidR="009E4EC1" w:rsidRPr="009E4EC1" w:rsidRDefault="009E4EC1" w:rsidP="009E4EC1">
            <w:pPr>
              <w:jc w:val="center"/>
              <w:rPr>
                <w:lang w:val="en-GB"/>
              </w:rPr>
            </w:pPr>
          </w:p>
        </w:tc>
        <w:tc>
          <w:tcPr>
            <w:tcW w:w="1890" w:type="dxa"/>
            <w:vAlign w:val="center"/>
          </w:tcPr>
          <w:p w:rsidR="009E4EC1" w:rsidRPr="009E4EC1" w:rsidRDefault="009E4EC1" w:rsidP="009E4EC1">
            <w:pPr>
              <w:ind w:firstLine="121"/>
              <w:rPr>
                <w:lang w:val="en-GB"/>
              </w:rPr>
            </w:pPr>
            <w:r w:rsidRPr="009E4EC1">
              <w:rPr>
                <w:lang w:val="en-GB"/>
              </w:rPr>
              <w:t>-92 (-182, 2)</w:t>
            </w:r>
          </w:p>
        </w:tc>
        <w:tc>
          <w:tcPr>
            <w:tcW w:w="825" w:type="dxa"/>
            <w:vAlign w:val="center"/>
          </w:tcPr>
          <w:p w:rsidR="009E4EC1" w:rsidRPr="009E4EC1" w:rsidRDefault="009E4EC1" w:rsidP="009E4EC1">
            <w:pPr>
              <w:jc w:val="center"/>
              <w:rPr>
                <w:lang w:val="en-GB"/>
              </w:rPr>
            </w:pPr>
            <w:r w:rsidRPr="009E4EC1">
              <w:rPr>
                <w:lang w:val="en-GB"/>
              </w:rPr>
              <w:t>0.53</w:t>
            </w:r>
          </w:p>
        </w:tc>
        <w:tc>
          <w:tcPr>
            <w:tcW w:w="1093" w:type="dxa"/>
            <w:vAlign w:val="center"/>
          </w:tcPr>
          <w:p w:rsidR="009E4EC1" w:rsidRPr="009E4EC1" w:rsidRDefault="009E4EC1" w:rsidP="009E4EC1">
            <w:pPr>
              <w:tabs>
                <w:tab w:val="decimal" w:pos="281"/>
              </w:tabs>
              <w:jc w:val="center"/>
              <w:rPr>
                <w:lang w:val="en-GB"/>
              </w:rPr>
            </w:pPr>
            <w:r w:rsidRPr="009E4EC1">
              <w:rPr>
                <w:lang w:val="en-GB"/>
              </w:rPr>
              <w:t>-7</w:t>
            </w:r>
          </w:p>
        </w:tc>
        <w:tc>
          <w:tcPr>
            <w:tcW w:w="236" w:type="dxa"/>
            <w:vAlign w:val="center"/>
          </w:tcPr>
          <w:p w:rsidR="009E4EC1" w:rsidRPr="009E4EC1" w:rsidRDefault="009E4EC1" w:rsidP="009E4EC1">
            <w:pPr>
              <w:jc w:val="center"/>
              <w:rPr>
                <w:lang w:val="en-GB"/>
              </w:rPr>
            </w:pPr>
          </w:p>
        </w:tc>
        <w:tc>
          <w:tcPr>
            <w:tcW w:w="1727" w:type="dxa"/>
            <w:vAlign w:val="center"/>
          </w:tcPr>
          <w:p w:rsidR="009E4EC1" w:rsidRPr="009E4EC1" w:rsidRDefault="009E4EC1" w:rsidP="009E4EC1">
            <w:pPr>
              <w:ind w:firstLine="52"/>
              <w:rPr>
                <w:lang w:val="en-GB"/>
              </w:rPr>
            </w:pPr>
            <w:r w:rsidRPr="009E4EC1">
              <w:rPr>
                <w:lang w:val="en-GB"/>
              </w:rPr>
              <w:t>-130 (-259, 2)</w:t>
            </w:r>
          </w:p>
        </w:tc>
        <w:tc>
          <w:tcPr>
            <w:tcW w:w="848" w:type="dxa"/>
            <w:vAlign w:val="center"/>
          </w:tcPr>
          <w:p w:rsidR="009E4EC1" w:rsidRPr="009E4EC1" w:rsidRDefault="009E4EC1" w:rsidP="009E4EC1">
            <w:pPr>
              <w:jc w:val="center"/>
              <w:rPr>
                <w:lang w:val="en-GB"/>
              </w:rPr>
            </w:pPr>
            <w:r w:rsidRPr="009E4EC1">
              <w:rPr>
                <w:lang w:val="en-GB"/>
              </w:rPr>
              <w:t>0.53</w:t>
            </w:r>
          </w:p>
        </w:tc>
        <w:tc>
          <w:tcPr>
            <w:tcW w:w="1199" w:type="dxa"/>
            <w:vAlign w:val="center"/>
          </w:tcPr>
          <w:p w:rsidR="009E4EC1" w:rsidRPr="009E4EC1" w:rsidRDefault="009E4EC1" w:rsidP="009E4EC1">
            <w:pPr>
              <w:tabs>
                <w:tab w:val="decimal" w:pos="481"/>
              </w:tabs>
              <w:rPr>
                <w:lang w:val="en-GB"/>
              </w:rPr>
            </w:pPr>
            <w:r w:rsidRPr="009E4EC1">
              <w:rPr>
                <w:lang w:val="en-GB"/>
              </w:rPr>
              <w:t>31</w:t>
            </w:r>
          </w:p>
        </w:tc>
      </w:tr>
      <w:tr w:rsidR="009E4EC1" w:rsidRPr="009E4EC1" w:rsidTr="009E4EC1">
        <w:trPr>
          <w:jc w:val="center"/>
        </w:trPr>
        <w:tc>
          <w:tcPr>
            <w:tcW w:w="1844" w:type="dxa"/>
            <w:vAlign w:val="center"/>
          </w:tcPr>
          <w:p w:rsidR="009E4EC1" w:rsidRPr="009E4EC1" w:rsidRDefault="009E4EC1" w:rsidP="009E4EC1">
            <w:pPr>
              <w:tabs>
                <w:tab w:val="decimal" w:pos="880"/>
              </w:tabs>
              <w:rPr>
                <w:lang w:val="en-GB"/>
              </w:rPr>
            </w:pPr>
            <w:r w:rsidRPr="009E4EC1">
              <w:rPr>
                <w:lang w:val="en-GB"/>
              </w:rPr>
              <w:t>5</w:t>
            </w:r>
          </w:p>
        </w:tc>
        <w:tc>
          <w:tcPr>
            <w:tcW w:w="236" w:type="dxa"/>
            <w:vAlign w:val="center"/>
          </w:tcPr>
          <w:p w:rsidR="009E4EC1" w:rsidRPr="009E4EC1" w:rsidRDefault="009E4EC1" w:rsidP="009E4EC1">
            <w:pPr>
              <w:jc w:val="center"/>
              <w:rPr>
                <w:lang w:val="en-GB"/>
              </w:rPr>
            </w:pPr>
          </w:p>
        </w:tc>
        <w:tc>
          <w:tcPr>
            <w:tcW w:w="755" w:type="dxa"/>
            <w:vAlign w:val="center"/>
          </w:tcPr>
          <w:p w:rsidR="009E4EC1" w:rsidRPr="009E4EC1" w:rsidRDefault="009E4EC1" w:rsidP="009E4EC1">
            <w:pPr>
              <w:tabs>
                <w:tab w:val="decimal" w:pos="364"/>
              </w:tabs>
              <w:jc w:val="center"/>
              <w:rPr>
                <w:lang w:val="en-GB"/>
              </w:rPr>
            </w:pPr>
            <w:r w:rsidRPr="009E4EC1">
              <w:rPr>
                <w:lang w:val="en-GB"/>
              </w:rPr>
              <w:t>-100</w:t>
            </w:r>
          </w:p>
        </w:tc>
        <w:tc>
          <w:tcPr>
            <w:tcW w:w="236" w:type="dxa"/>
            <w:vAlign w:val="center"/>
          </w:tcPr>
          <w:p w:rsidR="009E4EC1" w:rsidRPr="009E4EC1" w:rsidRDefault="009E4EC1" w:rsidP="009E4EC1">
            <w:pPr>
              <w:jc w:val="center"/>
              <w:rPr>
                <w:lang w:val="en-GB"/>
              </w:rPr>
            </w:pPr>
          </w:p>
        </w:tc>
        <w:tc>
          <w:tcPr>
            <w:tcW w:w="1798" w:type="dxa"/>
            <w:vAlign w:val="center"/>
          </w:tcPr>
          <w:p w:rsidR="009E4EC1" w:rsidRPr="009E4EC1" w:rsidRDefault="009E4EC1" w:rsidP="009E4EC1">
            <w:pPr>
              <w:ind w:firstLine="135"/>
              <w:rPr>
                <w:lang w:val="en-GB"/>
              </w:rPr>
            </w:pPr>
            <w:r w:rsidRPr="009E4EC1">
              <w:rPr>
                <w:lang w:val="en-GB"/>
              </w:rPr>
              <w:t>-70 (-132, -5)</w:t>
            </w:r>
          </w:p>
        </w:tc>
        <w:tc>
          <w:tcPr>
            <w:tcW w:w="943" w:type="dxa"/>
            <w:vAlign w:val="center"/>
          </w:tcPr>
          <w:p w:rsidR="009E4EC1" w:rsidRPr="009E4EC1" w:rsidRDefault="009E4EC1" w:rsidP="009E4EC1">
            <w:pPr>
              <w:jc w:val="center"/>
              <w:rPr>
                <w:lang w:val="en-GB"/>
              </w:rPr>
            </w:pPr>
            <w:r w:rsidRPr="009E4EC1">
              <w:rPr>
                <w:lang w:val="en-GB"/>
              </w:rPr>
              <w:t>0.54</w:t>
            </w:r>
          </w:p>
        </w:tc>
        <w:tc>
          <w:tcPr>
            <w:tcW w:w="1160" w:type="dxa"/>
            <w:vAlign w:val="center"/>
          </w:tcPr>
          <w:p w:rsidR="009E4EC1" w:rsidRPr="009E4EC1" w:rsidRDefault="009E4EC1" w:rsidP="009E4EC1">
            <w:pPr>
              <w:jc w:val="center"/>
              <w:rPr>
                <w:lang w:val="en-GB"/>
              </w:rPr>
            </w:pPr>
            <w:r w:rsidRPr="009E4EC1">
              <w:rPr>
                <w:lang w:val="en-GB"/>
              </w:rPr>
              <w:t>-30</w:t>
            </w:r>
          </w:p>
        </w:tc>
        <w:tc>
          <w:tcPr>
            <w:tcW w:w="236" w:type="dxa"/>
            <w:vAlign w:val="center"/>
          </w:tcPr>
          <w:p w:rsidR="009E4EC1" w:rsidRPr="009E4EC1" w:rsidRDefault="009E4EC1" w:rsidP="009E4EC1">
            <w:pPr>
              <w:jc w:val="center"/>
              <w:rPr>
                <w:lang w:val="en-GB"/>
              </w:rPr>
            </w:pPr>
          </w:p>
        </w:tc>
        <w:tc>
          <w:tcPr>
            <w:tcW w:w="1890" w:type="dxa"/>
            <w:vAlign w:val="center"/>
          </w:tcPr>
          <w:p w:rsidR="009E4EC1" w:rsidRPr="009E4EC1" w:rsidRDefault="009E4EC1" w:rsidP="009E4EC1">
            <w:pPr>
              <w:ind w:firstLine="121"/>
              <w:rPr>
                <w:lang w:val="en-GB"/>
              </w:rPr>
            </w:pPr>
            <w:r w:rsidRPr="009E4EC1">
              <w:rPr>
                <w:lang w:val="en-GB"/>
              </w:rPr>
              <w:t>-93 (-175, -6)</w:t>
            </w:r>
          </w:p>
        </w:tc>
        <w:tc>
          <w:tcPr>
            <w:tcW w:w="825" w:type="dxa"/>
            <w:vAlign w:val="center"/>
          </w:tcPr>
          <w:p w:rsidR="009E4EC1" w:rsidRPr="009E4EC1" w:rsidRDefault="009E4EC1" w:rsidP="009E4EC1">
            <w:pPr>
              <w:jc w:val="center"/>
              <w:rPr>
                <w:lang w:val="en-GB"/>
              </w:rPr>
            </w:pPr>
            <w:r w:rsidRPr="009E4EC1">
              <w:rPr>
                <w:lang w:val="en-GB"/>
              </w:rPr>
              <w:t>0.54</w:t>
            </w:r>
          </w:p>
        </w:tc>
        <w:tc>
          <w:tcPr>
            <w:tcW w:w="1093" w:type="dxa"/>
            <w:vAlign w:val="center"/>
          </w:tcPr>
          <w:p w:rsidR="009E4EC1" w:rsidRPr="009E4EC1" w:rsidRDefault="009E4EC1" w:rsidP="009E4EC1">
            <w:pPr>
              <w:tabs>
                <w:tab w:val="decimal" w:pos="281"/>
              </w:tabs>
              <w:jc w:val="center"/>
              <w:rPr>
                <w:lang w:val="en-GB"/>
              </w:rPr>
            </w:pPr>
            <w:r w:rsidRPr="009E4EC1">
              <w:rPr>
                <w:lang w:val="en-GB"/>
              </w:rPr>
              <w:t>-8</w:t>
            </w:r>
          </w:p>
        </w:tc>
        <w:tc>
          <w:tcPr>
            <w:tcW w:w="236" w:type="dxa"/>
            <w:vAlign w:val="center"/>
          </w:tcPr>
          <w:p w:rsidR="009E4EC1" w:rsidRPr="009E4EC1" w:rsidRDefault="009E4EC1" w:rsidP="009E4EC1">
            <w:pPr>
              <w:jc w:val="center"/>
              <w:rPr>
                <w:lang w:val="en-GB"/>
              </w:rPr>
            </w:pPr>
          </w:p>
        </w:tc>
        <w:tc>
          <w:tcPr>
            <w:tcW w:w="1727" w:type="dxa"/>
            <w:vAlign w:val="center"/>
          </w:tcPr>
          <w:p w:rsidR="009E4EC1" w:rsidRPr="009E4EC1" w:rsidRDefault="009E4EC1" w:rsidP="009E4EC1">
            <w:pPr>
              <w:ind w:firstLine="52"/>
              <w:rPr>
                <w:lang w:val="en-GB"/>
              </w:rPr>
            </w:pPr>
            <w:r w:rsidRPr="009E4EC1">
              <w:rPr>
                <w:lang w:val="en-GB"/>
              </w:rPr>
              <w:t>-126 (-238, -8)</w:t>
            </w:r>
          </w:p>
        </w:tc>
        <w:tc>
          <w:tcPr>
            <w:tcW w:w="848" w:type="dxa"/>
            <w:vAlign w:val="center"/>
          </w:tcPr>
          <w:p w:rsidR="009E4EC1" w:rsidRPr="009E4EC1" w:rsidRDefault="009E4EC1" w:rsidP="009E4EC1">
            <w:pPr>
              <w:jc w:val="center"/>
              <w:rPr>
                <w:lang w:val="en-GB"/>
              </w:rPr>
            </w:pPr>
            <w:r w:rsidRPr="009E4EC1">
              <w:rPr>
                <w:lang w:val="en-GB"/>
              </w:rPr>
              <w:t>0.54</w:t>
            </w:r>
          </w:p>
        </w:tc>
        <w:tc>
          <w:tcPr>
            <w:tcW w:w="1199" w:type="dxa"/>
            <w:vAlign w:val="center"/>
          </w:tcPr>
          <w:p w:rsidR="009E4EC1" w:rsidRPr="009E4EC1" w:rsidRDefault="009E4EC1" w:rsidP="009E4EC1">
            <w:pPr>
              <w:tabs>
                <w:tab w:val="decimal" w:pos="481"/>
              </w:tabs>
              <w:rPr>
                <w:lang w:val="en-GB"/>
              </w:rPr>
            </w:pPr>
            <w:r w:rsidRPr="009E4EC1">
              <w:rPr>
                <w:lang w:val="en-GB"/>
              </w:rPr>
              <w:t>25</w:t>
            </w:r>
          </w:p>
        </w:tc>
      </w:tr>
      <w:tr w:rsidR="009E4EC1" w:rsidRPr="009E4EC1" w:rsidTr="009E4EC1">
        <w:trPr>
          <w:jc w:val="center"/>
        </w:trPr>
        <w:tc>
          <w:tcPr>
            <w:tcW w:w="1844" w:type="dxa"/>
            <w:vAlign w:val="center"/>
          </w:tcPr>
          <w:p w:rsidR="009E4EC1" w:rsidRPr="009E4EC1" w:rsidRDefault="009E4EC1" w:rsidP="009E4EC1">
            <w:pPr>
              <w:tabs>
                <w:tab w:val="decimal" w:pos="880"/>
              </w:tabs>
              <w:rPr>
                <w:lang w:val="en-GB"/>
              </w:rPr>
            </w:pPr>
            <w:r w:rsidRPr="009E4EC1">
              <w:rPr>
                <w:lang w:val="en-GB"/>
              </w:rPr>
              <w:t>6</w:t>
            </w:r>
          </w:p>
        </w:tc>
        <w:tc>
          <w:tcPr>
            <w:tcW w:w="236" w:type="dxa"/>
            <w:vAlign w:val="center"/>
          </w:tcPr>
          <w:p w:rsidR="009E4EC1" w:rsidRPr="009E4EC1" w:rsidRDefault="009E4EC1" w:rsidP="009E4EC1">
            <w:pPr>
              <w:jc w:val="center"/>
              <w:rPr>
                <w:lang w:val="en-GB"/>
              </w:rPr>
            </w:pPr>
          </w:p>
        </w:tc>
        <w:tc>
          <w:tcPr>
            <w:tcW w:w="755" w:type="dxa"/>
            <w:vAlign w:val="center"/>
          </w:tcPr>
          <w:p w:rsidR="009E4EC1" w:rsidRPr="009E4EC1" w:rsidRDefault="009E4EC1" w:rsidP="009E4EC1">
            <w:pPr>
              <w:tabs>
                <w:tab w:val="decimal" w:pos="364"/>
              </w:tabs>
              <w:jc w:val="center"/>
              <w:rPr>
                <w:lang w:val="en-GB"/>
              </w:rPr>
            </w:pPr>
            <w:r w:rsidRPr="009E4EC1">
              <w:rPr>
                <w:lang w:val="en-GB"/>
              </w:rPr>
              <w:t>-101</w:t>
            </w:r>
          </w:p>
        </w:tc>
        <w:tc>
          <w:tcPr>
            <w:tcW w:w="236" w:type="dxa"/>
            <w:vAlign w:val="center"/>
          </w:tcPr>
          <w:p w:rsidR="009E4EC1" w:rsidRPr="009E4EC1" w:rsidRDefault="009E4EC1" w:rsidP="009E4EC1">
            <w:pPr>
              <w:jc w:val="center"/>
              <w:rPr>
                <w:lang w:val="en-GB"/>
              </w:rPr>
            </w:pPr>
          </w:p>
        </w:tc>
        <w:tc>
          <w:tcPr>
            <w:tcW w:w="1798" w:type="dxa"/>
            <w:vAlign w:val="center"/>
          </w:tcPr>
          <w:p w:rsidR="009E4EC1" w:rsidRPr="009E4EC1" w:rsidRDefault="009E4EC1" w:rsidP="009E4EC1">
            <w:pPr>
              <w:ind w:firstLine="135"/>
              <w:rPr>
                <w:lang w:val="en-GB"/>
              </w:rPr>
            </w:pPr>
            <w:r w:rsidRPr="009E4EC1">
              <w:rPr>
                <w:lang w:val="en-GB"/>
              </w:rPr>
              <w:t>-74 (-140, -8)</w:t>
            </w:r>
          </w:p>
        </w:tc>
        <w:tc>
          <w:tcPr>
            <w:tcW w:w="943" w:type="dxa"/>
            <w:vAlign w:val="center"/>
          </w:tcPr>
          <w:p w:rsidR="009E4EC1" w:rsidRPr="009E4EC1" w:rsidRDefault="009E4EC1" w:rsidP="009E4EC1">
            <w:pPr>
              <w:jc w:val="center"/>
              <w:rPr>
                <w:lang w:val="en-GB"/>
              </w:rPr>
            </w:pPr>
            <w:r w:rsidRPr="009E4EC1">
              <w:rPr>
                <w:lang w:val="en-GB"/>
              </w:rPr>
              <w:t>0.60</w:t>
            </w:r>
          </w:p>
        </w:tc>
        <w:tc>
          <w:tcPr>
            <w:tcW w:w="1160" w:type="dxa"/>
            <w:vAlign w:val="center"/>
          </w:tcPr>
          <w:p w:rsidR="009E4EC1" w:rsidRPr="009E4EC1" w:rsidRDefault="009E4EC1" w:rsidP="009E4EC1">
            <w:pPr>
              <w:jc w:val="center"/>
              <w:rPr>
                <w:lang w:val="en-GB"/>
              </w:rPr>
            </w:pPr>
            <w:r w:rsidRPr="009E4EC1">
              <w:rPr>
                <w:lang w:val="en-GB"/>
              </w:rPr>
              <w:t>-27</w:t>
            </w:r>
          </w:p>
        </w:tc>
        <w:tc>
          <w:tcPr>
            <w:tcW w:w="236" w:type="dxa"/>
            <w:vAlign w:val="center"/>
          </w:tcPr>
          <w:p w:rsidR="009E4EC1" w:rsidRPr="009E4EC1" w:rsidRDefault="009E4EC1" w:rsidP="009E4EC1">
            <w:pPr>
              <w:jc w:val="center"/>
              <w:rPr>
                <w:lang w:val="en-GB"/>
              </w:rPr>
            </w:pPr>
          </w:p>
        </w:tc>
        <w:tc>
          <w:tcPr>
            <w:tcW w:w="1890" w:type="dxa"/>
            <w:vAlign w:val="center"/>
          </w:tcPr>
          <w:p w:rsidR="009E4EC1" w:rsidRPr="009E4EC1" w:rsidRDefault="009E4EC1" w:rsidP="009E4EC1">
            <w:pPr>
              <w:ind w:firstLine="121"/>
              <w:rPr>
                <w:lang w:val="en-GB"/>
              </w:rPr>
            </w:pPr>
            <w:r w:rsidRPr="009E4EC1">
              <w:rPr>
                <w:lang w:val="en-GB"/>
              </w:rPr>
              <w:t>-94 (-178, -10)</w:t>
            </w:r>
          </w:p>
        </w:tc>
        <w:tc>
          <w:tcPr>
            <w:tcW w:w="825" w:type="dxa"/>
            <w:vAlign w:val="center"/>
          </w:tcPr>
          <w:p w:rsidR="009E4EC1" w:rsidRPr="009E4EC1" w:rsidRDefault="009E4EC1" w:rsidP="009E4EC1">
            <w:pPr>
              <w:jc w:val="center"/>
              <w:rPr>
                <w:lang w:val="en-GB"/>
              </w:rPr>
            </w:pPr>
            <w:r w:rsidRPr="009E4EC1">
              <w:rPr>
                <w:lang w:val="en-GB"/>
              </w:rPr>
              <w:t>0.60</w:t>
            </w:r>
          </w:p>
        </w:tc>
        <w:tc>
          <w:tcPr>
            <w:tcW w:w="1093" w:type="dxa"/>
            <w:vAlign w:val="center"/>
          </w:tcPr>
          <w:p w:rsidR="009E4EC1" w:rsidRPr="009E4EC1" w:rsidRDefault="009E4EC1" w:rsidP="009E4EC1">
            <w:pPr>
              <w:tabs>
                <w:tab w:val="decimal" w:pos="281"/>
              </w:tabs>
              <w:jc w:val="center"/>
              <w:rPr>
                <w:lang w:val="en-GB"/>
              </w:rPr>
            </w:pPr>
            <w:r w:rsidRPr="009E4EC1">
              <w:rPr>
                <w:lang w:val="en-GB"/>
              </w:rPr>
              <w:t>-7</w:t>
            </w:r>
          </w:p>
        </w:tc>
        <w:tc>
          <w:tcPr>
            <w:tcW w:w="236" w:type="dxa"/>
            <w:vAlign w:val="center"/>
          </w:tcPr>
          <w:p w:rsidR="009E4EC1" w:rsidRPr="009E4EC1" w:rsidRDefault="009E4EC1" w:rsidP="009E4EC1">
            <w:pPr>
              <w:jc w:val="center"/>
              <w:rPr>
                <w:lang w:val="en-GB"/>
              </w:rPr>
            </w:pPr>
          </w:p>
        </w:tc>
        <w:tc>
          <w:tcPr>
            <w:tcW w:w="1727" w:type="dxa"/>
            <w:vAlign w:val="center"/>
          </w:tcPr>
          <w:p w:rsidR="009E4EC1" w:rsidRPr="009E4EC1" w:rsidRDefault="009E4EC1" w:rsidP="009E4EC1">
            <w:pPr>
              <w:ind w:firstLine="52"/>
              <w:rPr>
                <w:lang w:val="en-GB"/>
              </w:rPr>
            </w:pPr>
            <w:r w:rsidRPr="009E4EC1">
              <w:rPr>
                <w:lang w:val="en-GB"/>
              </w:rPr>
              <w:t>-123 (-233, -13)</w:t>
            </w:r>
          </w:p>
        </w:tc>
        <w:tc>
          <w:tcPr>
            <w:tcW w:w="848" w:type="dxa"/>
            <w:vAlign w:val="center"/>
          </w:tcPr>
          <w:p w:rsidR="009E4EC1" w:rsidRPr="009E4EC1" w:rsidRDefault="009E4EC1" w:rsidP="009E4EC1">
            <w:pPr>
              <w:jc w:val="center"/>
              <w:rPr>
                <w:lang w:val="en-GB"/>
              </w:rPr>
            </w:pPr>
            <w:r w:rsidRPr="009E4EC1">
              <w:rPr>
                <w:lang w:val="en-GB"/>
              </w:rPr>
              <w:t>0.60</w:t>
            </w:r>
          </w:p>
        </w:tc>
        <w:tc>
          <w:tcPr>
            <w:tcW w:w="1199" w:type="dxa"/>
            <w:vAlign w:val="center"/>
          </w:tcPr>
          <w:p w:rsidR="009E4EC1" w:rsidRPr="009E4EC1" w:rsidRDefault="009E4EC1" w:rsidP="009E4EC1">
            <w:pPr>
              <w:tabs>
                <w:tab w:val="decimal" w:pos="481"/>
              </w:tabs>
              <w:rPr>
                <w:lang w:val="en-GB"/>
              </w:rPr>
            </w:pPr>
            <w:r w:rsidRPr="009E4EC1">
              <w:rPr>
                <w:lang w:val="en-GB"/>
              </w:rPr>
              <w:t>22</w:t>
            </w:r>
          </w:p>
        </w:tc>
      </w:tr>
      <w:tr w:rsidR="009E4EC1" w:rsidRPr="009E4EC1" w:rsidTr="009E4EC1">
        <w:trPr>
          <w:jc w:val="center"/>
        </w:trPr>
        <w:tc>
          <w:tcPr>
            <w:tcW w:w="1844" w:type="dxa"/>
            <w:vAlign w:val="center"/>
          </w:tcPr>
          <w:p w:rsidR="009E4EC1" w:rsidRPr="009E4EC1" w:rsidRDefault="009E4EC1" w:rsidP="009E4EC1">
            <w:pPr>
              <w:tabs>
                <w:tab w:val="decimal" w:pos="880"/>
              </w:tabs>
              <w:rPr>
                <w:lang w:val="en-GB"/>
              </w:rPr>
            </w:pPr>
            <w:r w:rsidRPr="009E4EC1">
              <w:rPr>
                <w:lang w:val="en-GB"/>
              </w:rPr>
              <w:t>7</w:t>
            </w:r>
          </w:p>
        </w:tc>
        <w:tc>
          <w:tcPr>
            <w:tcW w:w="236" w:type="dxa"/>
            <w:vAlign w:val="center"/>
          </w:tcPr>
          <w:p w:rsidR="009E4EC1" w:rsidRPr="009E4EC1" w:rsidRDefault="009E4EC1" w:rsidP="009E4EC1">
            <w:pPr>
              <w:jc w:val="center"/>
              <w:rPr>
                <w:lang w:val="en-GB"/>
              </w:rPr>
            </w:pPr>
          </w:p>
        </w:tc>
        <w:tc>
          <w:tcPr>
            <w:tcW w:w="755" w:type="dxa"/>
            <w:vAlign w:val="center"/>
          </w:tcPr>
          <w:p w:rsidR="009E4EC1" w:rsidRPr="009E4EC1" w:rsidRDefault="009E4EC1" w:rsidP="009E4EC1">
            <w:pPr>
              <w:tabs>
                <w:tab w:val="decimal" w:pos="364"/>
              </w:tabs>
              <w:jc w:val="center"/>
              <w:rPr>
                <w:lang w:val="en-GB"/>
              </w:rPr>
            </w:pPr>
            <w:r w:rsidRPr="009E4EC1">
              <w:rPr>
                <w:lang w:val="en-GB"/>
              </w:rPr>
              <w:t>-99</w:t>
            </w:r>
          </w:p>
        </w:tc>
        <w:tc>
          <w:tcPr>
            <w:tcW w:w="236" w:type="dxa"/>
            <w:vAlign w:val="center"/>
          </w:tcPr>
          <w:p w:rsidR="009E4EC1" w:rsidRPr="009E4EC1" w:rsidRDefault="009E4EC1" w:rsidP="009E4EC1">
            <w:pPr>
              <w:jc w:val="center"/>
              <w:rPr>
                <w:lang w:val="en-GB"/>
              </w:rPr>
            </w:pPr>
          </w:p>
        </w:tc>
        <w:tc>
          <w:tcPr>
            <w:tcW w:w="1798" w:type="dxa"/>
            <w:vAlign w:val="center"/>
          </w:tcPr>
          <w:p w:rsidR="009E4EC1" w:rsidRPr="009E4EC1" w:rsidRDefault="009E4EC1" w:rsidP="009E4EC1">
            <w:pPr>
              <w:ind w:firstLine="135"/>
              <w:rPr>
                <w:lang w:val="en-GB"/>
              </w:rPr>
            </w:pPr>
            <w:r w:rsidRPr="009E4EC1">
              <w:rPr>
                <w:lang w:val="en-GB"/>
              </w:rPr>
              <w:t>-75 (-142, 1)</w:t>
            </w:r>
          </w:p>
        </w:tc>
        <w:tc>
          <w:tcPr>
            <w:tcW w:w="943" w:type="dxa"/>
            <w:vAlign w:val="center"/>
          </w:tcPr>
          <w:p w:rsidR="009E4EC1" w:rsidRPr="009E4EC1" w:rsidRDefault="009E4EC1" w:rsidP="009E4EC1">
            <w:pPr>
              <w:jc w:val="center"/>
              <w:rPr>
                <w:lang w:val="en-GB"/>
              </w:rPr>
            </w:pPr>
            <w:r w:rsidRPr="009E4EC1">
              <w:rPr>
                <w:lang w:val="en-GB"/>
              </w:rPr>
              <w:t>0.58</w:t>
            </w:r>
          </w:p>
        </w:tc>
        <w:tc>
          <w:tcPr>
            <w:tcW w:w="1160" w:type="dxa"/>
            <w:vAlign w:val="center"/>
          </w:tcPr>
          <w:p w:rsidR="009E4EC1" w:rsidRPr="009E4EC1" w:rsidRDefault="009E4EC1" w:rsidP="009E4EC1">
            <w:pPr>
              <w:jc w:val="center"/>
              <w:rPr>
                <w:lang w:val="en-GB"/>
              </w:rPr>
            </w:pPr>
            <w:r w:rsidRPr="009E4EC1">
              <w:rPr>
                <w:lang w:val="en-GB"/>
              </w:rPr>
              <w:t>-24</w:t>
            </w:r>
          </w:p>
        </w:tc>
        <w:tc>
          <w:tcPr>
            <w:tcW w:w="236" w:type="dxa"/>
            <w:vAlign w:val="center"/>
          </w:tcPr>
          <w:p w:rsidR="009E4EC1" w:rsidRPr="009E4EC1" w:rsidRDefault="009E4EC1" w:rsidP="009E4EC1">
            <w:pPr>
              <w:jc w:val="center"/>
              <w:rPr>
                <w:lang w:val="en-GB"/>
              </w:rPr>
            </w:pPr>
          </w:p>
        </w:tc>
        <w:tc>
          <w:tcPr>
            <w:tcW w:w="1890" w:type="dxa"/>
            <w:vAlign w:val="center"/>
          </w:tcPr>
          <w:p w:rsidR="009E4EC1" w:rsidRPr="009E4EC1" w:rsidRDefault="009E4EC1" w:rsidP="009E4EC1">
            <w:pPr>
              <w:ind w:firstLine="121"/>
              <w:rPr>
                <w:lang w:val="en-GB"/>
              </w:rPr>
            </w:pPr>
            <w:r w:rsidRPr="009E4EC1">
              <w:rPr>
                <w:lang w:val="en-GB"/>
              </w:rPr>
              <w:t>-92 (-175, 2)</w:t>
            </w:r>
          </w:p>
        </w:tc>
        <w:tc>
          <w:tcPr>
            <w:tcW w:w="825" w:type="dxa"/>
            <w:vAlign w:val="center"/>
          </w:tcPr>
          <w:p w:rsidR="009E4EC1" w:rsidRPr="009E4EC1" w:rsidRDefault="009E4EC1" w:rsidP="009E4EC1">
            <w:pPr>
              <w:jc w:val="center"/>
              <w:rPr>
                <w:lang w:val="en-GB"/>
              </w:rPr>
            </w:pPr>
            <w:r w:rsidRPr="009E4EC1">
              <w:rPr>
                <w:lang w:val="en-GB"/>
              </w:rPr>
              <w:t>0.58</w:t>
            </w:r>
          </w:p>
        </w:tc>
        <w:tc>
          <w:tcPr>
            <w:tcW w:w="1093" w:type="dxa"/>
            <w:vAlign w:val="center"/>
          </w:tcPr>
          <w:p w:rsidR="009E4EC1" w:rsidRPr="009E4EC1" w:rsidRDefault="009E4EC1" w:rsidP="009E4EC1">
            <w:pPr>
              <w:tabs>
                <w:tab w:val="decimal" w:pos="281"/>
              </w:tabs>
              <w:jc w:val="center"/>
              <w:rPr>
                <w:lang w:val="en-GB"/>
              </w:rPr>
            </w:pPr>
            <w:r w:rsidRPr="009E4EC1">
              <w:rPr>
                <w:lang w:val="en-GB"/>
              </w:rPr>
              <w:t>-7</w:t>
            </w:r>
          </w:p>
        </w:tc>
        <w:tc>
          <w:tcPr>
            <w:tcW w:w="236" w:type="dxa"/>
            <w:vAlign w:val="center"/>
          </w:tcPr>
          <w:p w:rsidR="009E4EC1" w:rsidRPr="009E4EC1" w:rsidRDefault="009E4EC1" w:rsidP="009E4EC1">
            <w:pPr>
              <w:jc w:val="center"/>
              <w:rPr>
                <w:lang w:val="en-GB"/>
              </w:rPr>
            </w:pPr>
          </w:p>
        </w:tc>
        <w:tc>
          <w:tcPr>
            <w:tcW w:w="1727" w:type="dxa"/>
            <w:vAlign w:val="center"/>
          </w:tcPr>
          <w:p w:rsidR="009E4EC1" w:rsidRPr="009E4EC1" w:rsidRDefault="009E4EC1" w:rsidP="009E4EC1">
            <w:pPr>
              <w:ind w:firstLine="52"/>
              <w:rPr>
                <w:lang w:val="en-GB"/>
              </w:rPr>
            </w:pPr>
            <w:r w:rsidRPr="009E4EC1">
              <w:rPr>
                <w:lang w:val="en-GB"/>
              </w:rPr>
              <w:t>-118 (-223, 2)</w:t>
            </w:r>
          </w:p>
        </w:tc>
        <w:tc>
          <w:tcPr>
            <w:tcW w:w="848" w:type="dxa"/>
            <w:vAlign w:val="center"/>
          </w:tcPr>
          <w:p w:rsidR="009E4EC1" w:rsidRPr="009E4EC1" w:rsidRDefault="009E4EC1" w:rsidP="009E4EC1">
            <w:pPr>
              <w:jc w:val="center"/>
              <w:rPr>
                <w:lang w:val="en-GB"/>
              </w:rPr>
            </w:pPr>
            <w:r w:rsidRPr="009E4EC1">
              <w:rPr>
                <w:lang w:val="en-GB"/>
              </w:rPr>
              <w:t>0.58</w:t>
            </w:r>
          </w:p>
        </w:tc>
        <w:tc>
          <w:tcPr>
            <w:tcW w:w="1199" w:type="dxa"/>
            <w:vAlign w:val="center"/>
          </w:tcPr>
          <w:p w:rsidR="009E4EC1" w:rsidRPr="009E4EC1" w:rsidRDefault="009E4EC1" w:rsidP="009E4EC1">
            <w:pPr>
              <w:tabs>
                <w:tab w:val="decimal" w:pos="481"/>
              </w:tabs>
              <w:rPr>
                <w:lang w:val="en-GB"/>
              </w:rPr>
            </w:pPr>
            <w:r w:rsidRPr="009E4EC1">
              <w:rPr>
                <w:lang w:val="en-GB"/>
              </w:rPr>
              <w:t>19</w:t>
            </w:r>
          </w:p>
        </w:tc>
      </w:tr>
      <w:tr w:rsidR="009E4EC1" w:rsidRPr="009E4EC1" w:rsidTr="009E4EC1">
        <w:trPr>
          <w:jc w:val="center"/>
        </w:trPr>
        <w:tc>
          <w:tcPr>
            <w:tcW w:w="1844" w:type="dxa"/>
            <w:vAlign w:val="center"/>
          </w:tcPr>
          <w:p w:rsidR="009E4EC1" w:rsidRPr="009E4EC1" w:rsidRDefault="009E4EC1" w:rsidP="009E4EC1">
            <w:pPr>
              <w:tabs>
                <w:tab w:val="decimal" w:pos="880"/>
              </w:tabs>
              <w:rPr>
                <w:lang w:val="en-GB"/>
              </w:rPr>
            </w:pPr>
            <w:r w:rsidRPr="009E4EC1">
              <w:rPr>
                <w:lang w:val="en-GB"/>
              </w:rPr>
              <w:t>8</w:t>
            </w:r>
          </w:p>
        </w:tc>
        <w:tc>
          <w:tcPr>
            <w:tcW w:w="236" w:type="dxa"/>
            <w:vAlign w:val="center"/>
          </w:tcPr>
          <w:p w:rsidR="009E4EC1" w:rsidRPr="009E4EC1" w:rsidRDefault="009E4EC1" w:rsidP="009E4EC1">
            <w:pPr>
              <w:jc w:val="center"/>
              <w:rPr>
                <w:lang w:val="en-GB"/>
              </w:rPr>
            </w:pPr>
          </w:p>
        </w:tc>
        <w:tc>
          <w:tcPr>
            <w:tcW w:w="755" w:type="dxa"/>
            <w:vAlign w:val="center"/>
          </w:tcPr>
          <w:p w:rsidR="009E4EC1" w:rsidRPr="009E4EC1" w:rsidRDefault="009E4EC1" w:rsidP="009E4EC1">
            <w:pPr>
              <w:tabs>
                <w:tab w:val="decimal" w:pos="364"/>
              </w:tabs>
              <w:jc w:val="center"/>
              <w:rPr>
                <w:lang w:val="en-GB"/>
              </w:rPr>
            </w:pPr>
            <w:r w:rsidRPr="009E4EC1">
              <w:rPr>
                <w:lang w:val="en-GB"/>
              </w:rPr>
              <w:t>-99</w:t>
            </w:r>
          </w:p>
        </w:tc>
        <w:tc>
          <w:tcPr>
            <w:tcW w:w="236" w:type="dxa"/>
            <w:vAlign w:val="center"/>
          </w:tcPr>
          <w:p w:rsidR="009E4EC1" w:rsidRPr="009E4EC1" w:rsidRDefault="009E4EC1" w:rsidP="009E4EC1">
            <w:pPr>
              <w:jc w:val="center"/>
              <w:rPr>
                <w:lang w:val="en-GB"/>
              </w:rPr>
            </w:pPr>
          </w:p>
        </w:tc>
        <w:tc>
          <w:tcPr>
            <w:tcW w:w="1798" w:type="dxa"/>
            <w:vAlign w:val="center"/>
          </w:tcPr>
          <w:p w:rsidR="009E4EC1" w:rsidRPr="009E4EC1" w:rsidRDefault="009E4EC1" w:rsidP="009E4EC1">
            <w:pPr>
              <w:ind w:firstLine="135"/>
              <w:rPr>
                <w:lang w:val="en-GB"/>
              </w:rPr>
            </w:pPr>
            <w:r w:rsidRPr="009E4EC1">
              <w:rPr>
                <w:lang w:val="en-GB"/>
              </w:rPr>
              <w:t>-78 (-145, -5)</w:t>
            </w:r>
          </w:p>
        </w:tc>
        <w:tc>
          <w:tcPr>
            <w:tcW w:w="943" w:type="dxa"/>
            <w:vAlign w:val="center"/>
          </w:tcPr>
          <w:p w:rsidR="009E4EC1" w:rsidRPr="009E4EC1" w:rsidRDefault="009E4EC1" w:rsidP="009E4EC1">
            <w:pPr>
              <w:jc w:val="center"/>
              <w:rPr>
                <w:lang w:val="en-GB"/>
              </w:rPr>
            </w:pPr>
            <w:r w:rsidRPr="009E4EC1">
              <w:rPr>
                <w:lang w:val="en-GB"/>
              </w:rPr>
              <w:t>0.60</w:t>
            </w:r>
          </w:p>
        </w:tc>
        <w:tc>
          <w:tcPr>
            <w:tcW w:w="1160" w:type="dxa"/>
            <w:vAlign w:val="center"/>
          </w:tcPr>
          <w:p w:rsidR="009E4EC1" w:rsidRPr="009E4EC1" w:rsidRDefault="009E4EC1" w:rsidP="009E4EC1">
            <w:pPr>
              <w:jc w:val="center"/>
              <w:rPr>
                <w:lang w:val="en-GB"/>
              </w:rPr>
            </w:pPr>
            <w:r w:rsidRPr="009E4EC1">
              <w:rPr>
                <w:lang w:val="en-GB"/>
              </w:rPr>
              <w:t>-21</w:t>
            </w:r>
          </w:p>
        </w:tc>
        <w:tc>
          <w:tcPr>
            <w:tcW w:w="236" w:type="dxa"/>
            <w:vAlign w:val="center"/>
          </w:tcPr>
          <w:p w:rsidR="009E4EC1" w:rsidRPr="009E4EC1" w:rsidRDefault="009E4EC1" w:rsidP="009E4EC1">
            <w:pPr>
              <w:jc w:val="center"/>
              <w:rPr>
                <w:lang w:val="en-GB"/>
              </w:rPr>
            </w:pPr>
          </w:p>
        </w:tc>
        <w:tc>
          <w:tcPr>
            <w:tcW w:w="1890" w:type="dxa"/>
            <w:vAlign w:val="center"/>
          </w:tcPr>
          <w:p w:rsidR="009E4EC1" w:rsidRPr="009E4EC1" w:rsidRDefault="009E4EC1" w:rsidP="009E4EC1">
            <w:pPr>
              <w:ind w:firstLine="121"/>
              <w:rPr>
                <w:lang w:val="en-GB"/>
              </w:rPr>
            </w:pPr>
            <w:r w:rsidRPr="009E4EC1">
              <w:rPr>
                <w:lang w:val="en-GB"/>
              </w:rPr>
              <w:t>-94 (-175, -7)</w:t>
            </w:r>
          </w:p>
        </w:tc>
        <w:tc>
          <w:tcPr>
            <w:tcW w:w="825" w:type="dxa"/>
            <w:vAlign w:val="center"/>
          </w:tcPr>
          <w:p w:rsidR="009E4EC1" w:rsidRPr="009E4EC1" w:rsidRDefault="009E4EC1" w:rsidP="009E4EC1">
            <w:pPr>
              <w:jc w:val="center"/>
              <w:rPr>
                <w:lang w:val="en-GB"/>
              </w:rPr>
            </w:pPr>
            <w:r w:rsidRPr="009E4EC1">
              <w:rPr>
                <w:lang w:val="en-GB"/>
              </w:rPr>
              <w:t>0.60</w:t>
            </w:r>
          </w:p>
        </w:tc>
        <w:tc>
          <w:tcPr>
            <w:tcW w:w="1093" w:type="dxa"/>
            <w:vAlign w:val="center"/>
          </w:tcPr>
          <w:p w:rsidR="009E4EC1" w:rsidRPr="009E4EC1" w:rsidRDefault="009E4EC1" w:rsidP="009E4EC1">
            <w:pPr>
              <w:tabs>
                <w:tab w:val="decimal" w:pos="281"/>
              </w:tabs>
              <w:jc w:val="center"/>
              <w:rPr>
                <w:lang w:val="en-GB"/>
              </w:rPr>
            </w:pPr>
            <w:r w:rsidRPr="009E4EC1">
              <w:rPr>
                <w:lang w:val="en-GB"/>
              </w:rPr>
              <w:t>-5</w:t>
            </w:r>
          </w:p>
        </w:tc>
        <w:tc>
          <w:tcPr>
            <w:tcW w:w="236" w:type="dxa"/>
            <w:vAlign w:val="center"/>
          </w:tcPr>
          <w:p w:rsidR="009E4EC1" w:rsidRPr="009E4EC1" w:rsidRDefault="009E4EC1" w:rsidP="009E4EC1">
            <w:pPr>
              <w:jc w:val="center"/>
              <w:rPr>
                <w:lang w:val="en-GB"/>
              </w:rPr>
            </w:pPr>
          </w:p>
        </w:tc>
        <w:tc>
          <w:tcPr>
            <w:tcW w:w="1727" w:type="dxa"/>
            <w:vAlign w:val="center"/>
          </w:tcPr>
          <w:p w:rsidR="009E4EC1" w:rsidRPr="009E4EC1" w:rsidRDefault="009E4EC1" w:rsidP="009E4EC1">
            <w:pPr>
              <w:ind w:firstLine="52"/>
              <w:rPr>
                <w:lang w:val="en-GB"/>
              </w:rPr>
            </w:pPr>
            <w:r w:rsidRPr="009E4EC1">
              <w:rPr>
                <w:lang w:val="en-GB"/>
              </w:rPr>
              <w:t>-117 (-218, -8)</w:t>
            </w:r>
          </w:p>
        </w:tc>
        <w:tc>
          <w:tcPr>
            <w:tcW w:w="848" w:type="dxa"/>
            <w:vAlign w:val="center"/>
          </w:tcPr>
          <w:p w:rsidR="009E4EC1" w:rsidRPr="009E4EC1" w:rsidRDefault="009E4EC1" w:rsidP="009E4EC1">
            <w:pPr>
              <w:jc w:val="center"/>
              <w:rPr>
                <w:lang w:val="en-GB"/>
              </w:rPr>
            </w:pPr>
            <w:r w:rsidRPr="009E4EC1">
              <w:rPr>
                <w:lang w:val="en-GB"/>
              </w:rPr>
              <w:t>0.60</w:t>
            </w:r>
          </w:p>
        </w:tc>
        <w:tc>
          <w:tcPr>
            <w:tcW w:w="1199" w:type="dxa"/>
            <w:vAlign w:val="center"/>
          </w:tcPr>
          <w:p w:rsidR="009E4EC1" w:rsidRPr="009E4EC1" w:rsidRDefault="009E4EC1" w:rsidP="009E4EC1">
            <w:pPr>
              <w:tabs>
                <w:tab w:val="decimal" w:pos="481"/>
              </w:tabs>
              <w:rPr>
                <w:lang w:val="en-GB"/>
              </w:rPr>
            </w:pPr>
            <w:r w:rsidRPr="009E4EC1">
              <w:rPr>
                <w:lang w:val="en-GB"/>
              </w:rPr>
              <w:t>18</w:t>
            </w:r>
          </w:p>
        </w:tc>
      </w:tr>
      <w:tr w:rsidR="009E4EC1" w:rsidRPr="009E4EC1" w:rsidTr="009E4EC1">
        <w:trPr>
          <w:jc w:val="center"/>
        </w:trPr>
        <w:tc>
          <w:tcPr>
            <w:tcW w:w="1844" w:type="dxa"/>
            <w:vAlign w:val="center"/>
          </w:tcPr>
          <w:p w:rsidR="009E4EC1" w:rsidRPr="009E4EC1" w:rsidRDefault="009E4EC1" w:rsidP="009E4EC1">
            <w:pPr>
              <w:tabs>
                <w:tab w:val="decimal" w:pos="880"/>
              </w:tabs>
              <w:rPr>
                <w:lang w:val="en-GB"/>
              </w:rPr>
            </w:pPr>
            <w:r w:rsidRPr="009E4EC1">
              <w:rPr>
                <w:lang w:val="en-GB"/>
              </w:rPr>
              <w:t>9</w:t>
            </w:r>
          </w:p>
        </w:tc>
        <w:tc>
          <w:tcPr>
            <w:tcW w:w="236" w:type="dxa"/>
            <w:vAlign w:val="center"/>
          </w:tcPr>
          <w:p w:rsidR="009E4EC1" w:rsidRPr="009E4EC1" w:rsidRDefault="009E4EC1" w:rsidP="009E4EC1">
            <w:pPr>
              <w:jc w:val="center"/>
              <w:rPr>
                <w:lang w:val="en-GB"/>
              </w:rPr>
            </w:pPr>
          </w:p>
        </w:tc>
        <w:tc>
          <w:tcPr>
            <w:tcW w:w="755" w:type="dxa"/>
            <w:vAlign w:val="center"/>
          </w:tcPr>
          <w:p w:rsidR="009E4EC1" w:rsidRPr="009E4EC1" w:rsidRDefault="009E4EC1" w:rsidP="009E4EC1">
            <w:pPr>
              <w:tabs>
                <w:tab w:val="decimal" w:pos="364"/>
              </w:tabs>
              <w:jc w:val="center"/>
              <w:rPr>
                <w:lang w:val="en-GB"/>
              </w:rPr>
            </w:pPr>
            <w:r w:rsidRPr="009E4EC1">
              <w:rPr>
                <w:lang w:val="en-GB"/>
              </w:rPr>
              <w:t>-102</w:t>
            </w:r>
          </w:p>
        </w:tc>
        <w:tc>
          <w:tcPr>
            <w:tcW w:w="236" w:type="dxa"/>
            <w:vAlign w:val="center"/>
          </w:tcPr>
          <w:p w:rsidR="009E4EC1" w:rsidRPr="009E4EC1" w:rsidRDefault="009E4EC1" w:rsidP="009E4EC1">
            <w:pPr>
              <w:jc w:val="center"/>
              <w:rPr>
                <w:lang w:val="en-GB"/>
              </w:rPr>
            </w:pPr>
          </w:p>
        </w:tc>
        <w:tc>
          <w:tcPr>
            <w:tcW w:w="1798" w:type="dxa"/>
            <w:vAlign w:val="center"/>
          </w:tcPr>
          <w:p w:rsidR="009E4EC1" w:rsidRPr="009E4EC1" w:rsidRDefault="009E4EC1" w:rsidP="009E4EC1">
            <w:pPr>
              <w:ind w:firstLine="135"/>
              <w:rPr>
                <w:lang w:val="en-GB"/>
              </w:rPr>
            </w:pPr>
            <w:r w:rsidRPr="009E4EC1">
              <w:rPr>
                <w:lang w:val="en-GB"/>
              </w:rPr>
              <w:t>-81 (-152, -7)</w:t>
            </w:r>
          </w:p>
        </w:tc>
        <w:tc>
          <w:tcPr>
            <w:tcW w:w="943" w:type="dxa"/>
            <w:vAlign w:val="center"/>
          </w:tcPr>
          <w:p w:rsidR="009E4EC1" w:rsidRPr="009E4EC1" w:rsidRDefault="009E4EC1" w:rsidP="009E4EC1">
            <w:pPr>
              <w:jc w:val="center"/>
              <w:rPr>
                <w:lang w:val="en-GB"/>
              </w:rPr>
            </w:pPr>
            <w:r w:rsidRPr="009E4EC1">
              <w:rPr>
                <w:lang w:val="en-GB"/>
              </w:rPr>
              <w:t>0.64</w:t>
            </w:r>
          </w:p>
        </w:tc>
        <w:tc>
          <w:tcPr>
            <w:tcW w:w="1160" w:type="dxa"/>
            <w:vAlign w:val="center"/>
          </w:tcPr>
          <w:p w:rsidR="009E4EC1" w:rsidRPr="009E4EC1" w:rsidRDefault="009E4EC1" w:rsidP="009E4EC1">
            <w:pPr>
              <w:jc w:val="center"/>
              <w:rPr>
                <w:lang w:val="en-GB"/>
              </w:rPr>
            </w:pPr>
            <w:r w:rsidRPr="009E4EC1">
              <w:rPr>
                <w:lang w:val="en-GB"/>
              </w:rPr>
              <w:t>-20</w:t>
            </w:r>
          </w:p>
        </w:tc>
        <w:tc>
          <w:tcPr>
            <w:tcW w:w="236" w:type="dxa"/>
            <w:vAlign w:val="center"/>
          </w:tcPr>
          <w:p w:rsidR="009E4EC1" w:rsidRPr="009E4EC1" w:rsidRDefault="009E4EC1" w:rsidP="009E4EC1">
            <w:pPr>
              <w:jc w:val="center"/>
              <w:rPr>
                <w:lang w:val="en-GB"/>
              </w:rPr>
            </w:pPr>
          </w:p>
        </w:tc>
        <w:tc>
          <w:tcPr>
            <w:tcW w:w="1890" w:type="dxa"/>
            <w:vAlign w:val="center"/>
          </w:tcPr>
          <w:p w:rsidR="009E4EC1" w:rsidRPr="009E4EC1" w:rsidRDefault="009E4EC1" w:rsidP="009E4EC1">
            <w:pPr>
              <w:ind w:firstLine="121"/>
              <w:rPr>
                <w:lang w:val="en-GB"/>
              </w:rPr>
            </w:pPr>
            <w:r w:rsidRPr="009E4EC1">
              <w:rPr>
                <w:lang w:val="en-GB"/>
              </w:rPr>
              <w:t>-96 (-179, -8)</w:t>
            </w:r>
          </w:p>
        </w:tc>
        <w:tc>
          <w:tcPr>
            <w:tcW w:w="825" w:type="dxa"/>
            <w:vAlign w:val="center"/>
          </w:tcPr>
          <w:p w:rsidR="009E4EC1" w:rsidRPr="009E4EC1" w:rsidRDefault="009E4EC1" w:rsidP="009E4EC1">
            <w:pPr>
              <w:jc w:val="center"/>
              <w:rPr>
                <w:lang w:val="en-GB"/>
              </w:rPr>
            </w:pPr>
            <w:r w:rsidRPr="009E4EC1">
              <w:rPr>
                <w:lang w:val="en-GB"/>
              </w:rPr>
              <w:t>0.64</w:t>
            </w:r>
          </w:p>
        </w:tc>
        <w:tc>
          <w:tcPr>
            <w:tcW w:w="1093" w:type="dxa"/>
            <w:vAlign w:val="center"/>
          </w:tcPr>
          <w:p w:rsidR="009E4EC1" w:rsidRPr="009E4EC1" w:rsidRDefault="009E4EC1" w:rsidP="009E4EC1">
            <w:pPr>
              <w:tabs>
                <w:tab w:val="decimal" w:pos="281"/>
              </w:tabs>
              <w:jc w:val="center"/>
              <w:rPr>
                <w:lang w:val="en-GB"/>
              </w:rPr>
            </w:pPr>
            <w:r w:rsidRPr="009E4EC1">
              <w:rPr>
                <w:lang w:val="en-GB"/>
              </w:rPr>
              <w:t>-5</w:t>
            </w:r>
          </w:p>
        </w:tc>
        <w:tc>
          <w:tcPr>
            <w:tcW w:w="236" w:type="dxa"/>
            <w:vAlign w:val="center"/>
          </w:tcPr>
          <w:p w:rsidR="009E4EC1" w:rsidRPr="009E4EC1" w:rsidRDefault="009E4EC1" w:rsidP="009E4EC1">
            <w:pPr>
              <w:jc w:val="center"/>
              <w:rPr>
                <w:lang w:val="en-GB"/>
              </w:rPr>
            </w:pPr>
          </w:p>
        </w:tc>
        <w:tc>
          <w:tcPr>
            <w:tcW w:w="1727" w:type="dxa"/>
            <w:vAlign w:val="center"/>
          </w:tcPr>
          <w:p w:rsidR="009E4EC1" w:rsidRPr="009E4EC1" w:rsidRDefault="009E4EC1" w:rsidP="009E4EC1">
            <w:pPr>
              <w:ind w:firstLine="52"/>
              <w:rPr>
                <w:lang w:val="en-GB"/>
              </w:rPr>
            </w:pPr>
            <w:r w:rsidRPr="009E4EC1">
              <w:rPr>
                <w:lang w:val="en-GB"/>
              </w:rPr>
              <w:t>-118 (-219, -10)</w:t>
            </w:r>
          </w:p>
        </w:tc>
        <w:tc>
          <w:tcPr>
            <w:tcW w:w="848" w:type="dxa"/>
            <w:vAlign w:val="center"/>
          </w:tcPr>
          <w:p w:rsidR="009E4EC1" w:rsidRPr="009E4EC1" w:rsidRDefault="009E4EC1" w:rsidP="009E4EC1">
            <w:pPr>
              <w:jc w:val="center"/>
              <w:rPr>
                <w:lang w:val="en-GB"/>
              </w:rPr>
            </w:pPr>
            <w:r w:rsidRPr="009E4EC1">
              <w:rPr>
                <w:lang w:val="en-GB"/>
              </w:rPr>
              <w:t>0.64</w:t>
            </w:r>
          </w:p>
        </w:tc>
        <w:tc>
          <w:tcPr>
            <w:tcW w:w="1199" w:type="dxa"/>
            <w:vAlign w:val="center"/>
          </w:tcPr>
          <w:p w:rsidR="009E4EC1" w:rsidRPr="009E4EC1" w:rsidRDefault="009E4EC1" w:rsidP="009E4EC1">
            <w:pPr>
              <w:tabs>
                <w:tab w:val="decimal" w:pos="481"/>
              </w:tabs>
              <w:rPr>
                <w:lang w:val="en-GB"/>
              </w:rPr>
            </w:pPr>
            <w:r w:rsidRPr="009E4EC1">
              <w:rPr>
                <w:lang w:val="en-GB"/>
              </w:rPr>
              <w:t>16</w:t>
            </w:r>
          </w:p>
        </w:tc>
      </w:tr>
      <w:tr w:rsidR="009E4EC1" w:rsidRPr="009E4EC1" w:rsidTr="009E4EC1">
        <w:trPr>
          <w:jc w:val="center"/>
        </w:trPr>
        <w:tc>
          <w:tcPr>
            <w:tcW w:w="1844" w:type="dxa"/>
            <w:vAlign w:val="center"/>
          </w:tcPr>
          <w:p w:rsidR="009E4EC1" w:rsidRPr="009E4EC1" w:rsidRDefault="009E4EC1" w:rsidP="009E4EC1">
            <w:pPr>
              <w:tabs>
                <w:tab w:val="decimal" w:pos="880"/>
              </w:tabs>
              <w:rPr>
                <w:lang w:val="en-GB"/>
              </w:rPr>
            </w:pPr>
            <w:r w:rsidRPr="009E4EC1">
              <w:rPr>
                <w:lang w:val="en-GB"/>
              </w:rPr>
              <w:t>10</w:t>
            </w:r>
          </w:p>
        </w:tc>
        <w:tc>
          <w:tcPr>
            <w:tcW w:w="236" w:type="dxa"/>
            <w:vAlign w:val="center"/>
          </w:tcPr>
          <w:p w:rsidR="009E4EC1" w:rsidRPr="009E4EC1" w:rsidRDefault="009E4EC1" w:rsidP="009E4EC1">
            <w:pPr>
              <w:jc w:val="center"/>
              <w:rPr>
                <w:lang w:val="en-GB"/>
              </w:rPr>
            </w:pPr>
          </w:p>
        </w:tc>
        <w:tc>
          <w:tcPr>
            <w:tcW w:w="755" w:type="dxa"/>
            <w:vAlign w:val="center"/>
          </w:tcPr>
          <w:p w:rsidR="009E4EC1" w:rsidRPr="009E4EC1" w:rsidRDefault="009E4EC1" w:rsidP="009E4EC1">
            <w:pPr>
              <w:tabs>
                <w:tab w:val="decimal" w:pos="364"/>
              </w:tabs>
              <w:jc w:val="center"/>
              <w:rPr>
                <w:lang w:val="en-GB"/>
              </w:rPr>
            </w:pPr>
            <w:r w:rsidRPr="009E4EC1">
              <w:rPr>
                <w:lang w:val="en-GB"/>
              </w:rPr>
              <w:t>-100</w:t>
            </w:r>
          </w:p>
        </w:tc>
        <w:tc>
          <w:tcPr>
            <w:tcW w:w="236" w:type="dxa"/>
            <w:vAlign w:val="center"/>
          </w:tcPr>
          <w:p w:rsidR="009E4EC1" w:rsidRPr="009E4EC1" w:rsidRDefault="009E4EC1" w:rsidP="009E4EC1">
            <w:pPr>
              <w:jc w:val="center"/>
              <w:rPr>
                <w:lang w:val="en-GB"/>
              </w:rPr>
            </w:pPr>
          </w:p>
        </w:tc>
        <w:tc>
          <w:tcPr>
            <w:tcW w:w="1798" w:type="dxa"/>
            <w:vAlign w:val="center"/>
          </w:tcPr>
          <w:p w:rsidR="009E4EC1" w:rsidRPr="009E4EC1" w:rsidRDefault="009E4EC1" w:rsidP="009E4EC1">
            <w:pPr>
              <w:ind w:firstLine="135"/>
              <w:rPr>
                <w:lang w:val="en-GB"/>
              </w:rPr>
            </w:pPr>
            <w:r w:rsidRPr="009E4EC1">
              <w:rPr>
                <w:lang w:val="en-GB"/>
              </w:rPr>
              <w:t>-82 (-152, -5)</w:t>
            </w:r>
          </w:p>
        </w:tc>
        <w:tc>
          <w:tcPr>
            <w:tcW w:w="943" w:type="dxa"/>
            <w:vAlign w:val="center"/>
          </w:tcPr>
          <w:p w:rsidR="009E4EC1" w:rsidRPr="009E4EC1" w:rsidRDefault="009E4EC1" w:rsidP="009E4EC1">
            <w:pPr>
              <w:jc w:val="center"/>
              <w:rPr>
                <w:lang w:val="en-GB"/>
              </w:rPr>
            </w:pPr>
            <w:r w:rsidRPr="009E4EC1">
              <w:rPr>
                <w:lang w:val="en-GB"/>
              </w:rPr>
              <w:t>0.62</w:t>
            </w:r>
          </w:p>
        </w:tc>
        <w:tc>
          <w:tcPr>
            <w:tcW w:w="1160" w:type="dxa"/>
            <w:vAlign w:val="center"/>
          </w:tcPr>
          <w:p w:rsidR="009E4EC1" w:rsidRPr="009E4EC1" w:rsidRDefault="009E4EC1" w:rsidP="009E4EC1">
            <w:pPr>
              <w:jc w:val="center"/>
              <w:rPr>
                <w:lang w:val="en-GB"/>
              </w:rPr>
            </w:pPr>
            <w:r w:rsidRPr="009E4EC1">
              <w:rPr>
                <w:lang w:val="en-GB"/>
              </w:rPr>
              <w:t>-18</w:t>
            </w:r>
          </w:p>
        </w:tc>
        <w:tc>
          <w:tcPr>
            <w:tcW w:w="236" w:type="dxa"/>
            <w:vAlign w:val="center"/>
          </w:tcPr>
          <w:p w:rsidR="009E4EC1" w:rsidRPr="009E4EC1" w:rsidRDefault="009E4EC1" w:rsidP="009E4EC1">
            <w:pPr>
              <w:jc w:val="center"/>
              <w:rPr>
                <w:lang w:val="en-GB"/>
              </w:rPr>
            </w:pPr>
          </w:p>
        </w:tc>
        <w:tc>
          <w:tcPr>
            <w:tcW w:w="1890" w:type="dxa"/>
            <w:vAlign w:val="center"/>
          </w:tcPr>
          <w:p w:rsidR="009E4EC1" w:rsidRPr="009E4EC1" w:rsidRDefault="009E4EC1" w:rsidP="009E4EC1">
            <w:pPr>
              <w:ind w:firstLine="121"/>
              <w:rPr>
                <w:lang w:val="en-GB"/>
              </w:rPr>
            </w:pPr>
            <w:r w:rsidRPr="009E4EC1">
              <w:rPr>
                <w:lang w:val="en-GB"/>
              </w:rPr>
              <w:t>-96 (-177, -6)</w:t>
            </w:r>
          </w:p>
        </w:tc>
        <w:tc>
          <w:tcPr>
            <w:tcW w:w="825" w:type="dxa"/>
            <w:vAlign w:val="center"/>
          </w:tcPr>
          <w:p w:rsidR="009E4EC1" w:rsidRPr="009E4EC1" w:rsidRDefault="009E4EC1" w:rsidP="009E4EC1">
            <w:pPr>
              <w:jc w:val="center"/>
              <w:rPr>
                <w:lang w:val="en-GB"/>
              </w:rPr>
            </w:pPr>
            <w:r w:rsidRPr="009E4EC1">
              <w:rPr>
                <w:lang w:val="en-GB"/>
              </w:rPr>
              <w:t>0.62</w:t>
            </w:r>
          </w:p>
        </w:tc>
        <w:tc>
          <w:tcPr>
            <w:tcW w:w="1093" w:type="dxa"/>
            <w:vAlign w:val="center"/>
          </w:tcPr>
          <w:p w:rsidR="009E4EC1" w:rsidRPr="009E4EC1" w:rsidRDefault="009E4EC1" w:rsidP="009E4EC1">
            <w:pPr>
              <w:tabs>
                <w:tab w:val="decimal" w:pos="281"/>
              </w:tabs>
              <w:jc w:val="center"/>
              <w:rPr>
                <w:lang w:val="en-GB"/>
              </w:rPr>
            </w:pPr>
            <w:r w:rsidRPr="009E4EC1">
              <w:rPr>
                <w:lang w:val="en-GB"/>
              </w:rPr>
              <w:t>-4</w:t>
            </w:r>
          </w:p>
        </w:tc>
        <w:tc>
          <w:tcPr>
            <w:tcW w:w="236" w:type="dxa"/>
            <w:vAlign w:val="center"/>
          </w:tcPr>
          <w:p w:rsidR="009E4EC1" w:rsidRPr="009E4EC1" w:rsidRDefault="009E4EC1" w:rsidP="009E4EC1">
            <w:pPr>
              <w:jc w:val="center"/>
              <w:rPr>
                <w:lang w:val="en-GB"/>
              </w:rPr>
            </w:pPr>
          </w:p>
        </w:tc>
        <w:tc>
          <w:tcPr>
            <w:tcW w:w="1727" w:type="dxa"/>
            <w:vAlign w:val="center"/>
          </w:tcPr>
          <w:p w:rsidR="009E4EC1" w:rsidRPr="009E4EC1" w:rsidRDefault="009E4EC1" w:rsidP="009E4EC1">
            <w:pPr>
              <w:ind w:firstLine="52"/>
              <w:rPr>
                <w:lang w:val="en-GB"/>
              </w:rPr>
            </w:pPr>
            <w:r w:rsidRPr="009E4EC1">
              <w:rPr>
                <w:lang w:val="en-GB"/>
              </w:rPr>
              <w:t>-115 (-213, -7)</w:t>
            </w:r>
          </w:p>
        </w:tc>
        <w:tc>
          <w:tcPr>
            <w:tcW w:w="848" w:type="dxa"/>
            <w:vAlign w:val="center"/>
          </w:tcPr>
          <w:p w:rsidR="009E4EC1" w:rsidRPr="009E4EC1" w:rsidRDefault="009E4EC1" w:rsidP="009E4EC1">
            <w:pPr>
              <w:jc w:val="center"/>
              <w:rPr>
                <w:lang w:val="en-GB"/>
              </w:rPr>
            </w:pPr>
            <w:r w:rsidRPr="009E4EC1">
              <w:rPr>
                <w:lang w:val="en-GB"/>
              </w:rPr>
              <w:t>0.62</w:t>
            </w:r>
          </w:p>
        </w:tc>
        <w:tc>
          <w:tcPr>
            <w:tcW w:w="1199" w:type="dxa"/>
            <w:vAlign w:val="center"/>
          </w:tcPr>
          <w:p w:rsidR="009E4EC1" w:rsidRPr="009E4EC1" w:rsidRDefault="009E4EC1" w:rsidP="009E4EC1">
            <w:pPr>
              <w:tabs>
                <w:tab w:val="decimal" w:pos="481"/>
              </w:tabs>
              <w:rPr>
                <w:lang w:val="en-GB"/>
              </w:rPr>
            </w:pPr>
            <w:r w:rsidRPr="009E4EC1">
              <w:rPr>
                <w:lang w:val="en-GB"/>
              </w:rPr>
              <w:t>15</w:t>
            </w:r>
          </w:p>
        </w:tc>
      </w:tr>
      <w:tr w:rsidR="009E4EC1" w:rsidRPr="009E4EC1" w:rsidTr="009E4EC1">
        <w:trPr>
          <w:jc w:val="center"/>
        </w:trPr>
        <w:tc>
          <w:tcPr>
            <w:tcW w:w="1844" w:type="dxa"/>
            <w:vAlign w:val="center"/>
          </w:tcPr>
          <w:p w:rsidR="009E4EC1" w:rsidRPr="009E4EC1" w:rsidRDefault="009E4EC1" w:rsidP="009E4EC1">
            <w:pPr>
              <w:tabs>
                <w:tab w:val="decimal" w:pos="880"/>
              </w:tabs>
              <w:rPr>
                <w:lang w:val="en-GB"/>
              </w:rPr>
            </w:pPr>
            <w:r w:rsidRPr="009E4EC1">
              <w:rPr>
                <w:lang w:val="en-GB"/>
              </w:rPr>
              <w:t>12</w:t>
            </w:r>
          </w:p>
        </w:tc>
        <w:tc>
          <w:tcPr>
            <w:tcW w:w="236" w:type="dxa"/>
            <w:vAlign w:val="center"/>
          </w:tcPr>
          <w:p w:rsidR="009E4EC1" w:rsidRPr="009E4EC1" w:rsidRDefault="009E4EC1" w:rsidP="009E4EC1">
            <w:pPr>
              <w:jc w:val="center"/>
              <w:rPr>
                <w:lang w:val="en-GB"/>
              </w:rPr>
            </w:pPr>
          </w:p>
        </w:tc>
        <w:tc>
          <w:tcPr>
            <w:tcW w:w="755" w:type="dxa"/>
            <w:vAlign w:val="center"/>
          </w:tcPr>
          <w:p w:rsidR="009E4EC1" w:rsidRPr="009E4EC1" w:rsidRDefault="009E4EC1" w:rsidP="009E4EC1">
            <w:pPr>
              <w:tabs>
                <w:tab w:val="decimal" w:pos="364"/>
              </w:tabs>
              <w:jc w:val="center"/>
              <w:rPr>
                <w:lang w:val="en-GB"/>
              </w:rPr>
            </w:pPr>
            <w:r w:rsidRPr="009E4EC1">
              <w:rPr>
                <w:lang w:val="en-GB"/>
              </w:rPr>
              <w:t>-101</w:t>
            </w:r>
          </w:p>
        </w:tc>
        <w:tc>
          <w:tcPr>
            <w:tcW w:w="236" w:type="dxa"/>
            <w:vAlign w:val="center"/>
          </w:tcPr>
          <w:p w:rsidR="009E4EC1" w:rsidRPr="009E4EC1" w:rsidRDefault="009E4EC1" w:rsidP="009E4EC1">
            <w:pPr>
              <w:jc w:val="center"/>
              <w:rPr>
                <w:lang w:val="en-GB"/>
              </w:rPr>
            </w:pPr>
          </w:p>
        </w:tc>
        <w:tc>
          <w:tcPr>
            <w:tcW w:w="1798" w:type="dxa"/>
            <w:vAlign w:val="center"/>
          </w:tcPr>
          <w:p w:rsidR="009E4EC1" w:rsidRPr="009E4EC1" w:rsidRDefault="009E4EC1" w:rsidP="009E4EC1">
            <w:pPr>
              <w:ind w:firstLine="135"/>
              <w:rPr>
                <w:lang w:val="en-GB"/>
              </w:rPr>
            </w:pPr>
            <w:r w:rsidRPr="009E4EC1">
              <w:rPr>
                <w:lang w:val="en-GB"/>
              </w:rPr>
              <w:t>-86 (-157, -16)</w:t>
            </w:r>
          </w:p>
        </w:tc>
        <w:tc>
          <w:tcPr>
            <w:tcW w:w="943" w:type="dxa"/>
            <w:vAlign w:val="center"/>
          </w:tcPr>
          <w:p w:rsidR="009E4EC1" w:rsidRPr="009E4EC1" w:rsidRDefault="009E4EC1" w:rsidP="009E4EC1">
            <w:pPr>
              <w:jc w:val="center"/>
              <w:rPr>
                <w:lang w:val="en-GB"/>
              </w:rPr>
            </w:pPr>
            <w:r w:rsidRPr="009E4EC1">
              <w:rPr>
                <w:lang w:val="en-GB"/>
              </w:rPr>
              <w:t>0.65</w:t>
            </w:r>
          </w:p>
        </w:tc>
        <w:tc>
          <w:tcPr>
            <w:tcW w:w="1160" w:type="dxa"/>
            <w:vAlign w:val="center"/>
          </w:tcPr>
          <w:p w:rsidR="009E4EC1" w:rsidRPr="009E4EC1" w:rsidRDefault="009E4EC1" w:rsidP="009E4EC1">
            <w:pPr>
              <w:jc w:val="center"/>
              <w:rPr>
                <w:lang w:val="en-GB"/>
              </w:rPr>
            </w:pPr>
            <w:r w:rsidRPr="009E4EC1">
              <w:rPr>
                <w:lang w:val="en-GB"/>
              </w:rPr>
              <w:t>-15</w:t>
            </w:r>
          </w:p>
        </w:tc>
        <w:tc>
          <w:tcPr>
            <w:tcW w:w="236" w:type="dxa"/>
            <w:vAlign w:val="center"/>
          </w:tcPr>
          <w:p w:rsidR="009E4EC1" w:rsidRPr="009E4EC1" w:rsidRDefault="009E4EC1" w:rsidP="009E4EC1">
            <w:pPr>
              <w:jc w:val="center"/>
              <w:rPr>
                <w:lang w:val="en-GB"/>
              </w:rPr>
            </w:pPr>
          </w:p>
        </w:tc>
        <w:tc>
          <w:tcPr>
            <w:tcW w:w="1890" w:type="dxa"/>
            <w:vAlign w:val="center"/>
          </w:tcPr>
          <w:p w:rsidR="009E4EC1" w:rsidRPr="009E4EC1" w:rsidRDefault="009E4EC1" w:rsidP="009E4EC1">
            <w:pPr>
              <w:ind w:firstLine="121"/>
              <w:rPr>
                <w:lang w:val="en-GB"/>
              </w:rPr>
            </w:pPr>
            <w:r w:rsidRPr="009E4EC1">
              <w:rPr>
                <w:lang w:val="en-GB"/>
              </w:rPr>
              <w:t>-97 (-179, -18)</w:t>
            </w:r>
          </w:p>
        </w:tc>
        <w:tc>
          <w:tcPr>
            <w:tcW w:w="825" w:type="dxa"/>
            <w:vAlign w:val="center"/>
          </w:tcPr>
          <w:p w:rsidR="009E4EC1" w:rsidRPr="009E4EC1" w:rsidRDefault="009E4EC1" w:rsidP="009E4EC1">
            <w:pPr>
              <w:jc w:val="center"/>
              <w:rPr>
                <w:lang w:val="en-GB"/>
              </w:rPr>
            </w:pPr>
            <w:r w:rsidRPr="009E4EC1">
              <w:rPr>
                <w:lang w:val="en-GB"/>
              </w:rPr>
              <w:t>0.65</w:t>
            </w:r>
          </w:p>
        </w:tc>
        <w:tc>
          <w:tcPr>
            <w:tcW w:w="1093" w:type="dxa"/>
            <w:vAlign w:val="center"/>
          </w:tcPr>
          <w:p w:rsidR="009E4EC1" w:rsidRPr="009E4EC1" w:rsidRDefault="009E4EC1" w:rsidP="009E4EC1">
            <w:pPr>
              <w:tabs>
                <w:tab w:val="decimal" w:pos="281"/>
              </w:tabs>
              <w:jc w:val="center"/>
              <w:rPr>
                <w:lang w:val="en-GB"/>
              </w:rPr>
            </w:pPr>
            <w:r w:rsidRPr="009E4EC1">
              <w:rPr>
                <w:lang w:val="en-GB"/>
              </w:rPr>
              <w:t>-4</w:t>
            </w:r>
          </w:p>
        </w:tc>
        <w:tc>
          <w:tcPr>
            <w:tcW w:w="236" w:type="dxa"/>
            <w:vAlign w:val="center"/>
          </w:tcPr>
          <w:p w:rsidR="009E4EC1" w:rsidRPr="009E4EC1" w:rsidRDefault="009E4EC1" w:rsidP="009E4EC1">
            <w:pPr>
              <w:jc w:val="center"/>
              <w:rPr>
                <w:lang w:val="en-GB"/>
              </w:rPr>
            </w:pPr>
          </w:p>
        </w:tc>
        <w:tc>
          <w:tcPr>
            <w:tcW w:w="1727" w:type="dxa"/>
            <w:vAlign w:val="center"/>
          </w:tcPr>
          <w:p w:rsidR="009E4EC1" w:rsidRPr="009E4EC1" w:rsidRDefault="009E4EC1" w:rsidP="009E4EC1">
            <w:pPr>
              <w:ind w:firstLine="52"/>
              <w:rPr>
                <w:lang w:val="en-GB"/>
              </w:rPr>
            </w:pPr>
            <w:r w:rsidRPr="009E4EC1">
              <w:rPr>
                <w:lang w:val="en-GB"/>
              </w:rPr>
              <w:t>-114 (-210, -22)</w:t>
            </w:r>
          </w:p>
        </w:tc>
        <w:tc>
          <w:tcPr>
            <w:tcW w:w="848" w:type="dxa"/>
            <w:vAlign w:val="center"/>
          </w:tcPr>
          <w:p w:rsidR="009E4EC1" w:rsidRPr="009E4EC1" w:rsidRDefault="009E4EC1" w:rsidP="009E4EC1">
            <w:pPr>
              <w:jc w:val="center"/>
              <w:rPr>
                <w:lang w:val="en-GB"/>
              </w:rPr>
            </w:pPr>
            <w:r w:rsidRPr="009E4EC1">
              <w:rPr>
                <w:lang w:val="en-GB"/>
              </w:rPr>
              <w:t>0.65</w:t>
            </w:r>
          </w:p>
        </w:tc>
        <w:tc>
          <w:tcPr>
            <w:tcW w:w="1199" w:type="dxa"/>
            <w:vAlign w:val="center"/>
          </w:tcPr>
          <w:p w:rsidR="009E4EC1" w:rsidRPr="009E4EC1" w:rsidRDefault="009E4EC1" w:rsidP="009E4EC1">
            <w:pPr>
              <w:tabs>
                <w:tab w:val="decimal" w:pos="481"/>
              </w:tabs>
              <w:rPr>
                <w:lang w:val="en-GB"/>
              </w:rPr>
            </w:pPr>
            <w:r w:rsidRPr="009E4EC1">
              <w:rPr>
                <w:lang w:val="en-GB"/>
              </w:rPr>
              <w:t>13</w:t>
            </w:r>
          </w:p>
        </w:tc>
      </w:tr>
      <w:tr w:rsidR="009E4EC1" w:rsidRPr="009E4EC1" w:rsidTr="009E4EC1">
        <w:trPr>
          <w:jc w:val="center"/>
        </w:trPr>
        <w:tc>
          <w:tcPr>
            <w:tcW w:w="1844" w:type="dxa"/>
            <w:vAlign w:val="center"/>
          </w:tcPr>
          <w:p w:rsidR="009E4EC1" w:rsidRPr="009E4EC1" w:rsidRDefault="009E4EC1" w:rsidP="009E4EC1">
            <w:pPr>
              <w:tabs>
                <w:tab w:val="decimal" w:pos="880"/>
              </w:tabs>
              <w:rPr>
                <w:lang w:val="en-GB"/>
              </w:rPr>
            </w:pPr>
            <w:r w:rsidRPr="009E4EC1">
              <w:rPr>
                <w:lang w:val="en-GB"/>
              </w:rPr>
              <w:t>15</w:t>
            </w:r>
          </w:p>
        </w:tc>
        <w:tc>
          <w:tcPr>
            <w:tcW w:w="236" w:type="dxa"/>
            <w:vAlign w:val="center"/>
          </w:tcPr>
          <w:p w:rsidR="009E4EC1" w:rsidRPr="009E4EC1" w:rsidRDefault="009E4EC1" w:rsidP="009E4EC1">
            <w:pPr>
              <w:jc w:val="center"/>
              <w:rPr>
                <w:lang w:val="en-GB"/>
              </w:rPr>
            </w:pPr>
          </w:p>
        </w:tc>
        <w:tc>
          <w:tcPr>
            <w:tcW w:w="755" w:type="dxa"/>
            <w:vAlign w:val="center"/>
          </w:tcPr>
          <w:p w:rsidR="009E4EC1" w:rsidRPr="009E4EC1" w:rsidRDefault="009E4EC1" w:rsidP="009E4EC1">
            <w:pPr>
              <w:tabs>
                <w:tab w:val="decimal" w:pos="364"/>
              </w:tabs>
              <w:jc w:val="center"/>
              <w:rPr>
                <w:lang w:val="en-GB"/>
              </w:rPr>
            </w:pPr>
            <w:r w:rsidRPr="009E4EC1">
              <w:rPr>
                <w:lang w:val="en-GB"/>
              </w:rPr>
              <w:t>-100</w:t>
            </w:r>
          </w:p>
        </w:tc>
        <w:tc>
          <w:tcPr>
            <w:tcW w:w="236" w:type="dxa"/>
            <w:vAlign w:val="center"/>
          </w:tcPr>
          <w:p w:rsidR="009E4EC1" w:rsidRPr="009E4EC1" w:rsidRDefault="009E4EC1" w:rsidP="009E4EC1">
            <w:pPr>
              <w:jc w:val="center"/>
              <w:rPr>
                <w:lang w:val="en-GB"/>
              </w:rPr>
            </w:pPr>
          </w:p>
        </w:tc>
        <w:tc>
          <w:tcPr>
            <w:tcW w:w="1798" w:type="dxa"/>
            <w:vAlign w:val="center"/>
          </w:tcPr>
          <w:p w:rsidR="009E4EC1" w:rsidRPr="009E4EC1" w:rsidRDefault="009E4EC1" w:rsidP="009E4EC1">
            <w:pPr>
              <w:ind w:firstLine="135"/>
              <w:rPr>
                <w:lang w:val="en-GB"/>
              </w:rPr>
            </w:pPr>
            <w:r w:rsidRPr="009E4EC1">
              <w:rPr>
                <w:lang w:val="en-GB"/>
              </w:rPr>
              <w:t>-87 (-159, -13)</w:t>
            </w:r>
          </w:p>
        </w:tc>
        <w:tc>
          <w:tcPr>
            <w:tcW w:w="943" w:type="dxa"/>
            <w:vAlign w:val="center"/>
          </w:tcPr>
          <w:p w:rsidR="009E4EC1" w:rsidRPr="009E4EC1" w:rsidRDefault="009E4EC1" w:rsidP="009E4EC1">
            <w:pPr>
              <w:jc w:val="center"/>
              <w:rPr>
                <w:lang w:val="en-GB"/>
              </w:rPr>
            </w:pPr>
            <w:r w:rsidRPr="009E4EC1">
              <w:rPr>
                <w:lang w:val="en-GB"/>
              </w:rPr>
              <w:t>0.64</w:t>
            </w:r>
          </w:p>
        </w:tc>
        <w:tc>
          <w:tcPr>
            <w:tcW w:w="1160" w:type="dxa"/>
            <w:vAlign w:val="center"/>
          </w:tcPr>
          <w:p w:rsidR="009E4EC1" w:rsidRPr="009E4EC1" w:rsidRDefault="009E4EC1" w:rsidP="009E4EC1">
            <w:pPr>
              <w:jc w:val="center"/>
              <w:rPr>
                <w:lang w:val="en-GB"/>
              </w:rPr>
            </w:pPr>
            <w:r w:rsidRPr="009E4EC1">
              <w:rPr>
                <w:lang w:val="en-GB"/>
              </w:rPr>
              <w:t>-13</w:t>
            </w:r>
          </w:p>
        </w:tc>
        <w:tc>
          <w:tcPr>
            <w:tcW w:w="236" w:type="dxa"/>
            <w:vAlign w:val="center"/>
          </w:tcPr>
          <w:p w:rsidR="009E4EC1" w:rsidRPr="009E4EC1" w:rsidRDefault="009E4EC1" w:rsidP="009E4EC1">
            <w:pPr>
              <w:jc w:val="center"/>
              <w:rPr>
                <w:lang w:val="en-GB"/>
              </w:rPr>
            </w:pPr>
          </w:p>
        </w:tc>
        <w:tc>
          <w:tcPr>
            <w:tcW w:w="1890" w:type="dxa"/>
            <w:vAlign w:val="center"/>
          </w:tcPr>
          <w:p w:rsidR="009E4EC1" w:rsidRPr="009E4EC1" w:rsidRDefault="009E4EC1" w:rsidP="009E4EC1">
            <w:pPr>
              <w:ind w:firstLine="121"/>
              <w:rPr>
                <w:lang w:val="en-GB"/>
              </w:rPr>
            </w:pPr>
            <w:r w:rsidRPr="009E4EC1">
              <w:rPr>
                <w:lang w:val="en-GB"/>
              </w:rPr>
              <w:t>-97 (-177, -15)</w:t>
            </w:r>
          </w:p>
        </w:tc>
        <w:tc>
          <w:tcPr>
            <w:tcW w:w="825" w:type="dxa"/>
            <w:vAlign w:val="center"/>
          </w:tcPr>
          <w:p w:rsidR="009E4EC1" w:rsidRPr="009E4EC1" w:rsidRDefault="009E4EC1" w:rsidP="009E4EC1">
            <w:pPr>
              <w:jc w:val="center"/>
              <w:rPr>
                <w:lang w:val="en-GB"/>
              </w:rPr>
            </w:pPr>
            <w:r w:rsidRPr="009E4EC1">
              <w:rPr>
                <w:lang w:val="en-GB"/>
              </w:rPr>
              <w:t>0.64</w:t>
            </w:r>
          </w:p>
        </w:tc>
        <w:tc>
          <w:tcPr>
            <w:tcW w:w="1093" w:type="dxa"/>
            <w:vAlign w:val="center"/>
          </w:tcPr>
          <w:p w:rsidR="009E4EC1" w:rsidRPr="009E4EC1" w:rsidRDefault="009E4EC1" w:rsidP="009E4EC1">
            <w:pPr>
              <w:tabs>
                <w:tab w:val="decimal" w:pos="281"/>
              </w:tabs>
              <w:jc w:val="center"/>
              <w:rPr>
                <w:lang w:val="en-GB"/>
              </w:rPr>
            </w:pPr>
            <w:r w:rsidRPr="009E4EC1">
              <w:rPr>
                <w:lang w:val="en-GB"/>
              </w:rPr>
              <w:t>-3</w:t>
            </w:r>
          </w:p>
        </w:tc>
        <w:tc>
          <w:tcPr>
            <w:tcW w:w="236" w:type="dxa"/>
            <w:vAlign w:val="center"/>
          </w:tcPr>
          <w:p w:rsidR="009E4EC1" w:rsidRPr="009E4EC1" w:rsidRDefault="009E4EC1" w:rsidP="009E4EC1">
            <w:pPr>
              <w:jc w:val="center"/>
              <w:rPr>
                <w:lang w:val="en-GB"/>
              </w:rPr>
            </w:pPr>
          </w:p>
        </w:tc>
        <w:tc>
          <w:tcPr>
            <w:tcW w:w="1727" w:type="dxa"/>
            <w:vAlign w:val="center"/>
          </w:tcPr>
          <w:p w:rsidR="009E4EC1" w:rsidRPr="009E4EC1" w:rsidRDefault="009E4EC1" w:rsidP="009E4EC1">
            <w:pPr>
              <w:ind w:firstLine="52"/>
              <w:rPr>
                <w:lang w:val="en-GB"/>
              </w:rPr>
            </w:pPr>
            <w:r w:rsidRPr="009E4EC1">
              <w:rPr>
                <w:lang w:val="en-GB"/>
              </w:rPr>
              <w:t>-110 (-202, -17)</w:t>
            </w:r>
          </w:p>
        </w:tc>
        <w:tc>
          <w:tcPr>
            <w:tcW w:w="848" w:type="dxa"/>
            <w:vAlign w:val="center"/>
          </w:tcPr>
          <w:p w:rsidR="009E4EC1" w:rsidRPr="009E4EC1" w:rsidRDefault="009E4EC1" w:rsidP="009E4EC1">
            <w:pPr>
              <w:jc w:val="center"/>
              <w:rPr>
                <w:lang w:val="en-GB"/>
              </w:rPr>
            </w:pPr>
            <w:r w:rsidRPr="009E4EC1">
              <w:rPr>
                <w:lang w:val="en-GB"/>
              </w:rPr>
              <w:t>0.64</w:t>
            </w:r>
          </w:p>
        </w:tc>
        <w:tc>
          <w:tcPr>
            <w:tcW w:w="1199" w:type="dxa"/>
            <w:vAlign w:val="center"/>
          </w:tcPr>
          <w:p w:rsidR="009E4EC1" w:rsidRPr="009E4EC1" w:rsidRDefault="009E4EC1" w:rsidP="009E4EC1">
            <w:pPr>
              <w:tabs>
                <w:tab w:val="decimal" w:pos="481"/>
              </w:tabs>
              <w:rPr>
                <w:lang w:val="en-GB"/>
              </w:rPr>
            </w:pPr>
            <w:r w:rsidRPr="009E4EC1">
              <w:rPr>
                <w:lang w:val="en-GB"/>
              </w:rPr>
              <w:t>11</w:t>
            </w:r>
          </w:p>
        </w:tc>
      </w:tr>
      <w:tr w:rsidR="009E4EC1" w:rsidRPr="009E4EC1" w:rsidTr="009E4EC1">
        <w:trPr>
          <w:jc w:val="center"/>
        </w:trPr>
        <w:tc>
          <w:tcPr>
            <w:tcW w:w="1844" w:type="dxa"/>
            <w:vAlign w:val="center"/>
          </w:tcPr>
          <w:p w:rsidR="009E4EC1" w:rsidRPr="009E4EC1" w:rsidRDefault="009E4EC1" w:rsidP="009E4EC1">
            <w:pPr>
              <w:tabs>
                <w:tab w:val="decimal" w:pos="880"/>
              </w:tabs>
              <w:rPr>
                <w:lang w:val="en-GB"/>
              </w:rPr>
            </w:pPr>
            <w:r w:rsidRPr="009E4EC1">
              <w:rPr>
                <w:lang w:val="en-GB"/>
              </w:rPr>
              <w:t>18</w:t>
            </w:r>
          </w:p>
        </w:tc>
        <w:tc>
          <w:tcPr>
            <w:tcW w:w="236" w:type="dxa"/>
            <w:vAlign w:val="center"/>
          </w:tcPr>
          <w:p w:rsidR="009E4EC1" w:rsidRPr="009E4EC1" w:rsidRDefault="009E4EC1" w:rsidP="009E4EC1">
            <w:pPr>
              <w:jc w:val="center"/>
              <w:rPr>
                <w:lang w:val="en-GB"/>
              </w:rPr>
            </w:pPr>
          </w:p>
        </w:tc>
        <w:tc>
          <w:tcPr>
            <w:tcW w:w="755" w:type="dxa"/>
            <w:vAlign w:val="center"/>
          </w:tcPr>
          <w:p w:rsidR="009E4EC1" w:rsidRPr="009E4EC1" w:rsidRDefault="009E4EC1" w:rsidP="009E4EC1">
            <w:pPr>
              <w:tabs>
                <w:tab w:val="decimal" w:pos="364"/>
              </w:tabs>
              <w:jc w:val="center"/>
              <w:rPr>
                <w:lang w:val="en-GB"/>
              </w:rPr>
            </w:pPr>
            <w:r w:rsidRPr="009E4EC1">
              <w:rPr>
                <w:lang w:val="en-GB"/>
              </w:rPr>
              <w:t>-100</w:t>
            </w:r>
          </w:p>
        </w:tc>
        <w:tc>
          <w:tcPr>
            <w:tcW w:w="236" w:type="dxa"/>
            <w:vAlign w:val="center"/>
          </w:tcPr>
          <w:p w:rsidR="009E4EC1" w:rsidRPr="009E4EC1" w:rsidRDefault="009E4EC1" w:rsidP="009E4EC1">
            <w:pPr>
              <w:jc w:val="center"/>
              <w:rPr>
                <w:lang w:val="en-GB"/>
              </w:rPr>
            </w:pPr>
          </w:p>
        </w:tc>
        <w:tc>
          <w:tcPr>
            <w:tcW w:w="1798" w:type="dxa"/>
            <w:vAlign w:val="center"/>
          </w:tcPr>
          <w:p w:rsidR="009E4EC1" w:rsidRPr="009E4EC1" w:rsidRDefault="009E4EC1" w:rsidP="009E4EC1">
            <w:pPr>
              <w:ind w:firstLine="135"/>
              <w:rPr>
                <w:lang w:val="en-GB"/>
              </w:rPr>
            </w:pPr>
            <w:r w:rsidRPr="009E4EC1">
              <w:rPr>
                <w:lang w:val="en-GB"/>
              </w:rPr>
              <w:t>-90 (-166, -16)</w:t>
            </w:r>
          </w:p>
        </w:tc>
        <w:tc>
          <w:tcPr>
            <w:tcW w:w="943" w:type="dxa"/>
            <w:vAlign w:val="center"/>
          </w:tcPr>
          <w:p w:rsidR="009E4EC1" w:rsidRPr="009E4EC1" w:rsidRDefault="009E4EC1" w:rsidP="009E4EC1">
            <w:pPr>
              <w:jc w:val="center"/>
              <w:rPr>
                <w:lang w:val="en-GB"/>
              </w:rPr>
            </w:pPr>
            <w:r w:rsidRPr="009E4EC1">
              <w:rPr>
                <w:lang w:val="en-GB"/>
              </w:rPr>
              <w:t>0.66</w:t>
            </w:r>
          </w:p>
        </w:tc>
        <w:tc>
          <w:tcPr>
            <w:tcW w:w="1160" w:type="dxa"/>
            <w:vAlign w:val="center"/>
          </w:tcPr>
          <w:p w:rsidR="009E4EC1" w:rsidRPr="009E4EC1" w:rsidRDefault="009E4EC1" w:rsidP="009E4EC1">
            <w:pPr>
              <w:jc w:val="center"/>
              <w:rPr>
                <w:lang w:val="en-GB"/>
              </w:rPr>
            </w:pPr>
            <w:r w:rsidRPr="009E4EC1">
              <w:rPr>
                <w:lang w:val="en-GB"/>
              </w:rPr>
              <w:t>-10</w:t>
            </w:r>
          </w:p>
        </w:tc>
        <w:tc>
          <w:tcPr>
            <w:tcW w:w="236" w:type="dxa"/>
            <w:vAlign w:val="center"/>
          </w:tcPr>
          <w:p w:rsidR="009E4EC1" w:rsidRPr="009E4EC1" w:rsidRDefault="009E4EC1" w:rsidP="009E4EC1">
            <w:pPr>
              <w:jc w:val="center"/>
              <w:rPr>
                <w:lang w:val="en-GB"/>
              </w:rPr>
            </w:pPr>
          </w:p>
        </w:tc>
        <w:tc>
          <w:tcPr>
            <w:tcW w:w="1890" w:type="dxa"/>
            <w:vAlign w:val="center"/>
          </w:tcPr>
          <w:p w:rsidR="009E4EC1" w:rsidRPr="009E4EC1" w:rsidRDefault="009E4EC1" w:rsidP="009E4EC1">
            <w:pPr>
              <w:ind w:firstLine="121"/>
              <w:rPr>
                <w:lang w:val="en-GB"/>
              </w:rPr>
            </w:pPr>
            <w:r w:rsidRPr="009E4EC1">
              <w:rPr>
                <w:lang w:val="en-GB"/>
              </w:rPr>
              <w:t>-98 (-181, -18)</w:t>
            </w:r>
          </w:p>
        </w:tc>
        <w:tc>
          <w:tcPr>
            <w:tcW w:w="825" w:type="dxa"/>
            <w:vAlign w:val="center"/>
          </w:tcPr>
          <w:p w:rsidR="009E4EC1" w:rsidRPr="009E4EC1" w:rsidRDefault="009E4EC1" w:rsidP="009E4EC1">
            <w:pPr>
              <w:jc w:val="center"/>
              <w:rPr>
                <w:lang w:val="en-GB"/>
              </w:rPr>
            </w:pPr>
            <w:r w:rsidRPr="009E4EC1">
              <w:rPr>
                <w:lang w:val="en-GB"/>
              </w:rPr>
              <w:t>0.66</w:t>
            </w:r>
          </w:p>
        </w:tc>
        <w:tc>
          <w:tcPr>
            <w:tcW w:w="1093" w:type="dxa"/>
            <w:vAlign w:val="center"/>
          </w:tcPr>
          <w:p w:rsidR="009E4EC1" w:rsidRPr="009E4EC1" w:rsidRDefault="009E4EC1" w:rsidP="009E4EC1">
            <w:pPr>
              <w:tabs>
                <w:tab w:val="decimal" w:pos="281"/>
              </w:tabs>
              <w:jc w:val="center"/>
              <w:rPr>
                <w:lang w:val="en-GB"/>
              </w:rPr>
            </w:pPr>
            <w:r w:rsidRPr="009E4EC1">
              <w:rPr>
                <w:lang w:val="en-GB"/>
              </w:rPr>
              <w:t>-2</w:t>
            </w:r>
          </w:p>
        </w:tc>
        <w:tc>
          <w:tcPr>
            <w:tcW w:w="236" w:type="dxa"/>
            <w:vAlign w:val="center"/>
          </w:tcPr>
          <w:p w:rsidR="009E4EC1" w:rsidRPr="009E4EC1" w:rsidRDefault="009E4EC1" w:rsidP="009E4EC1">
            <w:pPr>
              <w:jc w:val="center"/>
              <w:rPr>
                <w:lang w:val="en-GB"/>
              </w:rPr>
            </w:pPr>
          </w:p>
        </w:tc>
        <w:tc>
          <w:tcPr>
            <w:tcW w:w="1727" w:type="dxa"/>
            <w:vAlign w:val="center"/>
          </w:tcPr>
          <w:p w:rsidR="009E4EC1" w:rsidRPr="009E4EC1" w:rsidRDefault="009E4EC1" w:rsidP="009E4EC1">
            <w:pPr>
              <w:ind w:firstLine="52"/>
              <w:rPr>
                <w:lang w:val="en-GB"/>
              </w:rPr>
            </w:pPr>
            <w:r w:rsidRPr="009E4EC1">
              <w:rPr>
                <w:lang w:val="en-GB"/>
              </w:rPr>
              <w:t>-110 (-202, -20)</w:t>
            </w:r>
          </w:p>
        </w:tc>
        <w:tc>
          <w:tcPr>
            <w:tcW w:w="848" w:type="dxa"/>
            <w:vAlign w:val="center"/>
          </w:tcPr>
          <w:p w:rsidR="009E4EC1" w:rsidRPr="009E4EC1" w:rsidRDefault="009E4EC1" w:rsidP="009E4EC1">
            <w:pPr>
              <w:jc w:val="center"/>
              <w:rPr>
                <w:lang w:val="en-GB"/>
              </w:rPr>
            </w:pPr>
            <w:r w:rsidRPr="009E4EC1">
              <w:rPr>
                <w:lang w:val="en-GB"/>
              </w:rPr>
              <w:t>0.66</w:t>
            </w:r>
          </w:p>
        </w:tc>
        <w:tc>
          <w:tcPr>
            <w:tcW w:w="1199" w:type="dxa"/>
            <w:vAlign w:val="center"/>
          </w:tcPr>
          <w:p w:rsidR="009E4EC1" w:rsidRPr="009E4EC1" w:rsidRDefault="009E4EC1" w:rsidP="009E4EC1">
            <w:pPr>
              <w:tabs>
                <w:tab w:val="decimal" w:pos="481"/>
              </w:tabs>
              <w:rPr>
                <w:lang w:val="en-GB"/>
              </w:rPr>
            </w:pPr>
            <w:r w:rsidRPr="009E4EC1">
              <w:rPr>
                <w:lang w:val="en-GB"/>
              </w:rPr>
              <w:t>9</w:t>
            </w:r>
          </w:p>
        </w:tc>
      </w:tr>
      <w:tr w:rsidR="009E4EC1" w:rsidRPr="009E4EC1" w:rsidTr="009E4EC1">
        <w:trPr>
          <w:jc w:val="center"/>
        </w:trPr>
        <w:tc>
          <w:tcPr>
            <w:tcW w:w="1844" w:type="dxa"/>
            <w:tcBorders>
              <w:bottom w:val="single" w:sz="4" w:space="0" w:color="auto"/>
            </w:tcBorders>
            <w:vAlign w:val="center"/>
          </w:tcPr>
          <w:p w:rsidR="009E4EC1" w:rsidRPr="009E4EC1" w:rsidRDefault="009E4EC1" w:rsidP="009E4EC1">
            <w:pPr>
              <w:tabs>
                <w:tab w:val="decimal" w:pos="880"/>
              </w:tabs>
              <w:rPr>
                <w:lang w:val="en-GB"/>
              </w:rPr>
            </w:pPr>
            <w:r w:rsidRPr="009E4EC1">
              <w:rPr>
                <w:lang w:val="en-GB"/>
              </w:rPr>
              <w:t>20</w:t>
            </w:r>
          </w:p>
        </w:tc>
        <w:tc>
          <w:tcPr>
            <w:tcW w:w="236" w:type="dxa"/>
            <w:tcBorders>
              <w:bottom w:val="single" w:sz="4" w:space="0" w:color="auto"/>
            </w:tcBorders>
            <w:vAlign w:val="center"/>
          </w:tcPr>
          <w:p w:rsidR="009E4EC1" w:rsidRPr="009E4EC1" w:rsidRDefault="009E4EC1" w:rsidP="009E4EC1">
            <w:pPr>
              <w:jc w:val="center"/>
              <w:rPr>
                <w:lang w:val="en-GB"/>
              </w:rPr>
            </w:pPr>
          </w:p>
        </w:tc>
        <w:tc>
          <w:tcPr>
            <w:tcW w:w="755" w:type="dxa"/>
            <w:tcBorders>
              <w:bottom w:val="single" w:sz="4" w:space="0" w:color="auto"/>
            </w:tcBorders>
            <w:vAlign w:val="center"/>
          </w:tcPr>
          <w:p w:rsidR="009E4EC1" w:rsidRPr="009E4EC1" w:rsidRDefault="009E4EC1" w:rsidP="009E4EC1">
            <w:pPr>
              <w:tabs>
                <w:tab w:val="decimal" w:pos="364"/>
              </w:tabs>
              <w:jc w:val="center"/>
              <w:rPr>
                <w:lang w:val="en-GB"/>
              </w:rPr>
            </w:pPr>
            <w:r w:rsidRPr="009E4EC1">
              <w:rPr>
                <w:lang w:val="en-GB"/>
              </w:rPr>
              <w:t>-99</w:t>
            </w:r>
          </w:p>
        </w:tc>
        <w:tc>
          <w:tcPr>
            <w:tcW w:w="236" w:type="dxa"/>
            <w:tcBorders>
              <w:bottom w:val="single" w:sz="4" w:space="0" w:color="auto"/>
            </w:tcBorders>
            <w:vAlign w:val="center"/>
          </w:tcPr>
          <w:p w:rsidR="009E4EC1" w:rsidRPr="009E4EC1" w:rsidRDefault="009E4EC1" w:rsidP="009E4EC1">
            <w:pPr>
              <w:jc w:val="center"/>
              <w:rPr>
                <w:lang w:val="en-GB"/>
              </w:rPr>
            </w:pPr>
          </w:p>
        </w:tc>
        <w:tc>
          <w:tcPr>
            <w:tcW w:w="1798" w:type="dxa"/>
            <w:tcBorders>
              <w:bottom w:val="single" w:sz="4" w:space="0" w:color="auto"/>
            </w:tcBorders>
            <w:vAlign w:val="center"/>
          </w:tcPr>
          <w:p w:rsidR="009E4EC1" w:rsidRPr="009E4EC1" w:rsidRDefault="009E4EC1" w:rsidP="009E4EC1">
            <w:pPr>
              <w:ind w:firstLine="135"/>
              <w:rPr>
                <w:lang w:val="en-GB"/>
              </w:rPr>
            </w:pPr>
            <w:r w:rsidRPr="009E4EC1">
              <w:rPr>
                <w:lang w:val="en-GB"/>
              </w:rPr>
              <w:t>-89 (-162, -14)</w:t>
            </w:r>
          </w:p>
        </w:tc>
        <w:tc>
          <w:tcPr>
            <w:tcW w:w="943" w:type="dxa"/>
            <w:tcBorders>
              <w:bottom w:val="single" w:sz="4" w:space="0" w:color="auto"/>
            </w:tcBorders>
            <w:vAlign w:val="center"/>
          </w:tcPr>
          <w:p w:rsidR="009E4EC1" w:rsidRPr="009E4EC1" w:rsidRDefault="009E4EC1" w:rsidP="009E4EC1">
            <w:pPr>
              <w:jc w:val="center"/>
              <w:rPr>
                <w:lang w:val="en-GB"/>
              </w:rPr>
            </w:pPr>
            <w:r w:rsidRPr="009E4EC1">
              <w:rPr>
                <w:lang w:val="en-GB"/>
              </w:rPr>
              <w:t>0.63</w:t>
            </w:r>
          </w:p>
        </w:tc>
        <w:tc>
          <w:tcPr>
            <w:tcW w:w="1160" w:type="dxa"/>
            <w:tcBorders>
              <w:bottom w:val="single" w:sz="4" w:space="0" w:color="auto"/>
            </w:tcBorders>
            <w:vAlign w:val="center"/>
          </w:tcPr>
          <w:p w:rsidR="009E4EC1" w:rsidRPr="009E4EC1" w:rsidRDefault="009E4EC1" w:rsidP="009E4EC1">
            <w:pPr>
              <w:jc w:val="center"/>
              <w:rPr>
                <w:lang w:val="en-GB"/>
              </w:rPr>
            </w:pPr>
            <w:r w:rsidRPr="009E4EC1">
              <w:rPr>
                <w:lang w:val="en-GB"/>
              </w:rPr>
              <w:t>-10</w:t>
            </w:r>
          </w:p>
        </w:tc>
        <w:tc>
          <w:tcPr>
            <w:tcW w:w="236" w:type="dxa"/>
            <w:tcBorders>
              <w:bottom w:val="single" w:sz="4" w:space="0" w:color="auto"/>
            </w:tcBorders>
            <w:vAlign w:val="center"/>
          </w:tcPr>
          <w:p w:rsidR="009E4EC1" w:rsidRPr="009E4EC1" w:rsidRDefault="009E4EC1" w:rsidP="009E4EC1">
            <w:pPr>
              <w:jc w:val="center"/>
              <w:rPr>
                <w:lang w:val="en-GB"/>
              </w:rPr>
            </w:pPr>
          </w:p>
        </w:tc>
        <w:tc>
          <w:tcPr>
            <w:tcW w:w="1890" w:type="dxa"/>
            <w:tcBorders>
              <w:bottom w:val="single" w:sz="4" w:space="0" w:color="auto"/>
            </w:tcBorders>
            <w:vAlign w:val="center"/>
          </w:tcPr>
          <w:p w:rsidR="009E4EC1" w:rsidRPr="009E4EC1" w:rsidRDefault="009E4EC1" w:rsidP="009E4EC1">
            <w:pPr>
              <w:ind w:firstLine="121"/>
              <w:rPr>
                <w:lang w:val="en-GB"/>
              </w:rPr>
            </w:pPr>
            <w:r w:rsidRPr="009E4EC1">
              <w:rPr>
                <w:lang w:val="en-GB"/>
              </w:rPr>
              <w:t>-96 (-175, -15)</w:t>
            </w:r>
          </w:p>
        </w:tc>
        <w:tc>
          <w:tcPr>
            <w:tcW w:w="825" w:type="dxa"/>
            <w:tcBorders>
              <w:bottom w:val="single" w:sz="4" w:space="0" w:color="auto"/>
            </w:tcBorders>
            <w:vAlign w:val="center"/>
          </w:tcPr>
          <w:p w:rsidR="009E4EC1" w:rsidRPr="009E4EC1" w:rsidRDefault="009E4EC1" w:rsidP="009E4EC1">
            <w:pPr>
              <w:jc w:val="center"/>
              <w:rPr>
                <w:lang w:val="en-GB"/>
              </w:rPr>
            </w:pPr>
            <w:r w:rsidRPr="009E4EC1">
              <w:rPr>
                <w:lang w:val="en-GB"/>
              </w:rPr>
              <w:t>0.63</w:t>
            </w:r>
          </w:p>
        </w:tc>
        <w:tc>
          <w:tcPr>
            <w:tcW w:w="1093" w:type="dxa"/>
            <w:tcBorders>
              <w:bottom w:val="single" w:sz="4" w:space="0" w:color="auto"/>
            </w:tcBorders>
            <w:vAlign w:val="center"/>
          </w:tcPr>
          <w:p w:rsidR="009E4EC1" w:rsidRPr="009E4EC1" w:rsidRDefault="009E4EC1" w:rsidP="009E4EC1">
            <w:pPr>
              <w:tabs>
                <w:tab w:val="decimal" w:pos="281"/>
              </w:tabs>
              <w:jc w:val="center"/>
              <w:rPr>
                <w:lang w:val="en-GB"/>
              </w:rPr>
            </w:pPr>
            <w:r w:rsidRPr="009E4EC1">
              <w:rPr>
                <w:lang w:val="en-GB"/>
              </w:rPr>
              <w:t>-3</w:t>
            </w:r>
          </w:p>
        </w:tc>
        <w:tc>
          <w:tcPr>
            <w:tcW w:w="236" w:type="dxa"/>
            <w:tcBorders>
              <w:bottom w:val="single" w:sz="4" w:space="0" w:color="auto"/>
            </w:tcBorders>
            <w:vAlign w:val="center"/>
          </w:tcPr>
          <w:p w:rsidR="009E4EC1" w:rsidRPr="009E4EC1" w:rsidRDefault="009E4EC1" w:rsidP="009E4EC1">
            <w:pPr>
              <w:jc w:val="center"/>
              <w:rPr>
                <w:lang w:val="en-GB"/>
              </w:rPr>
            </w:pPr>
          </w:p>
        </w:tc>
        <w:tc>
          <w:tcPr>
            <w:tcW w:w="1727" w:type="dxa"/>
            <w:tcBorders>
              <w:bottom w:val="single" w:sz="4" w:space="0" w:color="auto"/>
            </w:tcBorders>
            <w:vAlign w:val="center"/>
          </w:tcPr>
          <w:p w:rsidR="009E4EC1" w:rsidRPr="009E4EC1" w:rsidRDefault="009E4EC1" w:rsidP="009E4EC1">
            <w:pPr>
              <w:ind w:firstLine="52"/>
              <w:rPr>
                <w:lang w:val="en-GB"/>
              </w:rPr>
            </w:pPr>
            <w:r w:rsidRPr="009E4EC1">
              <w:rPr>
                <w:lang w:val="en-GB"/>
              </w:rPr>
              <w:t>-106 (-194, -17)</w:t>
            </w:r>
          </w:p>
        </w:tc>
        <w:tc>
          <w:tcPr>
            <w:tcW w:w="848" w:type="dxa"/>
            <w:tcBorders>
              <w:bottom w:val="single" w:sz="4" w:space="0" w:color="auto"/>
            </w:tcBorders>
            <w:vAlign w:val="center"/>
          </w:tcPr>
          <w:p w:rsidR="009E4EC1" w:rsidRPr="009E4EC1" w:rsidRDefault="009E4EC1" w:rsidP="009E4EC1">
            <w:pPr>
              <w:jc w:val="center"/>
              <w:rPr>
                <w:lang w:val="en-GB"/>
              </w:rPr>
            </w:pPr>
            <w:r w:rsidRPr="009E4EC1">
              <w:rPr>
                <w:lang w:val="en-GB"/>
              </w:rPr>
              <w:t>0.63</w:t>
            </w:r>
          </w:p>
        </w:tc>
        <w:tc>
          <w:tcPr>
            <w:tcW w:w="1199" w:type="dxa"/>
            <w:tcBorders>
              <w:bottom w:val="single" w:sz="4" w:space="0" w:color="auto"/>
            </w:tcBorders>
            <w:vAlign w:val="center"/>
          </w:tcPr>
          <w:p w:rsidR="009E4EC1" w:rsidRPr="009E4EC1" w:rsidRDefault="009E4EC1" w:rsidP="009E4EC1">
            <w:pPr>
              <w:tabs>
                <w:tab w:val="decimal" w:pos="481"/>
              </w:tabs>
              <w:rPr>
                <w:lang w:val="en-GB"/>
              </w:rPr>
            </w:pPr>
            <w:r w:rsidRPr="009E4EC1">
              <w:rPr>
                <w:lang w:val="en-GB"/>
              </w:rPr>
              <w:t>7</w:t>
            </w:r>
          </w:p>
        </w:tc>
      </w:tr>
      <w:tr w:rsidR="009E4EC1" w:rsidRPr="009E4EC1" w:rsidTr="009E4EC1">
        <w:trPr>
          <w:jc w:val="center"/>
        </w:trPr>
        <w:tc>
          <w:tcPr>
            <w:tcW w:w="15026" w:type="dxa"/>
            <w:gridSpan w:val="15"/>
            <w:tcBorders>
              <w:top w:val="single" w:sz="4" w:space="0" w:color="auto"/>
            </w:tcBorders>
            <w:vAlign w:val="center"/>
          </w:tcPr>
          <w:p w:rsidR="009E4EC1" w:rsidRPr="009E4EC1" w:rsidRDefault="009E4EC1" w:rsidP="009E4EC1">
            <w:pPr>
              <w:rPr>
                <w:sz w:val="18"/>
                <w:szCs w:val="18"/>
                <w:lang w:val="en-GB"/>
              </w:rPr>
            </w:pPr>
            <w:r w:rsidRPr="009E4EC1">
              <w:rPr>
                <w:i/>
                <w:sz w:val="18"/>
                <w:szCs w:val="18"/>
                <w:vertAlign w:val="superscript"/>
                <w:lang w:val="en-GB"/>
              </w:rPr>
              <w:t>a</w:t>
            </w:r>
            <w:r w:rsidRPr="009E4EC1">
              <w:rPr>
                <w:i/>
                <w:sz w:val="18"/>
                <w:szCs w:val="18"/>
                <w:lang w:val="en-GB"/>
              </w:rPr>
              <w:t xml:space="preserve"> </w:t>
            </w:r>
            <w:r w:rsidRPr="009E4EC1">
              <w:rPr>
                <w:sz w:val="18"/>
                <w:szCs w:val="18"/>
                <w:lang w:val="en-GB"/>
              </w:rPr>
              <w:t>Mean of effect estimates over 1,000 simulated studies.</w:t>
            </w:r>
          </w:p>
          <w:p w:rsidR="009E4EC1" w:rsidRPr="009E4EC1" w:rsidRDefault="009E4EC1" w:rsidP="009E4EC1">
            <w:pPr>
              <w:autoSpaceDE w:val="0"/>
              <w:autoSpaceDN w:val="0"/>
              <w:adjustRightInd w:val="0"/>
              <w:rPr>
                <w:sz w:val="18"/>
                <w:szCs w:val="18"/>
                <w:lang w:val="en-GB"/>
              </w:rPr>
            </w:pPr>
            <w:r w:rsidRPr="009E4EC1">
              <w:rPr>
                <w:i/>
                <w:sz w:val="18"/>
                <w:szCs w:val="18"/>
                <w:vertAlign w:val="superscript"/>
                <w:lang w:val="en-GB"/>
              </w:rPr>
              <w:t>b</w:t>
            </w:r>
            <w:r w:rsidRPr="009E4EC1">
              <w:rPr>
                <w:i/>
                <w:sz w:val="18"/>
                <w:szCs w:val="18"/>
                <w:lang w:val="en-GB"/>
              </w:rPr>
              <w:t xml:space="preserve"> </w:t>
            </w:r>
            <w:r w:rsidRPr="009E4EC1">
              <w:rPr>
                <w:sz w:val="18"/>
                <w:szCs w:val="18"/>
                <w:lang w:val="en-GB"/>
              </w:rPr>
              <w:t>Empirical confidence interval, corresponding to the empirical 2.5 and 97.5 percentiles of the health effect estimates over the 1,000 simulation runs.</w:t>
            </w:r>
          </w:p>
          <w:p w:rsidR="009E4EC1" w:rsidRPr="009E4EC1" w:rsidRDefault="009E4EC1" w:rsidP="009E4EC1">
            <w:pPr>
              <w:autoSpaceDE w:val="0"/>
              <w:autoSpaceDN w:val="0"/>
              <w:adjustRightInd w:val="0"/>
              <w:rPr>
                <w:sz w:val="18"/>
                <w:szCs w:val="18"/>
                <w:lang w:val="en-GB"/>
              </w:rPr>
            </w:pPr>
            <w:proofErr w:type="gramStart"/>
            <w:r w:rsidRPr="009E4EC1">
              <w:rPr>
                <w:i/>
                <w:sz w:val="18"/>
                <w:szCs w:val="18"/>
                <w:vertAlign w:val="superscript"/>
                <w:lang w:val="en-GB"/>
              </w:rPr>
              <w:t>c</w:t>
            </w:r>
            <w:r w:rsidRPr="009E4EC1">
              <w:rPr>
                <w:i/>
                <w:sz w:val="18"/>
                <w:szCs w:val="18"/>
                <w:lang w:val="en-GB"/>
              </w:rPr>
              <w:t xml:space="preserve"> </w:t>
            </w:r>
            <w:r w:rsidRPr="009E4EC1">
              <w:rPr>
                <w:sz w:val="18"/>
                <w:szCs w:val="18"/>
                <w:lang w:val="en-GB"/>
              </w:rPr>
              <w:t>Statistical power,</w:t>
            </w:r>
            <w:proofErr w:type="gramEnd"/>
            <w:r w:rsidRPr="009E4EC1">
              <w:rPr>
                <w:sz w:val="18"/>
                <w:szCs w:val="18"/>
                <w:lang w:val="en-GB"/>
              </w:rPr>
              <w:t xml:space="preserve"> estimated as the proportion of studies in which the </w:t>
            </w:r>
            <w:r w:rsidRPr="009E4EC1">
              <w:rPr>
                <w:i/>
                <w:iCs/>
                <w:sz w:val="18"/>
                <w:szCs w:val="18"/>
                <w:lang w:val="en-GB"/>
              </w:rPr>
              <w:t>P-</w:t>
            </w:r>
            <w:r w:rsidRPr="009E4EC1">
              <w:rPr>
                <w:sz w:val="18"/>
                <w:szCs w:val="18"/>
                <w:lang w:val="en-GB"/>
              </w:rPr>
              <w:t>value of the parameter characterizing the association between the error-prone exposure variables (</w:t>
            </w:r>
            <m:oMath>
              <m:sSub>
                <m:sSubPr>
                  <m:ctrlPr>
                    <w:rPr>
                      <w:rFonts w:ascii="Cambria Math" w:hAnsi="Cambria Math"/>
                      <w:i/>
                      <w:sz w:val="18"/>
                      <w:szCs w:val="18"/>
                      <w:lang w:val="en-GB"/>
                    </w:rPr>
                  </m:ctrlPr>
                </m:sSubPr>
                <m:e>
                  <m:r>
                    <w:rPr>
                      <w:rFonts w:ascii="Cambria Math" w:hAnsi="Cambria Math"/>
                      <w:sz w:val="18"/>
                      <w:szCs w:val="18"/>
                      <w:lang w:val="en-GB"/>
                    </w:rPr>
                    <m:t>W</m:t>
                  </m:r>
                </m:e>
                <m:sub>
                  <m:r>
                    <w:rPr>
                      <w:rFonts w:ascii="Cambria Math" w:hAnsi="Cambria Math"/>
                      <w:sz w:val="18"/>
                      <w:szCs w:val="18"/>
                      <w:lang w:val="en-GB"/>
                    </w:rPr>
                    <m:t>ij</m:t>
                  </m:r>
                </m:sub>
              </m:sSub>
            </m:oMath>
            <w:r w:rsidRPr="009E4EC1">
              <w:rPr>
                <w:iCs/>
                <w:sz w:val="18"/>
                <w:szCs w:val="18"/>
                <w:lang w:val="en-GB"/>
              </w:rPr>
              <w:t>)</w:t>
            </w:r>
            <w:r w:rsidRPr="009E4EC1">
              <w:rPr>
                <w:i/>
                <w:iCs/>
                <w:sz w:val="18"/>
                <w:szCs w:val="18"/>
                <w:lang w:val="en-GB"/>
              </w:rPr>
              <w:t xml:space="preserve"> </w:t>
            </w:r>
            <w:r w:rsidRPr="009E4EC1">
              <w:rPr>
                <w:sz w:val="18"/>
                <w:szCs w:val="18"/>
                <w:lang w:val="en-GB"/>
              </w:rPr>
              <w:t>and the continuous outcome was below 0.05.</w:t>
            </w:r>
          </w:p>
          <w:p w:rsidR="009E4EC1" w:rsidRPr="009E4EC1" w:rsidRDefault="009E4EC1" w:rsidP="009E4EC1">
            <w:pPr>
              <w:autoSpaceDE w:val="0"/>
              <w:autoSpaceDN w:val="0"/>
              <w:adjustRightInd w:val="0"/>
              <w:rPr>
                <w:sz w:val="18"/>
                <w:szCs w:val="18"/>
                <w:lang w:val="en-GB"/>
              </w:rPr>
            </w:pPr>
            <w:r w:rsidRPr="009E4EC1">
              <w:rPr>
                <w:i/>
                <w:sz w:val="18"/>
                <w:szCs w:val="18"/>
                <w:vertAlign w:val="superscript"/>
                <w:lang w:val="en-GB"/>
              </w:rPr>
              <w:t>d</w:t>
            </w:r>
            <w:r w:rsidRPr="009E4EC1">
              <w:rPr>
                <w:i/>
                <w:sz w:val="18"/>
                <w:szCs w:val="18"/>
                <w:lang w:val="en-GB"/>
              </w:rPr>
              <w:t xml:space="preserve"> </w:t>
            </w:r>
            <w:r w:rsidRPr="009E4EC1">
              <w:rPr>
                <w:sz w:val="18"/>
                <w:szCs w:val="18"/>
                <w:lang w:val="en-GB"/>
              </w:rPr>
              <w:t>Difference between the true effect and the effect estimate, divided by the true effect.</w:t>
            </w:r>
          </w:p>
          <w:p w:rsidR="009E4EC1" w:rsidRPr="009E4EC1" w:rsidRDefault="009E4EC1" w:rsidP="009E4EC1">
            <w:pPr>
              <w:rPr>
                <w:sz w:val="18"/>
                <w:szCs w:val="18"/>
                <w:lang w:val="en-GB"/>
              </w:rPr>
            </w:pPr>
            <w:r w:rsidRPr="009E4EC1">
              <w:rPr>
                <w:i/>
                <w:sz w:val="18"/>
                <w:szCs w:val="18"/>
                <w:vertAlign w:val="superscript"/>
                <w:lang w:val="en-GB"/>
              </w:rPr>
              <w:t>e</w:t>
            </w:r>
            <w:r w:rsidRPr="009E4EC1">
              <w:rPr>
                <w:i/>
                <w:sz w:val="18"/>
                <w:szCs w:val="18"/>
                <w:lang w:val="en-GB"/>
              </w:rPr>
              <w:t xml:space="preserve"> </w:t>
            </w:r>
            <w:r w:rsidRPr="009E4EC1">
              <w:rPr>
                <w:sz w:val="18"/>
                <w:szCs w:val="18"/>
                <w:lang w:val="en-GB"/>
              </w:rPr>
              <w:t>Corresponds to a situation without pooling.</w:t>
            </w:r>
          </w:p>
          <w:p w:rsidR="009E4EC1" w:rsidRPr="009E4EC1" w:rsidRDefault="009E4EC1" w:rsidP="009E4EC1">
            <w:pPr>
              <w:rPr>
                <w:sz w:val="18"/>
                <w:szCs w:val="18"/>
                <w:lang w:val="en-GB"/>
              </w:rPr>
            </w:pPr>
            <w:r w:rsidRPr="009E4EC1">
              <w:rPr>
                <w:i/>
                <w:sz w:val="18"/>
                <w:szCs w:val="18"/>
                <w:vertAlign w:val="superscript"/>
                <w:lang w:val="en-GB"/>
              </w:rPr>
              <w:t>f</w:t>
            </w:r>
            <w:r w:rsidRPr="009E4EC1">
              <w:rPr>
                <w:sz w:val="18"/>
                <w:szCs w:val="18"/>
                <w:lang w:val="en-GB"/>
              </w:rPr>
              <w:t xml:space="preserve"> ICC</w:t>
            </w:r>
            <w:r w:rsidRPr="009E4EC1">
              <w:rPr>
                <w:sz w:val="18"/>
                <w:szCs w:val="18"/>
                <w:vertAlign w:val="subscript"/>
                <w:lang w:val="en-GB"/>
              </w:rPr>
              <w:t>1</w:t>
            </w:r>
            <w:r w:rsidRPr="009E4EC1">
              <w:rPr>
                <w:sz w:val="18"/>
                <w:szCs w:val="18"/>
                <w:lang w:val="en-GB"/>
              </w:rPr>
              <w:t xml:space="preserve"> = 0.38 and corresponds to the value estimated in our study population of eight women. </w:t>
            </w:r>
          </w:p>
          <w:p w:rsidR="009E4EC1" w:rsidRPr="009E4EC1" w:rsidRDefault="009E4EC1" w:rsidP="009E4EC1">
            <w:pPr>
              <w:rPr>
                <w:sz w:val="15"/>
                <w:szCs w:val="15"/>
                <w:lang w:val="en-GB"/>
              </w:rPr>
            </w:pPr>
            <w:r w:rsidRPr="009E4EC1">
              <w:rPr>
                <w:i/>
                <w:sz w:val="18"/>
                <w:szCs w:val="18"/>
                <w:vertAlign w:val="superscript"/>
                <w:lang w:val="en-GB"/>
              </w:rPr>
              <w:t>g</w:t>
            </w:r>
            <w:r w:rsidRPr="009E4EC1">
              <w:rPr>
                <w:sz w:val="18"/>
                <w:szCs w:val="18"/>
                <w:lang w:val="en-GB"/>
              </w:rPr>
              <w:t xml:space="preserve"> ICC</w:t>
            </w:r>
            <w:r w:rsidRPr="009E4EC1">
              <w:rPr>
                <w:sz w:val="18"/>
                <w:szCs w:val="18"/>
                <w:vertAlign w:val="subscript"/>
                <w:lang w:val="en-GB"/>
              </w:rPr>
              <w:t>2</w:t>
            </w:r>
            <w:r w:rsidRPr="009E4EC1">
              <w:rPr>
                <w:sz w:val="18"/>
                <w:szCs w:val="18"/>
                <w:lang w:val="en-GB"/>
              </w:rPr>
              <w:t xml:space="preserve"> = 0.20 and corresponds to the average from previously published studies in pregnant women.</w:t>
            </w:r>
            <w:r w:rsidRPr="009E4EC1">
              <w:rPr>
                <w:sz w:val="18"/>
                <w:szCs w:val="18"/>
                <w:lang w:val="en-GB"/>
              </w:rPr>
              <w:fldChar w:fldCharType="begin"/>
            </w:r>
            <w:r w:rsidRPr="009E4EC1">
              <w:rPr>
                <w:sz w:val="18"/>
                <w:szCs w:val="18"/>
                <w:lang w:val="en-GB"/>
              </w:rPr>
              <w:instrText xml:space="preserve"> ADDIN ZOTERO_ITEM CSL_CITATION {"citationID":"j2SFmJId","properties":{"formattedCitation":"\\super 13\\uc0\\u8211{}18\\nosupersub{}","plainCitation":"13–18","noteIndex":0},"citationItems":[{"id":"m4cQcq12/bqhpVQIL","uris":["http://zotero.org/users/local/SVr6rUJo/items/G7EW6IZT"],"uri":["http://zotero.org/users/local/SVr6rUJo/items/G7EW6IZT"],"itemData":{"id":1873,"type":"article-journal","title":"Variability and Predictors of Urinary Bisphenol A Concentrations during Pregnancy","container-title":"Environmental Health Perspectives","page":"131","volume":"119","issue":"1","source":"www-ncbi-nlm-nih-gov.gate2.inist.fr","abstract":"Prenatal bisphenol A (BPA) exposure may be associated with developmental toxicity, but few studies have examined the variability and predictors of urinary BPA concentrations during pregnancy.Our goal was to estimate the variability and predictors of serial ...","DOI":"10.1289/ehp.1002366","note":"PMID: 21205581","language":"en","author":[{"family":"Braun","given":"Joe M."},{"family":"Kalkbrenner","given":"Amy E."},{"family":"Calafat","given":"Antonia M."},{"family":"Bernert","given":"John T."},{"family":"Ye","given":"Xiaoyun"},{"family":"Silva","given":"Manori J."},{"family":"Barr","given":"Dana Boyd"},{"family":"Sathyanarayana","given":"Sheela"},{"family":"Lanphear","given":"Bruce P."}],"issued":{"date-parts":[["2011",1]]}}},{"id":"m4cQcq12/cDbVrEP3","uris":["http://zotero.org/users/local/SVr6rUJo/items/ZNXCBJZE"],"uri":["http://zotero.org/users/local/SVr6rUJo/items/ZNXCBJZE"],"itemData":{"id":278,"type":"article-journal","title":"Variability of Urinary Phthalate Metabolite and Bisphenol A Concentrations before and during Pregnancy","container-title":"Environmental Health Perspectives","page":"739-745","volume":"120","issue":"5","source":"CrossRef","DOI":"10.1289/ehp.1104139","ISSN":"0091-6765","language":"en","author":[{"family":"Braun","given":"Joe M."},{"family":"Smith","given":"Kristen W."},{"family":"Williams","given":"Paige L."},{"family":"Calafat","given":"Antonia M."},{"family":"Berry","given":"Katharine"},{"family":"Ehrlich","given":"Shelley"},{"family":"Hauser","given":"Russ"}],"issued":{"date-parts":[["2012",1,19]]}}},{"id":"m4cQcq12/yynpUXpg","uris":["http://zotero.org/users/local/SVr6rUJo/items/QMPKQ3WR"],"uri":["http://zotero.org/users/local/SVr6rUJo/items/QMPKQ3WR"],"itemData":{"id":1913,"type":"article-journal","title":"Reproducibility of Urinary Bisphenol A Concentrations Measured During Pregnancy in the Generation R Study","container-title":"Journal of exposure science &amp; environmental epidemiology","page":"532","volume":"24","issue":"5","source":"www-ncbi-nlm-nih-gov.gate2.inist.fr","abstract":"The potential human health effects of bisphenol A (BPA) exposure are a public health concern. In order to design adequately powered epidemiological studies to address potential health effects, data on the reproducibility of BPA concentration in serial ...","DOI":"10.1038/jes.2014.23","note":"PMID: 24736100","language":"en","author":[{"family":"Jusko","given":"Todd A."},{"family":"Shaw","given":"Pamela A."},{"family":"Snijder","given":"Claudia A."},{"family":"Pierik","given":"Frank H."},{"family":"Koch","given":"Holger M."},{"family":"Hauser","given":"Russ"},{"family":"Jaddoe","given":"Vincent W. V."},{"family":"Burdorf","given":"Alex"},{"family":"Hofman","given":"Albert"},{"family":"Tiemeier","given":"Henning"},{"family":"Longnecker","given":"Matthew P."}],"issued":{"date-parts":[["2014",9]]}}},{"id":"m4cQcq12/z8RB3N6H","uris":["http://zotero.org/users/local/SVr6rUJo/items/CWJCENKP"],"uri":["http://zotero.org/users/local/SVr6rUJo/items/CWJCENKP"],"itemData":{"id":1899,"type":"article-journal","title":"Distribution, variability and predictors of urinary concentrations of phenols and parabens among pregnant women in Puerto Rico","container-title":"Environmental science &amp; technology","page":"3439","volume":"47","issue":"7","source":"www-ncbi-nlm-nih-gov.gate2.inist.fr","abstract":"Puerto Rico has higher rates of a range of endocrine-related diseases and disorders compared to the United States. However, little is known to date about human exposures to known or potential endocrine disrupting chemicals (EDCs) in Puerto Rico. We recruited ...","DOI":"10.1021/es400510g","note":"PMID: 23469879","language":"en","author":[{"family":"Meeker","given":"John D."},{"family":"Cantonwine","given":"David E."},{"family":"Rivera-González","given":"Luis O."},{"family":"Ferguson","given":"Kelly K."},{"family":"Mukherjee","given":"Bhramar"},{"family":"Calafat","given":"Antonia M."},{"family":"Ye","given":"Xiaoyun"},{"family":"Toro","given":"Liza V. Anzalota Del"},{"family":"Crespo","given":"Noe"},{"family":"Jiménez-Vélez","given":"Braulio"},{"family":"Alshawabkeh","given":"Akram N."},{"family":"Cordero","given":"José F."}],"issued":{"date-parts":[["2013",4,2]]}}},{"id":"m4cQcq12/BmvNCnvc","uris":["http://zotero.org/users/local/SVr6rUJo/items/CMMVJA7W"],"uri":["http://zotero.org/users/local/SVr6rUJo/items/CMMVJA7W"],"itemData":{"id":214,"type":"article-journal","title":"Prenatal Exposure to Environmental Phenols: Concentrations in Amniotic Fluid and Variability in Urinary Concentrations during Pregnancy","container-title":"Environmental Health Perspectives","page":"1225-31","volume":"121","issue":"10","source":"CrossRef","DOI":"10.1289/ehp.1206335","ISSN":"0091-6765","shortTitle":"Prenatal Exposure to Environmental Phenols","language":"en","author":[{"family":"Philippat","given":"Claire"},{"family":"Wolff","given":"Mary S."},{"family":"Calafat","given":"Antonia M."},{"family":"Ye","given":"Xiaoyun"},{"family":"Bausell","given":"Rebecca"},{"family":"Meadows","given":"Molly"},{"family":"Stone","given":"Joanne"},{"family":"Slama","given":"Rémy"},{"family":"Engel","given":"Stephanie M."}],"issued":{"date-parts":[["2013",8,13]]}}},{"id":"m4cQcq12/bEymDFkC","uris":["http://zotero.org/users/local/SVr6rUJo/items/E83HKWPN"],"uri":["http://zotero.org/users/local/SVr6rUJo/items/E83HKWPN"],"itemData":{"id":1902,"type":"article-journal","title":"Predictors and Variability of Urinary Paraben Concentrations in Men and Women, Including before and during Pregnancy","container-title":"Environmental Health Perspectives","page":"1538","volume":"120","issue":"11","source":"www-ncbi-nlm-nih-gov.gate2.inist.fr","abstract":"Background: Parabens are suspected endocrine disruptors and ubiquitous preservatives used in personal care products, pharmaceuticals, and foods. No studies have assessed the variability of parabens in women, including during pregnancy.Objective: We evaluated ...","DOI":"10.1289/ehp.1104614","note":"PMID: 22721761","language":"en","author":[{"family":"Smith","given":"Kristen W."},{"family":"Braun","given":"Joe M."},{"family":"Williams","given":"Paige L."},{"family":"Ehrlich","given":"Shelley"},{"family":"Correia","given":"Katharine F."},{"family":"Calafat","given":"Antonia M."},{"family":"Ye","given":"Xiaoyun"},{"family":"Ford","given":"Jennifer"},{"family":"Keller","given":"Myra"},{"family":"Meeker","given":"John D."},{"family":"Hauser","given":"Russ"}],"issued":{"date-parts":[["2012",11]]}}}],"schema":"https://github.com/citation-style-language/schema/raw/master/csl-citation.json"} </w:instrText>
            </w:r>
            <w:r w:rsidRPr="009E4EC1">
              <w:rPr>
                <w:sz w:val="18"/>
                <w:szCs w:val="18"/>
                <w:lang w:val="en-GB"/>
              </w:rPr>
              <w:fldChar w:fldCharType="separate"/>
            </w:r>
            <w:r w:rsidRPr="009E4EC1">
              <w:rPr>
                <w:sz w:val="18"/>
                <w:szCs w:val="24"/>
                <w:vertAlign w:val="superscript"/>
                <w:lang w:val="en-GB"/>
              </w:rPr>
              <w:t>1</w:t>
            </w:r>
            <w:r w:rsidR="00C32816">
              <w:rPr>
                <w:sz w:val="18"/>
                <w:szCs w:val="24"/>
                <w:vertAlign w:val="superscript"/>
                <w:lang w:val="en-GB"/>
              </w:rPr>
              <w:t>5</w:t>
            </w:r>
            <w:r w:rsidRPr="009E4EC1">
              <w:rPr>
                <w:sz w:val="18"/>
                <w:szCs w:val="24"/>
                <w:vertAlign w:val="superscript"/>
                <w:lang w:val="en-GB"/>
              </w:rPr>
              <w:t>–</w:t>
            </w:r>
            <w:r w:rsidR="00C32816">
              <w:rPr>
                <w:sz w:val="18"/>
                <w:szCs w:val="24"/>
                <w:vertAlign w:val="superscript"/>
                <w:lang w:val="en-GB"/>
              </w:rPr>
              <w:t>20</w:t>
            </w:r>
            <w:r w:rsidRPr="009E4EC1">
              <w:rPr>
                <w:sz w:val="18"/>
                <w:szCs w:val="18"/>
                <w:lang w:val="en-GB"/>
              </w:rPr>
              <w:fldChar w:fldCharType="end"/>
            </w:r>
          </w:p>
        </w:tc>
      </w:tr>
    </w:tbl>
    <w:p w:rsidR="009E4EC1" w:rsidRPr="009E4EC1" w:rsidRDefault="009E4EC1" w:rsidP="009E4EC1">
      <w:pPr>
        <w:rPr>
          <w:rFonts w:ascii="Times New Roman" w:hAnsi="Times New Roman" w:cs="Times New Roman"/>
          <w:sz w:val="24"/>
          <w:szCs w:val="24"/>
        </w:rPr>
        <w:sectPr w:rsidR="009E4EC1" w:rsidRPr="009E4EC1" w:rsidSect="0069578D">
          <w:pgSz w:w="15840" w:h="12240" w:orient="landscape"/>
          <w:pgMar w:top="1418" w:right="1418" w:bottom="1418" w:left="1418" w:header="720" w:footer="720" w:gutter="0"/>
          <w:cols w:space="720"/>
          <w:docGrid w:linePitch="360"/>
        </w:sectPr>
      </w:pPr>
    </w:p>
    <w:p w:rsidR="00FB473D" w:rsidRPr="0037061D" w:rsidRDefault="0037061D" w:rsidP="0037061D">
      <w:pPr>
        <w:pStyle w:val="Caption"/>
        <w:rPr>
          <w:rFonts w:ascii="Times New Roman" w:eastAsia="Times New Roman" w:hAnsi="Times New Roman" w:cs="Times New Roman"/>
          <w:i w:val="0"/>
          <w:color w:val="auto"/>
          <w:sz w:val="24"/>
          <w:szCs w:val="24"/>
          <w:lang w:val="en-GB" w:eastAsia="fr-FR"/>
        </w:rPr>
      </w:pPr>
      <w:bookmarkStart w:id="11" w:name="_Toc531343078"/>
      <w:proofErr w:type="spellStart"/>
      <w:r w:rsidRPr="0037061D">
        <w:rPr>
          <w:rFonts w:ascii="Times New Roman" w:hAnsi="Times New Roman" w:cs="Times New Roman"/>
          <w:b/>
          <w:i w:val="0"/>
          <w:color w:val="auto"/>
          <w:sz w:val="24"/>
          <w:szCs w:val="24"/>
        </w:rPr>
        <w:lastRenderedPageBreak/>
        <w:t>eFigure</w:t>
      </w:r>
      <w:proofErr w:type="spellEnd"/>
      <w:r w:rsidRPr="0037061D">
        <w:rPr>
          <w:rFonts w:ascii="Times New Roman" w:hAnsi="Times New Roman" w:cs="Times New Roman"/>
          <w:b/>
          <w:i w:val="0"/>
          <w:color w:val="auto"/>
          <w:sz w:val="24"/>
          <w:szCs w:val="24"/>
        </w:rPr>
        <w:t xml:space="preserve"> </w:t>
      </w:r>
      <w:r w:rsidRPr="0037061D">
        <w:rPr>
          <w:rFonts w:ascii="Times New Roman" w:hAnsi="Times New Roman" w:cs="Times New Roman"/>
          <w:b/>
          <w:i w:val="0"/>
          <w:color w:val="auto"/>
          <w:sz w:val="24"/>
          <w:szCs w:val="24"/>
        </w:rPr>
        <w:fldChar w:fldCharType="begin"/>
      </w:r>
      <w:r w:rsidRPr="0037061D">
        <w:rPr>
          <w:rFonts w:ascii="Times New Roman" w:hAnsi="Times New Roman" w:cs="Times New Roman"/>
          <w:b/>
          <w:i w:val="0"/>
          <w:color w:val="auto"/>
          <w:sz w:val="24"/>
          <w:szCs w:val="24"/>
        </w:rPr>
        <w:instrText xml:space="preserve"> SEQ eFigure \* ARABIC </w:instrText>
      </w:r>
      <w:r w:rsidRPr="0037061D">
        <w:rPr>
          <w:rFonts w:ascii="Times New Roman" w:hAnsi="Times New Roman" w:cs="Times New Roman"/>
          <w:b/>
          <w:i w:val="0"/>
          <w:color w:val="auto"/>
          <w:sz w:val="24"/>
          <w:szCs w:val="24"/>
        </w:rPr>
        <w:fldChar w:fldCharType="separate"/>
      </w:r>
      <w:r w:rsidR="0069578D">
        <w:rPr>
          <w:rFonts w:ascii="Times New Roman" w:hAnsi="Times New Roman" w:cs="Times New Roman"/>
          <w:b/>
          <w:i w:val="0"/>
          <w:noProof/>
          <w:color w:val="auto"/>
          <w:sz w:val="24"/>
          <w:szCs w:val="24"/>
        </w:rPr>
        <w:t>7</w:t>
      </w:r>
      <w:r w:rsidRPr="0037061D">
        <w:rPr>
          <w:rFonts w:ascii="Times New Roman" w:hAnsi="Times New Roman" w:cs="Times New Roman"/>
          <w:b/>
          <w:i w:val="0"/>
          <w:color w:val="auto"/>
          <w:sz w:val="24"/>
          <w:szCs w:val="24"/>
        </w:rPr>
        <w:fldChar w:fldCharType="end"/>
      </w:r>
      <w:r w:rsidRPr="0037061D">
        <w:rPr>
          <w:rFonts w:ascii="Times New Roman" w:hAnsi="Times New Roman" w:cs="Times New Roman"/>
          <w:b/>
          <w:i w:val="0"/>
          <w:color w:val="auto"/>
          <w:sz w:val="24"/>
          <w:szCs w:val="24"/>
        </w:rPr>
        <w:t>.</w:t>
      </w:r>
      <w:r w:rsidRPr="0037061D">
        <w:rPr>
          <w:rFonts w:ascii="Times New Roman" w:hAnsi="Times New Roman" w:cs="Times New Roman"/>
          <w:i w:val="0"/>
          <w:color w:val="auto"/>
          <w:sz w:val="24"/>
          <w:szCs w:val="24"/>
        </w:rPr>
        <w:t xml:space="preserve"> </w:t>
      </w:r>
      <w:r w:rsidR="00FB473D" w:rsidRPr="0037061D">
        <w:rPr>
          <w:rFonts w:ascii="Times New Roman" w:eastAsia="Times New Roman" w:hAnsi="Times New Roman" w:cs="Times New Roman"/>
          <w:i w:val="0"/>
          <w:color w:val="auto"/>
          <w:sz w:val="24"/>
          <w:szCs w:val="24"/>
          <w:lang w:val="en-GB" w:eastAsia="fr-FR"/>
        </w:rPr>
        <w:t>Distribution of the simulated exposures in one of our simulated studies for methylparaben (A, ICC = 0.85) and for bisphenol A (B, ICC = 0.38).</w:t>
      </w:r>
      <w:bookmarkEnd w:id="11"/>
      <w:r w:rsidR="00FB473D" w:rsidRPr="0037061D">
        <w:rPr>
          <w:rFonts w:ascii="Times New Roman" w:eastAsia="Times New Roman" w:hAnsi="Times New Roman" w:cs="Times New Roman"/>
          <w:i w:val="0"/>
          <w:color w:val="auto"/>
          <w:sz w:val="24"/>
          <w:szCs w:val="24"/>
          <w:lang w:val="en-GB" w:eastAsia="fr-FR"/>
        </w:rPr>
        <w:t xml:space="preserve"> </w:t>
      </w:r>
    </w:p>
    <w:p w:rsidR="00FB473D" w:rsidRPr="00FB473D" w:rsidRDefault="00FB473D" w:rsidP="00FB473D">
      <w:pPr>
        <w:spacing w:after="0" w:line="240" w:lineRule="auto"/>
        <w:jc w:val="both"/>
        <w:rPr>
          <w:rFonts w:ascii="Times New Roman" w:eastAsia="Times New Roman" w:hAnsi="Times New Roman" w:cs="Times New Roman"/>
          <w:sz w:val="24"/>
          <w:szCs w:val="24"/>
          <w:lang w:val="en-GB" w:eastAsia="fr-FR"/>
        </w:rPr>
      </w:pPr>
    </w:p>
    <w:p w:rsidR="00FB473D" w:rsidRPr="00FB473D" w:rsidRDefault="00FB473D" w:rsidP="00FB473D">
      <w:pPr>
        <w:spacing w:after="0" w:line="240" w:lineRule="auto"/>
        <w:jc w:val="both"/>
        <w:rPr>
          <w:rFonts w:ascii="Times New Roman" w:eastAsia="Times New Roman" w:hAnsi="Times New Roman" w:cs="Times New Roman"/>
          <w:sz w:val="24"/>
          <w:szCs w:val="24"/>
          <w:lang w:val="en-GB" w:eastAsia="fr-FR"/>
        </w:rPr>
      </w:pPr>
    </w:p>
    <w:p w:rsidR="00FB473D" w:rsidRPr="00FB473D" w:rsidRDefault="00FB473D" w:rsidP="00FB473D">
      <w:pPr>
        <w:numPr>
          <w:ilvl w:val="0"/>
          <w:numId w:val="1"/>
        </w:numPr>
        <w:spacing w:after="0" w:line="480" w:lineRule="auto"/>
        <w:contextualSpacing/>
        <w:jc w:val="both"/>
        <w:rPr>
          <w:rFonts w:ascii="Times New Roman" w:eastAsia="Times New Roman" w:hAnsi="Times New Roman" w:cs="Times New Roman"/>
          <w:sz w:val="24"/>
          <w:szCs w:val="24"/>
          <w:lang w:val="en-GB" w:eastAsia="fr-FR"/>
        </w:rPr>
      </w:pPr>
      <w:r w:rsidRPr="00FB473D">
        <w:rPr>
          <w:rFonts w:ascii="Times New Roman" w:eastAsia="Times New Roman" w:hAnsi="Times New Roman" w:cs="Times New Roman"/>
          <w:sz w:val="24"/>
          <w:szCs w:val="24"/>
          <w:lang w:val="en-GB" w:eastAsia="fr-FR"/>
        </w:rPr>
        <w:t>Methylparaben</w:t>
      </w:r>
    </w:p>
    <w:p w:rsidR="00FB473D" w:rsidRPr="00FB473D" w:rsidRDefault="00DB3F2B" w:rsidP="005F5FC5">
      <w:pPr>
        <w:spacing w:after="0" w:line="240" w:lineRule="auto"/>
        <w:contextualSpacing/>
        <w:rPr>
          <w:rFonts w:ascii="Times New Roman" w:eastAsia="Times New Roman" w:hAnsi="Times New Roman" w:cs="Times New Roman"/>
          <w:sz w:val="24"/>
          <w:szCs w:val="24"/>
          <w:lang w:val="en-GB" w:eastAsia="fr-FR"/>
        </w:rPr>
      </w:pPr>
      <w:r>
        <w:rPr>
          <w:rFonts w:ascii="Times New Roman" w:eastAsia="Times New Roman" w:hAnsi="Times New Roman" w:cs="Times New Roman"/>
          <w:noProof/>
          <w:sz w:val="24"/>
          <w:szCs w:val="24"/>
        </w:rPr>
        <w:drawing>
          <wp:inline distT="0" distB="0" distL="0" distR="0" wp14:anchorId="2BB4DCD2">
            <wp:extent cx="5474970" cy="197548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4970" cy="1975485"/>
                    </a:xfrm>
                    <a:prstGeom prst="rect">
                      <a:avLst/>
                    </a:prstGeom>
                    <a:noFill/>
                  </pic:spPr>
                </pic:pic>
              </a:graphicData>
            </a:graphic>
          </wp:inline>
        </w:drawing>
      </w:r>
    </w:p>
    <w:p w:rsidR="00FB473D" w:rsidRPr="00FB473D" w:rsidRDefault="00FB473D" w:rsidP="00FB473D">
      <w:pPr>
        <w:numPr>
          <w:ilvl w:val="0"/>
          <w:numId w:val="1"/>
        </w:numPr>
        <w:spacing w:after="0" w:line="480" w:lineRule="auto"/>
        <w:contextualSpacing/>
        <w:jc w:val="both"/>
        <w:rPr>
          <w:rFonts w:ascii="Times New Roman" w:eastAsia="Times New Roman" w:hAnsi="Times New Roman" w:cs="Times New Roman"/>
          <w:sz w:val="24"/>
          <w:szCs w:val="24"/>
          <w:lang w:val="en-GB" w:eastAsia="fr-FR"/>
        </w:rPr>
      </w:pPr>
      <w:r w:rsidRPr="00FB473D">
        <w:rPr>
          <w:rFonts w:ascii="Times New Roman" w:eastAsia="Times New Roman" w:hAnsi="Times New Roman" w:cs="Times New Roman"/>
          <w:sz w:val="24"/>
          <w:szCs w:val="24"/>
          <w:lang w:val="en-GB" w:eastAsia="fr-FR"/>
        </w:rPr>
        <w:t>Bisphenol A</w:t>
      </w:r>
    </w:p>
    <w:p w:rsidR="00FB473D" w:rsidRPr="00FB473D" w:rsidRDefault="00DB3F2B" w:rsidP="005F5FC5">
      <w:pPr>
        <w:spacing w:after="0" w:line="240" w:lineRule="auto"/>
        <w:ind w:left="-720" w:firstLine="709"/>
        <w:jc w:val="both"/>
        <w:rPr>
          <w:rFonts w:ascii="Times New Roman" w:eastAsia="Times New Roman" w:hAnsi="Times New Roman" w:cs="Times New Roman"/>
          <w:sz w:val="24"/>
          <w:szCs w:val="24"/>
          <w:lang w:val="en-GB" w:eastAsia="fr-FR"/>
        </w:rPr>
      </w:pPr>
      <w:r>
        <w:rPr>
          <w:rFonts w:ascii="Times New Roman" w:eastAsia="Times New Roman" w:hAnsi="Times New Roman" w:cs="Times New Roman"/>
          <w:noProof/>
          <w:sz w:val="24"/>
          <w:szCs w:val="24"/>
        </w:rPr>
        <w:drawing>
          <wp:inline distT="0" distB="0" distL="0" distR="0" wp14:anchorId="7E20A75E">
            <wp:extent cx="5474970" cy="199326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4970" cy="1993265"/>
                    </a:xfrm>
                    <a:prstGeom prst="rect">
                      <a:avLst/>
                    </a:prstGeom>
                    <a:noFill/>
                  </pic:spPr>
                </pic:pic>
              </a:graphicData>
            </a:graphic>
          </wp:inline>
        </w:drawing>
      </w:r>
    </w:p>
    <w:p w:rsidR="00FB473D" w:rsidRPr="00FB473D" w:rsidRDefault="00FB473D" w:rsidP="00FB473D">
      <w:pPr>
        <w:spacing w:after="0" w:line="480" w:lineRule="auto"/>
        <w:ind w:firstLine="709"/>
        <w:jc w:val="both"/>
        <w:rPr>
          <w:rFonts w:ascii="Times New Roman" w:eastAsia="Times New Roman" w:hAnsi="Times New Roman" w:cs="Times New Roman"/>
          <w:sz w:val="24"/>
          <w:szCs w:val="24"/>
          <w:lang w:val="en-GB" w:eastAsia="fr-FR"/>
        </w:rPr>
      </w:pPr>
    </w:p>
    <w:p w:rsidR="00FB473D" w:rsidRPr="00FB473D" w:rsidRDefault="00FB473D" w:rsidP="00FB473D">
      <w:pPr>
        <w:spacing w:after="200" w:line="276" w:lineRule="auto"/>
        <w:rPr>
          <w:rFonts w:ascii="Times New Roman" w:eastAsia="Times New Roman" w:hAnsi="Times New Roman" w:cs="Times New Roman"/>
          <w:sz w:val="24"/>
          <w:szCs w:val="24"/>
          <w:lang w:val="en-GB" w:eastAsia="fr-FR"/>
        </w:rPr>
      </w:pPr>
      <m:oMath>
        <m:r>
          <w:rPr>
            <w:rFonts w:ascii="Cambria Math" w:eastAsia="Times New Roman" w:hAnsi="Cambria Math" w:cs="Times New Roman"/>
            <w:sz w:val="24"/>
            <w:szCs w:val="24"/>
            <w:lang w:val="en-GB" w:eastAsia="fr-FR"/>
          </w:rPr>
          <m:t>X</m:t>
        </m:r>
      </m:oMath>
      <w:r w:rsidRPr="00FB473D">
        <w:rPr>
          <w:rFonts w:ascii="Times New Roman" w:eastAsia="Times New Roman" w:hAnsi="Times New Roman" w:cs="Times New Roman"/>
          <w:sz w:val="24"/>
          <w:szCs w:val="24"/>
          <w:lang w:val="en-GB" w:eastAsia="fr-FR"/>
        </w:rPr>
        <w:t xml:space="preserve"> is the </w:t>
      </w:r>
      <w:r w:rsidRPr="00FB473D">
        <w:rPr>
          <w:rFonts w:ascii="Times New Roman" w:eastAsia="Times New Roman" w:hAnsi="Times New Roman" w:cs="Times New Roman"/>
          <w:i/>
          <w:sz w:val="24"/>
          <w:szCs w:val="24"/>
          <w:lang w:val="en-GB" w:eastAsia="fr-FR"/>
        </w:rPr>
        <w:t>true</w:t>
      </w:r>
      <w:r w:rsidRPr="00FB473D">
        <w:rPr>
          <w:rFonts w:ascii="Times New Roman" w:eastAsia="Times New Roman" w:hAnsi="Times New Roman" w:cs="Times New Roman"/>
          <w:sz w:val="24"/>
          <w:szCs w:val="24"/>
          <w:lang w:val="en-GB" w:eastAsia="fr-FR"/>
        </w:rPr>
        <w:t xml:space="preserve"> unobserved average exposure and </w:t>
      </w:r>
      <m:oMath>
        <m:r>
          <w:rPr>
            <w:rFonts w:ascii="Cambria Math" w:eastAsia="Times New Roman" w:hAnsi="Cambria Math" w:cs="Times New Roman"/>
            <w:sz w:val="24"/>
            <w:szCs w:val="24"/>
            <w:lang w:val="en-GB" w:eastAsia="fr-FR"/>
          </w:rPr>
          <m:t>W</m:t>
        </m:r>
      </m:oMath>
      <w:r w:rsidRPr="00FB473D">
        <w:rPr>
          <w:rFonts w:ascii="Times New Roman" w:eastAsia="Times New Roman" w:hAnsi="Times New Roman" w:cs="Times New Roman"/>
          <w:sz w:val="24"/>
          <w:szCs w:val="24"/>
          <w:lang w:val="en-GB" w:eastAsia="fr-FR"/>
        </w:rPr>
        <w:t xml:space="preserve"> is the surrogate exposure measured with error (using one spot sample).</w:t>
      </w:r>
      <w:r w:rsidRPr="00FB473D">
        <w:rPr>
          <w:rFonts w:ascii="Times New Roman" w:eastAsia="Times New Roman" w:hAnsi="Times New Roman" w:cs="Times New Roman"/>
          <w:sz w:val="24"/>
          <w:szCs w:val="24"/>
          <w:lang w:val="en-GB" w:eastAsia="fr-FR"/>
        </w:rPr>
        <w:br w:type="page"/>
      </w:r>
    </w:p>
    <w:p w:rsidR="00FB473D" w:rsidRPr="0037061D" w:rsidRDefault="0037061D" w:rsidP="0037061D">
      <w:pPr>
        <w:pStyle w:val="Caption"/>
        <w:rPr>
          <w:rFonts w:ascii="Times New Roman" w:eastAsia="Times New Roman" w:hAnsi="Times New Roman" w:cs="Times New Roman"/>
          <w:i w:val="0"/>
          <w:color w:val="auto"/>
          <w:sz w:val="24"/>
          <w:szCs w:val="24"/>
          <w:lang w:val="en-GB" w:eastAsia="fr-FR"/>
        </w:rPr>
      </w:pPr>
      <w:bookmarkStart w:id="12" w:name="_Toc531343079"/>
      <w:proofErr w:type="spellStart"/>
      <w:r w:rsidRPr="0037061D">
        <w:rPr>
          <w:rFonts w:ascii="Times New Roman" w:hAnsi="Times New Roman" w:cs="Times New Roman"/>
          <w:b/>
          <w:i w:val="0"/>
          <w:color w:val="auto"/>
          <w:sz w:val="24"/>
          <w:szCs w:val="24"/>
        </w:rPr>
        <w:lastRenderedPageBreak/>
        <w:t>eFigure</w:t>
      </w:r>
      <w:proofErr w:type="spellEnd"/>
      <w:r w:rsidRPr="0037061D">
        <w:rPr>
          <w:rFonts w:ascii="Times New Roman" w:hAnsi="Times New Roman" w:cs="Times New Roman"/>
          <w:b/>
          <w:i w:val="0"/>
          <w:color w:val="auto"/>
          <w:sz w:val="24"/>
          <w:szCs w:val="24"/>
        </w:rPr>
        <w:t xml:space="preserve"> </w:t>
      </w:r>
      <w:r w:rsidRPr="0037061D">
        <w:rPr>
          <w:rFonts w:ascii="Times New Roman" w:hAnsi="Times New Roman" w:cs="Times New Roman"/>
          <w:b/>
          <w:i w:val="0"/>
          <w:color w:val="auto"/>
          <w:sz w:val="24"/>
          <w:szCs w:val="24"/>
        </w:rPr>
        <w:fldChar w:fldCharType="begin"/>
      </w:r>
      <w:r w:rsidRPr="0037061D">
        <w:rPr>
          <w:rFonts w:ascii="Times New Roman" w:hAnsi="Times New Roman" w:cs="Times New Roman"/>
          <w:b/>
          <w:i w:val="0"/>
          <w:color w:val="auto"/>
          <w:sz w:val="24"/>
          <w:szCs w:val="24"/>
        </w:rPr>
        <w:instrText xml:space="preserve"> SEQ eFigure \* ARABIC </w:instrText>
      </w:r>
      <w:r w:rsidRPr="0037061D">
        <w:rPr>
          <w:rFonts w:ascii="Times New Roman" w:hAnsi="Times New Roman" w:cs="Times New Roman"/>
          <w:b/>
          <w:i w:val="0"/>
          <w:color w:val="auto"/>
          <w:sz w:val="24"/>
          <w:szCs w:val="24"/>
        </w:rPr>
        <w:fldChar w:fldCharType="separate"/>
      </w:r>
      <w:r w:rsidR="0069578D">
        <w:rPr>
          <w:rFonts w:ascii="Times New Roman" w:hAnsi="Times New Roman" w:cs="Times New Roman"/>
          <w:b/>
          <w:i w:val="0"/>
          <w:noProof/>
          <w:color w:val="auto"/>
          <w:sz w:val="24"/>
          <w:szCs w:val="24"/>
        </w:rPr>
        <w:t>8</w:t>
      </w:r>
      <w:r w:rsidRPr="0037061D">
        <w:rPr>
          <w:rFonts w:ascii="Times New Roman" w:hAnsi="Times New Roman" w:cs="Times New Roman"/>
          <w:b/>
          <w:i w:val="0"/>
          <w:color w:val="auto"/>
          <w:sz w:val="24"/>
          <w:szCs w:val="24"/>
        </w:rPr>
        <w:fldChar w:fldCharType="end"/>
      </w:r>
      <w:r w:rsidRPr="0037061D">
        <w:rPr>
          <w:rFonts w:ascii="Times New Roman" w:hAnsi="Times New Roman" w:cs="Times New Roman"/>
          <w:b/>
          <w:i w:val="0"/>
          <w:color w:val="auto"/>
          <w:sz w:val="24"/>
          <w:szCs w:val="24"/>
        </w:rPr>
        <w:t>.</w:t>
      </w:r>
      <w:r w:rsidRPr="0037061D">
        <w:rPr>
          <w:rFonts w:ascii="Times New Roman" w:hAnsi="Times New Roman" w:cs="Times New Roman"/>
          <w:i w:val="0"/>
          <w:color w:val="auto"/>
          <w:sz w:val="24"/>
          <w:szCs w:val="24"/>
        </w:rPr>
        <w:t xml:space="preserve"> </w:t>
      </w:r>
      <w:r w:rsidR="00FB473D" w:rsidRPr="0037061D">
        <w:rPr>
          <w:rFonts w:ascii="Times New Roman" w:eastAsia="Times New Roman" w:hAnsi="Times New Roman" w:cs="Times New Roman"/>
          <w:i w:val="0"/>
          <w:color w:val="auto"/>
          <w:sz w:val="24"/>
          <w:szCs w:val="24"/>
          <w:lang w:val="en-GB" w:eastAsia="fr-FR"/>
        </w:rPr>
        <w:t>Examples of urinary concentrations of methylparaben (A) and bisphenol A (B) measured with error, for three subjects in one of our simulation runs.</w:t>
      </w:r>
      <w:bookmarkEnd w:id="12"/>
    </w:p>
    <w:p w:rsidR="00FB473D" w:rsidRPr="00FB473D" w:rsidRDefault="00FB473D" w:rsidP="00FB473D">
      <w:pPr>
        <w:spacing w:after="0" w:line="240" w:lineRule="auto"/>
        <w:jc w:val="both"/>
        <w:rPr>
          <w:rFonts w:ascii="Times New Roman" w:eastAsia="Times New Roman" w:hAnsi="Times New Roman" w:cs="Times New Roman"/>
          <w:sz w:val="24"/>
          <w:szCs w:val="24"/>
          <w:lang w:val="en-GB" w:eastAsia="fr-FR"/>
        </w:rPr>
      </w:pPr>
    </w:p>
    <w:p w:rsidR="00FB473D" w:rsidRPr="00FB473D" w:rsidRDefault="00FB473D" w:rsidP="00FB473D">
      <w:pPr>
        <w:spacing w:after="0" w:line="240" w:lineRule="auto"/>
        <w:jc w:val="both"/>
        <w:rPr>
          <w:rFonts w:ascii="Times New Roman" w:eastAsia="Times New Roman" w:hAnsi="Times New Roman" w:cs="Times New Roman"/>
          <w:sz w:val="24"/>
          <w:szCs w:val="24"/>
          <w:lang w:val="en-GB" w:eastAsia="fr-F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822"/>
      </w:tblGrid>
      <w:tr w:rsidR="00FB473D" w:rsidRPr="00FB473D" w:rsidTr="00CC7113">
        <w:trPr>
          <w:jc w:val="center"/>
        </w:trPr>
        <w:tc>
          <w:tcPr>
            <w:tcW w:w="3968" w:type="dxa"/>
          </w:tcPr>
          <w:p w:rsidR="00FB473D" w:rsidRPr="00FB473D" w:rsidRDefault="00FB473D" w:rsidP="00FB473D">
            <w:pPr>
              <w:numPr>
                <w:ilvl w:val="0"/>
                <w:numId w:val="2"/>
              </w:numPr>
              <w:contextualSpacing/>
              <w:jc w:val="both"/>
              <w:rPr>
                <w:lang w:val="en-GB"/>
              </w:rPr>
            </w:pPr>
            <w:r w:rsidRPr="00FB473D">
              <w:rPr>
                <w:lang w:val="en-GB"/>
              </w:rPr>
              <w:t>Methylparaben (ICC = 0.85)</w:t>
            </w:r>
          </w:p>
        </w:tc>
        <w:tc>
          <w:tcPr>
            <w:tcW w:w="3822" w:type="dxa"/>
          </w:tcPr>
          <w:p w:rsidR="00FB473D" w:rsidRPr="00FB473D" w:rsidRDefault="00FB473D" w:rsidP="00FB473D">
            <w:pPr>
              <w:numPr>
                <w:ilvl w:val="0"/>
                <w:numId w:val="2"/>
              </w:numPr>
              <w:contextualSpacing/>
              <w:jc w:val="both"/>
              <w:rPr>
                <w:lang w:val="en-GB"/>
              </w:rPr>
            </w:pPr>
            <w:r w:rsidRPr="00FB473D">
              <w:rPr>
                <w:lang w:val="en-GB"/>
              </w:rPr>
              <w:t>Bisphenol A (ICC = 0.38)</w:t>
            </w:r>
          </w:p>
        </w:tc>
      </w:tr>
    </w:tbl>
    <w:p w:rsidR="00FB473D" w:rsidRPr="00FB473D" w:rsidRDefault="00FB1AF5" w:rsidP="00FB473D">
      <w:pPr>
        <w:spacing w:after="200" w:line="276" w:lineRule="auto"/>
        <w:ind w:firstLine="709"/>
        <w:jc w:val="center"/>
        <w:rPr>
          <w:rFonts w:ascii="Times New Roman" w:eastAsia="Times New Roman" w:hAnsi="Times New Roman" w:cs="Times New Roman"/>
          <w:sz w:val="24"/>
          <w:szCs w:val="24"/>
          <w:lang w:val="en-GB" w:eastAsia="fr-FR"/>
        </w:rPr>
      </w:pPr>
      <w:r w:rsidRPr="00EE7975">
        <w:rPr>
          <w:noProof/>
        </w:rPr>
        <w:drawing>
          <wp:inline distT="0" distB="0" distL="0" distR="0" wp14:anchorId="0429BA14" wp14:editId="4FD43861">
            <wp:extent cx="2462740" cy="1800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62740" cy="1800000"/>
                    </a:xfrm>
                    <a:prstGeom prst="rect">
                      <a:avLst/>
                    </a:prstGeom>
                    <a:noFill/>
                    <a:ln>
                      <a:noFill/>
                    </a:ln>
                  </pic:spPr>
                </pic:pic>
              </a:graphicData>
            </a:graphic>
          </wp:inline>
        </w:drawing>
      </w:r>
      <w:r w:rsidRPr="00EE7975">
        <w:rPr>
          <w:noProof/>
        </w:rPr>
        <w:drawing>
          <wp:inline distT="0" distB="0" distL="0" distR="0" wp14:anchorId="7CCCEAE8" wp14:editId="5C5CC44F">
            <wp:extent cx="2462740" cy="1800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2740" cy="1800000"/>
                    </a:xfrm>
                    <a:prstGeom prst="rect">
                      <a:avLst/>
                    </a:prstGeom>
                    <a:noFill/>
                    <a:ln>
                      <a:noFill/>
                    </a:ln>
                  </pic:spPr>
                </pic:pic>
              </a:graphicData>
            </a:graphic>
          </wp:inline>
        </w:drawing>
      </w:r>
    </w:p>
    <w:p w:rsidR="00FB473D" w:rsidRPr="00FB473D" w:rsidRDefault="00FB473D" w:rsidP="00FB473D">
      <w:pPr>
        <w:spacing w:after="200" w:line="276" w:lineRule="auto"/>
        <w:rPr>
          <w:rFonts w:ascii="Times New Roman" w:eastAsia="Times New Roman" w:hAnsi="Times New Roman" w:cs="Times New Roman"/>
          <w:sz w:val="24"/>
          <w:szCs w:val="24"/>
          <w:lang w:val="en-GB" w:eastAsia="fr-FR"/>
        </w:rPr>
      </w:pPr>
    </w:p>
    <w:p w:rsidR="00FB473D" w:rsidRPr="00FB473D" w:rsidRDefault="00FB473D" w:rsidP="00FB473D">
      <w:pPr>
        <w:spacing w:after="200" w:line="276" w:lineRule="auto"/>
        <w:rPr>
          <w:rFonts w:ascii="Times New Roman" w:eastAsia="Times New Roman" w:hAnsi="Times New Roman" w:cs="Times New Roman"/>
          <w:sz w:val="24"/>
          <w:szCs w:val="24"/>
          <w:lang w:val="en-GB" w:eastAsia="fr-FR"/>
        </w:rPr>
      </w:pPr>
      <w:r w:rsidRPr="00FB473D">
        <w:rPr>
          <w:rFonts w:ascii="Times New Roman" w:eastAsia="Times New Roman" w:hAnsi="Times New Roman" w:cs="Times New Roman"/>
          <w:sz w:val="24"/>
          <w:szCs w:val="24"/>
          <w:lang w:val="en-GB" w:eastAsia="fr-FR"/>
        </w:rPr>
        <w:t>The dashed lines display the true unobserved exposure average of urinary ln-concentrations of the corresponding chemical over a toxicologically relevant exposure window.</w:t>
      </w:r>
    </w:p>
    <w:p w:rsidR="00FB473D" w:rsidRPr="00FB473D" w:rsidRDefault="00FB473D" w:rsidP="00FB473D">
      <w:pPr>
        <w:spacing w:after="0" w:line="480" w:lineRule="auto"/>
        <w:ind w:right="-450"/>
        <w:jc w:val="both"/>
        <w:rPr>
          <w:rFonts w:ascii="Times New Roman" w:eastAsia="Times New Roman" w:hAnsi="Times New Roman" w:cs="Times New Roman"/>
          <w:sz w:val="24"/>
          <w:szCs w:val="24"/>
          <w:lang w:val="en-GB" w:eastAsia="fr-FR"/>
        </w:rPr>
      </w:pPr>
    </w:p>
    <w:p w:rsidR="00FB473D" w:rsidRPr="00FB473D" w:rsidRDefault="00FB473D" w:rsidP="00FB473D">
      <w:pPr>
        <w:spacing w:after="0" w:line="360" w:lineRule="auto"/>
        <w:jc w:val="both"/>
        <w:rPr>
          <w:rFonts w:ascii="Times New Roman" w:eastAsia="Times New Roman" w:hAnsi="Times New Roman" w:cs="Times New Roman"/>
          <w:sz w:val="24"/>
          <w:szCs w:val="24"/>
          <w:lang w:val="en-GB" w:eastAsia="fr-FR"/>
        </w:rPr>
      </w:pPr>
    </w:p>
    <w:sectPr w:rsidR="00FB473D" w:rsidRPr="00FB473D" w:rsidSect="00CC7113">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BF1" w:rsidRDefault="00AA4BF1" w:rsidP="0029379D">
      <w:pPr>
        <w:spacing w:after="0" w:line="240" w:lineRule="auto"/>
      </w:pPr>
      <w:r>
        <w:separator/>
      </w:r>
    </w:p>
  </w:endnote>
  <w:endnote w:type="continuationSeparator" w:id="0">
    <w:p w:rsidR="00AA4BF1" w:rsidRDefault="00AA4BF1" w:rsidP="0029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74586"/>
      <w:docPartObj>
        <w:docPartGallery w:val="Page Numbers (Bottom of Page)"/>
        <w:docPartUnique/>
      </w:docPartObj>
    </w:sdtPr>
    <w:sdtEndPr>
      <w:rPr>
        <w:rFonts w:ascii="Times New Roman" w:hAnsi="Times New Roman" w:cs="Times New Roman"/>
      </w:rPr>
    </w:sdtEndPr>
    <w:sdtContent>
      <w:p w:rsidR="00383CF9" w:rsidRPr="0029379D" w:rsidRDefault="00383CF9">
        <w:pPr>
          <w:pStyle w:val="Footer"/>
          <w:jc w:val="right"/>
          <w:rPr>
            <w:rFonts w:ascii="Times New Roman" w:hAnsi="Times New Roman" w:cs="Times New Roman"/>
          </w:rPr>
        </w:pPr>
        <w:r w:rsidRPr="0029379D">
          <w:rPr>
            <w:rFonts w:ascii="Times New Roman" w:hAnsi="Times New Roman" w:cs="Times New Roman"/>
          </w:rPr>
          <w:fldChar w:fldCharType="begin"/>
        </w:r>
        <w:r w:rsidRPr="0029379D">
          <w:rPr>
            <w:rFonts w:ascii="Times New Roman" w:hAnsi="Times New Roman" w:cs="Times New Roman"/>
          </w:rPr>
          <w:instrText>PAGE   \* MERGEFORMAT</w:instrText>
        </w:r>
        <w:r w:rsidRPr="0029379D">
          <w:rPr>
            <w:rFonts w:ascii="Times New Roman" w:hAnsi="Times New Roman" w:cs="Times New Roman"/>
          </w:rPr>
          <w:fldChar w:fldCharType="separate"/>
        </w:r>
        <w:r w:rsidR="006A1BBC" w:rsidRPr="006A1BBC">
          <w:rPr>
            <w:rFonts w:ascii="Times New Roman" w:hAnsi="Times New Roman" w:cs="Times New Roman"/>
            <w:noProof/>
            <w:lang w:val="fr-FR"/>
          </w:rPr>
          <w:t>2</w:t>
        </w:r>
        <w:r w:rsidRPr="0029379D">
          <w:rPr>
            <w:rFonts w:ascii="Times New Roman" w:hAnsi="Times New Roman" w:cs="Times New Roman"/>
          </w:rPr>
          <w:fldChar w:fldCharType="end"/>
        </w:r>
      </w:p>
    </w:sdtContent>
  </w:sdt>
  <w:p w:rsidR="00383CF9" w:rsidRDefault="00383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BF1" w:rsidRDefault="00AA4BF1" w:rsidP="0029379D">
      <w:pPr>
        <w:spacing w:after="0" w:line="240" w:lineRule="auto"/>
      </w:pPr>
      <w:r>
        <w:separator/>
      </w:r>
    </w:p>
  </w:footnote>
  <w:footnote w:type="continuationSeparator" w:id="0">
    <w:p w:rsidR="00AA4BF1" w:rsidRDefault="00AA4BF1" w:rsidP="00293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0FF"/>
    <w:multiLevelType w:val="hybridMultilevel"/>
    <w:tmpl w:val="B6489968"/>
    <w:lvl w:ilvl="0" w:tplc="7FD8ED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793EAD"/>
    <w:multiLevelType w:val="hybridMultilevel"/>
    <w:tmpl w:val="655E25E8"/>
    <w:lvl w:ilvl="0" w:tplc="ADDED1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03"/>
    <w:rsid w:val="00074981"/>
    <w:rsid w:val="00080B5B"/>
    <w:rsid w:val="001D5603"/>
    <w:rsid w:val="0029379D"/>
    <w:rsid w:val="00300127"/>
    <w:rsid w:val="0032780E"/>
    <w:rsid w:val="0037061D"/>
    <w:rsid w:val="00383CF9"/>
    <w:rsid w:val="003A5B6E"/>
    <w:rsid w:val="00474B65"/>
    <w:rsid w:val="00540053"/>
    <w:rsid w:val="00554A8F"/>
    <w:rsid w:val="005B5FCC"/>
    <w:rsid w:val="005F5FC5"/>
    <w:rsid w:val="006512AA"/>
    <w:rsid w:val="0069578D"/>
    <w:rsid w:val="006A1BBC"/>
    <w:rsid w:val="00803CAF"/>
    <w:rsid w:val="0083269E"/>
    <w:rsid w:val="009133F6"/>
    <w:rsid w:val="00926DBC"/>
    <w:rsid w:val="009E4EC1"/>
    <w:rsid w:val="00AA4BF1"/>
    <w:rsid w:val="00B12F4A"/>
    <w:rsid w:val="00BC3DD7"/>
    <w:rsid w:val="00C32816"/>
    <w:rsid w:val="00C5796F"/>
    <w:rsid w:val="00CC7113"/>
    <w:rsid w:val="00DB3F2B"/>
    <w:rsid w:val="00F06D9C"/>
    <w:rsid w:val="00FB1AF5"/>
    <w:rsid w:val="00FB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7F3A5-466E-491B-9BF9-48315747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6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73D"/>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474B65"/>
    <w:pPr>
      <w:tabs>
        <w:tab w:val="left" w:pos="504"/>
      </w:tabs>
      <w:spacing w:after="240" w:line="240" w:lineRule="auto"/>
      <w:ind w:left="504" w:hanging="504"/>
    </w:pPr>
  </w:style>
  <w:style w:type="paragraph" w:styleId="Caption">
    <w:name w:val="caption"/>
    <w:basedOn w:val="Normal"/>
    <w:next w:val="Normal"/>
    <w:uiPriority w:val="35"/>
    <w:unhideWhenUsed/>
    <w:qFormat/>
    <w:rsid w:val="0037061D"/>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37061D"/>
    <w:pPr>
      <w:spacing w:after="0"/>
    </w:pPr>
  </w:style>
  <w:style w:type="character" w:styleId="Hyperlink">
    <w:name w:val="Hyperlink"/>
    <w:basedOn w:val="DefaultParagraphFont"/>
    <w:uiPriority w:val="99"/>
    <w:unhideWhenUsed/>
    <w:rsid w:val="0037061D"/>
    <w:rPr>
      <w:color w:val="0563C1" w:themeColor="hyperlink"/>
      <w:u w:val="single"/>
    </w:rPr>
  </w:style>
  <w:style w:type="character" w:customStyle="1" w:styleId="Heading1Char">
    <w:name w:val="Heading 1 Char"/>
    <w:basedOn w:val="DefaultParagraphFont"/>
    <w:link w:val="Heading1"/>
    <w:uiPriority w:val="9"/>
    <w:rsid w:val="0037061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7061D"/>
    <w:pPr>
      <w:outlineLvl w:val="9"/>
    </w:pPr>
    <w:rPr>
      <w:lang w:val="fr-FR" w:eastAsia="fr-FR"/>
    </w:rPr>
  </w:style>
  <w:style w:type="paragraph" w:styleId="Header">
    <w:name w:val="header"/>
    <w:basedOn w:val="Normal"/>
    <w:link w:val="HeaderChar"/>
    <w:uiPriority w:val="99"/>
    <w:unhideWhenUsed/>
    <w:rsid w:val="002937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379D"/>
  </w:style>
  <w:style w:type="paragraph" w:styleId="Footer">
    <w:name w:val="footer"/>
    <w:basedOn w:val="Normal"/>
    <w:link w:val="FooterChar"/>
    <w:uiPriority w:val="99"/>
    <w:unhideWhenUsed/>
    <w:rsid w:val="002937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379D"/>
  </w:style>
  <w:style w:type="paragraph" w:styleId="BalloonText">
    <w:name w:val="Balloon Text"/>
    <w:basedOn w:val="Normal"/>
    <w:link w:val="BalloonTextChar"/>
    <w:uiPriority w:val="99"/>
    <w:semiHidden/>
    <w:unhideWhenUsed/>
    <w:rsid w:val="009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2765B-D827-41A8-8959-82AA558F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8275</Words>
  <Characters>47169</Characters>
  <Application>Microsoft Office Word</Application>
  <DocSecurity>4</DocSecurity>
  <Lines>393</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Vernet</dc:creator>
  <cp:keywords/>
  <dc:description/>
  <cp:lastModifiedBy>Calafat, Antonia M. (CDC/DDNID/NCEH/DLS)</cp:lastModifiedBy>
  <cp:revision>2</cp:revision>
  <dcterms:created xsi:type="dcterms:W3CDTF">2019-12-03T18:00:00Z</dcterms:created>
  <dcterms:modified xsi:type="dcterms:W3CDTF">2019-12-03T18:00:00Z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id="aAzz16MF"/&gt;&lt;style id="http://www.zotero.org/styles/epidemiology" hasBibliography="1" bibliographyStyleHasBeenSet="1"/&gt;&lt;prefs&gt;&lt;pref name="fieldType" value="Field"/&gt;&lt;pref name="automaticJournalAbbr</vt:lpwstr>
  </property>
  <property fmtid="{D5CDD505-2E9C-101B-9397-08002B2CF9AE}" pid="3" name="ZOTERO_PREF_2">
    <vt:lpwstr>eviations" value="true"/&gt;&lt;/prefs&gt;&lt;/data&gt;</vt:lpwstr>
  </property>
</Properties>
</file>