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2CA84" w14:textId="77777777" w:rsidR="006E4744" w:rsidRDefault="006E4744" w:rsidP="006E4744">
      <w:pPr>
        <w:jc w:val="center"/>
        <w:rPr>
          <w:rFonts w:ascii="Palatino Linotype" w:hAnsi="Palatino Linotype"/>
          <w:smallCaps/>
          <w:sz w:val="36"/>
        </w:rPr>
      </w:pPr>
      <w:r>
        <w:rPr>
          <w:rFonts w:ascii="Palatino Linotype" w:hAnsi="Palatino Linotype"/>
          <w:smallCaps/>
          <w:sz w:val="36"/>
        </w:rPr>
        <w:t>Supplementary Appendix</w:t>
      </w:r>
    </w:p>
    <w:p w14:paraId="7900037D" w14:textId="77777777" w:rsidR="006E4744" w:rsidRDefault="006E4744" w:rsidP="006E4744">
      <w:pPr>
        <w:rPr>
          <w:rFonts w:ascii="Palatino Linotype" w:hAnsi="Palatino Linotype"/>
          <w:smallCaps/>
          <w:sz w:val="36"/>
        </w:rPr>
      </w:pPr>
      <w:r>
        <w:rPr>
          <w:rFonts w:ascii="Palatino Linotype" w:hAnsi="Palatino Linotype"/>
          <w:smallCaps/>
          <w:sz w:val="36"/>
        </w:rPr>
        <w:br w:type="page"/>
      </w:r>
    </w:p>
    <w:p w14:paraId="1092D4F0" w14:textId="77777777" w:rsidR="006E4744" w:rsidRDefault="006E4744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lastRenderedPageBreak/>
        <w:t xml:space="preserve">Supplementary </w:t>
      </w:r>
      <w:r w:rsidRPr="00040A9A">
        <w:rPr>
          <w:rFonts w:ascii="Palatino Linotype" w:hAnsi="Palatino Linotype"/>
          <w:b/>
          <w:bCs/>
        </w:rPr>
        <w:t xml:space="preserve">Figure </w:t>
      </w:r>
      <w:r>
        <w:rPr>
          <w:rFonts w:ascii="Palatino Linotype" w:hAnsi="Palatino Linotype"/>
          <w:b/>
          <w:bCs/>
        </w:rPr>
        <w:t>1</w:t>
      </w:r>
      <w:r w:rsidRPr="00040A9A">
        <w:rPr>
          <w:rFonts w:ascii="Palatino Linotype" w:hAnsi="Palatino Linotype"/>
          <w:b/>
          <w:bCs/>
        </w:rPr>
        <w:t xml:space="preserve">. Naloxone coverage equity trends by percentage of </w:t>
      </w:r>
      <w:r>
        <w:rPr>
          <w:rFonts w:ascii="Palatino Linotype" w:hAnsi="Palatino Linotype"/>
          <w:b/>
          <w:bCs/>
        </w:rPr>
        <w:t>African American/Black</w:t>
      </w:r>
      <w:r w:rsidRPr="00040A9A">
        <w:rPr>
          <w:rFonts w:ascii="Palatino Linotype" w:hAnsi="Palatino Linotype"/>
          <w:b/>
          <w:bCs/>
        </w:rPr>
        <w:t xml:space="preserve"> residents per municipality in </w:t>
      </w:r>
      <w:r>
        <w:rPr>
          <w:rFonts w:ascii="Palatino Linotype" w:hAnsi="Palatino Linotype"/>
          <w:b/>
          <w:bCs/>
        </w:rPr>
        <w:t>Massachusetts</w:t>
      </w:r>
      <w:r w:rsidRPr="00040A9A">
        <w:rPr>
          <w:rFonts w:ascii="Palatino Linotype" w:hAnsi="Palatino Linotype"/>
          <w:b/>
          <w:bCs/>
        </w:rPr>
        <w:t>, 2016-2018.</w:t>
      </w:r>
    </w:p>
    <w:p w14:paraId="6BFFBED8" w14:textId="2576B0B8" w:rsidR="006E4744" w:rsidRPr="00040A9A" w:rsidRDefault="003F2185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  <w:noProof/>
        </w:rPr>
        <w:drawing>
          <wp:inline distT="0" distB="0" distL="0" distR="0" wp14:anchorId="55664FF2" wp14:editId="76C15DD6">
            <wp:extent cx="5943600" cy="40093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657F" w14:textId="77777777" w:rsidR="006E4744" w:rsidRDefault="006E4744" w:rsidP="006E4744">
      <w:pPr>
        <w:spacing w:line="480" w:lineRule="auto"/>
        <w:rPr>
          <w:rFonts w:ascii="Palatino Linotype" w:hAnsi="Palatino Linotype"/>
          <w:sz w:val="28"/>
        </w:rPr>
      </w:pPr>
      <w:r>
        <w:rPr>
          <w:rFonts w:ascii="Palatino Linotype" w:hAnsi="Palatino Linotype"/>
          <w:sz w:val="28"/>
        </w:rPr>
        <w:br w:type="page"/>
      </w:r>
    </w:p>
    <w:p w14:paraId="13C78AE3" w14:textId="77777777" w:rsidR="006E4744" w:rsidRDefault="006E4744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lastRenderedPageBreak/>
        <w:t xml:space="preserve">Supplementary </w:t>
      </w:r>
      <w:r w:rsidRPr="00040A9A">
        <w:rPr>
          <w:rFonts w:ascii="Palatino Linotype" w:hAnsi="Palatino Linotype"/>
          <w:b/>
          <w:bCs/>
        </w:rPr>
        <w:t xml:space="preserve">Figure </w:t>
      </w:r>
      <w:r>
        <w:rPr>
          <w:rFonts w:ascii="Palatino Linotype" w:hAnsi="Palatino Linotype"/>
          <w:b/>
          <w:bCs/>
        </w:rPr>
        <w:t>2</w:t>
      </w:r>
      <w:r w:rsidRPr="00040A9A">
        <w:rPr>
          <w:rFonts w:ascii="Palatino Linotype" w:hAnsi="Palatino Linotype"/>
          <w:b/>
          <w:bCs/>
        </w:rPr>
        <w:t xml:space="preserve">. Naloxone coverage equity trends by percentage of </w:t>
      </w:r>
      <w:r>
        <w:rPr>
          <w:rFonts w:ascii="Palatino Linotype" w:hAnsi="Palatino Linotype"/>
          <w:b/>
          <w:bCs/>
        </w:rPr>
        <w:t>African American/Black</w:t>
      </w:r>
      <w:r w:rsidRPr="00040A9A">
        <w:rPr>
          <w:rFonts w:ascii="Palatino Linotype" w:hAnsi="Palatino Linotype"/>
          <w:b/>
          <w:bCs/>
        </w:rPr>
        <w:t xml:space="preserve"> residents per municipality in Rhode Island, 2016-2018.</w:t>
      </w:r>
    </w:p>
    <w:p w14:paraId="6927E075" w14:textId="2A3530BF" w:rsidR="006E4744" w:rsidRDefault="003F2185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  <w:noProof/>
        </w:rPr>
        <w:drawing>
          <wp:inline distT="0" distB="0" distL="0" distR="0" wp14:anchorId="559BCF3A" wp14:editId="77B02001">
            <wp:extent cx="5943600" cy="40093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D8F9" w14:textId="77777777" w:rsidR="006E4744" w:rsidRDefault="006E4744" w:rsidP="006E4744">
      <w:pPr>
        <w:spacing w:line="480" w:lineRule="auto"/>
        <w:rPr>
          <w:rFonts w:ascii="Palatino Linotype" w:hAnsi="Palatino Linotype"/>
          <w:sz w:val="28"/>
        </w:rPr>
      </w:pPr>
      <w:r>
        <w:rPr>
          <w:rFonts w:ascii="Palatino Linotype" w:hAnsi="Palatino Linotype"/>
          <w:sz w:val="28"/>
        </w:rPr>
        <w:br w:type="page"/>
      </w:r>
    </w:p>
    <w:p w14:paraId="1BC29496" w14:textId="77777777" w:rsidR="006E4744" w:rsidRDefault="006E4744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lastRenderedPageBreak/>
        <w:t xml:space="preserve">Supplementary </w:t>
      </w:r>
      <w:r w:rsidRPr="00040A9A">
        <w:rPr>
          <w:rFonts w:ascii="Palatino Linotype" w:hAnsi="Palatino Linotype"/>
          <w:b/>
          <w:bCs/>
        </w:rPr>
        <w:t xml:space="preserve">Figure </w:t>
      </w:r>
      <w:r>
        <w:rPr>
          <w:rFonts w:ascii="Palatino Linotype" w:hAnsi="Palatino Linotype"/>
          <w:b/>
          <w:bCs/>
        </w:rPr>
        <w:t>3</w:t>
      </w:r>
      <w:r w:rsidRPr="00040A9A">
        <w:rPr>
          <w:rFonts w:ascii="Palatino Linotype" w:hAnsi="Palatino Linotype"/>
          <w:b/>
          <w:bCs/>
        </w:rPr>
        <w:t xml:space="preserve">. Naloxone coverage equity trends by percentage of </w:t>
      </w:r>
      <w:r>
        <w:rPr>
          <w:rFonts w:ascii="Palatino Linotype" w:hAnsi="Palatino Linotype"/>
          <w:b/>
          <w:bCs/>
        </w:rPr>
        <w:t>Hispanic</w:t>
      </w:r>
      <w:r w:rsidRPr="00040A9A">
        <w:rPr>
          <w:rFonts w:ascii="Palatino Linotype" w:hAnsi="Palatino Linotype"/>
          <w:b/>
          <w:bCs/>
        </w:rPr>
        <w:t xml:space="preserve"> residents per municipality in </w:t>
      </w:r>
      <w:r>
        <w:rPr>
          <w:rFonts w:ascii="Palatino Linotype" w:hAnsi="Palatino Linotype"/>
          <w:b/>
          <w:bCs/>
        </w:rPr>
        <w:t>Massachusetts</w:t>
      </w:r>
      <w:r w:rsidRPr="00040A9A">
        <w:rPr>
          <w:rFonts w:ascii="Palatino Linotype" w:hAnsi="Palatino Linotype"/>
          <w:b/>
          <w:bCs/>
        </w:rPr>
        <w:t>, 2016-2018.</w:t>
      </w:r>
    </w:p>
    <w:p w14:paraId="12CB06F3" w14:textId="29E3013C" w:rsidR="006E4744" w:rsidRDefault="003F2185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  <w:noProof/>
        </w:rPr>
        <w:drawing>
          <wp:inline distT="0" distB="0" distL="0" distR="0" wp14:anchorId="04B331A5" wp14:editId="358E3603">
            <wp:extent cx="5943600" cy="40093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648F" w14:textId="77777777" w:rsidR="006E4744" w:rsidRDefault="006E4744" w:rsidP="006E4744">
      <w:pPr>
        <w:spacing w:line="480" w:lineRule="auto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br w:type="page"/>
      </w:r>
    </w:p>
    <w:p w14:paraId="68DC71FA" w14:textId="77777777" w:rsidR="006E4744" w:rsidRDefault="006E4744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lastRenderedPageBreak/>
        <w:t xml:space="preserve">Supplementary </w:t>
      </w:r>
      <w:r w:rsidRPr="00040A9A">
        <w:rPr>
          <w:rFonts w:ascii="Palatino Linotype" w:hAnsi="Palatino Linotype"/>
          <w:b/>
          <w:bCs/>
        </w:rPr>
        <w:t xml:space="preserve">Figure </w:t>
      </w:r>
      <w:r>
        <w:rPr>
          <w:rFonts w:ascii="Palatino Linotype" w:hAnsi="Palatino Linotype"/>
          <w:b/>
          <w:bCs/>
        </w:rPr>
        <w:t>4</w:t>
      </w:r>
      <w:r w:rsidRPr="00040A9A">
        <w:rPr>
          <w:rFonts w:ascii="Palatino Linotype" w:hAnsi="Palatino Linotype"/>
          <w:b/>
          <w:bCs/>
        </w:rPr>
        <w:t xml:space="preserve">. Naloxone coverage equity trends by percentage of </w:t>
      </w:r>
      <w:r>
        <w:rPr>
          <w:rFonts w:ascii="Palatino Linotype" w:hAnsi="Palatino Linotype"/>
          <w:b/>
          <w:bCs/>
        </w:rPr>
        <w:t>Hispanic</w:t>
      </w:r>
      <w:r w:rsidRPr="00040A9A">
        <w:rPr>
          <w:rFonts w:ascii="Palatino Linotype" w:hAnsi="Palatino Linotype"/>
          <w:b/>
          <w:bCs/>
        </w:rPr>
        <w:t xml:space="preserve"> residents per municipality in </w:t>
      </w:r>
      <w:r>
        <w:rPr>
          <w:rFonts w:ascii="Palatino Linotype" w:hAnsi="Palatino Linotype"/>
          <w:b/>
          <w:bCs/>
        </w:rPr>
        <w:t>Rhode Island</w:t>
      </w:r>
      <w:r w:rsidRPr="00040A9A">
        <w:rPr>
          <w:rFonts w:ascii="Palatino Linotype" w:hAnsi="Palatino Linotype"/>
          <w:b/>
          <w:bCs/>
        </w:rPr>
        <w:t>, 2016-2018.</w:t>
      </w:r>
    </w:p>
    <w:p w14:paraId="6C0D6E37" w14:textId="075979ED" w:rsidR="006E4744" w:rsidRDefault="003F2185" w:rsidP="006E4744">
      <w:pPr>
        <w:widowControl w:val="0"/>
        <w:spacing w:line="480" w:lineRule="auto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  <w:noProof/>
        </w:rPr>
        <w:drawing>
          <wp:inline distT="0" distB="0" distL="0" distR="0" wp14:anchorId="0EA72DC7" wp14:editId="67AC4D9D">
            <wp:extent cx="5943600" cy="40093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317C" w14:textId="77777777" w:rsidR="006E4744" w:rsidRPr="008B1AD6" w:rsidRDefault="006E4744" w:rsidP="006E4744">
      <w:pPr>
        <w:rPr>
          <w:rFonts w:ascii="Palatino Linotype" w:hAnsi="Palatino Linotype"/>
          <w:sz w:val="28"/>
        </w:rPr>
      </w:pPr>
    </w:p>
    <w:p w14:paraId="6B594579" w14:textId="77777777" w:rsidR="006E4744" w:rsidRPr="00F21AB3" w:rsidRDefault="006E4744" w:rsidP="006E4744"/>
    <w:p w14:paraId="5ACB3495" w14:textId="77777777" w:rsidR="006E4744" w:rsidRPr="008B1AD6" w:rsidRDefault="006E4744" w:rsidP="006E4744">
      <w:pPr>
        <w:rPr>
          <w:rFonts w:ascii="Palatino Linotype" w:hAnsi="Palatino Linotype"/>
          <w:sz w:val="28"/>
        </w:rPr>
      </w:pPr>
    </w:p>
    <w:p w14:paraId="40AD1B42" w14:textId="2CCAB37A" w:rsidR="00AA3514" w:rsidRDefault="00AA3514">
      <w:r>
        <w:br w:type="page"/>
      </w:r>
    </w:p>
    <w:tbl>
      <w:tblPr>
        <w:tblStyle w:val="TableGrid"/>
        <w:tblW w:w="1026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4"/>
        <w:gridCol w:w="4556"/>
      </w:tblGrid>
      <w:tr w:rsidR="00AA3514" w:rsidRPr="00577F0B" w14:paraId="33BCED89" w14:textId="77777777" w:rsidTr="00AA3514">
        <w:trPr>
          <w:trHeight w:val="630"/>
        </w:trPr>
        <w:tc>
          <w:tcPr>
            <w:tcW w:w="10260" w:type="dxa"/>
            <w:gridSpan w:val="2"/>
          </w:tcPr>
          <w:p w14:paraId="72E419C1" w14:textId="4126016B" w:rsidR="00AA3514" w:rsidRPr="00F5390C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b/>
                <w:bCs/>
              </w:rPr>
              <w:lastRenderedPageBreak/>
              <w:t xml:space="preserve">Supplementary </w:t>
            </w:r>
            <w:r w:rsidRPr="00040A9A">
              <w:rPr>
                <w:rFonts w:ascii="Palatino Linotype" w:hAnsi="Palatino Linotype"/>
                <w:b/>
                <w:bCs/>
              </w:rPr>
              <w:t>Figure</w:t>
            </w:r>
            <w:r>
              <w:rPr>
                <w:rFonts w:ascii="Palatino Linotype" w:hAnsi="Palatino Linotype"/>
                <w:b/>
                <w:bCs/>
              </w:rPr>
              <w:t xml:space="preserve"> 5</w:t>
            </w:r>
            <w:r w:rsidRPr="00F5390C">
              <w:rPr>
                <w:rFonts w:ascii="Palatino Linotype" w:hAnsi="Palatino Linotype"/>
                <w:b/>
                <w:bCs/>
                <w:noProof/>
              </w:rPr>
              <w:t xml:space="preserve">. Naloxone coverage equity by distribution of </w:t>
            </w:r>
            <w:r>
              <w:rPr>
                <w:rFonts w:ascii="Palatino Linotype" w:hAnsi="Palatino Linotype"/>
                <w:b/>
                <w:bCs/>
                <w:noProof/>
              </w:rPr>
              <w:t>n</w:t>
            </w:r>
            <w:r w:rsidRPr="00F5390C">
              <w:rPr>
                <w:rFonts w:ascii="Palatino Linotype" w:hAnsi="Palatino Linotype"/>
                <w:b/>
                <w:bCs/>
                <w:noProof/>
              </w:rPr>
              <w:t>on-white residents per municipality in Massachusetts, 2016-2018</w:t>
            </w:r>
            <w:r>
              <w:rPr>
                <w:rFonts w:ascii="Palatino Linotype" w:hAnsi="Palatino Linotype"/>
                <w:b/>
                <w:bCs/>
                <w:noProof/>
              </w:rPr>
              <w:t>.</w:t>
            </w:r>
            <w:r>
              <w:rPr>
                <w:rFonts w:ascii="Palatino Linotype" w:hAnsi="Palatino Linotype"/>
                <w:noProof/>
              </w:rPr>
              <w:t xml:space="preserve"> </w:t>
            </w:r>
          </w:p>
        </w:tc>
      </w:tr>
      <w:tr w:rsidR="00AA3514" w:rsidRPr="00577F0B" w14:paraId="401454FE" w14:textId="77777777" w:rsidTr="00AA3514">
        <w:trPr>
          <w:trHeight w:val="3294"/>
        </w:trPr>
        <w:tc>
          <w:tcPr>
            <w:tcW w:w="5760" w:type="dxa"/>
          </w:tcPr>
          <w:p w14:paraId="71F17450" w14:textId="49DD75DC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 wp14:anchorId="4FFF4799" wp14:editId="014325FC">
                  <wp:extent cx="3200400" cy="2013701"/>
                  <wp:effectExtent l="0" t="0" r="0" b="5715"/>
                  <wp:docPr id="2" name="Picture 2" descr="A map of the worl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map of the world&#10;&#10;Description automatically generated with low confidenc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" t="3279" r="15395"/>
                          <a:stretch/>
                        </pic:blipFill>
                        <pic:spPr bwMode="auto">
                          <a:xfrm>
                            <a:off x="0" y="0"/>
                            <a:ext cx="3200400" cy="20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Merge w:val="restart"/>
          </w:tcPr>
          <w:p w14:paraId="57080F35" w14:textId="0ECFCC94" w:rsidR="00AA3514" w:rsidRPr="00577F0B" w:rsidRDefault="00353F10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 wp14:anchorId="54E8040F" wp14:editId="23B08D7F">
                  <wp:extent cx="2755127" cy="3017520"/>
                  <wp:effectExtent l="0" t="0" r="1270" b="5080"/>
                  <wp:docPr id="1" name="Picture 1" descr="Chart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timelin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27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C3EB1" w14:textId="77777777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</w:p>
          <w:p w14:paraId="013DEF5C" w14:textId="77777777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</w:p>
        </w:tc>
      </w:tr>
      <w:tr w:rsidR="00AA3514" w:rsidRPr="00577F0B" w14:paraId="798D9517" w14:textId="77777777" w:rsidTr="00AA3514">
        <w:trPr>
          <w:trHeight w:val="3078"/>
        </w:trPr>
        <w:tc>
          <w:tcPr>
            <w:tcW w:w="5760" w:type="dxa"/>
          </w:tcPr>
          <w:p w14:paraId="670D736E" w14:textId="7718539C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 wp14:anchorId="7B4C7F54" wp14:editId="3994D4E3">
                  <wp:extent cx="3200400" cy="1963199"/>
                  <wp:effectExtent l="0" t="0" r="0" b="5715"/>
                  <wp:docPr id="3" name="Picture 3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map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" t="4458" r="16850" b="3635"/>
                          <a:stretch/>
                        </pic:blipFill>
                        <pic:spPr bwMode="auto">
                          <a:xfrm>
                            <a:off x="0" y="0"/>
                            <a:ext cx="3200400" cy="196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Merge/>
          </w:tcPr>
          <w:p w14:paraId="0A12427E" w14:textId="77777777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  <w:noProof/>
              </w:rPr>
            </w:pPr>
          </w:p>
        </w:tc>
      </w:tr>
      <w:tr w:rsidR="00AA3514" w:rsidRPr="00577F0B" w14:paraId="60DB77AA" w14:textId="77777777" w:rsidTr="00AA3514">
        <w:trPr>
          <w:trHeight w:val="3312"/>
        </w:trPr>
        <w:tc>
          <w:tcPr>
            <w:tcW w:w="5760" w:type="dxa"/>
          </w:tcPr>
          <w:p w14:paraId="479D91D6" w14:textId="24189C95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 wp14:anchorId="5F3BBAB9" wp14:editId="34A0A7A5">
                  <wp:extent cx="3200400" cy="1991599"/>
                  <wp:effectExtent l="0" t="0" r="0" b="2540"/>
                  <wp:docPr id="6" name="Picture 6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map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r="15934" b="6425"/>
                          <a:stretch/>
                        </pic:blipFill>
                        <pic:spPr bwMode="auto">
                          <a:xfrm>
                            <a:off x="0" y="0"/>
                            <a:ext cx="3200400" cy="199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Merge/>
          </w:tcPr>
          <w:p w14:paraId="02F08999" w14:textId="77777777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  <w:noProof/>
              </w:rPr>
            </w:pPr>
          </w:p>
        </w:tc>
      </w:tr>
    </w:tbl>
    <w:p w14:paraId="77542A35" w14:textId="23F4A137" w:rsidR="00AA3514" w:rsidRDefault="00AA3514"/>
    <w:p w14:paraId="7AD98F6C" w14:textId="77777777" w:rsidR="00AA3514" w:rsidRDefault="00AA3514">
      <w:r>
        <w:br w:type="page"/>
      </w:r>
    </w:p>
    <w:tbl>
      <w:tblPr>
        <w:tblStyle w:val="TableGrid"/>
        <w:tblW w:w="1035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6"/>
      </w:tblGrid>
      <w:tr w:rsidR="00AA3514" w:rsidRPr="00577F0B" w14:paraId="0C69A7C8" w14:textId="77777777" w:rsidTr="00353F10">
        <w:trPr>
          <w:trHeight w:val="1080"/>
        </w:trPr>
        <w:tc>
          <w:tcPr>
            <w:tcW w:w="10350" w:type="dxa"/>
          </w:tcPr>
          <w:p w14:paraId="07601747" w14:textId="6B8E861B" w:rsidR="00AA3514" w:rsidRPr="00577F0B" w:rsidRDefault="00AA3514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b/>
                <w:bCs/>
              </w:rPr>
              <w:lastRenderedPageBreak/>
              <w:t xml:space="preserve">Supplementary </w:t>
            </w:r>
            <w:r w:rsidRPr="006536A2">
              <w:rPr>
                <w:rFonts w:ascii="Palatino Linotype" w:hAnsi="Palatino Linotype"/>
                <w:b/>
                <w:bCs/>
                <w:noProof/>
              </w:rPr>
              <w:t xml:space="preserve">Figure </w:t>
            </w:r>
            <w:r>
              <w:rPr>
                <w:rFonts w:ascii="Palatino Linotype" w:hAnsi="Palatino Linotype"/>
                <w:b/>
                <w:bCs/>
                <w:noProof/>
              </w:rPr>
              <w:t>6</w:t>
            </w:r>
            <w:r w:rsidRPr="006536A2">
              <w:rPr>
                <w:rFonts w:ascii="Palatino Linotype" w:hAnsi="Palatino Linotype"/>
                <w:b/>
                <w:bCs/>
                <w:noProof/>
              </w:rPr>
              <w:t xml:space="preserve">. Naloxone coverage equity by distribution of </w:t>
            </w:r>
            <w:r>
              <w:rPr>
                <w:rFonts w:ascii="Palatino Linotype" w:hAnsi="Palatino Linotype"/>
                <w:b/>
                <w:bCs/>
                <w:noProof/>
              </w:rPr>
              <w:t>n</w:t>
            </w:r>
            <w:r w:rsidRPr="006536A2">
              <w:rPr>
                <w:rFonts w:ascii="Palatino Linotype" w:hAnsi="Palatino Linotype"/>
                <w:b/>
                <w:bCs/>
                <w:noProof/>
              </w:rPr>
              <w:t>on-white residents per municipality in Rhode Island, 2016-2018</w:t>
            </w:r>
            <w:r>
              <w:rPr>
                <w:rFonts w:ascii="Palatino Linotype" w:hAnsi="Palatino Linotype"/>
                <w:noProof/>
              </w:rPr>
              <w:t>.</w:t>
            </w:r>
          </w:p>
        </w:tc>
      </w:tr>
      <w:tr w:rsidR="00AA3514" w:rsidRPr="00577F0B" w14:paraId="29678D5C" w14:textId="77777777" w:rsidTr="00353F10">
        <w:trPr>
          <w:trHeight w:val="5535"/>
        </w:trPr>
        <w:tc>
          <w:tcPr>
            <w:tcW w:w="10350" w:type="dxa"/>
          </w:tcPr>
          <w:p w14:paraId="4C5664D8" w14:textId="098A555F" w:rsidR="00AA3514" w:rsidRPr="00577F0B" w:rsidRDefault="003F2185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 wp14:anchorId="1AF9C946" wp14:editId="427E938B">
                  <wp:extent cx="6675120" cy="3657053"/>
                  <wp:effectExtent l="0" t="0" r="5080" b="635"/>
                  <wp:docPr id="14" name="Picture 14" descr="A picture containing text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sky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365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514" w:rsidRPr="00577F0B" w14:paraId="0C82D460" w14:textId="77777777" w:rsidTr="00353F10">
        <w:trPr>
          <w:trHeight w:val="4896"/>
        </w:trPr>
        <w:tc>
          <w:tcPr>
            <w:tcW w:w="10350" w:type="dxa"/>
          </w:tcPr>
          <w:p w14:paraId="04A6C290" w14:textId="40911272" w:rsidR="00AA3514" w:rsidRPr="00577F0B" w:rsidRDefault="00353F10" w:rsidP="00B24C8F">
            <w:pPr>
              <w:widowControl w:val="0"/>
              <w:spacing w:line="480" w:lineRule="auto"/>
              <w:jc w:val="both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drawing>
                <wp:inline distT="0" distB="0" distL="0" distR="0" wp14:anchorId="187D7E20" wp14:editId="215C5BE2">
                  <wp:extent cx="2755127" cy="3017520"/>
                  <wp:effectExtent l="0" t="0" r="1270" b="5080"/>
                  <wp:docPr id="4" name="Picture 4" descr="Chart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timelin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27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F816B" w14:textId="77777777" w:rsidR="00121D84" w:rsidRDefault="00121D84"/>
    <w:sectPr w:rsidR="00121D84" w:rsidSect="006C2C02"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44"/>
    <w:rsid w:val="00066594"/>
    <w:rsid w:val="00113D3A"/>
    <w:rsid w:val="00121D84"/>
    <w:rsid w:val="00122F10"/>
    <w:rsid w:val="00140CFB"/>
    <w:rsid w:val="001570D5"/>
    <w:rsid w:val="00215623"/>
    <w:rsid w:val="002738DF"/>
    <w:rsid w:val="00353F10"/>
    <w:rsid w:val="00361E40"/>
    <w:rsid w:val="0036622E"/>
    <w:rsid w:val="003E6225"/>
    <w:rsid w:val="003F2185"/>
    <w:rsid w:val="00425562"/>
    <w:rsid w:val="004C2B85"/>
    <w:rsid w:val="004F34D0"/>
    <w:rsid w:val="00572A7B"/>
    <w:rsid w:val="005D5BDE"/>
    <w:rsid w:val="00607CF1"/>
    <w:rsid w:val="00656B3A"/>
    <w:rsid w:val="006670C0"/>
    <w:rsid w:val="006D68CC"/>
    <w:rsid w:val="006E4744"/>
    <w:rsid w:val="006F39C7"/>
    <w:rsid w:val="00711E5D"/>
    <w:rsid w:val="00734383"/>
    <w:rsid w:val="008064BE"/>
    <w:rsid w:val="00910DEB"/>
    <w:rsid w:val="00995990"/>
    <w:rsid w:val="00AA3514"/>
    <w:rsid w:val="00B4341C"/>
    <w:rsid w:val="00F3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7C643"/>
  <w15:chartTrackingRefBased/>
  <w15:docId w15:val="{467972E7-2D56-464A-970A-E811AC04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7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3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Shayla Nolen</dc:creator>
  <cp:keywords/>
  <dc:description/>
  <cp:lastModifiedBy>Shayla Nolen</cp:lastModifiedBy>
  <cp:revision>4</cp:revision>
  <dcterms:created xsi:type="dcterms:W3CDTF">2021-05-27T13:27:00Z</dcterms:created>
  <dcterms:modified xsi:type="dcterms:W3CDTF">2021-08-28T20:00:00Z</dcterms:modified>
</cp:coreProperties>
</file>