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D4" w:rsidRDefault="005D57F1">
      <w:pPr>
        <w:spacing w:after="360" w:line="480" w:lineRule="auto"/>
        <w:rPr>
          <w:b/>
          <w:sz w:val="22"/>
          <w:szCs w:val="22"/>
          <w:lang w:val="en-US"/>
        </w:rPr>
      </w:pPr>
      <w:r>
        <w:rPr>
          <w:b/>
          <w:sz w:val="22"/>
          <w:szCs w:val="22"/>
          <w:lang w:val="en-US"/>
        </w:rPr>
        <w:t>Supplement</w:t>
      </w:r>
    </w:p>
    <w:p w:rsidR="00167CD4" w:rsidRDefault="005D57F1">
      <w:pPr>
        <w:widowControl w:val="0"/>
        <w:spacing w:before="360" w:after="360" w:line="480" w:lineRule="auto"/>
        <w:rPr>
          <w:sz w:val="22"/>
          <w:szCs w:val="22"/>
          <w:lang w:val="en-US"/>
        </w:rPr>
      </w:pPr>
      <w:bookmarkStart w:id="0" w:name="_feesfx66lt6e"/>
      <w:bookmarkEnd w:id="0"/>
      <w:r>
        <w:rPr>
          <w:b/>
          <w:sz w:val="22"/>
          <w:szCs w:val="22"/>
          <w:lang w:val="en-US"/>
        </w:rPr>
        <w:t xml:space="preserve">Pregnancy exposure to phthalates and DNA methylation in male placenta — </w:t>
      </w:r>
      <w:proofErr w:type="gramStart"/>
      <w:r>
        <w:rPr>
          <w:b/>
          <w:sz w:val="22"/>
          <w:szCs w:val="22"/>
          <w:lang w:val="en-US"/>
        </w:rPr>
        <w:t>An</w:t>
      </w:r>
      <w:proofErr w:type="gramEnd"/>
      <w:r>
        <w:rPr>
          <w:b/>
          <w:sz w:val="22"/>
          <w:szCs w:val="22"/>
          <w:lang w:val="en-US"/>
        </w:rPr>
        <w:t xml:space="preserve"> epigenome-wide association study</w:t>
      </w:r>
      <w:r>
        <w:rPr>
          <w:sz w:val="22"/>
          <w:szCs w:val="22"/>
          <w:lang w:val="en-US"/>
        </w:rPr>
        <w:t xml:space="preserve"> </w:t>
      </w:r>
    </w:p>
    <w:p w:rsidR="00167CD4" w:rsidRDefault="005D57F1">
      <w:pPr>
        <w:widowControl w:val="0"/>
        <w:spacing w:before="360" w:after="360" w:line="480" w:lineRule="auto"/>
        <w:rPr>
          <w:sz w:val="22"/>
          <w:szCs w:val="22"/>
          <w:lang w:val="en-US"/>
        </w:rPr>
      </w:pPr>
      <w:r>
        <w:rPr>
          <w:sz w:val="22"/>
          <w:szCs w:val="22"/>
          <w:lang w:val="en-US"/>
        </w:rPr>
        <w:t xml:space="preserve">Paulina Jedynak, </w:t>
      </w:r>
      <w:proofErr w:type="spellStart"/>
      <w:r>
        <w:rPr>
          <w:sz w:val="22"/>
          <w:szCs w:val="22"/>
          <w:lang w:val="en-US"/>
        </w:rPr>
        <w:t>Jörg</w:t>
      </w:r>
      <w:proofErr w:type="spellEnd"/>
      <w:r>
        <w:rPr>
          <w:sz w:val="22"/>
          <w:szCs w:val="22"/>
          <w:lang w:val="en-US"/>
        </w:rPr>
        <w:t xml:space="preserve"> </w:t>
      </w:r>
      <w:proofErr w:type="spellStart"/>
      <w:r>
        <w:rPr>
          <w:sz w:val="22"/>
          <w:szCs w:val="22"/>
          <w:lang w:val="en-US"/>
        </w:rPr>
        <w:t>Tost</w:t>
      </w:r>
      <w:proofErr w:type="spellEnd"/>
      <w:r>
        <w:rPr>
          <w:sz w:val="22"/>
          <w:szCs w:val="22"/>
          <w:lang w:val="en-US"/>
        </w:rPr>
        <w:t xml:space="preserve">, Antonia M. Calafat, Ekaterina </w:t>
      </w:r>
      <w:proofErr w:type="spellStart"/>
      <w:r>
        <w:rPr>
          <w:sz w:val="22"/>
          <w:szCs w:val="22"/>
          <w:lang w:val="en-US"/>
        </w:rPr>
        <w:t>Bourova-Flin</w:t>
      </w:r>
      <w:proofErr w:type="spellEnd"/>
      <w:r>
        <w:rPr>
          <w:sz w:val="22"/>
          <w:szCs w:val="22"/>
          <w:lang w:val="en-US"/>
        </w:rPr>
        <w:t xml:space="preserve">, Lucile </w:t>
      </w:r>
      <w:proofErr w:type="spellStart"/>
      <w:r>
        <w:rPr>
          <w:sz w:val="22"/>
          <w:szCs w:val="22"/>
          <w:lang w:val="en-US"/>
        </w:rPr>
        <w:t>Broséus</w:t>
      </w:r>
      <w:proofErr w:type="spellEnd"/>
      <w:r>
        <w:rPr>
          <w:sz w:val="22"/>
          <w:szCs w:val="22"/>
          <w:lang w:val="en-US"/>
        </w:rPr>
        <w:t xml:space="preserve">, Florence </w:t>
      </w:r>
      <w:proofErr w:type="spellStart"/>
      <w:r>
        <w:rPr>
          <w:sz w:val="22"/>
          <w:szCs w:val="22"/>
          <w:lang w:val="en-US"/>
        </w:rPr>
        <w:t>Busato</w:t>
      </w:r>
      <w:proofErr w:type="spellEnd"/>
      <w:r>
        <w:rPr>
          <w:sz w:val="22"/>
          <w:szCs w:val="22"/>
          <w:lang w:val="en-US"/>
        </w:rPr>
        <w:t xml:space="preserve">, Anne </w:t>
      </w:r>
      <w:proofErr w:type="spellStart"/>
      <w:r>
        <w:rPr>
          <w:sz w:val="22"/>
          <w:szCs w:val="22"/>
          <w:lang w:val="en-US"/>
        </w:rPr>
        <w:t>Forhan</w:t>
      </w:r>
      <w:proofErr w:type="spellEnd"/>
      <w:r>
        <w:rPr>
          <w:sz w:val="22"/>
          <w:szCs w:val="22"/>
          <w:lang w:val="en-US"/>
        </w:rPr>
        <w:t xml:space="preserve">, Barbara </w:t>
      </w:r>
      <w:proofErr w:type="spellStart"/>
      <w:r>
        <w:rPr>
          <w:sz w:val="22"/>
          <w:szCs w:val="22"/>
          <w:lang w:val="en-US"/>
        </w:rPr>
        <w:t>Heude</w:t>
      </w:r>
      <w:proofErr w:type="spellEnd"/>
      <w:r>
        <w:rPr>
          <w:sz w:val="22"/>
          <w:szCs w:val="22"/>
          <w:lang w:val="en-US"/>
        </w:rPr>
        <w:t xml:space="preserve">, Milan </w:t>
      </w:r>
      <w:proofErr w:type="spellStart"/>
      <w:r>
        <w:rPr>
          <w:sz w:val="22"/>
          <w:szCs w:val="22"/>
          <w:lang w:val="en-US"/>
        </w:rPr>
        <w:t>Jakobi</w:t>
      </w:r>
      <w:proofErr w:type="spellEnd"/>
      <w:r>
        <w:rPr>
          <w:sz w:val="22"/>
          <w:szCs w:val="22"/>
          <w:lang w:val="en-US"/>
        </w:rPr>
        <w:t xml:space="preserve">, Joel Schwartz, Rémy </w:t>
      </w:r>
      <w:proofErr w:type="spellStart"/>
      <w:r>
        <w:rPr>
          <w:sz w:val="22"/>
          <w:szCs w:val="22"/>
          <w:lang w:val="en-US"/>
        </w:rPr>
        <w:t>Slama</w:t>
      </w:r>
      <w:proofErr w:type="spellEnd"/>
      <w:r>
        <w:rPr>
          <w:sz w:val="22"/>
          <w:szCs w:val="22"/>
          <w:lang w:val="en-US"/>
        </w:rPr>
        <w:t xml:space="preserve">, Daniel </w:t>
      </w:r>
      <w:proofErr w:type="spellStart"/>
      <w:r>
        <w:rPr>
          <w:sz w:val="22"/>
          <w:szCs w:val="22"/>
          <w:lang w:val="en-US"/>
        </w:rPr>
        <w:t>Vaiman</w:t>
      </w:r>
      <w:proofErr w:type="spellEnd"/>
      <w:r>
        <w:rPr>
          <w:sz w:val="22"/>
          <w:szCs w:val="22"/>
          <w:lang w:val="en-US"/>
        </w:rPr>
        <w:t>, Johanna Lepeule, Claire Philippat</w:t>
      </w:r>
    </w:p>
    <w:p w:rsidR="00167CD4" w:rsidRDefault="005D57F1">
      <w:pPr>
        <w:widowControl w:val="0"/>
        <w:spacing w:before="360" w:line="480" w:lineRule="auto"/>
      </w:pPr>
      <w:r>
        <w:rPr>
          <w:b/>
          <w:sz w:val="22"/>
          <w:szCs w:val="22"/>
          <w:lang w:val="en-US"/>
        </w:rPr>
        <w:t>List of Supplementary Tables and Figures</w:t>
      </w:r>
    </w:p>
    <w:sdt>
      <w:sdtPr>
        <w:id w:val="683500315"/>
        <w:docPartObj>
          <w:docPartGallery w:val="Table of Contents"/>
          <w:docPartUnique/>
        </w:docPartObj>
      </w:sdtPr>
      <w:sdtEndPr/>
      <w:sdtContent>
        <w:p w:rsidR="00167CD4" w:rsidRDefault="005D57F1">
          <w:pPr>
            <w:pStyle w:val="TOC1"/>
            <w:spacing w:line="360" w:lineRule="auto"/>
            <w:rPr>
              <w:rFonts w:asciiTheme="minorHAnsi" w:eastAsiaTheme="minorEastAsia" w:hAnsiTheme="minorHAnsi" w:cstheme="minorBidi"/>
              <w:b w:val="0"/>
              <w:lang w:val="en-US"/>
            </w:rPr>
          </w:pPr>
          <w:r>
            <w:fldChar w:fldCharType="begin"/>
          </w:r>
          <w:r>
            <w:rPr>
              <w:rStyle w:val="IndexLink"/>
              <w:webHidden/>
            </w:rPr>
            <w:instrText>TOC \z \o "1-9" \u \h</w:instrText>
          </w:r>
          <w:r>
            <w:rPr>
              <w:rStyle w:val="IndexLink"/>
            </w:rPr>
            <w:fldChar w:fldCharType="separate"/>
          </w:r>
          <w:hyperlink w:anchor="_Toc86240722">
            <w:r>
              <w:rPr>
                <w:rStyle w:val="IndexLink"/>
                <w:webHidden/>
                <w:lang w:val="en-US"/>
              </w:rPr>
              <w:t>Supplementary Tables</w:t>
            </w:r>
            <w:r>
              <w:rPr>
                <w:webHidden/>
              </w:rPr>
              <w:fldChar w:fldCharType="begin"/>
            </w:r>
            <w:r>
              <w:rPr>
                <w:webHidden/>
              </w:rPr>
              <w:instrText>PAGEREF _Toc86240722 \h</w:instrText>
            </w:r>
            <w:r>
              <w:rPr>
                <w:webHidden/>
              </w:rPr>
            </w:r>
            <w:r>
              <w:rPr>
                <w:webHidden/>
              </w:rPr>
              <w:fldChar w:fldCharType="separate"/>
            </w:r>
            <w:r>
              <w:rPr>
                <w:rStyle w:val="IndexLink"/>
                <w:lang w:val="en-US"/>
              </w:rPr>
              <w:tab/>
              <w:t>2</w:t>
            </w:r>
            <w:r>
              <w:rPr>
                <w:webHidden/>
              </w:rPr>
              <w:fldChar w:fldCharType="end"/>
            </w:r>
          </w:hyperlink>
        </w:p>
        <w:p w:rsidR="00167CD4" w:rsidRDefault="003B4BE5">
          <w:pPr>
            <w:pStyle w:val="TOC2"/>
            <w:tabs>
              <w:tab w:val="right" w:leader="dot" w:pos="9016"/>
            </w:tabs>
            <w:spacing w:line="360" w:lineRule="auto"/>
            <w:rPr>
              <w:rFonts w:asciiTheme="minorHAnsi" w:eastAsiaTheme="minorEastAsia" w:hAnsiTheme="minorHAnsi" w:cstheme="minorBidi"/>
              <w:sz w:val="22"/>
              <w:szCs w:val="22"/>
              <w:lang w:val="en-US"/>
            </w:rPr>
          </w:pPr>
          <w:hyperlink w:anchor="_Toc86240723">
            <w:r w:rsidR="005D57F1">
              <w:rPr>
                <w:rStyle w:val="IndexLink"/>
                <w:b/>
                <w:webHidden/>
                <w:sz w:val="22"/>
                <w:szCs w:val="22"/>
                <w:lang w:val="en-US"/>
              </w:rPr>
              <w:t>Supplement</w:t>
            </w:r>
            <w:r w:rsidR="005D57F1">
              <w:rPr>
                <w:rStyle w:val="IndexLink"/>
                <w:b/>
                <w:sz w:val="22"/>
                <w:szCs w:val="22"/>
                <w:lang w:val="en-US"/>
              </w:rPr>
              <w:t>ary Table 1:</w:t>
            </w:r>
            <w:r w:rsidR="005D57F1">
              <w:rPr>
                <w:rStyle w:val="IndexLink"/>
                <w:sz w:val="22"/>
                <w:szCs w:val="22"/>
                <w:lang w:val="en-US"/>
              </w:rPr>
              <w:t xml:space="preserve"> Adjusted GAMP associated with pregnancy exposure to phthalates.</w:t>
            </w:r>
            <w:r w:rsidR="005D57F1">
              <w:rPr>
                <w:webHidden/>
              </w:rPr>
              <w:fldChar w:fldCharType="begin"/>
            </w:r>
            <w:r w:rsidR="005D57F1">
              <w:rPr>
                <w:webHidden/>
              </w:rPr>
              <w:instrText>PAGEREF _Toc86240723 \h</w:instrText>
            </w:r>
            <w:r w:rsidR="005D57F1">
              <w:rPr>
                <w:webHidden/>
              </w:rPr>
            </w:r>
            <w:r w:rsidR="005D57F1">
              <w:rPr>
                <w:webHidden/>
              </w:rPr>
              <w:fldChar w:fldCharType="separate"/>
            </w:r>
            <w:r w:rsidR="005D57F1">
              <w:rPr>
                <w:rStyle w:val="IndexLink"/>
                <w:sz w:val="22"/>
                <w:szCs w:val="22"/>
                <w:lang w:val="en-US"/>
              </w:rPr>
              <w:tab/>
              <w:t>2</w:t>
            </w:r>
            <w:r w:rsidR="005D57F1">
              <w:rPr>
                <w:webHidden/>
              </w:rPr>
              <w:fldChar w:fldCharType="end"/>
            </w:r>
          </w:hyperlink>
        </w:p>
        <w:p w:rsidR="00167CD4" w:rsidRDefault="003B4BE5">
          <w:pPr>
            <w:pStyle w:val="TOC2"/>
            <w:tabs>
              <w:tab w:val="right" w:leader="dot" w:pos="9016"/>
            </w:tabs>
            <w:spacing w:line="360" w:lineRule="auto"/>
            <w:rPr>
              <w:rFonts w:asciiTheme="minorHAnsi" w:eastAsiaTheme="minorEastAsia" w:hAnsiTheme="minorHAnsi" w:cstheme="minorBidi"/>
              <w:sz w:val="22"/>
              <w:szCs w:val="22"/>
              <w:lang w:val="en-US"/>
            </w:rPr>
          </w:pPr>
          <w:hyperlink w:anchor="_Toc86240724">
            <w:r w:rsidR="005D57F1">
              <w:rPr>
                <w:rStyle w:val="IndexLink"/>
                <w:b/>
                <w:webHidden/>
                <w:sz w:val="22"/>
                <w:szCs w:val="22"/>
                <w:lang w:val="en-US"/>
              </w:rPr>
              <w:t xml:space="preserve">Supplementary Table 2: </w:t>
            </w:r>
            <w:r w:rsidR="005D57F1">
              <w:rPr>
                <w:rStyle w:val="IndexLink"/>
                <w:sz w:val="22"/>
                <w:szCs w:val="22"/>
                <w:lang w:val="en-US"/>
              </w:rPr>
              <w:t>DMRs and CpGs associated with pregnancy concentrations of phthalate metabolites.</w:t>
            </w:r>
            <w:r w:rsidR="005D57F1">
              <w:rPr>
                <w:webHidden/>
              </w:rPr>
              <w:fldChar w:fldCharType="begin"/>
            </w:r>
            <w:r w:rsidR="005D57F1">
              <w:rPr>
                <w:webHidden/>
              </w:rPr>
              <w:instrText>PAGEREF _Toc86240724 \h</w:instrText>
            </w:r>
            <w:r w:rsidR="005D57F1">
              <w:rPr>
                <w:webHidden/>
              </w:rPr>
            </w:r>
            <w:r w:rsidR="005D57F1">
              <w:rPr>
                <w:webHidden/>
              </w:rPr>
              <w:fldChar w:fldCharType="separate"/>
            </w:r>
            <w:r w:rsidR="005D57F1">
              <w:rPr>
                <w:rStyle w:val="IndexLink"/>
                <w:sz w:val="22"/>
                <w:szCs w:val="22"/>
                <w:lang w:val="en-US"/>
              </w:rPr>
              <w:tab/>
              <w:t>3</w:t>
            </w:r>
            <w:r w:rsidR="005D57F1">
              <w:rPr>
                <w:webHidden/>
              </w:rPr>
              <w:fldChar w:fldCharType="end"/>
            </w:r>
          </w:hyperlink>
        </w:p>
        <w:p w:rsidR="00167CD4" w:rsidRDefault="003B4BE5">
          <w:pPr>
            <w:pStyle w:val="TOC2"/>
            <w:tabs>
              <w:tab w:val="right" w:leader="dot" w:pos="9016"/>
            </w:tabs>
            <w:spacing w:line="360" w:lineRule="auto"/>
            <w:rPr>
              <w:rFonts w:asciiTheme="minorHAnsi" w:eastAsiaTheme="minorEastAsia" w:hAnsiTheme="minorHAnsi" w:cstheme="minorBidi"/>
              <w:sz w:val="22"/>
              <w:szCs w:val="22"/>
              <w:lang w:val="en-US"/>
            </w:rPr>
          </w:pPr>
          <w:hyperlink w:anchor="_Toc86240725">
            <w:r w:rsidR="005D57F1">
              <w:rPr>
                <w:rStyle w:val="IndexLink"/>
                <w:b/>
                <w:webHidden/>
                <w:sz w:val="22"/>
                <w:szCs w:val="22"/>
                <w:lang w:val="en-US"/>
              </w:rPr>
              <w:t xml:space="preserve">Supplementary Table 3: </w:t>
            </w:r>
            <w:r w:rsidR="005D57F1">
              <w:rPr>
                <w:rStyle w:val="IndexLink"/>
                <w:sz w:val="22"/>
                <w:szCs w:val="22"/>
                <w:lang w:val="en-US"/>
              </w:rPr>
              <w:t>Non-exhaustive list of the function of the genes associated with phthalate exposure.</w:t>
            </w:r>
            <w:r w:rsidR="005D57F1">
              <w:rPr>
                <w:webHidden/>
              </w:rPr>
              <w:fldChar w:fldCharType="begin"/>
            </w:r>
            <w:r w:rsidR="005D57F1">
              <w:rPr>
                <w:webHidden/>
              </w:rPr>
              <w:instrText>PAGEREF _Toc86240725 \h</w:instrText>
            </w:r>
            <w:r w:rsidR="005D57F1">
              <w:rPr>
                <w:webHidden/>
              </w:rPr>
            </w:r>
            <w:r w:rsidR="005D57F1">
              <w:rPr>
                <w:webHidden/>
              </w:rPr>
              <w:fldChar w:fldCharType="separate"/>
            </w:r>
            <w:r w:rsidR="005D57F1">
              <w:rPr>
                <w:rStyle w:val="IndexLink"/>
                <w:sz w:val="22"/>
                <w:szCs w:val="22"/>
                <w:lang w:val="en-US"/>
              </w:rPr>
              <w:tab/>
              <w:t>4</w:t>
            </w:r>
            <w:r w:rsidR="005D57F1">
              <w:rPr>
                <w:webHidden/>
              </w:rPr>
              <w:fldChar w:fldCharType="end"/>
            </w:r>
          </w:hyperlink>
        </w:p>
        <w:p w:rsidR="00167CD4" w:rsidRDefault="003B4BE5">
          <w:pPr>
            <w:pStyle w:val="TOC2"/>
            <w:tabs>
              <w:tab w:val="right" w:leader="dot" w:pos="9016"/>
            </w:tabs>
            <w:spacing w:line="360" w:lineRule="auto"/>
            <w:rPr>
              <w:rFonts w:asciiTheme="minorHAnsi" w:eastAsiaTheme="minorEastAsia" w:hAnsiTheme="minorHAnsi" w:cstheme="minorBidi"/>
              <w:sz w:val="22"/>
              <w:szCs w:val="22"/>
              <w:lang w:val="en-US"/>
            </w:rPr>
          </w:pPr>
          <w:hyperlink w:anchor="_Toc86240726">
            <w:r w:rsidR="005D57F1">
              <w:rPr>
                <w:rStyle w:val="IndexLink"/>
                <w:b/>
                <w:webHidden/>
                <w:sz w:val="22"/>
                <w:szCs w:val="22"/>
                <w:lang w:val="en-US"/>
              </w:rPr>
              <w:t>Supplementary Table 4:</w:t>
            </w:r>
            <w:r w:rsidR="005D57F1">
              <w:rPr>
                <w:rStyle w:val="IndexLink"/>
                <w:sz w:val="22"/>
                <w:szCs w:val="22"/>
                <w:lang w:val="en-US"/>
              </w:rPr>
              <w:t xml:space="preserve"> Intraclass correlation coefficients (ICC) reported in previous studies assessing the variability of phthalate metabolites in spot urine samples of pregnant women.</w:t>
            </w:r>
            <w:r w:rsidR="005D57F1">
              <w:rPr>
                <w:webHidden/>
              </w:rPr>
              <w:fldChar w:fldCharType="begin"/>
            </w:r>
            <w:r w:rsidR="005D57F1">
              <w:rPr>
                <w:webHidden/>
              </w:rPr>
              <w:instrText>PAGEREF _Toc86240726 \h</w:instrText>
            </w:r>
            <w:r w:rsidR="005D57F1">
              <w:rPr>
                <w:webHidden/>
              </w:rPr>
            </w:r>
            <w:r w:rsidR="005D57F1">
              <w:rPr>
                <w:webHidden/>
              </w:rPr>
              <w:fldChar w:fldCharType="separate"/>
            </w:r>
            <w:r w:rsidR="005D57F1">
              <w:rPr>
                <w:rStyle w:val="IndexLink"/>
                <w:sz w:val="22"/>
                <w:szCs w:val="22"/>
                <w:lang w:val="en-US"/>
              </w:rPr>
              <w:tab/>
              <w:t>5</w:t>
            </w:r>
            <w:r w:rsidR="005D57F1">
              <w:rPr>
                <w:webHidden/>
              </w:rPr>
              <w:fldChar w:fldCharType="end"/>
            </w:r>
          </w:hyperlink>
        </w:p>
        <w:p w:rsidR="00167CD4" w:rsidRDefault="003B4BE5">
          <w:pPr>
            <w:pStyle w:val="TOC1"/>
            <w:spacing w:line="360" w:lineRule="auto"/>
            <w:rPr>
              <w:rFonts w:asciiTheme="minorHAnsi" w:eastAsiaTheme="minorEastAsia" w:hAnsiTheme="minorHAnsi" w:cstheme="minorBidi"/>
              <w:b w:val="0"/>
              <w:lang w:val="en-US"/>
            </w:rPr>
          </w:pPr>
          <w:hyperlink w:anchor="_Toc86240727">
            <w:r w:rsidR="005D57F1">
              <w:rPr>
                <w:rStyle w:val="IndexLink"/>
                <w:webHidden/>
                <w:lang w:val="en-US"/>
              </w:rPr>
              <w:t>Supplementary Figures</w:t>
            </w:r>
            <w:r w:rsidR="005D57F1">
              <w:rPr>
                <w:webHidden/>
              </w:rPr>
              <w:fldChar w:fldCharType="begin"/>
            </w:r>
            <w:r w:rsidR="005D57F1">
              <w:rPr>
                <w:webHidden/>
              </w:rPr>
              <w:instrText>PAGEREF _Toc86240727 \h</w:instrText>
            </w:r>
            <w:r w:rsidR="005D57F1">
              <w:rPr>
                <w:webHidden/>
              </w:rPr>
            </w:r>
            <w:r w:rsidR="005D57F1">
              <w:rPr>
                <w:webHidden/>
              </w:rPr>
              <w:fldChar w:fldCharType="separate"/>
            </w:r>
            <w:r w:rsidR="005D57F1">
              <w:rPr>
                <w:rStyle w:val="IndexLink"/>
                <w:lang w:val="en-US"/>
              </w:rPr>
              <w:tab/>
              <w:t>6</w:t>
            </w:r>
            <w:r w:rsidR="005D57F1">
              <w:rPr>
                <w:webHidden/>
              </w:rPr>
              <w:fldChar w:fldCharType="end"/>
            </w:r>
          </w:hyperlink>
        </w:p>
        <w:p w:rsidR="00167CD4" w:rsidRDefault="003B4BE5">
          <w:pPr>
            <w:pStyle w:val="TOC2"/>
            <w:tabs>
              <w:tab w:val="right" w:leader="dot" w:pos="9016"/>
            </w:tabs>
            <w:spacing w:line="360" w:lineRule="auto"/>
            <w:rPr>
              <w:rFonts w:asciiTheme="minorHAnsi" w:eastAsiaTheme="minorEastAsia" w:hAnsiTheme="minorHAnsi" w:cstheme="minorBidi"/>
              <w:sz w:val="22"/>
              <w:szCs w:val="22"/>
              <w:lang w:val="en-US"/>
            </w:rPr>
          </w:pPr>
          <w:hyperlink w:anchor="_Toc86240728">
            <w:r w:rsidR="005D57F1">
              <w:rPr>
                <w:rStyle w:val="IndexLink"/>
                <w:b/>
                <w:webHidden/>
                <w:sz w:val="22"/>
                <w:szCs w:val="22"/>
                <w:lang w:val="en-US"/>
              </w:rPr>
              <w:t>Supplementary Figure 1:</w:t>
            </w:r>
            <w:r w:rsidR="005D57F1">
              <w:rPr>
                <w:rStyle w:val="IndexLink"/>
                <w:i/>
                <w:sz w:val="22"/>
                <w:szCs w:val="22"/>
                <w:lang w:val="en-US"/>
              </w:rPr>
              <w:t xml:space="preserve"> </w:t>
            </w:r>
            <w:r w:rsidR="005D57F1">
              <w:rPr>
                <w:rStyle w:val="IndexLink"/>
                <w:sz w:val="22"/>
                <w:szCs w:val="22"/>
                <w:lang w:val="en-US"/>
              </w:rPr>
              <w:t>Study flow chart.</w:t>
            </w:r>
            <w:r w:rsidR="005D57F1">
              <w:rPr>
                <w:webHidden/>
              </w:rPr>
              <w:fldChar w:fldCharType="begin"/>
            </w:r>
            <w:r w:rsidR="005D57F1">
              <w:rPr>
                <w:webHidden/>
              </w:rPr>
              <w:instrText>PAGEREF _Toc86240728 \h</w:instrText>
            </w:r>
            <w:r w:rsidR="005D57F1">
              <w:rPr>
                <w:webHidden/>
              </w:rPr>
            </w:r>
            <w:r w:rsidR="005D57F1">
              <w:rPr>
                <w:webHidden/>
              </w:rPr>
              <w:fldChar w:fldCharType="separate"/>
            </w:r>
            <w:r w:rsidR="005D57F1">
              <w:rPr>
                <w:rStyle w:val="IndexLink"/>
                <w:sz w:val="22"/>
                <w:szCs w:val="22"/>
                <w:lang w:val="en-US"/>
              </w:rPr>
              <w:tab/>
              <w:t>6</w:t>
            </w:r>
            <w:r w:rsidR="005D57F1">
              <w:rPr>
                <w:webHidden/>
              </w:rPr>
              <w:fldChar w:fldCharType="end"/>
            </w:r>
          </w:hyperlink>
        </w:p>
        <w:p w:rsidR="00167CD4" w:rsidRDefault="003B4BE5">
          <w:pPr>
            <w:pStyle w:val="TOC2"/>
            <w:tabs>
              <w:tab w:val="right" w:leader="dot" w:pos="9016"/>
            </w:tabs>
            <w:spacing w:line="360" w:lineRule="auto"/>
            <w:rPr>
              <w:rFonts w:asciiTheme="minorHAnsi" w:eastAsiaTheme="minorEastAsia" w:hAnsiTheme="minorHAnsi" w:cstheme="minorBidi"/>
              <w:sz w:val="22"/>
              <w:szCs w:val="22"/>
              <w:lang w:val="en-US"/>
            </w:rPr>
          </w:pPr>
          <w:hyperlink w:anchor="_Toc86240729">
            <w:r w:rsidR="005D57F1">
              <w:rPr>
                <w:rStyle w:val="IndexLink"/>
                <w:b/>
                <w:webHidden/>
                <w:sz w:val="22"/>
                <w:szCs w:val="22"/>
                <w:lang w:val="en-US"/>
              </w:rPr>
              <w:t>Supplementary Figure 2:</w:t>
            </w:r>
            <w:r w:rsidR="005D57F1">
              <w:rPr>
                <w:rStyle w:val="IndexLink"/>
                <w:sz w:val="22"/>
                <w:szCs w:val="22"/>
                <w:lang w:val="en-US"/>
              </w:rPr>
              <w:t xml:space="preserve"> Boxplot of the distributions of placental cell type estimates obtained for the EDEN cohort.</w:t>
            </w:r>
            <w:r w:rsidR="005D57F1">
              <w:rPr>
                <w:webHidden/>
              </w:rPr>
              <w:fldChar w:fldCharType="begin"/>
            </w:r>
            <w:r w:rsidR="005D57F1">
              <w:rPr>
                <w:webHidden/>
              </w:rPr>
              <w:instrText>PAGEREF _Toc86240729 \h</w:instrText>
            </w:r>
            <w:r w:rsidR="005D57F1">
              <w:rPr>
                <w:webHidden/>
              </w:rPr>
            </w:r>
            <w:r w:rsidR="005D57F1">
              <w:rPr>
                <w:webHidden/>
              </w:rPr>
              <w:fldChar w:fldCharType="separate"/>
            </w:r>
            <w:r w:rsidR="005D57F1">
              <w:rPr>
                <w:rStyle w:val="IndexLink"/>
                <w:sz w:val="22"/>
                <w:szCs w:val="22"/>
                <w:lang w:val="en-US"/>
              </w:rPr>
              <w:tab/>
              <w:t>7</w:t>
            </w:r>
            <w:r w:rsidR="005D57F1">
              <w:rPr>
                <w:webHidden/>
              </w:rPr>
              <w:fldChar w:fldCharType="end"/>
            </w:r>
          </w:hyperlink>
        </w:p>
        <w:p w:rsidR="00167CD4" w:rsidRDefault="003B4BE5">
          <w:pPr>
            <w:pStyle w:val="TOC2"/>
            <w:tabs>
              <w:tab w:val="right" w:leader="dot" w:pos="9016"/>
            </w:tabs>
            <w:spacing w:line="360" w:lineRule="auto"/>
            <w:rPr>
              <w:rFonts w:asciiTheme="minorHAnsi" w:eastAsiaTheme="minorEastAsia" w:hAnsiTheme="minorHAnsi" w:cstheme="minorBidi"/>
              <w:sz w:val="22"/>
              <w:szCs w:val="22"/>
              <w:lang w:val="en-US"/>
            </w:rPr>
          </w:pPr>
          <w:hyperlink w:anchor="_Toc86240730">
            <w:r w:rsidR="005D57F1">
              <w:rPr>
                <w:rStyle w:val="IndexLink"/>
                <w:b/>
                <w:webHidden/>
                <w:sz w:val="22"/>
                <w:szCs w:val="22"/>
                <w:lang w:val="en-US"/>
              </w:rPr>
              <w:t>Supplementary Figure 3:</w:t>
            </w:r>
            <w:r w:rsidR="005D57F1">
              <w:rPr>
                <w:rStyle w:val="IndexLink"/>
                <w:sz w:val="22"/>
                <w:szCs w:val="22"/>
                <w:lang w:val="en-US"/>
              </w:rPr>
              <w:t xml:space="preserve"> Spearman’s correlation coefficients (rho) between standardized urinary phthalate metabolite concentrations.</w:t>
            </w:r>
            <w:r w:rsidR="005D57F1">
              <w:rPr>
                <w:webHidden/>
              </w:rPr>
              <w:fldChar w:fldCharType="begin"/>
            </w:r>
            <w:r w:rsidR="005D57F1">
              <w:rPr>
                <w:webHidden/>
              </w:rPr>
              <w:instrText>PAGEREF _Toc86240730 \h</w:instrText>
            </w:r>
            <w:r w:rsidR="005D57F1">
              <w:rPr>
                <w:webHidden/>
              </w:rPr>
            </w:r>
            <w:r w:rsidR="005D57F1">
              <w:rPr>
                <w:webHidden/>
              </w:rPr>
              <w:fldChar w:fldCharType="separate"/>
            </w:r>
            <w:r w:rsidR="005D57F1">
              <w:rPr>
                <w:rStyle w:val="IndexLink"/>
                <w:sz w:val="22"/>
                <w:szCs w:val="22"/>
                <w:lang w:val="en-US"/>
              </w:rPr>
              <w:tab/>
              <w:t>8</w:t>
            </w:r>
            <w:r w:rsidR="005D57F1">
              <w:rPr>
                <w:webHidden/>
              </w:rPr>
              <w:fldChar w:fldCharType="end"/>
            </w:r>
          </w:hyperlink>
        </w:p>
        <w:p w:rsidR="00167CD4" w:rsidRDefault="003B4BE5">
          <w:pPr>
            <w:pStyle w:val="TOC2"/>
            <w:tabs>
              <w:tab w:val="right" w:leader="dot" w:pos="9016"/>
            </w:tabs>
            <w:spacing w:line="360" w:lineRule="auto"/>
            <w:rPr>
              <w:rFonts w:asciiTheme="minorHAnsi" w:eastAsiaTheme="minorEastAsia" w:hAnsiTheme="minorHAnsi" w:cstheme="minorBidi"/>
              <w:sz w:val="22"/>
              <w:szCs w:val="22"/>
              <w:lang w:val="en-US"/>
            </w:rPr>
          </w:pPr>
          <w:hyperlink w:anchor="_Toc86240731">
            <w:r w:rsidR="005D57F1">
              <w:rPr>
                <w:rStyle w:val="IndexLink"/>
                <w:b/>
                <w:webHidden/>
                <w:sz w:val="22"/>
                <w:szCs w:val="22"/>
                <w:lang w:val="en-US"/>
              </w:rPr>
              <w:t>Supplementary Figure 4:</w:t>
            </w:r>
            <w:r w:rsidR="005D57F1">
              <w:rPr>
                <w:rStyle w:val="IndexLink"/>
                <w:i/>
                <w:sz w:val="22"/>
                <w:szCs w:val="22"/>
                <w:lang w:val="en-US"/>
              </w:rPr>
              <w:t xml:space="preserve"> </w:t>
            </w:r>
            <w:r w:rsidR="005D57F1">
              <w:rPr>
                <w:rStyle w:val="IndexLink"/>
                <w:sz w:val="22"/>
                <w:szCs w:val="22"/>
                <w:lang w:val="en-US"/>
              </w:rPr>
              <w:t>Q-Q plots with genomic inflation factor (λ) and BIF for the association between phthalate biomarker concentrations and DNA methylation sites in the EWAS.</w:t>
            </w:r>
            <w:r w:rsidR="005D57F1">
              <w:rPr>
                <w:webHidden/>
              </w:rPr>
              <w:fldChar w:fldCharType="begin"/>
            </w:r>
            <w:r w:rsidR="005D57F1">
              <w:rPr>
                <w:webHidden/>
              </w:rPr>
              <w:instrText>PAGEREF _Toc86240731 \h</w:instrText>
            </w:r>
            <w:r w:rsidR="005D57F1">
              <w:rPr>
                <w:webHidden/>
              </w:rPr>
            </w:r>
            <w:r w:rsidR="005D57F1">
              <w:rPr>
                <w:webHidden/>
              </w:rPr>
              <w:fldChar w:fldCharType="separate"/>
            </w:r>
            <w:r w:rsidR="005D57F1">
              <w:rPr>
                <w:rStyle w:val="IndexLink"/>
                <w:sz w:val="22"/>
                <w:szCs w:val="22"/>
                <w:lang w:val="en-US"/>
              </w:rPr>
              <w:tab/>
              <w:t>9</w:t>
            </w:r>
            <w:r w:rsidR="005D57F1">
              <w:rPr>
                <w:webHidden/>
              </w:rPr>
              <w:fldChar w:fldCharType="end"/>
            </w:r>
          </w:hyperlink>
        </w:p>
        <w:p w:rsidR="00167CD4" w:rsidRDefault="003B4BE5">
          <w:pPr>
            <w:pStyle w:val="TOC1"/>
            <w:spacing w:line="360" w:lineRule="auto"/>
            <w:rPr>
              <w:sz w:val="20"/>
              <w:szCs w:val="20"/>
              <w:lang w:val="en-US"/>
            </w:rPr>
          </w:pPr>
          <w:hyperlink w:anchor="_Toc86240732">
            <w:r w:rsidR="005D57F1">
              <w:rPr>
                <w:rStyle w:val="IndexLink"/>
                <w:webHidden/>
                <w:lang w:val="en-US"/>
              </w:rPr>
              <w:t>References</w:t>
            </w:r>
            <w:r w:rsidR="005D57F1">
              <w:rPr>
                <w:webHidden/>
              </w:rPr>
              <w:fldChar w:fldCharType="begin"/>
            </w:r>
            <w:r w:rsidR="005D57F1">
              <w:rPr>
                <w:webHidden/>
              </w:rPr>
              <w:instrText>PAGEREF _Toc86240732 \h</w:instrText>
            </w:r>
            <w:r w:rsidR="005D57F1">
              <w:rPr>
                <w:webHidden/>
              </w:rPr>
            </w:r>
            <w:r w:rsidR="005D57F1">
              <w:rPr>
                <w:webHidden/>
              </w:rPr>
              <w:fldChar w:fldCharType="separate"/>
            </w:r>
            <w:r w:rsidR="005D57F1">
              <w:rPr>
                <w:rStyle w:val="IndexLink"/>
                <w:lang w:val="en-US"/>
              </w:rPr>
              <w:tab/>
              <w:t>10</w:t>
            </w:r>
            <w:r w:rsidR="005D57F1">
              <w:rPr>
                <w:webHidden/>
              </w:rPr>
              <w:fldChar w:fldCharType="end"/>
            </w:r>
          </w:hyperlink>
          <w:r w:rsidR="005D57F1">
            <w:rPr>
              <w:rStyle w:val="IndexLink"/>
            </w:rPr>
            <w:fldChar w:fldCharType="end"/>
          </w:r>
        </w:p>
      </w:sdtContent>
    </w:sdt>
    <w:p w:rsidR="00167CD4" w:rsidRDefault="005D57F1">
      <w:pPr>
        <w:rPr>
          <w:b/>
          <w:sz w:val="22"/>
          <w:szCs w:val="22"/>
          <w:lang w:val="en-US"/>
        </w:rPr>
      </w:pPr>
      <w:r>
        <w:br w:type="page"/>
      </w:r>
    </w:p>
    <w:p w:rsidR="00167CD4" w:rsidRDefault="005D57F1">
      <w:pPr>
        <w:pStyle w:val="Heading1"/>
        <w:tabs>
          <w:tab w:val="left" w:pos="2928"/>
        </w:tabs>
        <w:spacing w:after="240" w:line="276" w:lineRule="auto"/>
        <w:rPr>
          <w:sz w:val="22"/>
          <w:szCs w:val="22"/>
          <w:lang w:val="en-US"/>
        </w:rPr>
      </w:pPr>
      <w:bookmarkStart w:id="1" w:name="_Toc86240722"/>
      <w:r>
        <w:rPr>
          <w:sz w:val="22"/>
          <w:szCs w:val="22"/>
          <w:lang w:val="en-US"/>
        </w:rPr>
        <w:lastRenderedPageBreak/>
        <w:t>Supplementary Tables</w:t>
      </w:r>
      <w:bookmarkEnd w:id="1"/>
    </w:p>
    <w:p w:rsidR="00167CD4" w:rsidRDefault="005D57F1">
      <w:pPr>
        <w:pStyle w:val="Heading2"/>
        <w:widowControl w:val="0"/>
        <w:spacing w:before="240" w:after="240" w:line="276" w:lineRule="auto"/>
        <w:jc w:val="both"/>
        <w:rPr>
          <w:b w:val="0"/>
          <w:sz w:val="22"/>
          <w:szCs w:val="22"/>
          <w:lang w:val="en-US"/>
        </w:rPr>
      </w:pPr>
      <w:bookmarkStart w:id="2" w:name="_Toc86240723"/>
      <w:r>
        <w:rPr>
          <w:sz w:val="22"/>
          <w:szCs w:val="22"/>
          <w:lang w:val="en-US"/>
        </w:rPr>
        <w:t xml:space="preserve">Supplementary Table 1: </w:t>
      </w:r>
      <w:r>
        <w:rPr>
          <w:b w:val="0"/>
          <w:sz w:val="22"/>
          <w:szCs w:val="22"/>
          <w:lang w:val="en-US"/>
        </w:rPr>
        <w:t>Adjusted GAMP associated with pregnancy exposure to phthalates (n = 202, 379,904 CpGs).</w:t>
      </w:r>
      <w:bookmarkEnd w:id="2"/>
    </w:p>
    <w:tbl>
      <w:tblPr>
        <w:tblW w:w="8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95" w:type="dxa"/>
          <w:bottom w:w="100" w:type="dxa"/>
          <w:right w:w="100" w:type="dxa"/>
        </w:tblCellMar>
        <w:tblLook w:val="0600" w:firstRow="0" w:lastRow="0" w:firstColumn="0" w:lastColumn="0" w:noHBand="1" w:noVBand="1"/>
      </w:tblPr>
      <w:tblGrid>
        <w:gridCol w:w="4855"/>
        <w:gridCol w:w="1296"/>
        <w:gridCol w:w="1296"/>
        <w:gridCol w:w="1296"/>
      </w:tblGrid>
      <w:tr w:rsidR="00167CD4">
        <w:trPr>
          <w:trHeight w:val="515"/>
        </w:trPr>
        <w:tc>
          <w:tcPr>
            <w:tcW w:w="4854" w:type="dxa"/>
            <w:tcBorders>
              <w:top w:val="single" w:sz="4" w:space="0" w:color="000000"/>
              <w:left w:val="single" w:sz="4" w:space="0" w:color="000000"/>
              <w:bottom w:val="single" w:sz="4" w:space="0" w:color="000000"/>
              <w:right w:val="single" w:sz="4" w:space="0" w:color="000000"/>
            </w:tcBorders>
            <w:shd w:val="clear" w:color="auto" w:fill="B7B7B7"/>
            <w:vAlign w:val="bottom"/>
          </w:tcPr>
          <w:p w:rsidR="00167CD4" w:rsidRDefault="005D57F1">
            <w:pPr>
              <w:widowControl w:val="0"/>
              <w:rPr>
                <w:b/>
                <w:sz w:val="22"/>
                <w:szCs w:val="22"/>
                <w:lang w:val="en-US"/>
              </w:rPr>
            </w:pPr>
            <w:r>
              <w:rPr>
                <w:b/>
                <w:sz w:val="22"/>
                <w:szCs w:val="22"/>
                <w:lang w:val="en-US"/>
              </w:rPr>
              <w:t>Phthalate biomarker</w:t>
            </w:r>
          </w:p>
        </w:tc>
        <w:tc>
          <w:tcPr>
            <w:tcW w:w="1296" w:type="dxa"/>
            <w:tcBorders>
              <w:top w:val="single" w:sz="4" w:space="0" w:color="000000"/>
              <w:left w:val="single" w:sz="4" w:space="0" w:color="000000"/>
              <w:bottom w:val="single" w:sz="4" w:space="0" w:color="000000"/>
              <w:right w:val="single" w:sz="4" w:space="0" w:color="000000"/>
            </w:tcBorders>
            <w:shd w:val="clear" w:color="auto" w:fill="B7B7B7"/>
          </w:tcPr>
          <w:p w:rsidR="00167CD4" w:rsidRDefault="005D57F1">
            <w:pPr>
              <w:widowControl w:val="0"/>
              <w:jc w:val="center"/>
              <w:rPr>
                <w:b/>
                <w:sz w:val="22"/>
                <w:szCs w:val="22"/>
                <w:lang w:val="en-US"/>
              </w:rPr>
            </w:pPr>
            <w:r>
              <w:rPr>
                <w:b/>
                <w:sz w:val="22"/>
                <w:szCs w:val="22"/>
                <w:lang w:val="en-US"/>
              </w:rPr>
              <w:t>Molecular weight</w:t>
            </w:r>
          </w:p>
        </w:tc>
        <w:tc>
          <w:tcPr>
            <w:tcW w:w="1296" w:type="dxa"/>
            <w:tcBorders>
              <w:top w:val="single" w:sz="4" w:space="0" w:color="000000"/>
              <w:left w:val="single" w:sz="4" w:space="0" w:color="000000"/>
              <w:bottom w:val="single" w:sz="4" w:space="0" w:color="000000"/>
              <w:right w:val="single" w:sz="4" w:space="0" w:color="000000"/>
            </w:tcBorders>
            <w:shd w:val="clear" w:color="auto" w:fill="B7B7B7"/>
          </w:tcPr>
          <w:p w:rsidR="00167CD4" w:rsidRDefault="005D57F1">
            <w:pPr>
              <w:widowControl w:val="0"/>
              <w:jc w:val="center"/>
              <w:rPr>
                <w:b/>
                <w:sz w:val="22"/>
                <w:szCs w:val="22"/>
                <w:lang w:val="en-US"/>
              </w:rPr>
            </w:pPr>
            <w:r>
              <w:rPr>
                <w:b/>
                <w:sz w:val="22"/>
                <w:szCs w:val="22"/>
                <w:lang w:val="en-US"/>
              </w:rPr>
              <w:t>CDFᵃ</w:t>
            </w:r>
            <w:r>
              <w:rPr>
                <w:b/>
                <w:sz w:val="22"/>
                <w:szCs w:val="22"/>
                <w:lang w:val="en-US"/>
              </w:rPr>
              <w:br/>
              <w:t>p-value</w:t>
            </w:r>
          </w:p>
        </w:tc>
        <w:tc>
          <w:tcPr>
            <w:tcW w:w="1296" w:type="dxa"/>
            <w:tcBorders>
              <w:top w:val="single" w:sz="4" w:space="0" w:color="000000"/>
              <w:left w:val="single" w:sz="4" w:space="0" w:color="000000"/>
              <w:bottom w:val="single" w:sz="4" w:space="0" w:color="000000"/>
              <w:right w:val="single" w:sz="4" w:space="0" w:color="000000"/>
            </w:tcBorders>
            <w:shd w:val="clear" w:color="auto" w:fill="B7B7B7"/>
          </w:tcPr>
          <w:p w:rsidR="00167CD4" w:rsidRDefault="005D57F1">
            <w:pPr>
              <w:widowControl w:val="0"/>
              <w:jc w:val="center"/>
              <w:rPr>
                <w:b/>
                <w:sz w:val="22"/>
                <w:szCs w:val="22"/>
                <w:lang w:val="en-US"/>
              </w:rPr>
            </w:pPr>
            <w:r>
              <w:rPr>
                <w:b/>
                <w:sz w:val="22"/>
                <w:szCs w:val="22"/>
                <w:lang w:val="en-US"/>
              </w:rPr>
              <w:t>Densityᵇ</w:t>
            </w:r>
            <w:r>
              <w:rPr>
                <w:b/>
                <w:sz w:val="22"/>
                <w:szCs w:val="22"/>
                <w:lang w:val="en-US"/>
              </w:rPr>
              <w:br/>
              <w:t>p-value</w:t>
            </w:r>
          </w:p>
        </w:tc>
      </w:tr>
      <w:tr w:rsidR="00167CD4">
        <w:trPr>
          <w:trHeight w:val="9"/>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Monoethyl phthalate (MEP)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Low</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0.42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0.22</w:t>
            </w:r>
          </w:p>
        </w:tc>
      </w:tr>
      <w:tr w:rsidR="00167CD4">
        <w:trPr>
          <w:trHeight w:val="9"/>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Mono-n-butyl phthalate (MnBP)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b/>
                <w:sz w:val="22"/>
                <w:szCs w:val="22"/>
                <w:lang w:val="en-US"/>
              </w:rPr>
            </w:pPr>
            <w:r>
              <w:rPr>
                <w:sz w:val="22"/>
                <w:szCs w:val="22"/>
                <w:lang w:val="en-US"/>
              </w:rPr>
              <w:t>Low</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0.09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0.12</w:t>
            </w:r>
          </w:p>
        </w:tc>
      </w:tr>
      <w:tr w:rsidR="00167CD4">
        <w:trPr>
          <w:trHeight w:val="15"/>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w:t>
            </w:r>
            <w:proofErr w:type="spellStart"/>
            <w:r>
              <w:rPr>
                <w:sz w:val="22"/>
                <w:szCs w:val="22"/>
                <w:lang w:val="en-US"/>
              </w:rPr>
              <w:t>iso</w:t>
            </w:r>
            <w:proofErr w:type="spellEnd"/>
            <w:r>
              <w:rPr>
                <w:sz w:val="22"/>
                <w:szCs w:val="22"/>
                <w:lang w:val="en-US"/>
              </w:rPr>
              <w:t>-butyl phthalate (MiBP)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Low</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1.00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1.00</w:t>
            </w:r>
          </w:p>
        </w:tc>
      </w:tr>
      <w:tr w:rsidR="00167CD4">
        <w:trPr>
          <w:trHeight w:val="15"/>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Monobenzyl phthalate (MBzP)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0.95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0.81</w:t>
            </w:r>
          </w:p>
        </w:tc>
      </w:tr>
      <w:tr w:rsidR="00167CD4">
        <w:trPr>
          <w:trHeight w:val="45"/>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Mono(3-carboxypropyl) phthalate (MCPP)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0.64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0.49</w:t>
            </w:r>
          </w:p>
        </w:tc>
      </w:tr>
      <w:tr w:rsidR="00167CD4">
        <w:trPr>
          <w:trHeight w:val="15"/>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Mono(2-ethylhexyl) phthalate (MEHP)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0.11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0.64</w:t>
            </w:r>
          </w:p>
        </w:tc>
      </w:tr>
      <w:tr w:rsidR="00167CD4">
        <w:trPr>
          <w:trHeight w:val="9"/>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Mono(2-ethyl-5-</w:t>
            </w:r>
            <w:bookmarkStart w:id="3" w:name="_e11m1msjscf9"/>
            <w:bookmarkEnd w:id="3"/>
            <w:r>
              <w:rPr>
                <w:sz w:val="22"/>
                <w:szCs w:val="22"/>
                <w:lang w:val="en-US"/>
              </w:rPr>
              <w:t>hydroxyhexyl) phthalate (MEHHP)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0.30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0.81</w:t>
            </w:r>
          </w:p>
        </w:tc>
      </w:tr>
      <w:tr w:rsidR="00167CD4">
        <w:trPr>
          <w:trHeight w:val="15"/>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Mono(2-ethyl-5-oxohexyl) phthalate (MEOHP)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0.40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0.97</w:t>
            </w:r>
          </w:p>
        </w:tc>
      </w:tr>
      <w:tr w:rsidR="00167CD4">
        <w:trPr>
          <w:trHeight w:val="15"/>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r>
              <w:rPr>
                <w:sz w:val="22"/>
                <w:szCs w:val="22"/>
                <w:lang w:val="en-US"/>
              </w:rPr>
              <w:t>Mono(2-ethyl-5-</w:t>
            </w:r>
            <w:bookmarkStart w:id="4" w:name="_plujavcjhap"/>
            <w:bookmarkEnd w:id="4"/>
            <w:r>
              <w:rPr>
                <w:sz w:val="22"/>
                <w:szCs w:val="22"/>
                <w:lang w:val="en-US"/>
              </w:rPr>
              <w:t>carboxypentyl) phthalate (MECPP)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0.51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0.94</w:t>
            </w:r>
          </w:p>
        </w:tc>
      </w:tr>
      <w:tr w:rsidR="00167CD4">
        <w:trPr>
          <w:trHeight w:val="15"/>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spacing w:line="276" w:lineRule="auto"/>
              <w:rPr>
                <w:sz w:val="22"/>
                <w:szCs w:val="22"/>
                <w:lang w:val="en-US"/>
              </w:rPr>
            </w:pPr>
            <w:r>
              <w:rPr>
                <w:sz w:val="22"/>
                <w:szCs w:val="22"/>
                <w:lang w:val="en-US"/>
              </w:rPr>
              <w:t>Molar sum of DEHP metabolites (ΣDEHP)</w:t>
            </w:r>
            <w:r>
              <w:rPr>
                <w:sz w:val="22"/>
                <w:szCs w:val="22"/>
                <w:vertAlign w:val="superscript"/>
                <w:lang w:val="en-US"/>
              </w:rPr>
              <w:t>c</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0.36</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0.85</w:t>
            </w:r>
          </w:p>
        </w:tc>
      </w:tr>
      <w:tr w:rsidR="00167CD4">
        <w:trPr>
          <w:trHeight w:val="15"/>
        </w:trPr>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proofErr w:type="spellStart"/>
            <w:r>
              <w:rPr>
                <w:sz w:val="22"/>
                <w:szCs w:val="22"/>
                <w:lang w:val="en-US"/>
              </w:rPr>
              <w:t>Monocarboxy-iso-octyl</w:t>
            </w:r>
            <w:proofErr w:type="spellEnd"/>
            <w:r>
              <w:rPr>
                <w:sz w:val="22"/>
                <w:szCs w:val="22"/>
                <w:lang w:val="en-US"/>
              </w:rPr>
              <w:t xml:space="preserve"> phthalate (MCOP)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0.86</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0.43</w:t>
            </w:r>
          </w:p>
        </w:tc>
      </w:tr>
      <w:tr w:rsidR="00167CD4">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bottom"/>
          </w:tcPr>
          <w:p w:rsidR="00167CD4" w:rsidRDefault="005D57F1">
            <w:pPr>
              <w:rPr>
                <w:sz w:val="22"/>
                <w:szCs w:val="22"/>
                <w:lang w:val="en-US"/>
              </w:rPr>
            </w:pPr>
            <w:proofErr w:type="spellStart"/>
            <w:r>
              <w:rPr>
                <w:sz w:val="22"/>
                <w:szCs w:val="22"/>
                <w:lang w:val="en-US"/>
              </w:rPr>
              <w:t>Monocarboxy-iso-nonyl</w:t>
            </w:r>
            <w:proofErr w:type="spellEnd"/>
            <w:r>
              <w:rPr>
                <w:sz w:val="22"/>
                <w:szCs w:val="22"/>
                <w:lang w:val="en-US"/>
              </w:rPr>
              <w:t xml:space="preserve"> phthalate (MCNP)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High</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0.56</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67CD4" w:rsidRDefault="005D57F1">
            <w:pPr>
              <w:widowControl w:val="0"/>
              <w:spacing w:line="276" w:lineRule="auto"/>
              <w:jc w:val="center"/>
              <w:rPr>
                <w:sz w:val="22"/>
                <w:szCs w:val="22"/>
                <w:lang w:val="en-US"/>
              </w:rPr>
            </w:pPr>
            <w:r>
              <w:rPr>
                <w:sz w:val="22"/>
                <w:szCs w:val="22"/>
                <w:lang w:val="en-US"/>
              </w:rPr>
              <w:t>0.31</w:t>
            </w:r>
          </w:p>
        </w:tc>
      </w:tr>
    </w:tbl>
    <w:p w:rsidR="00167CD4" w:rsidRDefault="005D57F1" w:rsidP="00074039">
      <w:pPr>
        <w:widowControl w:val="0"/>
        <w:spacing w:before="200" w:after="240" w:line="276" w:lineRule="auto"/>
        <w:rPr>
          <w:sz w:val="22"/>
          <w:szCs w:val="22"/>
          <w:lang w:val="en-US"/>
        </w:rPr>
      </w:pPr>
      <w:r>
        <w:rPr>
          <w:sz w:val="22"/>
          <w:szCs w:val="22"/>
          <w:lang w:val="en-US"/>
        </w:rPr>
        <w:t>GAMP models were adjusted for recruitment center, maternal active smoking in the three months preceding pregnancy and during pregnancy, maternal age, parity, maternal education level, maternal pre-pregnancy BMI, season of conception, batch, plate</w:t>
      </w:r>
      <w:r w:rsidR="00FE42CA">
        <w:rPr>
          <w:sz w:val="22"/>
          <w:szCs w:val="22"/>
          <w:lang w:val="en-US"/>
        </w:rPr>
        <w:t xml:space="preserve">, chip, </w:t>
      </w:r>
      <w:r w:rsidR="00FE42CA" w:rsidRPr="00FE42CA">
        <w:rPr>
          <w:sz w:val="22"/>
          <w:szCs w:val="22"/>
          <w:lang w:val="en-US"/>
        </w:rPr>
        <w:t>and estimated</w:t>
      </w:r>
      <w:r w:rsidR="00FE42CA">
        <w:rPr>
          <w:sz w:val="22"/>
          <w:szCs w:val="22"/>
          <w:lang w:val="en-US"/>
        </w:rPr>
        <w:t xml:space="preserve"> </w:t>
      </w:r>
      <w:r w:rsidR="00FE42CA" w:rsidRPr="00FE42CA">
        <w:rPr>
          <w:sz w:val="22"/>
          <w:szCs w:val="22"/>
          <w:lang w:val="en-US"/>
        </w:rPr>
        <w:t xml:space="preserve">placental cell-type </w:t>
      </w:r>
      <w:r w:rsidR="00FE42CA">
        <w:rPr>
          <w:sz w:val="22"/>
          <w:szCs w:val="22"/>
          <w:lang w:val="en-US"/>
        </w:rPr>
        <w:t>p</w:t>
      </w:r>
      <w:r w:rsidR="00FE42CA" w:rsidRPr="00FE42CA">
        <w:rPr>
          <w:sz w:val="22"/>
          <w:szCs w:val="22"/>
          <w:lang w:val="en-US"/>
        </w:rPr>
        <w:t>roportions.</w:t>
      </w:r>
    </w:p>
    <w:p w:rsidR="00167CD4" w:rsidRDefault="005D57F1" w:rsidP="00074039">
      <w:pPr>
        <w:widowControl w:val="0"/>
        <w:spacing w:line="276" w:lineRule="auto"/>
        <w:rPr>
          <w:sz w:val="22"/>
          <w:szCs w:val="22"/>
          <w:lang w:val="en-US"/>
        </w:rPr>
      </w:pPr>
      <w:r>
        <w:rPr>
          <w:sz w:val="22"/>
          <w:szCs w:val="22"/>
          <w:vertAlign w:val="superscript"/>
          <w:lang w:val="en-US"/>
        </w:rPr>
        <w:t xml:space="preserve"> </w:t>
      </w:r>
      <w:proofErr w:type="gramStart"/>
      <w:r>
        <w:rPr>
          <w:sz w:val="22"/>
          <w:szCs w:val="22"/>
          <w:vertAlign w:val="superscript"/>
          <w:lang w:val="en-US"/>
        </w:rPr>
        <w:t>a</w:t>
      </w:r>
      <w:proofErr w:type="gramEnd"/>
      <w:r>
        <w:rPr>
          <w:sz w:val="22"/>
          <w:szCs w:val="22"/>
          <w:vertAlign w:val="superscript"/>
          <w:lang w:val="en-US"/>
        </w:rPr>
        <w:t xml:space="preserve"> </w:t>
      </w:r>
      <w:r>
        <w:rPr>
          <w:sz w:val="22"/>
          <w:szCs w:val="22"/>
          <w:lang w:val="en-US"/>
        </w:rPr>
        <w:t xml:space="preserve">Tests the association of the CDF of the observed methylation distributions for each individual with each exposure variable. </w:t>
      </w:r>
    </w:p>
    <w:p w:rsidR="00167CD4" w:rsidRDefault="005D57F1" w:rsidP="00074039">
      <w:pPr>
        <w:widowControl w:val="0"/>
        <w:spacing w:line="276" w:lineRule="auto"/>
        <w:rPr>
          <w:sz w:val="22"/>
          <w:szCs w:val="22"/>
          <w:lang w:val="en-US"/>
        </w:rPr>
      </w:pPr>
      <w:proofErr w:type="gramStart"/>
      <w:r>
        <w:rPr>
          <w:sz w:val="22"/>
          <w:szCs w:val="22"/>
          <w:vertAlign w:val="superscript"/>
          <w:lang w:val="en-US"/>
        </w:rPr>
        <w:t>b</w:t>
      </w:r>
      <w:proofErr w:type="gramEnd"/>
      <w:r>
        <w:rPr>
          <w:sz w:val="22"/>
          <w:szCs w:val="22"/>
          <w:vertAlign w:val="superscript"/>
          <w:lang w:val="en-US"/>
        </w:rPr>
        <w:t xml:space="preserve"> </w:t>
      </w:r>
      <w:r>
        <w:rPr>
          <w:sz w:val="22"/>
          <w:szCs w:val="22"/>
          <w:lang w:val="en-US"/>
        </w:rPr>
        <w:t>Tests whether the densities of the observed methylation distributions for each individual are associated with an exposure variable.</w:t>
      </w:r>
    </w:p>
    <w:p w:rsidR="00167CD4" w:rsidRDefault="005D57F1" w:rsidP="00074039">
      <w:pPr>
        <w:spacing w:after="240" w:line="276" w:lineRule="auto"/>
        <w:rPr>
          <w:sz w:val="22"/>
          <w:szCs w:val="22"/>
          <w:lang w:val="en-US"/>
        </w:rPr>
      </w:pPr>
      <w:proofErr w:type="gramStart"/>
      <w:r>
        <w:rPr>
          <w:sz w:val="22"/>
          <w:szCs w:val="22"/>
          <w:vertAlign w:val="superscript"/>
          <w:lang w:val="en-US"/>
        </w:rPr>
        <w:t>c</w:t>
      </w:r>
      <w:proofErr w:type="gramEnd"/>
      <w:r>
        <w:rPr>
          <w:sz w:val="22"/>
          <w:szCs w:val="22"/>
          <w:lang w:val="en-US"/>
        </w:rPr>
        <w:t xml:space="preserve"> ΣDEHP was calculated by summing molar concentrations of MEHP, MEHHP, MEOHP, and MECPP.</w:t>
      </w:r>
    </w:p>
    <w:p w:rsidR="00167CD4" w:rsidRDefault="005D57F1" w:rsidP="00074039">
      <w:pPr>
        <w:widowControl w:val="0"/>
        <w:spacing w:line="276" w:lineRule="auto"/>
        <w:rPr>
          <w:sz w:val="22"/>
          <w:szCs w:val="22"/>
          <w:highlight w:val="yellow"/>
          <w:lang w:val="en-US"/>
        </w:rPr>
      </w:pPr>
      <w:r>
        <w:rPr>
          <w:sz w:val="22"/>
          <w:szCs w:val="22"/>
          <w:lang w:val="en-US"/>
        </w:rPr>
        <w:t xml:space="preserve">Abbreviations: </w:t>
      </w:r>
      <w:r>
        <w:rPr>
          <w:rFonts w:eastAsia="Gungsuh"/>
          <w:sz w:val="22"/>
          <w:szCs w:val="22"/>
          <w:lang w:val="en-US"/>
        </w:rPr>
        <w:t xml:space="preserve">BMI = body mass index. </w:t>
      </w:r>
      <w:r>
        <w:rPr>
          <w:sz w:val="22"/>
          <w:szCs w:val="22"/>
          <w:lang w:val="en-US"/>
        </w:rPr>
        <w:t>CDF = cumulative distribution function. GAMP = global analysis of methylation profiles.</w:t>
      </w:r>
    </w:p>
    <w:p w:rsidR="00167CD4" w:rsidRDefault="00167CD4" w:rsidP="00074039">
      <w:pPr>
        <w:spacing w:line="276" w:lineRule="auto"/>
        <w:rPr>
          <w:sz w:val="22"/>
          <w:szCs w:val="22"/>
          <w:lang w:val="en-US"/>
        </w:rPr>
      </w:pPr>
    </w:p>
    <w:p w:rsidR="00167CD4" w:rsidRDefault="005D57F1" w:rsidP="00074039">
      <w:pPr>
        <w:spacing w:line="276" w:lineRule="auto"/>
        <w:rPr>
          <w:sz w:val="22"/>
          <w:szCs w:val="22"/>
          <w:lang w:val="en-US"/>
        </w:rPr>
      </w:pPr>
      <w:r>
        <w:br w:type="page"/>
      </w:r>
    </w:p>
    <w:p w:rsidR="00167CD4" w:rsidRDefault="005D57F1" w:rsidP="00074039">
      <w:pPr>
        <w:pStyle w:val="Heading2"/>
        <w:spacing w:after="240" w:line="276" w:lineRule="auto"/>
        <w:rPr>
          <w:b w:val="0"/>
          <w:sz w:val="22"/>
          <w:szCs w:val="22"/>
          <w:lang w:val="en-US"/>
        </w:rPr>
      </w:pPr>
      <w:bookmarkStart w:id="5" w:name="_Toc86240724"/>
      <w:r>
        <w:rPr>
          <w:sz w:val="22"/>
          <w:szCs w:val="22"/>
          <w:lang w:val="en-US"/>
        </w:rPr>
        <w:lastRenderedPageBreak/>
        <w:t>Supplementary Table 2:</w:t>
      </w:r>
      <w:r>
        <w:rPr>
          <w:b w:val="0"/>
          <w:sz w:val="22"/>
          <w:szCs w:val="22"/>
          <w:lang w:val="en-US"/>
        </w:rPr>
        <w:t xml:space="preserve"> DMRs and CpGs associated with pregnancy concentrations of phthalate metabolites (25 DMRs, 13</w:t>
      </w:r>
      <w:r w:rsidR="00A22F60">
        <w:rPr>
          <w:b w:val="0"/>
          <w:sz w:val="22"/>
          <w:szCs w:val="22"/>
          <w:lang w:val="en-US"/>
        </w:rPr>
        <w:t>1</w:t>
      </w:r>
      <w:r>
        <w:rPr>
          <w:b w:val="0"/>
          <w:sz w:val="22"/>
          <w:szCs w:val="22"/>
          <w:lang w:val="en-US"/>
        </w:rPr>
        <w:t xml:space="preserve"> CpGs, Šidák-corrected p-value &lt; 0.05, n = 202, 379,904 CpGs).</w:t>
      </w:r>
      <w:bookmarkEnd w:id="5"/>
    </w:p>
    <w:p w:rsidR="00167CD4" w:rsidRDefault="005D57F1" w:rsidP="00074039">
      <w:pPr>
        <w:spacing w:after="240" w:line="276" w:lineRule="auto"/>
        <w:rPr>
          <w:color w:val="1155CC"/>
          <w:sz w:val="22"/>
          <w:szCs w:val="22"/>
          <w:u w:val="single"/>
          <w:lang w:val="en-US"/>
        </w:rPr>
      </w:pPr>
      <w:r>
        <w:rPr>
          <w:color w:val="1155CC"/>
          <w:sz w:val="22"/>
          <w:szCs w:val="22"/>
          <w:u w:val="single"/>
          <w:lang w:val="en-US"/>
        </w:rPr>
        <w:t>PLEASE REFER TO THE EXTERNAL SUPPLEMENTARY TABLE 2</w:t>
      </w:r>
    </w:p>
    <w:p w:rsidR="00167CD4" w:rsidRDefault="005D57F1" w:rsidP="00074039">
      <w:pPr>
        <w:spacing w:after="240" w:line="276" w:lineRule="auto"/>
        <w:rPr>
          <w:sz w:val="22"/>
          <w:szCs w:val="22"/>
          <w:lang w:val="en-US"/>
        </w:rPr>
      </w:pPr>
      <w:r>
        <w:rPr>
          <w:sz w:val="22"/>
          <w:szCs w:val="22"/>
          <w:lang w:val="en-US"/>
        </w:rPr>
        <w:t>EWAS regression models on which the DMR analysis was based were adjusted for recruitment center, maternal active smoking in the three months preceding pregnancy and during pregnancy, maternal age, parity, maternal education level, maternal pre-pregnancy BMI, season of conception, batch, plate, chip, and estimated placental cell-type proportions.</w:t>
      </w:r>
    </w:p>
    <w:p w:rsidR="00167CD4" w:rsidRDefault="005D57F1" w:rsidP="00074039">
      <w:pPr>
        <w:spacing w:line="276" w:lineRule="auto"/>
        <w:rPr>
          <w:sz w:val="22"/>
          <w:szCs w:val="22"/>
          <w:lang w:val="en-US"/>
        </w:rPr>
      </w:pPr>
      <w:r>
        <w:rPr>
          <w:sz w:val="22"/>
          <w:szCs w:val="22"/>
          <w:lang w:val="en-US"/>
        </w:rPr>
        <w:t>Abbreviations: BMI = body mass index. DMR = differentially methylated region.</w:t>
      </w:r>
    </w:p>
    <w:p w:rsidR="00167CD4" w:rsidRDefault="005D57F1" w:rsidP="00074039">
      <w:pPr>
        <w:spacing w:line="276" w:lineRule="auto"/>
        <w:rPr>
          <w:lang w:val="en-US"/>
        </w:rPr>
      </w:pPr>
      <w:r>
        <w:br w:type="page"/>
      </w:r>
    </w:p>
    <w:p w:rsidR="00167CD4" w:rsidRDefault="005D57F1" w:rsidP="00074039">
      <w:pPr>
        <w:pStyle w:val="Heading2"/>
        <w:spacing w:after="240" w:line="276" w:lineRule="auto"/>
        <w:rPr>
          <w:b w:val="0"/>
          <w:sz w:val="22"/>
          <w:szCs w:val="22"/>
          <w:lang w:val="en-US"/>
        </w:rPr>
      </w:pPr>
      <w:bookmarkStart w:id="6" w:name="_Toc86240725"/>
      <w:r>
        <w:rPr>
          <w:sz w:val="22"/>
          <w:szCs w:val="22"/>
          <w:lang w:val="en-US"/>
        </w:rPr>
        <w:lastRenderedPageBreak/>
        <w:t>Supplementary Table 3:</w:t>
      </w:r>
      <w:r>
        <w:rPr>
          <w:b w:val="0"/>
          <w:sz w:val="22"/>
          <w:szCs w:val="22"/>
          <w:lang w:val="en-US"/>
        </w:rPr>
        <w:t xml:space="preserve"> Non-exhaustive list of the function of the genes associated with phthalate exposure.</w:t>
      </w:r>
      <w:bookmarkEnd w:id="6"/>
    </w:p>
    <w:p w:rsidR="00167CD4" w:rsidRDefault="005D57F1" w:rsidP="00074039">
      <w:pPr>
        <w:spacing w:after="240" w:line="276" w:lineRule="auto"/>
        <w:rPr>
          <w:lang w:val="en-US"/>
        </w:rPr>
      </w:pPr>
      <w:r>
        <w:rPr>
          <w:color w:val="1155CC"/>
          <w:sz w:val="22"/>
          <w:szCs w:val="22"/>
          <w:u w:val="single"/>
          <w:lang w:val="en-US"/>
        </w:rPr>
        <w:t>PLEASE REFER TO THE EXTERNAL SUPPLEMENTARY TABLE 3</w:t>
      </w:r>
    </w:p>
    <w:p w:rsidR="00167CD4" w:rsidRDefault="005D57F1" w:rsidP="00074039">
      <w:pPr>
        <w:spacing w:line="276" w:lineRule="auto"/>
        <w:rPr>
          <w:sz w:val="22"/>
          <w:szCs w:val="22"/>
          <w:lang w:val="en-US"/>
        </w:rPr>
        <w:sectPr w:rsidR="00167CD4">
          <w:footerReference w:type="default" r:id="rId6"/>
          <w:pgSz w:w="11906" w:h="16838"/>
          <w:pgMar w:top="1440" w:right="1440" w:bottom="1455" w:left="1440" w:header="0" w:footer="720" w:gutter="0"/>
          <w:pgNumType w:start="1"/>
          <w:cols w:space="720"/>
          <w:formProt w:val="0"/>
          <w:docGrid w:linePitch="272" w:charSpace="8192"/>
        </w:sectPr>
      </w:pPr>
      <w:r>
        <w:rPr>
          <w:sz w:val="22"/>
          <w:szCs w:val="22"/>
          <w:lang w:val="en-US"/>
        </w:rPr>
        <w:t xml:space="preserve">Information on genes encompassed by the DMRs identified as associated with the phthalate exposure were retrieved from the </w:t>
      </w:r>
      <w:proofErr w:type="spellStart"/>
      <w:r>
        <w:rPr>
          <w:sz w:val="22"/>
          <w:szCs w:val="22"/>
          <w:lang w:val="en-US"/>
        </w:rPr>
        <w:t>GeneCards</w:t>
      </w:r>
      <w:proofErr w:type="spellEnd"/>
      <w:r>
        <w:rPr>
          <w:sz w:val="22"/>
          <w:szCs w:val="22"/>
          <w:lang w:val="en-US"/>
        </w:rPr>
        <w:t xml:space="preserve"> Human Gene Database </w:t>
      </w:r>
      <w:r>
        <w:fldChar w:fldCharType="begin"/>
      </w:r>
      <w:r>
        <w:instrText>ADDIN ZOTERO_ITEM CSL_CITATION {"citationID":"cKBXjOG9","properties":{"formattedCitation":"(Stelzer et al. 2016)","plainCitation":"(Stelzer et al. 2016)","noteIndex":0},"citationItems":[{"id":4719,"uris":["http://zotero.org/users/5642993/items/VZMBCBXK"],"uri":["http://zotero.org/users/5642993/items/VZMBCBXK"],"itemData":{"id":4719,"type":"article-journal","abstract":"GeneCards, the human gene compendium, enables researchers to effectively navigate and inter-relate the wide universe of human genes, diseases, variants, proteins, cells, and biological pathways. Our recently launched Version 4 has a revamped infrastructure facilitating faster data updates, better-targeted data queries, and friendlier user experience. It also provides a stronger foundation for the GeneCards suite of companion databases and analysis tools. Improved data unification includes gene-disease links via MalaCards and merged biological pathways via PathCards, as well as drug information and proteome expression. VarElect, another suite member, is a phenotype prioritizer for next-generation sequencing, leveraging the GeneCards and MalaCards knowledgebase. It automatically infers direct and indirect scored associations between hundreds or even thousands of variant-containing genes and disease phenotype terms. VarElect's capabilities, either independently or within TGex, our comprehensive variant analysis pipeline, help prepare for the challenge of clinical projects that involve thousands of exome/genome NGS analyses. © 2016 by John Wiley &amp; Sons, Inc.","container-title":"Current Protocols in Bioinformatics","DOI":"10.1002/cpbi.5","ISSN":"1934-340X","journalAbbreviation":"Curr Protoc Bioinformatics","language":"eng","note":"tex.ids= stelzer2016\nPMID: 27322403","page":"1.30.1-1.30.33","source":"PubMed","title":"The GeneCards Suite: from gene data mining to disease genome sequence analyses","title-short":"The GeneCards Suite","volume":"54","author":[{"family":"Stelzer","given":"Gil"},{"family":"Rosen","given":"Naomi"},{"family":"Plaschkes","given":"Inbar"},{"family":"Zimmerman","given":"Shahar"},{"family":"Twik","given":"Michal"},{"family":"Fishilevich","given":"Simon"},{"family":"Stein","given":"Tsippi Iny"},{"family":"Nudel","given":"Ron"},{"family":"Lieder","given":"Iris"},{"family":"Mazor","given":"Yaron"},{"family":"Kaplan","given":"Sergey"},{"family":"Dahary","given":"Dvir"},{"family":"Warshawsky","given":"David"},{"family":"Guan-Golan","given":"Yaron"},{"family":"Kohn","given":"Asher"},{"family":"Rappaport","given":"Noa"},{"family":"Safran","given":"Marilyn"},{"family":"Lancet","given":"Doron"}],"issued":{"date-parts":[["2016",6,20]]}}}],"schema":"https://github.com/citation-style-language/schema/raw/master/csl-citation.json"}</w:instrText>
      </w:r>
      <w:r>
        <w:fldChar w:fldCharType="separate"/>
      </w:r>
      <w:bookmarkStart w:id="7" w:name="__Fieldmark__362_3847363368"/>
      <w:r>
        <w:rPr>
          <w:sz w:val="22"/>
          <w:lang w:val="en-US"/>
        </w:rPr>
        <w:t>(Stelzer et al. 2016)</w:t>
      </w:r>
      <w:r>
        <w:fldChar w:fldCharType="end"/>
      </w:r>
      <w:bookmarkEnd w:id="7"/>
      <w:r>
        <w:rPr>
          <w:sz w:val="22"/>
          <w:szCs w:val="22"/>
          <w:lang w:val="en-US"/>
        </w:rPr>
        <w:t>.</w:t>
      </w:r>
    </w:p>
    <w:p w:rsidR="00167CD4" w:rsidRDefault="005D57F1" w:rsidP="00074039">
      <w:pPr>
        <w:pStyle w:val="Heading2"/>
        <w:widowControl w:val="0"/>
        <w:spacing w:before="240" w:after="240" w:line="276" w:lineRule="auto"/>
        <w:rPr>
          <w:b w:val="0"/>
          <w:sz w:val="22"/>
          <w:szCs w:val="22"/>
          <w:lang w:val="en-US"/>
        </w:rPr>
      </w:pPr>
      <w:bookmarkStart w:id="8" w:name="_Toc86240726"/>
      <w:r>
        <w:rPr>
          <w:sz w:val="22"/>
          <w:szCs w:val="22"/>
          <w:lang w:val="en-US"/>
        </w:rPr>
        <w:lastRenderedPageBreak/>
        <w:t>Supplementary Table 4:</w:t>
      </w:r>
      <w:r>
        <w:rPr>
          <w:b w:val="0"/>
          <w:sz w:val="22"/>
          <w:szCs w:val="22"/>
          <w:lang w:val="en-US"/>
        </w:rPr>
        <w:t xml:space="preserve"> Intraclass correlation coefficients (ICC) reported in previous studies assessing the variability of phthalate metabolites in spot urine samples of pregnant </w:t>
      </w:r>
      <w:proofErr w:type="spellStart"/>
      <w:r>
        <w:rPr>
          <w:b w:val="0"/>
          <w:sz w:val="22"/>
          <w:szCs w:val="22"/>
          <w:lang w:val="en-US"/>
        </w:rPr>
        <w:t>women</w:t>
      </w:r>
      <w:r>
        <w:rPr>
          <w:b w:val="0"/>
          <w:sz w:val="22"/>
          <w:szCs w:val="22"/>
          <w:vertAlign w:val="superscript"/>
          <w:lang w:val="en-US"/>
        </w:rPr>
        <w:t>a</w:t>
      </w:r>
      <w:proofErr w:type="spellEnd"/>
      <w:r>
        <w:rPr>
          <w:b w:val="0"/>
          <w:sz w:val="22"/>
          <w:szCs w:val="22"/>
          <w:lang w:val="en-US"/>
        </w:rPr>
        <w:t>, restricted to compounds assessed in the present study.</w:t>
      </w:r>
      <w:bookmarkEnd w:id="8"/>
    </w:p>
    <w:tbl>
      <w:tblPr>
        <w:tblW w:w="12272" w:type="dxa"/>
        <w:tblLook w:val="04A0" w:firstRow="1" w:lastRow="0" w:firstColumn="1" w:lastColumn="0" w:noHBand="0" w:noVBand="1"/>
      </w:tblPr>
      <w:tblGrid>
        <w:gridCol w:w="2411"/>
        <w:gridCol w:w="1558"/>
        <w:gridCol w:w="1844"/>
        <w:gridCol w:w="1480"/>
        <w:gridCol w:w="1844"/>
        <w:gridCol w:w="1480"/>
        <w:gridCol w:w="1655"/>
      </w:tblGrid>
      <w:tr w:rsidR="00167CD4">
        <w:trPr>
          <w:trHeight w:val="576"/>
        </w:trPr>
        <w:tc>
          <w:tcPr>
            <w:tcW w:w="2410" w:type="dxa"/>
            <w:shd w:val="clear" w:color="000000" w:fill="FFFFFF"/>
            <w:vAlign w:val="center"/>
          </w:tcPr>
          <w:p w:rsidR="00167CD4" w:rsidRDefault="005D57F1">
            <w:pPr>
              <w:jc w:val="center"/>
              <w:rPr>
                <w:sz w:val="22"/>
                <w:szCs w:val="22"/>
                <w:lang w:val="en-US"/>
              </w:rPr>
            </w:pPr>
            <w:r>
              <w:rPr>
                <w:sz w:val="22"/>
                <w:szCs w:val="22"/>
                <w:lang w:val="en-US"/>
              </w:rPr>
              <w:t> </w:t>
            </w:r>
          </w:p>
        </w:tc>
        <w:tc>
          <w:tcPr>
            <w:tcW w:w="1558" w:type="dxa"/>
            <w:shd w:val="clear" w:color="000000" w:fill="FFFFFF"/>
            <w:vAlign w:val="center"/>
          </w:tcPr>
          <w:p w:rsidR="00167CD4" w:rsidRDefault="005D57F1">
            <w:pPr>
              <w:jc w:val="center"/>
              <w:rPr>
                <w:sz w:val="22"/>
                <w:szCs w:val="22"/>
                <w:lang w:val="en-US"/>
              </w:rPr>
            </w:pPr>
            <w:proofErr w:type="spellStart"/>
            <w:r>
              <w:rPr>
                <w:sz w:val="22"/>
                <w:szCs w:val="22"/>
                <w:lang w:val="en-US"/>
              </w:rPr>
              <w:t>Adibi</w:t>
            </w:r>
            <w:proofErr w:type="spellEnd"/>
            <w:r>
              <w:rPr>
                <w:sz w:val="22"/>
                <w:szCs w:val="22"/>
                <w:lang w:val="en-US"/>
              </w:rPr>
              <w:t xml:space="preserve"> et al. (2008)</w:t>
            </w:r>
          </w:p>
        </w:tc>
        <w:tc>
          <w:tcPr>
            <w:tcW w:w="1844" w:type="dxa"/>
            <w:shd w:val="clear" w:color="000000" w:fill="FFFFFF"/>
            <w:vAlign w:val="center"/>
          </w:tcPr>
          <w:p w:rsidR="00167CD4" w:rsidRDefault="005D57F1">
            <w:pPr>
              <w:jc w:val="center"/>
              <w:rPr>
                <w:sz w:val="22"/>
                <w:szCs w:val="22"/>
                <w:lang w:val="en-US"/>
              </w:rPr>
            </w:pPr>
            <w:r>
              <w:rPr>
                <w:sz w:val="22"/>
                <w:szCs w:val="22"/>
                <w:lang w:val="en-US"/>
              </w:rPr>
              <w:t>Braun et al. (2012)</w:t>
            </w:r>
          </w:p>
        </w:tc>
        <w:tc>
          <w:tcPr>
            <w:tcW w:w="1480" w:type="dxa"/>
            <w:shd w:val="clear" w:color="000000" w:fill="FFFFFF"/>
            <w:vAlign w:val="center"/>
          </w:tcPr>
          <w:p w:rsidR="00167CD4" w:rsidRDefault="005D57F1">
            <w:pPr>
              <w:jc w:val="center"/>
              <w:rPr>
                <w:sz w:val="22"/>
                <w:szCs w:val="22"/>
                <w:lang w:val="en-US"/>
              </w:rPr>
            </w:pPr>
            <w:proofErr w:type="spellStart"/>
            <w:r>
              <w:rPr>
                <w:sz w:val="22"/>
                <w:szCs w:val="22"/>
                <w:lang w:val="en-US"/>
              </w:rPr>
              <w:t>Cantowine</w:t>
            </w:r>
            <w:proofErr w:type="spellEnd"/>
            <w:r>
              <w:rPr>
                <w:sz w:val="22"/>
                <w:szCs w:val="22"/>
                <w:lang w:val="en-US"/>
              </w:rPr>
              <w:t xml:space="preserve"> et al. (2014)</w:t>
            </w:r>
          </w:p>
        </w:tc>
        <w:tc>
          <w:tcPr>
            <w:tcW w:w="1844" w:type="dxa"/>
            <w:shd w:val="clear" w:color="000000" w:fill="FFFFFF"/>
            <w:vAlign w:val="center"/>
          </w:tcPr>
          <w:p w:rsidR="00167CD4" w:rsidRDefault="005D57F1">
            <w:pPr>
              <w:jc w:val="center"/>
              <w:rPr>
                <w:sz w:val="22"/>
                <w:szCs w:val="22"/>
                <w:lang w:val="en-US"/>
              </w:rPr>
            </w:pPr>
            <w:r>
              <w:rPr>
                <w:sz w:val="22"/>
                <w:szCs w:val="22"/>
                <w:lang w:val="en-US"/>
              </w:rPr>
              <w:t>Ferguson et al. (2014)</w:t>
            </w:r>
          </w:p>
        </w:tc>
        <w:tc>
          <w:tcPr>
            <w:tcW w:w="1480" w:type="dxa"/>
            <w:shd w:val="clear" w:color="000000" w:fill="FFFFFF"/>
            <w:vAlign w:val="center"/>
          </w:tcPr>
          <w:p w:rsidR="00167CD4" w:rsidRDefault="005D57F1">
            <w:pPr>
              <w:jc w:val="center"/>
              <w:rPr>
                <w:sz w:val="22"/>
                <w:szCs w:val="22"/>
                <w:lang w:val="en-US"/>
              </w:rPr>
            </w:pPr>
            <w:r>
              <w:rPr>
                <w:sz w:val="22"/>
                <w:szCs w:val="22"/>
                <w:lang w:val="en-US"/>
              </w:rPr>
              <w:t>Shin et al. (2019)</w:t>
            </w:r>
          </w:p>
        </w:tc>
        <w:tc>
          <w:tcPr>
            <w:tcW w:w="1655" w:type="dxa"/>
            <w:shd w:val="clear" w:color="000000" w:fill="FFFFFF"/>
            <w:vAlign w:val="center"/>
          </w:tcPr>
          <w:p w:rsidR="00167CD4" w:rsidRDefault="005D57F1">
            <w:pPr>
              <w:jc w:val="center"/>
              <w:rPr>
                <w:sz w:val="22"/>
                <w:szCs w:val="22"/>
                <w:lang w:val="en-US"/>
              </w:rPr>
            </w:pPr>
            <w:proofErr w:type="spellStart"/>
            <w:r>
              <w:rPr>
                <w:sz w:val="22"/>
                <w:szCs w:val="22"/>
                <w:lang w:val="en-US"/>
              </w:rPr>
              <w:t>Bastiaensen</w:t>
            </w:r>
            <w:proofErr w:type="spellEnd"/>
            <w:r>
              <w:rPr>
                <w:sz w:val="22"/>
                <w:szCs w:val="22"/>
                <w:lang w:val="en-US"/>
              </w:rPr>
              <w:t xml:space="preserve"> et al. (2020)</w:t>
            </w:r>
            <w:r>
              <w:rPr>
                <w:sz w:val="22"/>
                <w:szCs w:val="22"/>
                <w:vertAlign w:val="superscript"/>
                <w:lang w:val="en-US"/>
              </w:rPr>
              <w:t>b</w:t>
            </w:r>
          </w:p>
        </w:tc>
      </w:tr>
      <w:tr w:rsidR="00167CD4">
        <w:trPr>
          <w:trHeight w:val="276"/>
        </w:trPr>
        <w:tc>
          <w:tcPr>
            <w:tcW w:w="2410" w:type="dxa"/>
            <w:shd w:val="clear" w:color="000000" w:fill="FFFFFF"/>
            <w:vAlign w:val="center"/>
          </w:tcPr>
          <w:p w:rsidR="00167CD4" w:rsidRDefault="005D57F1">
            <w:pPr>
              <w:rPr>
                <w:b/>
                <w:bCs/>
                <w:sz w:val="22"/>
                <w:szCs w:val="22"/>
                <w:lang w:val="en-US"/>
              </w:rPr>
            </w:pPr>
            <w:r>
              <w:rPr>
                <w:b/>
                <w:bCs/>
                <w:sz w:val="22"/>
                <w:szCs w:val="22"/>
                <w:lang w:val="en-US"/>
              </w:rPr>
              <w:t>N of subjects</w:t>
            </w:r>
          </w:p>
        </w:tc>
        <w:tc>
          <w:tcPr>
            <w:tcW w:w="1558" w:type="dxa"/>
            <w:shd w:val="clear" w:color="000000" w:fill="FFFFFF"/>
            <w:vAlign w:val="center"/>
          </w:tcPr>
          <w:p w:rsidR="00167CD4" w:rsidRDefault="005D57F1">
            <w:pPr>
              <w:jc w:val="center"/>
              <w:rPr>
                <w:sz w:val="22"/>
                <w:szCs w:val="22"/>
                <w:lang w:val="en-US"/>
              </w:rPr>
            </w:pPr>
            <w:r>
              <w:rPr>
                <w:sz w:val="22"/>
                <w:szCs w:val="22"/>
                <w:lang w:val="en-US"/>
              </w:rPr>
              <w:t>32</w:t>
            </w:r>
          </w:p>
        </w:tc>
        <w:tc>
          <w:tcPr>
            <w:tcW w:w="1844" w:type="dxa"/>
            <w:shd w:val="clear" w:color="000000" w:fill="FFFFFF"/>
            <w:vAlign w:val="center"/>
          </w:tcPr>
          <w:p w:rsidR="00167CD4" w:rsidRDefault="005D57F1">
            <w:pPr>
              <w:jc w:val="center"/>
              <w:rPr>
                <w:sz w:val="22"/>
                <w:szCs w:val="22"/>
                <w:lang w:val="en-US"/>
              </w:rPr>
            </w:pPr>
            <w:r>
              <w:rPr>
                <w:sz w:val="22"/>
                <w:szCs w:val="22"/>
                <w:lang w:val="en-US"/>
              </w:rPr>
              <w:t>137</w:t>
            </w:r>
          </w:p>
        </w:tc>
        <w:tc>
          <w:tcPr>
            <w:tcW w:w="1480" w:type="dxa"/>
            <w:shd w:val="clear" w:color="000000" w:fill="FFFFFF"/>
            <w:vAlign w:val="center"/>
          </w:tcPr>
          <w:p w:rsidR="00167CD4" w:rsidRDefault="005D57F1">
            <w:pPr>
              <w:jc w:val="center"/>
              <w:rPr>
                <w:sz w:val="22"/>
                <w:szCs w:val="22"/>
                <w:lang w:val="en-US"/>
              </w:rPr>
            </w:pPr>
            <w:r>
              <w:rPr>
                <w:sz w:val="22"/>
                <w:szCs w:val="22"/>
                <w:lang w:val="en-US"/>
              </w:rPr>
              <w:t>139</w:t>
            </w:r>
          </w:p>
        </w:tc>
        <w:tc>
          <w:tcPr>
            <w:tcW w:w="1844" w:type="dxa"/>
            <w:shd w:val="clear" w:color="000000" w:fill="FFFFFF"/>
            <w:vAlign w:val="center"/>
          </w:tcPr>
          <w:p w:rsidR="00167CD4" w:rsidRDefault="005D57F1">
            <w:pPr>
              <w:jc w:val="center"/>
              <w:rPr>
                <w:sz w:val="22"/>
                <w:szCs w:val="22"/>
                <w:lang w:val="en-US"/>
              </w:rPr>
            </w:pPr>
            <w:r>
              <w:rPr>
                <w:sz w:val="22"/>
                <w:szCs w:val="22"/>
                <w:lang w:val="en-US"/>
              </w:rPr>
              <w:t>482</w:t>
            </w:r>
          </w:p>
        </w:tc>
        <w:tc>
          <w:tcPr>
            <w:tcW w:w="1480" w:type="dxa"/>
            <w:shd w:val="clear" w:color="000000" w:fill="FFFFFF"/>
            <w:vAlign w:val="center"/>
          </w:tcPr>
          <w:p w:rsidR="00167CD4" w:rsidRDefault="005D57F1">
            <w:pPr>
              <w:jc w:val="center"/>
              <w:rPr>
                <w:sz w:val="22"/>
                <w:szCs w:val="22"/>
                <w:lang w:val="en-US"/>
              </w:rPr>
            </w:pPr>
            <w:r>
              <w:rPr>
                <w:sz w:val="22"/>
                <w:szCs w:val="22"/>
                <w:lang w:val="en-US"/>
              </w:rPr>
              <w:t>98</w:t>
            </w:r>
          </w:p>
        </w:tc>
        <w:tc>
          <w:tcPr>
            <w:tcW w:w="1655" w:type="dxa"/>
            <w:shd w:val="clear" w:color="000000" w:fill="FFFFFF"/>
            <w:vAlign w:val="center"/>
          </w:tcPr>
          <w:p w:rsidR="00167CD4" w:rsidRDefault="005D57F1">
            <w:pPr>
              <w:jc w:val="center"/>
              <w:rPr>
                <w:sz w:val="22"/>
                <w:szCs w:val="22"/>
                <w:lang w:val="en-US"/>
              </w:rPr>
            </w:pPr>
            <w:r>
              <w:rPr>
                <w:sz w:val="22"/>
                <w:szCs w:val="22"/>
                <w:lang w:val="en-US"/>
              </w:rPr>
              <w:t>994</w:t>
            </w:r>
          </w:p>
        </w:tc>
      </w:tr>
      <w:tr w:rsidR="00167CD4">
        <w:trPr>
          <w:trHeight w:val="276"/>
        </w:trPr>
        <w:tc>
          <w:tcPr>
            <w:tcW w:w="2410" w:type="dxa"/>
            <w:shd w:val="clear" w:color="000000" w:fill="FFFFFF"/>
            <w:vAlign w:val="center"/>
          </w:tcPr>
          <w:p w:rsidR="00167CD4" w:rsidRDefault="005D57F1">
            <w:pPr>
              <w:rPr>
                <w:b/>
                <w:bCs/>
                <w:sz w:val="22"/>
                <w:szCs w:val="22"/>
                <w:lang w:val="en-US"/>
              </w:rPr>
            </w:pPr>
            <w:r>
              <w:rPr>
                <w:b/>
                <w:bCs/>
                <w:sz w:val="22"/>
                <w:szCs w:val="22"/>
                <w:lang w:val="en-US"/>
              </w:rPr>
              <w:t>Phthalate metabolite</w:t>
            </w:r>
          </w:p>
        </w:tc>
        <w:tc>
          <w:tcPr>
            <w:tcW w:w="1558" w:type="dxa"/>
            <w:shd w:val="clear" w:color="000000" w:fill="FFFFFF"/>
            <w:vAlign w:val="center"/>
          </w:tcPr>
          <w:p w:rsidR="00167CD4" w:rsidRDefault="00167CD4">
            <w:pPr>
              <w:jc w:val="center"/>
              <w:rPr>
                <w:sz w:val="22"/>
                <w:szCs w:val="22"/>
                <w:u w:val="single"/>
                <w:lang w:val="en-US"/>
              </w:rPr>
            </w:pPr>
          </w:p>
        </w:tc>
        <w:tc>
          <w:tcPr>
            <w:tcW w:w="1844" w:type="dxa"/>
            <w:shd w:val="clear" w:color="000000" w:fill="FFFFFF"/>
            <w:vAlign w:val="center"/>
          </w:tcPr>
          <w:p w:rsidR="00167CD4" w:rsidRDefault="00167CD4">
            <w:pPr>
              <w:jc w:val="center"/>
              <w:rPr>
                <w:sz w:val="22"/>
                <w:szCs w:val="22"/>
                <w:u w:val="single"/>
                <w:lang w:val="en-US"/>
              </w:rPr>
            </w:pPr>
          </w:p>
        </w:tc>
        <w:tc>
          <w:tcPr>
            <w:tcW w:w="1480" w:type="dxa"/>
            <w:shd w:val="clear" w:color="000000" w:fill="FFFFFF"/>
            <w:vAlign w:val="center"/>
          </w:tcPr>
          <w:p w:rsidR="00167CD4" w:rsidRDefault="00167CD4">
            <w:pPr>
              <w:jc w:val="center"/>
              <w:rPr>
                <w:sz w:val="22"/>
                <w:szCs w:val="22"/>
                <w:u w:val="single"/>
                <w:lang w:val="en-US"/>
              </w:rPr>
            </w:pPr>
          </w:p>
        </w:tc>
        <w:tc>
          <w:tcPr>
            <w:tcW w:w="1844" w:type="dxa"/>
            <w:shd w:val="clear" w:color="000000" w:fill="FFFFFF"/>
            <w:vAlign w:val="center"/>
          </w:tcPr>
          <w:p w:rsidR="00167CD4" w:rsidRDefault="00167CD4">
            <w:pPr>
              <w:jc w:val="center"/>
              <w:rPr>
                <w:sz w:val="22"/>
                <w:szCs w:val="22"/>
                <w:u w:val="single"/>
                <w:lang w:val="en-US"/>
              </w:rPr>
            </w:pPr>
          </w:p>
        </w:tc>
        <w:tc>
          <w:tcPr>
            <w:tcW w:w="1480" w:type="dxa"/>
            <w:shd w:val="clear" w:color="000000" w:fill="FFFFFF"/>
            <w:vAlign w:val="center"/>
          </w:tcPr>
          <w:p w:rsidR="00167CD4" w:rsidRDefault="00167CD4">
            <w:pPr>
              <w:jc w:val="center"/>
              <w:rPr>
                <w:sz w:val="22"/>
                <w:szCs w:val="22"/>
                <w:u w:val="single"/>
                <w:lang w:val="en-US"/>
              </w:rPr>
            </w:pPr>
          </w:p>
        </w:tc>
        <w:tc>
          <w:tcPr>
            <w:tcW w:w="1655" w:type="dxa"/>
            <w:shd w:val="clear" w:color="000000" w:fill="FFFFFF"/>
            <w:vAlign w:val="center"/>
          </w:tcPr>
          <w:p w:rsidR="00167CD4" w:rsidRDefault="00167CD4">
            <w:pPr>
              <w:jc w:val="center"/>
              <w:rPr>
                <w:sz w:val="22"/>
                <w:szCs w:val="22"/>
                <w:lang w:val="en-US"/>
              </w:rPr>
            </w:pP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MEP</w:t>
            </w:r>
          </w:p>
        </w:tc>
        <w:tc>
          <w:tcPr>
            <w:tcW w:w="1558"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0.21</w:t>
            </w:r>
          </w:p>
        </w:tc>
        <w:tc>
          <w:tcPr>
            <w:tcW w:w="1844"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0.50</w:t>
            </w:r>
          </w:p>
        </w:tc>
        <w:tc>
          <w:tcPr>
            <w:tcW w:w="1480"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0.44</w:t>
            </w:r>
          </w:p>
        </w:tc>
        <w:tc>
          <w:tcPr>
            <w:tcW w:w="1844"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0.47</w:t>
            </w:r>
          </w:p>
        </w:tc>
        <w:tc>
          <w:tcPr>
            <w:tcW w:w="1480"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0.58</w:t>
            </w:r>
          </w:p>
        </w:tc>
        <w:tc>
          <w:tcPr>
            <w:tcW w:w="1655" w:type="dxa"/>
            <w:shd w:val="clear" w:color="000000" w:fill="FFFFFF"/>
            <w:vAlign w:val="center"/>
          </w:tcPr>
          <w:p w:rsidR="00167CD4" w:rsidRDefault="005D57F1">
            <w:pPr>
              <w:jc w:val="center"/>
              <w:rPr>
                <w:sz w:val="22"/>
                <w:szCs w:val="22"/>
                <w:lang w:val="en-US"/>
              </w:rPr>
            </w:pPr>
            <w:r>
              <w:rPr>
                <w:color w:val="ED7D31"/>
                <w:sz w:val="22"/>
                <w:szCs w:val="22"/>
                <w:lang w:val="en-US"/>
              </w:rPr>
              <w:t>0.46</w:t>
            </w:r>
            <w:r>
              <w:rPr>
                <w:sz w:val="22"/>
                <w:szCs w:val="22"/>
                <w:lang w:val="en-US"/>
              </w:rPr>
              <w:t>-</w:t>
            </w:r>
            <w:r>
              <w:rPr>
                <w:color w:val="00B050"/>
                <w:sz w:val="22"/>
                <w:szCs w:val="22"/>
                <w:lang w:val="en-US"/>
              </w:rPr>
              <w:t>0.67</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MnBP</w:t>
            </w:r>
          </w:p>
        </w:tc>
        <w:tc>
          <w:tcPr>
            <w:tcW w:w="1558"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0.55</w:t>
            </w:r>
          </w:p>
        </w:tc>
        <w:tc>
          <w:tcPr>
            <w:tcW w:w="1844"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0.45</w:t>
            </w:r>
          </w:p>
        </w:tc>
        <w:tc>
          <w:tcPr>
            <w:tcW w:w="1480"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0.42</w:t>
            </w:r>
          </w:p>
        </w:tc>
        <w:tc>
          <w:tcPr>
            <w:tcW w:w="1844"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0.57</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0.36</w:t>
            </w:r>
          </w:p>
        </w:tc>
        <w:tc>
          <w:tcPr>
            <w:tcW w:w="1655" w:type="dxa"/>
            <w:shd w:val="clear" w:color="000000" w:fill="FFFFFF"/>
            <w:vAlign w:val="center"/>
          </w:tcPr>
          <w:p w:rsidR="00167CD4" w:rsidRDefault="005D57F1">
            <w:pPr>
              <w:jc w:val="center"/>
              <w:rPr>
                <w:sz w:val="22"/>
                <w:szCs w:val="22"/>
                <w:lang w:val="en-US"/>
              </w:rPr>
            </w:pPr>
            <w:r>
              <w:rPr>
                <w:color w:val="FF0000"/>
                <w:sz w:val="22"/>
                <w:szCs w:val="22"/>
                <w:lang w:val="en-US"/>
              </w:rPr>
              <w:t>0.17</w:t>
            </w:r>
            <w:r>
              <w:rPr>
                <w:sz w:val="22"/>
                <w:szCs w:val="22"/>
                <w:lang w:val="en-US"/>
              </w:rPr>
              <w:t>-</w:t>
            </w:r>
            <w:r>
              <w:rPr>
                <w:color w:val="ED7D31"/>
                <w:sz w:val="22"/>
                <w:szCs w:val="22"/>
                <w:lang w:val="en-US"/>
              </w:rPr>
              <w:t>0.44</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MiBP</w:t>
            </w:r>
          </w:p>
        </w:tc>
        <w:tc>
          <w:tcPr>
            <w:tcW w:w="1558"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0.48</w:t>
            </w:r>
          </w:p>
        </w:tc>
        <w:tc>
          <w:tcPr>
            <w:tcW w:w="1844"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0.38</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0.34</w:t>
            </w:r>
          </w:p>
        </w:tc>
        <w:tc>
          <w:tcPr>
            <w:tcW w:w="1844"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0.52</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0.38</w:t>
            </w:r>
          </w:p>
        </w:tc>
        <w:tc>
          <w:tcPr>
            <w:tcW w:w="1655" w:type="dxa"/>
            <w:shd w:val="clear" w:color="000000" w:fill="FFFFFF"/>
            <w:vAlign w:val="center"/>
          </w:tcPr>
          <w:p w:rsidR="00167CD4" w:rsidRDefault="005D57F1">
            <w:pPr>
              <w:jc w:val="center"/>
              <w:rPr>
                <w:sz w:val="22"/>
                <w:szCs w:val="22"/>
                <w:lang w:val="en-US"/>
              </w:rPr>
            </w:pPr>
            <w:r>
              <w:rPr>
                <w:color w:val="ED7D31"/>
                <w:sz w:val="22"/>
                <w:szCs w:val="22"/>
                <w:lang w:val="en-US"/>
              </w:rPr>
              <w:t>0.49</w:t>
            </w:r>
            <w:r>
              <w:rPr>
                <w:sz w:val="22"/>
                <w:szCs w:val="22"/>
                <w:lang w:val="en-US"/>
              </w:rPr>
              <w:t>-0.75</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MBzP</w:t>
            </w:r>
          </w:p>
        </w:tc>
        <w:tc>
          <w:tcPr>
            <w:tcW w:w="1558" w:type="dxa"/>
            <w:shd w:val="clear" w:color="000000" w:fill="FFFFFF"/>
            <w:vAlign w:val="center"/>
          </w:tcPr>
          <w:p w:rsidR="00167CD4" w:rsidRDefault="005D57F1">
            <w:pPr>
              <w:jc w:val="center"/>
              <w:rPr>
                <w:color w:val="00B050"/>
                <w:sz w:val="22"/>
                <w:szCs w:val="22"/>
                <w:lang w:val="en-US"/>
              </w:rPr>
            </w:pPr>
            <w:r>
              <w:rPr>
                <w:color w:val="00B050"/>
                <w:sz w:val="22"/>
                <w:szCs w:val="22"/>
                <w:lang w:val="en-US"/>
              </w:rPr>
              <w:t>0.65</w:t>
            </w:r>
          </w:p>
        </w:tc>
        <w:tc>
          <w:tcPr>
            <w:tcW w:w="1844"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0.25</w:t>
            </w:r>
          </w:p>
        </w:tc>
        <w:tc>
          <w:tcPr>
            <w:tcW w:w="1480"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0.41</w:t>
            </w:r>
          </w:p>
        </w:tc>
        <w:tc>
          <w:tcPr>
            <w:tcW w:w="1844" w:type="dxa"/>
            <w:shd w:val="clear" w:color="000000" w:fill="FFFFFF"/>
            <w:vAlign w:val="center"/>
          </w:tcPr>
          <w:p w:rsidR="00167CD4" w:rsidRDefault="005D57F1">
            <w:pPr>
              <w:jc w:val="center"/>
              <w:rPr>
                <w:color w:val="00B050"/>
                <w:sz w:val="22"/>
                <w:szCs w:val="22"/>
                <w:lang w:val="en-US"/>
              </w:rPr>
            </w:pPr>
            <w:r>
              <w:rPr>
                <w:color w:val="00B050"/>
                <w:sz w:val="22"/>
                <w:szCs w:val="22"/>
                <w:lang w:val="en-US"/>
              </w:rPr>
              <w:t>0.61</w:t>
            </w:r>
          </w:p>
        </w:tc>
        <w:tc>
          <w:tcPr>
            <w:tcW w:w="1480" w:type="dxa"/>
            <w:shd w:val="clear" w:color="000000" w:fill="FFFFFF"/>
            <w:vAlign w:val="center"/>
          </w:tcPr>
          <w:p w:rsidR="00167CD4" w:rsidRDefault="005D57F1">
            <w:pPr>
              <w:jc w:val="center"/>
              <w:rPr>
                <w:color w:val="00B050"/>
                <w:sz w:val="22"/>
                <w:szCs w:val="22"/>
                <w:lang w:val="en-US"/>
              </w:rPr>
            </w:pPr>
            <w:r>
              <w:rPr>
                <w:color w:val="00B050"/>
                <w:sz w:val="22"/>
                <w:szCs w:val="22"/>
                <w:lang w:val="en-US"/>
              </w:rPr>
              <w:t>0.60</w:t>
            </w:r>
          </w:p>
        </w:tc>
        <w:tc>
          <w:tcPr>
            <w:tcW w:w="1655" w:type="dxa"/>
            <w:shd w:val="clear" w:color="000000" w:fill="FFFFFF"/>
            <w:vAlign w:val="center"/>
          </w:tcPr>
          <w:p w:rsidR="00167CD4" w:rsidRDefault="005D57F1">
            <w:pPr>
              <w:jc w:val="center"/>
              <w:rPr>
                <w:sz w:val="22"/>
                <w:szCs w:val="22"/>
                <w:lang w:val="en-US"/>
              </w:rPr>
            </w:pPr>
            <w:r>
              <w:rPr>
                <w:color w:val="ED7D31"/>
                <w:sz w:val="22"/>
                <w:szCs w:val="22"/>
                <w:lang w:val="en-US"/>
              </w:rPr>
              <w:t>0.55</w:t>
            </w:r>
            <w:r>
              <w:rPr>
                <w:sz w:val="22"/>
                <w:szCs w:val="22"/>
                <w:lang w:val="en-US"/>
              </w:rPr>
              <w:t>-0.79</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MCPP</w:t>
            </w:r>
          </w:p>
        </w:tc>
        <w:tc>
          <w:tcPr>
            <w:tcW w:w="1558" w:type="dxa"/>
            <w:shd w:val="clear" w:color="000000" w:fill="FFFFFF"/>
            <w:vAlign w:val="center"/>
          </w:tcPr>
          <w:p w:rsidR="00167CD4" w:rsidRDefault="005D57F1">
            <w:pPr>
              <w:jc w:val="center"/>
              <w:rPr>
                <w:color w:val="ED7D31"/>
                <w:sz w:val="22"/>
                <w:szCs w:val="22"/>
                <w:lang w:val="en-US"/>
              </w:rPr>
            </w:pPr>
            <w:r>
              <w:rPr>
                <w:color w:val="ED7D31"/>
                <w:sz w:val="22"/>
                <w:szCs w:val="22"/>
                <w:lang w:val="en-US"/>
              </w:rPr>
              <w:t>0.41</w:t>
            </w:r>
          </w:p>
        </w:tc>
        <w:tc>
          <w:tcPr>
            <w:tcW w:w="1844" w:type="dxa"/>
            <w:shd w:val="clear" w:color="000000" w:fill="FFFFFF"/>
            <w:vAlign w:val="center"/>
          </w:tcPr>
          <w:p w:rsidR="00167CD4" w:rsidRDefault="005D57F1">
            <w:pPr>
              <w:jc w:val="center"/>
              <w:rPr>
                <w:sz w:val="22"/>
                <w:szCs w:val="22"/>
                <w:lang w:val="en-US"/>
              </w:rPr>
            </w:pPr>
            <w:r>
              <w:rPr>
                <w:sz w:val="22"/>
                <w:szCs w:val="22"/>
                <w:lang w:val="en-US"/>
              </w:rPr>
              <w:t>-</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0.20</w:t>
            </w:r>
          </w:p>
        </w:tc>
        <w:tc>
          <w:tcPr>
            <w:tcW w:w="1844"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0.36</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0.08</w:t>
            </w:r>
          </w:p>
        </w:tc>
        <w:tc>
          <w:tcPr>
            <w:tcW w:w="1655" w:type="dxa"/>
            <w:shd w:val="clear" w:color="000000" w:fill="FFFFFF"/>
            <w:vAlign w:val="center"/>
          </w:tcPr>
          <w:p w:rsidR="00167CD4" w:rsidRDefault="005D57F1">
            <w:pPr>
              <w:jc w:val="center"/>
              <w:rPr>
                <w:sz w:val="22"/>
                <w:szCs w:val="22"/>
                <w:lang w:val="en-US"/>
              </w:rPr>
            </w:pPr>
            <w:r>
              <w:rPr>
                <w:sz w:val="22"/>
                <w:szCs w:val="22"/>
                <w:lang w:val="en-US"/>
              </w:rPr>
              <w:t>-</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MCOP</w:t>
            </w:r>
          </w:p>
        </w:tc>
        <w:tc>
          <w:tcPr>
            <w:tcW w:w="1558" w:type="dxa"/>
            <w:shd w:val="clear" w:color="000000" w:fill="FFFFFF"/>
            <w:vAlign w:val="center"/>
          </w:tcPr>
          <w:p w:rsidR="00167CD4" w:rsidRDefault="005D57F1">
            <w:pPr>
              <w:jc w:val="center"/>
              <w:rPr>
                <w:sz w:val="22"/>
                <w:szCs w:val="22"/>
                <w:lang w:val="en-US"/>
              </w:rPr>
            </w:pPr>
            <w:r>
              <w:rPr>
                <w:sz w:val="22"/>
                <w:szCs w:val="22"/>
                <w:lang w:val="en-US"/>
              </w:rPr>
              <w:t>-</w:t>
            </w:r>
          </w:p>
        </w:tc>
        <w:tc>
          <w:tcPr>
            <w:tcW w:w="1844" w:type="dxa"/>
            <w:shd w:val="clear" w:color="000000" w:fill="FFFFFF"/>
            <w:vAlign w:val="center"/>
          </w:tcPr>
          <w:p w:rsidR="00167CD4" w:rsidRDefault="005D57F1">
            <w:pPr>
              <w:jc w:val="center"/>
              <w:rPr>
                <w:sz w:val="22"/>
                <w:szCs w:val="22"/>
                <w:lang w:val="en-US"/>
              </w:rPr>
            </w:pPr>
            <w:r>
              <w:rPr>
                <w:sz w:val="22"/>
                <w:szCs w:val="22"/>
                <w:lang w:val="en-US"/>
              </w:rPr>
              <w:t>-</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0.28</w:t>
            </w:r>
          </w:p>
        </w:tc>
        <w:tc>
          <w:tcPr>
            <w:tcW w:w="1844" w:type="dxa"/>
            <w:shd w:val="clear" w:color="000000" w:fill="FFFFFF"/>
            <w:vAlign w:val="center"/>
          </w:tcPr>
          <w:p w:rsidR="00167CD4" w:rsidRDefault="005D57F1">
            <w:pPr>
              <w:jc w:val="center"/>
              <w:rPr>
                <w:sz w:val="22"/>
                <w:szCs w:val="22"/>
                <w:lang w:val="en-US"/>
              </w:rPr>
            </w:pPr>
            <w:r>
              <w:rPr>
                <w:sz w:val="22"/>
                <w:szCs w:val="22"/>
                <w:lang w:val="en-US"/>
              </w:rPr>
              <w:t>-</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0.24</w:t>
            </w:r>
          </w:p>
        </w:tc>
        <w:tc>
          <w:tcPr>
            <w:tcW w:w="1655" w:type="dxa"/>
            <w:shd w:val="clear" w:color="000000" w:fill="FFFFFF"/>
            <w:vAlign w:val="center"/>
          </w:tcPr>
          <w:p w:rsidR="00167CD4" w:rsidRDefault="005D57F1">
            <w:pPr>
              <w:jc w:val="center"/>
              <w:rPr>
                <w:sz w:val="22"/>
                <w:szCs w:val="22"/>
                <w:lang w:val="en-US"/>
              </w:rPr>
            </w:pPr>
            <w:r>
              <w:rPr>
                <w:sz w:val="22"/>
                <w:szCs w:val="22"/>
                <w:lang w:val="en-US"/>
              </w:rPr>
              <w:t>-</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MCNP</w:t>
            </w:r>
          </w:p>
        </w:tc>
        <w:tc>
          <w:tcPr>
            <w:tcW w:w="1558" w:type="dxa"/>
            <w:shd w:val="clear" w:color="000000" w:fill="FFFFFF"/>
            <w:vAlign w:val="center"/>
          </w:tcPr>
          <w:p w:rsidR="00167CD4" w:rsidRDefault="005D57F1">
            <w:pPr>
              <w:jc w:val="center"/>
              <w:rPr>
                <w:sz w:val="22"/>
                <w:szCs w:val="22"/>
                <w:lang w:val="en-US"/>
              </w:rPr>
            </w:pPr>
            <w:r>
              <w:rPr>
                <w:sz w:val="22"/>
                <w:szCs w:val="22"/>
                <w:lang w:val="en-US"/>
              </w:rPr>
              <w:t>-</w:t>
            </w:r>
          </w:p>
        </w:tc>
        <w:tc>
          <w:tcPr>
            <w:tcW w:w="1844" w:type="dxa"/>
            <w:shd w:val="clear" w:color="000000" w:fill="FFFFFF"/>
            <w:vAlign w:val="center"/>
          </w:tcPr>
          <w:p w:rsidR="00167CD4" w:rsidRDefault="005D57F1">
            <w:pPr>
              <w:jc w:val="center"/>
              <w:rPr>
                <w:sz w:val="22"/>
                <w:szCs w:val="22"/>
                <w:lang w:val="en-US"/>
              </w:rPr>
            </w:pPr>
            <w:r>
              <w:rPr>
                <w:sz w:val="22"/>
                <w:szCs w:val="22"/>
                <w:lang w:val="en-US"/>
              </w:rPr>
              <w:t>-</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0.05</w:t>
            </w:r>
          </w:p>
        </w:tc>
        <w:tc>
          <w:tcPr>
            <w:tcW w:w="1844" w:type="dxa"/>
            <w:shd w:val="clear" w:color="000000" w:fill="FFFFFF"/>
            <w:vAlign w:val="center"/>
          </w:tcPr>
          <w:p w:rsidR="00167CD4" w:rsidRDefault="005D57F1">
            <w:pPr>
              <w:jc w:val="center"/>
              <w:rPr>
                <w:sz w:val="22"/>
                <w:szCs w:val="22"/>
                <w:lang w:val="en-US"/>
              </w:rPr>
            </w:pPr>
            <w:r>
              <w:rPr>
                <w:sz w:val="22"/>
                <w:szCs w:val="22"/>
                <w:lang w:val="en-US"/>
              </w:rPr>
              <w:t>-</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0.00</w:t>
            </w:r>
          </w:p>
        </w:tc>
        <w:tc>
          <w:tcPr>
            <w:tcW w:w="1655" w:type="dxa"/>
            <w:shd w:val="clear" w:color="000000" w:fill="FFFFFF"/>
            <w:vAlign w:val="center"/>
          </w:tcPr>
          <w:p w:rsidR="00167CD4" w:rsidRDefault="005D57F1">
            <w:pPr>
              <w:jc w:val="center"/>
              <w:rPr>
                <w:sz w:val="22"/>
                <w:szCs w:val="22"/>
                <w:lang w:val="en-US"/>
              </w:rPr>
            </w:pPr>
            <w:r>
              <w:rPr>
                <w:sz w:val="22"/>
                <w:szCs w:val="22"/>
                <w:lang w:val="en-US"/>
              </w:rPr>
              <w:t>-</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MEHP</w:t>
            </w:r>
          </w:p>
        </w:tc>
        <w:tc>
          <w:tcPr>
            <w:tcW w:w="1558"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0.25</w:t>
            </w:r>
          </w:p>
        </w:tc>
        <w:tc>
          <w:tcPr>
            <w:tcW w:w="1844"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0.08</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0.36</w:t>
            </w:r>
          </w:p>
        </w:tc>
        <w:tc>
          <w:tcPr>
            <w:tcW w:w="1844"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0.30</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0.36</w:t>
            </w:r>
          </w:p>
        </w:tc>
        <w:tc>
          <w:tcPr>
            <w:tcW w:w="1655" w:type="dxa"/>
            <w:shd w:val="clear" w:color="000000" w:fill="FFFFFF"/>
            <w:vAlign w:val="center"/>
          </w:tcPr>
          <w:p w:rsidR="00167CD4" w:rsidRDefault="005D57F1">
            <w:pPr>
              <w:jc w:val="center"/>
              <w:rPr>
                <w:sz w:val="22"/>
                <w:szCs w:val="22"/>
                <w:lang w:val="en-US"/>
              </w:rPr>
            </w:pPr>
            <w:r>
              <w:rPr>
                <w:color w:val="FF0000"/>
                <w:sz w:val="22"/>
                <w:szCs w:val="22"/>
                <w:lang w:val="en-US"/>
              </w:rPr>
              <w:t>0.39</w:t>
            </w:r>
            <w:r>
              <w:rPr>
                <w:sz w:val="22"/>
                <w:szCs w:val="22"/>
                <w:lang w:val="en-US"/>
              </w:rPr>
              <w:t>-</w:t>
            </w:r>
            <w:r>
              <w:rPr>
                <w:color w:val="ED7D31"/>
                <w:sz w:val="22"/>
                <w:szCs w:val="22"/>
                <w:lang w:val="en-US"/>
              </w:rPr>
              <w:t>0.55</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MEHHP</w:t>
            </w:r>
          </w:p>
        </w:tc>
        <w:tc>
          <w:tcPr>
            <w:tcW w:w="1558"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0.23</w:t>
            </w:r>
          </w:p>
        </w:tc>
        <w:tc>
          <w:tcPr>
            <w:tcW w:w="1844" w:type="dxa"/>
            <w:shd w:val="clear" w:color="000000" w:fill="FFFFFF"/>
            <w:vAlign w:val="center"/>
          </w:tcPr>
          <w:p w:rsidR="00167CD4" w:rsidRDefault="005D57F1">
            <w:pPr>
              <w:jc w:val="center"/>
              <w:rPr>
                <w:sz w:val="22"/>
                <w:szCs w:val="22"/>
                <w:lang w:val="en-US"/>
              </w:rPr>
            </w:pPr>
            <w:r>
              <w:rPr>
                <w:sz w:val="22"/>
                <w:szCs w:val="22"/>
                <w:lang w:val="en-US"/>
              </w:rPr>
              <w:t>-</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0.24</w:t>
            </w:r>
          </w:p>
        </w:tc>
        <w:tc>
          <w:tcPr>
            <w:tcW w:w="1844"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0.21</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0.31</w:t>
            </w:r>
          </w:p>
        </w:tc>
        <w:tc>
          <w:tcPr>
            <w:tcW w:w="1655" w:type="dxa"/>
            <w:shd w:val="clear" w:color="000000" w:fill="FFFFFF"/>
            <w:vAlign w:val="center"/>
          </w:tcPr>
          <w:p w:rsidR="00167CD4" w:rsidRDefault="005D57F1">
            <w:pPr>
              <w:jc w:val="center"/>
              <w:rPr>
                <w:sz w:val="22"/>
                <w:szCs w:val="22"/>
                <w:lang w:val="en-US"/>
              </w:rPr>
            </w:pPr>
            <w:r>
              <w:rPr>
                <w:sz w:val="22"/>
                <w:szCs w:val="22"/>
                <w:lang w:val="en-US"/>
              </w:rPr>
              <w:t>-</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MEOHP</w:t>
            </w:r>
          </w:p>
        </w:tc>
        <w:tc>
          <w:tcPr>
            <w:tcW w:w="1558"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0.22</w:t>
            </w:r>
          </w:p>
        </w:tc>
        <w:tc>
          <w:tcPr>
            <w:tcW w:w="1844" w:type="dxa"/>
            <w:shd w:val="clear" w:color="000000" w:fill="FFFFFF"/>
            <w:vAlign w:val="center"/>
          </w:tcPr>
          <w:p w:rsidR="00167CD4" w:rsidRDefault="005D57F1">
            <w:pPr>
              <w:jc w:val="center"/>
              <w:rPr>
                <w:sz w:val="22"/>
                <w:szCs w:val="22"/>
                <w:lang w:val="en-US"/>
              </w:rPr>
            </w:pPr>
            <w:r>
              <w:rPr>
                <w:sz w:val="22"/>
                <w:szCs w:val="22"/>
                <w:lang w:val="en-US"/>
              </w:rPr>
              <w:t>-</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0.25</w:t>
            </w:r>
          </w:p>
        </w:tc>
        <w:tc>
          <w:tcPr>
            <w:tcW w:w="1844"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0.19</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0.32</w:t>
            </w:r>
          </w:p>
        </w:tc>
        <w:tc>
          <w:tcPr>
            <w:tcW w:w="1655" w:type="dxa"/>
            <w:shd w:val="clear" w:color="000000" w:fill="FFFFFF"/>
            <w:vAlign w:val="center"/>
          </w:tcPr>
          <w:p w:rsidR="00167CD4" w:rsidRDefault="005D57F1">
            <w:pPr>
              <w:jc w:val="center"/>
              <w:rPr>
                <w:sz w:val="22"/>
                <w:szCs w:val="22"/>
                <w:lang w:val="en-US"/>
              </w:rPr>
            </w:pPr>
            <w:r>
              <w:rPr>
                <w:sz w:val="22"/>
                <w:szCs w:val="22"/>
                <w:lang w:val="en-US"/>
              </w:rPr>
              <w:t>-</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xml:space="preserve">  MECPP</w:t>
            </w:r>
          </w:p>
        </w:tc>
        <w:tc>
          <w:tcPr>
            <w:tcW w:w="1558"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0.21</w:t>
            </w:r>
          </w:p>
        </w:tc>
        <w:tc>
          <w:tcPr>
            <w:tcW w:w="1844" w:type="dxa"/>
            <w:shd w:val="clear" w:color="000000" w:fill="FFFFFF"/>
            <w:vAlign w:val="center"/>
          </w:tcPr>
          <w:p w:rsidR="00167CD4" w:rsidRDefault="005D57F1">
            <w:pPr>
              <w:jc w:val="center"/>
              <w:rPr>
                <w:sz w:val="22"/>
                <w:szCs w:val="22"/>
                <w:lang w:val="en-US"/>
              </w:rPr>
            </w:pPr>
            <w:r>
              <w:rPr>
                <w:sz w:val="22"/>
                <w:szCs w:val="22"/>
                <w:lang w:val="en-US"/>
              </w:rPr>
              <w:t>-</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0.19</w:t>
            </w:r>
          </w:p>
        </w:tc>
        <w:tc>
          <w:tcPr>
            <w:tcW w:w="1844"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0.31</w:t>
            </w:r>
          </w:p>
        </w:tc>
        <w:tc>
          <w:tcPr>
            <w:tcW w:w="1480" w:type="dxa"/>
            <w:shd w:val="clear" w:color="000000" w:fill="FFFFFF"/>
            <w:vAlign w:val="center"/>
          </w:tcPr>
          <w:p w:rsidR="00167CD4" w:rsidRDefault="005D57F1">
            <w:pPr>
              <w:jc w:val="center"/>
              <w:rPr>
                <w:color w:val="FF0000"/>
                <w:sz w:val="22"/>
                <w:szCs w:val="22"/>
                <w:lang w:val="en-US"/>
              </w:rPr>
            </w:pPr>
            <w:r>
              <w:rPr>
                <w:color w:val="FF0000"/>
                <w:sz w:val="22"/>
                <w:szCs w:val="22"/>
                <w:lang w:val="en-US"/>
              </w:rPr>
              <w:t>0.37</w:t>
            </w:r>
          </w:p>
        </w:tc>
        <w:tc>
          <w:tcPr>
            <w:tcW w:w="1655" w:type="dxa"/>
            <w:shd w:val="clear" w:color="000000" w:fill="FFFFFF"/>
            <w:vAlign w:val="center"/>
          </w:tcPr>
          <w:p w:rsidR="00167CD4" w:rsidRDefault="005D57F1">
            <w:pPr>
              <w:jc w:val="center"/>
              <w:rPr>
                <w:sz w:val="22"/>
                <w:szCs w:val="22"/>
                <w:lang w:val="en-US"/>
              </w:rPr>
            </w:pPr>
            <w:r>
              <w:rPr>
                <w:sz w:val="22"/>
                <w:szCs w:val="22"/>
                <w:lang w:val="en-US"/>
              </w:rPr>
              <w:t>-</w:t>
            </w: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 </w:t>
            </w:r>
          </w:p>
        </w:tc>
        <w:tc>
          <w:tcPr>
            <w:tcW w:w="1558" w:type="dxa"/>
            <w:shd w:val="clear" w:color="000000" w:fill="FFFFFF"/>
            <w:vAlign w:val="center"/>
          </w:tcPr>
          <w:p w:rsidR="00167CD4" w:rsidRDefault="00167CD4">
            <w:pPr>
              <w:jc w:val="center"/>
              <w:rPr>
                <w:sz w:val="22"/>
                <w:szCs w:val="22"/>
                <w:lang w:val="en-US"/>
              </w:rPr>
            </w:pPr>
          </w:p>
        </w:tc>
        <w:tc>
          <w:tcPr>
            <w:tcW w:w="1844" w:type="dxa"/>
            <w:shd w:val="clear" w:color="000000" w:fill="FFFFFF"/>
            <w:vAlign w:val="center"/>
          </w:tcPr>
          <w:p w:rsidR="00167CD4" w:rsidRDefault="00167CD4">
            <w:pPr>
              <w:jc w:val="center"/>
              <w:rPr>
                <w:sz w:val="22"/>
                <w:szCs w:val="22"/>
                <w:lang w:val="en-US"/>
              </w:rPr>
            </w:pPr>
          </w:p>
        </w:tc>
        <w:tc>
          <w:tcPr>
            <w:tcW w:w="1480" w:type="dxa"/>
            <w:shd w:val="clear" w:color="000000" w:fill="FFFFFF"/>
            <w:vAlign w:val="center"/>
          </w:tcPr>
          <w:p w:rsidR="00167CD4" w:rsidRDefault="00167CD4">
            <w:pPr>
              <w:jc w:val="center"/>
              <w:rPr>
                <w:sz w:val="22"/>
                <w:szCs w:val="22"/>
                <w:lang w:val="en-US"/>
              </w:rPr>
            </w:pPr>
          </w:p>
        </w:tc>
        <w:tc>
          <w:tcPr>
            <w:tcW w:w="1844" w:type="dxa"/>
            <w:shd w:val="clear" w:color="000000" w:fill="FFFFFF"/>
            <w:vAlign w:val="center"/>
          </w:tcPr>
          <w:p w:rsidR="00167CD4" w:rsidRDefault="00167CD4">
            <w:pPr>
              <w:jc w:val="center"/>
              <w:rPr>
                <w:sz w:val="22"/>
                <w:szCs w:val="22"/>
                <w:lang w:val="en-US"/>
              </w:rPr>
            </w:pPr>
          </w:p>
        </w:tc>
        <w:tc>
          <w:tcPr>
            <w:tcW w:w="1480" w:type="dxa"/>
            <w:shd w:val="clear" w:color="000000" w:fill="FFFFFF"/>
            <w:vAlign w:val="center"/>
          </w:tcPr>
          <w:p w:rsidR="00167CD4" w:rsidRDefault="00167CD4">
            <w:pPr>
              <w:jc w:val="center"/>
              <w:rPr>
                <w:sz w:val="22"/>
                <w:szCs w:val="22"/>
                <w:lang w:val="en-US"/>
              </w:rPr>
            </w:pPr>
          </w:p>
        </w:tc>
        <w:tc>
          <w:tcPr>
            <w:tcW w:w="1655" w:type="dxa"/>
            <w:shd w:val="clear" w:color="000000" w:fill="FFFFFF"/>
            <w:vAlign w:val="center"/>
          </w:tcPr>
          <w:p w:rsidR="00167CD4" w:rsidRDefault="00167CD4">
            <w:pPr>
              <w:jc w:val="center"/>
              <w:rPr>
                <w:sz w:val="22"/>
                <w:szCs w:val="22"/>
                <w:lang w:val="en-US"/>
              </w:rPr>
            </w:pPr>
          </w:p>
        </w:tc>
      </w:tr>
      <w:tr w:rsidR="00167CD4">
        <w:trPr>
          <w:trHeight w:val="276"/>
        </w:trPr>
        <w:tc>
          <w:tcPr>
            <w:tcW w:w="2410" w:type="dxa"/>
            <w:shd w:val="clear" w:color="000000" w:fill="FFFFFF"/>
            <w:vAlign w:val="center"/>
          </w:tcPr>
          <w:p w:rsidR="00167CD4" w:rsidRDefault="005D57F1">
            <w:pPr>
              <w:rPr>
                <w:sz w:val="22"/>
                <w:szCs w:val="22"/>
                <w:lang w:val="en-US"/>
              </w:rPr>
            </w:pPr>
            <w:r>
              <w:rPr>
                <w:sz w:val="22"/>
                <w:szCs w:val="22"/>
                <w:lang w:val="en-US"/>
              </w:rPr>
              <w:t>ICC interpretation after</w:t>
            </w:r>
          </w:p>
        </w:tc>
        <w:tc>
          <w:tcPr>
            <w:tcW w:w="1558" w:type="dxa"/>
            <w:shd w:val="clear" w:color="000000" w:fill="FFFFFF"/>
            <w:vAlign w:val="center"/>
          </w:tcPr>
          <w:p w:rsidR="00167CD4" w:rsidRDefault="005D57F1">
            <w:pPr>
              <w:jc w:val="center"/>
              <w:rPr>
                <w:color w:val="FF0000"/>
                <w:sz w:val="22"/>
                <w:szCs w:val="22"/>
                <w:lang w:val="en-US"/>
              </w:rPr>
            </w:pPr>
            <w:r>
              <w:rPr>
                <w:color w:val="FF0000"/>
                <w:sz w:val="22"/>
                <w:szCs w:val="22"/>
                <w:lang w:val="en-US"/>
              </w:rPr>
              <w:t>poor &lt;.40</w:t>
            </w:r>
          </w:p>
        </w:tc>
        <w:tc>
          <w:tcPr>
            <w:tcW w:w="1844" w:type="dxa"/>
            <w:shd w:val="clear" w:color="000000" w:fill="FFFFFF"/>
            <w:vAlign w:val="center"/>
          </w:tcPr>
          <w:p w:rsidR="00167CD4" w:rsidRDefault="005D57F1">
            <w:pPr>
              <w:jc w:val="center"/>
              <w:rPr>
                <w:color w:val="ED7D31"/>
                <w:sz w:val="22"/>
                <w:szCs w:val="22"/>
                <w:lang w:val="en-US"/>
              </w:rPr>
            </w:pPr>
            <w:r>
              <w:rPr>
                <w:color w:val="ED7D31"/>
                <w:sz w:val="22"/>
                <w:szCs w:val="22"/>
                <w:lang w:val="en-US"/>
              </w:rPr>
              <w:t>moderate .40-.59</w:t>
            </w:r>
          </w:p>
        </w:tc>
        <w:tc>
          <w:tcPr>
            <w:tcW w:w="1480" w:type="dxa"/>
            <w:shd w:val="clear" w:color="000000" w:fill="FFFFFF"/>
            <w:vAlign w:val="center"/>
          </w:tcPr>
          <w:p w:rsidR="00167CD4" w:rsidRDefault="005D57F1">
            <w:pPr>
              <w:jc w:val="center"/>
              <w:rPr>
                <w:color w:val="00B050"/>
                <w:sz w:val="22"/>
                <w:szCs w:val="22"/>
                <w:lang w:val="en-US"/>
              </w:rPr>
            </w:pPr>
            <w:r>
              <w:rPr>
                <w:color w:val="00B050"/>
                <w:sz w:val="22"/>
                <w:szCs w:val="22"/>
                <w:lang w:val="en-US"/>
              </w:rPr>
              <w:t>good .60-.74</w:t>
            </w:r>
          </w:p>
        </w:tc>
        <w:tc>
          <w:tcPr>
            <w:tcW w:w="1844" w:type="dxa"/>
            <w:shd w:val="clear" w:color="000000" w:fill="FFFFFF"/>
            <w:vAlign w:val="center"/>
          </w:tcPr>
          <w:p w:rsidR="00167CD4" w:rsidRDefault="005D57F1">
            <w:pPr>
              <w:jc w:val="center"/>
              <w:rPr>
                <w:sz w:val="22"/>
                <w:szCs w:val="22"/>
                <w:lang w:val="en-US"/>
              </w:rPr>
            </w:pPr>
            <w:r>
              <w:rPr>
                <w:sz w:val="22"/>
                <w:szCs w:val="22"/>
                <w:lang w:val="en-US"/>
              </w:rPr>
              <w:t>excellent &gt;.75</w:t>
            </w:r>
          </w:p>
        </w:tc>
        <w:tc>
          <w:tcPr>
            <w:tcW w:w="1480" w:type="dxa"/>
            <w:shd w:val="clear" w:color="000000" w:fill="FFFFFF"/>
            <w:vAlign w:val="center"/>
          </w:tcPr>
          <w:p w:rsidR="00167CD4" w:rsidRDefault="00167CD4">
            <w:pPr>
              <w:jc w:val="center"/>
              <w:rPr>
                <w:sz w:val="22"/>
                <w:szCs w:val="22"/>
                <w:lang w:val="en-US"/>
              </w:rPr>
            </w:pPr>
          </w:p>
        </w:tc>
        <w:tc>
          <w:tcPr>
            <w:tcW w:w="1655" w:type="dxa"/>
            <w:shd w:val="clear" w:color="000000" w:fill="FFFFFF"/>
            <w:vAlign w:val="center"/>
          </w:tcPr>
          <w:p w:rsidR="00167CD4" w:rsidRDefault="00167CD4">
            <w:pPr>
              <w:jc w:val="center"/>
              <w:rPr>
                <w:sz w:val="22"/>
                <w:szCs w:val="22"/>
                <w:lang w:val="en-US"/>
              </w:rPr>
            </w:pPr>
          </w:p>
        </w:tc>
      </w:tr>
      <w:tr w:rsidR="00167CD4">
        <w:trPr>
          <w:trHeight w:val="276"/>
        </w:trPr>
        <w:tc>
          <w:tcPr>
            <w:tcW w:w="2410" w:type="dxa"/>
            <w:shd w:val="clear" w:color="000000" w:fill="FFFFFF"/>
            <w:vAlign w:val="center"/>
          </w:tcPr>
          <w:p w:rsidR="00167CD4" w:rsidRDefault="005D57F1">
            <w:pPr>
              <w:rPr>
                <w:sz w:val="22"/>
                <w:szCs w:val="22"/>
                <w:u w:val="single"/>
                <w:lang w:val="en-US"/>
              </w:rPr>
            </w:pPr>
            <w:r>
              <w:fldChar w:fldCharType="begin"/>
            </w:r>
            <w:r>
              <w:instrText>ADDIN ZOTERO_ITEM CSL_CITATION {"citationID":"n6jgT7Do","properties":{"formattedCitation":"(Rosner 2011)","plainCitation":"(Rosner 2011)","noteIndex":0},"citationItems":[{"id":5616,"uris":["http://zotero.org/users/5642993/items/493WMDYM"],"uri":["http://zotero.org/users/5642993/items/493WMDYM"],"itemData":{"id":5616,"type":"book","event-place":"Boston","ISBN":"978-0-538-73349-6","language":"English","note":"OCLC: 941919129","publisher":"Brooks/Cole, Cengage Learning","publisher-place":"Boston","source":"Open WorldCat","title":"Fundamentals of Biostatistics","author":[{"family":"Rosner","given":"Bernard"}],"issued":{"date-parts":[["2011"]]}}}],"schema":"https://github.com/citation-style-language/schema/raw/master/csl-citation.json"}</w:instrText>
            </w:r>
            <w:r>
              <w:fldChar w:fldCharType="separate"/>
            </w:r>
            <w:bookmarkStart w:id="9" w:name="__Fieldmark__487_3847363368"/>
            <w:r>
              <w:rPr>
                <w:sz w:val="22"/>
                <w:lang w:val="en-US"/>
              </w:rPr>
              <w:t>(Rosner 2011)</w:t>
            </w:r>
            <w:r>
              <w:fldChar w:fldCharType="end"/>
            </w:r>
            <w:bookmarkEnd w:id="9"/>
            <w:r>
              <w:rPr>
                <w:sz w:val="22"/>
                <w:szCs w:val="22"/>
                <w:lang w:val="en-US"/>
              </w:rPr>
              <w:t>:</w:t>
            </w:r>
          </w:p>
        </w:tc>
        <w:tc>
          <w:tcPr>
            <w:tcW w:w="1558" w:type="dxa"/>
            <w:shd w:val="clear" w:color="000000" w:fill="FFFFFF"/>
            <w:vAlign w:val="center"/>
          </w:tcPr>
          <w:p w:rsidR="00167CD4" w:rsidRDefault="00167CD4">
            <w:pPr>
              <w:jc w:val="center"/>
              <w:rPr>
                <w:sz w:val="22"/>
                <w:szCs w:val="22"/>
                <w:lang w:val="en-US"/>
              </w:rPr>
            </w:pPr>
          </w:p>
        </w:tc>
        <w:tc>
          <w:tcPr>
            <w:tcW w:w="1844" w:type="dxa"/>
            <w:shd w:val="clear" w:color="000000" w:fill="FFFFFF"/>
            <w:vAlign w:val="center"/>
          </w:tcPr>
          <w:p w:rsidR="00167CD4" w:rsidRDefault="00167CD4">
            <w:pPr>
              <w:jc w:val="center"/>
              <w:rPr>
                <w:sz w:val="22"/>
                <w:szCs w:val="22"/>
                <w:lang w:val="en-US"/>
              </w:rPr>
            </w:pPr>
          </w:p>
        </w:tc>
        <w:tc>
          <w:tcPr>
            <w:tcW w:w="1480" w:type="dxa"/>
            <w:shd w:val="clear" w:color="000000" w:fill="FFFFFF"/>
            <w:vAlign w:val="center"/>
          </w:tcPr>
          <w:p w:rsidR="00167CD4" w:rsidRDefault="00167CD4">
            <w:pPr>
              <w:jc w:val="center"/>
              <w:rPr>
                <w:sz w:val="22"/>
                <w:szCs w:val="22"/>
                <w:lang w:val="en-US"/>
              </w:rPr>
            </w:pPr>
          </w:p>
        </w:tc>
        <w:tc>
          <w:tcPr>
            <w:tcW w:w="1844" w:type="dxa"/>
            <w:shd w:val="clear" w:color="000000" w:fill="FFFFFF"/>
            <w:vAlign w:val="center"/>
          </w:tcPr>
          <w:p w:rsidR="00167CD4" w:rsidRDefault="00167CD4">
            <w:pPr>
              <w:jc w:val="center"/>
              <w:rPr>
                <w:sz w:val="22"/>
                <w:szCs w:val="22"/>
                <w:lang w:val="en-US"/>
              </w:rPr>
            </w:pPr>
          </w:p>
        </w:tc>
        <w:tc>
          <w:tcPr>
            <w:tcW w:w="1480" w:type="dxa"/>
            <w:shd w:val="clear" w:color="000000" w:fill="FFFFFF"/>
            <w:vAlign w:val="center"/>
          </w:tcPr>
          <w:p w:rsidR="00167CD4" w:rsidRDefault="00167CD4">
            <w:pPr>
              <w:jc w:val="center"/>
              <w:rPr>
                <w:sz w:val="22"/>
                <w:szCs w:val="22"/>
                <w:lang w:val="en-US"/>
              </w:rPr>
            </w:pPr>
          </w:p>
        </w:tc>
        <w:tc>
          <w:tcPr>
            <w:tcW w:w="1655" w:type="dxa"/>
            <w:shd w:val="clear" w:color="000000" w:fill="FFFFFF"/>
            <w:vAlign w:val="center"/>
          </w:tcPr>
          <w:p w:rsidR="00167CD4" w:rsidRDefault="00167CD4">
            <w:pPr>
              <w:jc w:val="center"/>
              <w:rPr>
                <w:sz w:val="22"/>
                <w:szCs w:val="22"/>
                <w:lang w:val="en-US"/>
              </w:rPr>
            </w:pPr>
          </w:p>
        </w:tc>
      </w:tr>
    </w:tbl>
    <w:p w:rsidR="00167CD4" w:rsidRDefault="005D57F1" w:rsidP="00C80868">
      <w:pPr>
        <w:pStyle w:val="NoSpacing"/>
        <w:spacing w:before="240" w:line="276" w:lineRule="auto"/>
        <w:rPr>
          <w:sz w:val="22"/>
          <w:szCs w:val="22"/>
          <w:lang w:val="en-US"/>
        </w:rPr>
      </w:pPr>
      <w:proofErr w:type="spellStart"/>
      <w:proofErr w:type="gramStart"/>
      <w:r>
        <w:rPr>
          <w:sz w:val="22"/>
          <w:szCs w:val="22"/>
          <w:vertAlign w:val="superscript"/>
          <w:lang w:val="en-US"/>
        </w:rPr>
        <w:t>a</w:t>
      </w:r>
      <w:proofErr w:type="spellEnd"/>
      <w:proofErr w:type="gramEnd"/>
      <w:r>
        <w:rPr>
          <w:sz w:val="22"/>
          <w:szCs w:val="22"/>
          <w:lang w:val="en-US"/>
        </w:rPr>
        <w:t xml:space="preserve"> Only studies that collected ≥ three voids per subject during pregnancy and reported an ICC</w:t>
      </w:r>
      <w:r w:rsidR="004E497F">
        <w:rPr>
          <w:sz w:val="22"/>
          <w:szCs w:val="22"/>
          <w:lang w:val="en-US"/>
        </w:rPr>
        <w:t xml:space="preserve"> are included</w:t>
      </w:r>
      <w:r>
        <w:rPr>
          <w:sz w:val="22"/>
          <w:szCs w:val="22"/>
          <w:lang w:val="en-US"/>
        </w:rPr>
        <w:t>. ICCs were calculated considering creatinine-</w:t>
      </w:r>
      <w:r w:rsidR="004E497F" w:rsidRPr="004E497F">
        <w:rPr>
          <w:sz w:val="22"/>
          <w:szCs w:val="22"/>
          <w:lang w:val="en-US"/>
        </w:rPr>
        <w:t xml:space="preserve"> </w:t>
      </w:r>
      <w:r w:rsidR="004E497F">
        <w:rPr>
          <w:sz w:val="22"/>
          <w:szCs w:val="22"/>
          <w:lang w:val="en-US"/>
        </w:rPr>
        <w:t>standardized</w:t>
      </w:r>
      <w:r>
        <w:rPr>
          <w:sz w:val="22"/>
          <w:szCs w:val="22"/>
          <w:lang w:val="en-US"/>
        </w:rPr>
        <w:t xml:space="preserve"> </w:t>
      </w:r>
      <w:r>
        <w:fldChar w:fldCharType="begin"/>
      </w:r>
      <w:r>
        <w:instrText>ADDIN ZOTERO_ITEM CSL_CITATION {"citationID":"XxBrtmdK","properties":{"formattedCitation":"(Adibi et al. 2008; Bastiaensen et al. 2020; Cantonwine et al. 2014; Ferguson et al. 2014)","plainCitation":"(Adibi et al. 2008; Bastiaensen et al. 2020; Cantonwine et al. 2014; Ferguson et al. 2014)","noteIndex":0},"citationItems":[{"id":1062,"uris":["http://zotero.org/users/5642993/items/IFC3D7QX"],"uri":["http://zotero.org/users/5642993/items/IFC3D7QX"],"itemData":{"id":1062,"type":"article-journal","abstract":"Background\nAlthough urinary concentrations of phthalate metabolites are frequently used as biomarkers in epidemiologic studies, variability during pregnancy has not been characterized.\n\nMethods\nWe measured phthalate metabolite concentrations in spot urine samples collected from 246 pregnant Dominican and African-American women. Twenty-eight women had repeat urine samples collected over a 6-week period. We also analyzed 48-hr personal air samples (n = 96 women) and repeated indoor air samples (n = 32 homes) for five phthalate diesters. Mixed-effects models were fit to evaluate reproducibility via intraclass correlation coefficients (ICC). We evaluated the sensitivity and specificity of using a single specimen versus repeat samples to classify a woman’s exposure in the low or high category.\n\nResults\nPhthalates were detected in 85–100% of air and urine samples. ICCs for the unadjusted urinary metabolite concentrations ranged from 0.30 for mono-ethyl phthalate to 0.66 for monobenzyl phthalate. For indoor air, ICCs ranged from 0.48 [di-2-ethylhexyl phthalate (DEHP)] to 0.83 [butylbenzyl phthalate (BBzP)]. Air levels of phthalate diesters correlated with their respective urinary metabolite concentrations for BBzP (r = 0.71), di-isobutyl phthalate (r = 0.44), and diethyl phthalate (DEP; r = 0.39). In women sampled late in pregnancy, specific gravity appeared to be more effective than creatinine in adjusting for urine dilution.\n\nConclusions\nUrinary concentrations of DEP and DEHP metabolites in pregnant women showed lower reproducibility than metabolites for di-n-butyl phthalate and BBzP. A single indoor air sample may be sufficient to characterize phthalate exposure in the home, whereas urinary phthalate biomarkers should be sampled longitudinally during pregnancy to minimize exposure misclassification.","container-title":"Environmental Health Perspectives","DOI":"10.1289/ehp.10749","ISSN":"0091-6765","issue":"4","journalAbbreviation":"Environ Health Perspect","note":"PMID: 18414628\nPMCID: PMC2291011","page":"467-473","source":"PubMed Central","title":"Characterization of phthalate exposure among pregnant women assessed by repeat air and urine samples","volume":"116","author":[{"family":"Adibi","given":"Jennifer J."},{"family":"Whyatt","given":"Robin M."},{"family":"Williams","given":"Paige L."},{"family":"Calafat","given":"Antonia M."},{"family":"Camann","given":"David"},{"family":"Herrick","given":"Robert"},{"family":"Nelson","given":"Heather"},{"family":"Bhat","given":"Hari K."},{"family":"Perera","given":"Frederica P."},{"family":"Silva","given":"Manori J."},{"family":"Hauser","given":"Russ"}],"issued":{"date-parts":[["2008",4]]}}},{"id":5620,"uris":["http://zotero.org/users/5642993/items/RNQND4DA"],"uri":["http://zotero.org/users/5642993/items/RNQND4DA"],"itemData":{"id":5620,"type":"article-journal","abstract":"Due to international regulations, commonly used phthalates such as di(2-ethylhexyl) phthalate (DEHP) are being replaced by other phthalates, such as di-isononyl phthalate (DINP), and di-isodecyl phthalate (DIDP) and by alternative plasticizers (APs) with similar chemical characteristics, like di(isononyl)cyclohexane-1,2-dicarboxylate (DINCH), di(2-ethylhexyl) terephthalate (DEHTP), or di-(2-ethylhexyl) adipate (DEHA). Urinary concentrations of metabolites are frequently used in the exposure assessment of non-persistent chemicals and for biomonitoring purposes, the intra- and inter-day variability of the metabolites should be known. However, the short-term variability of AP and several phthalate biomarkers has not been investigated yet. In this study, we collected all spot samples from 10 healthy adults for 5 consecutive days and 24h pooled urine on one additional day to investigate the short-term variability of 22 biomarkers of phthalates and APs. Metabolites of DEP, DEHP, DiBP, DnBP, DBzP, DINP and DIDP were found in high detection frequencies, while metabolites of most APs were found in approximately 50% of the samples. The short-term reproducibility of metabolites with diet as primary source (DEHP, DINP, DIDP) was poor (intraclass correlation coefficient - ICC &lt; 0.4), whereas biomarkers of DEP, DnBP, DiBP and BBzP showed good consistency, most likely due to more continuous sources resulting in less between-day variance. ICC values of AP metabolites were similar to those of DEHP, but more studies are required to confirm these findings. Overall, reproducibility improved considerably when values were corrected for urinary dilution and when only morning voids samples were considered. Levels in morning voids samples were consistent for 5 days and comparable to 24-h pooled urine for all metabolites except for OH-MEHTP, sum DINP and sum DIDP, which supports the use of morning voids in human biomonitoring studies.","container-title":"Environmental Research","DOI":"10.1016/j.envres.2020.110248","ISSN":"1096-0953","journalAbbreviation":"Environ Res","language":"eng","note":"PMID: 32980307","page":"110248","source":"PubMed","title":"Between- and within-individual variability of urinary phthalate and alternative plasticizer metabolites in spot, morning void and 24-h pooled urine samples","volume":"191","author":[{"family":"Bastiaensen","given":"Michiel"},{"family":"Malarvannan","given":"Govindan"},{"family":"Gys","given":"Celine"},{"family":"Ait Bamai","given":"Yu"},{"family":"Araki","given":"Atsuko"},{"family":"Covaci","given":"Adrian"}],"issued":{"date-parts":[["2020",12]]}}},{"id":5545,"uris":["http://zotero.org/users/5642993/items/NXI56GW3"],"uri":["http://zotero.org/users/5642993/items/NXI56GW3"],"itemData":{"id":5545,"type":"article-journal","abstract":"Background\nPhthalate contamination exists in the North Coast karst aquifer system in Puerto Rico. In light of potential health impacts associated with phthalate exposure, targeted action for elimination of exposure sources may be warranted, especially for sensitive populations such as pregnant women. However, information on exposure to phthalates from a variety of sources in Puerto Rico is lacking. The objective of this study was to determine concentrations and predictors of urinary phthalate biomarkers measured at multiple times during pregnancy among women living in the Northern karst area of Puerto Rico.\nMethods\nWe recruited 139 pregnant women in Northern Puerto Rico and collected urine samples and questionnaire data at three separate visits (18±2weeks, 22±2weeks, and 26±2weeks of gestation). Urine samples were analyzed for eleven phthalate metabolites: mono-2-ethylhexyl phthalate (MEHP), mono-2-ethyl-5-hydroxyhexyl phthalate, mono-2-ethyl-5-oxohexyl phthalate, mono-2-ethyl-5-carboxypentyl phthalate, mono-ethyl phthalate (MEP), mono-n-butyl phthalate, mono-benzyl phthalate, mono-isobutyl phthalate, mono-3-carboxypropyl phthalate (MCPP), mono carboxyisononyl phthalate (MCNP), and mono carboxyisooctyl phthalate (MCOP).\nResults\nDetectable concentrations of phthalate metabolites among pregnant women living in Puerto Rico was prevalent, and metabolite concentrations tended to be higher than or similar to those measured in women of reproductive age from the general US population. Intraclass correlation coefficients ranged from very weak (MCNP; 0.05) to moderate (MEP; 0.44) reproducibility among all phthalate metabolites. We observed significant or suggestive positive associations between urinary phthalate metabolite concentrations and water usage/storage habits (MEP, MCNP, MCOP), use of personal care products (MEP), and consumption of certain food items (MCPP, MCNP, and MCOP).\nConclusions\nTo our knowledge this is the first study to report concentrations, temporal variability, and predictors of phthalate biomarkers among pregnant women in Puerto Rico. Preliminary results suggest several potentially important exposure sources to phthalates in this population and future analysis from this ongoing prospective cohort will help to inform targeted approaches to reduce exposure.","container-title":"Environment International","DOI":"10.1016/j.envint.2013.09.014","ISSN":"0160-4120","journalAbbreviation":"Environ Int","language":"en","page":"1-11","source":"ScienceDirect","title":"Urinary phthalate metabolite concentrations among pregnant women in Northern Puerto Rico: Distribution, temporal variability, and predictors","title-short":"Urinary phthalate metabolite concentrations among pregnant women in Northern Puerto Rico","volume":"62","author":[{"family":"Cantonwine","given":"David E."},{"family":"Cordero","given":"José F."},{"family":"Rivera-González","given":"Luis O."},{"family":"Anzalota Del Toro","given":"Liza V."},{"family":"Ferguson","given":"Kelly K."},{"family":"Mukherjee","given":"Bhramar"},{"family":"Calafat","given":"Antonia M."},{"family":"Crespo","given":"Noe"},{"family":"Jiménez-Vélez","given":"Braulio"},{"family":"Padilla","given":"Ingrid Y."},{"family":"Alshawabkeh","given":"Akram N."},{"family":"Meeker","given":"John D."}],"issued":{"date-parts":[["2014",1,1]]}}},{"id":5535,"uris":["http://zotero.org/users/5642993/items/KLP9RRYP"],"uri":["http://zotero.org/users/5642993/items/KLP9RRYP"],"itemData":{"id":5535,"type":"article-journal","abstract":"Background\nPreterm birth is a significant public health problem, affecting over 1 in 10 live births and contributing largely to infant mortality and morbidity. Everyday exposure to environmental chemicals such as phthalates could contribute to prematurity, and may be modifiable. In the present study we examine variability in phthalate exposure across gestation and identify windows of susceptibility for the relationship with preterm birth.\nMethods\nWomen were recruited early in pregnancy as part of a prospective, longitudinal birth cohort at the Brigham and Women's Hospital in Boston, Massachusetts. Urine samples were collected at up to 4 time points during gestation for phthalate measurement, and birth outcomes were recorded at delivery. From this population we selected all 130 cases of preterm birth, defined as delivery before 37weeks of completed gestation, as well as 352 random controls.\nResults\nUrinary phthalate metabolite levels were moderately variable over pregnancy, but levels measured at multiple time points were associated with increased odds of preterm birth. Adjusted odds ratios (aOR) for spontaneous preterm birth were strongest in association with phthalate metabolite concentrations measured at the beginning of the third trimester (aOR for summed di-2-ethylhexyl phthalate metabolites [∑DEHP]=1.33, 95% confidence interval [CI]=1.02, 1.73). Odds ratios for placental preterm birth, defined as delivery with presentation of preeclampsia or intrauterine growth restriction, were slightly elevated in the first trimester for DEHP metabolites (aOR for ∑DEHP=1.33, 95% CI=0.99, 1.78).\nConclusions\nPregnant women with exposure to phthalates both early and late in pregnancy are at an increased risk of delivering preterm, but mechanisms may differ based on etiology.","container-title":"Environment International","DOI":"10.1016/j.envint.2014.05.016","ISSN":"0160-4120","journalAbbreviation":"Environ Int","language":"en","page":"118-124","source":"ScienceDirect","title":"Variability in urinary phthalate metabolite levels across pregnancy and sensitive windows of exposure for the risk of preterm birth","volume":"70","author":[{"family":"Ferguson","given":"Kelly K."},{"family":"McElrath","given":"Thomas F."},{"family":"Ko","given":"Yi-An"},{"family":"Mukherjee","given":"Bhramar"},{"family":"Meeker","given":"John D."}],"issued":{"date-parts":[["2014",9,1]]}}}],"schema":"https://github.com/citation-style-language/schema/raw/master/csl-citation.json"}</w:instrText>
      </w:r>
      <w:r>
        <w:fldChar w:fldCharType="separate"/>
      </w:r>
      <w:bookmarkStart w:id="10" w:name="__Fieldmark__497_3847363368"/>
      <w:r>
        <w:rPr>
          <w:sz w:val="22"/>
          <w:lang w:val="en-US"/>
        </w:rPr>
        <w:t>(</w:t>
      </w:r>
      <w:proofErr w:type="spellStart"/>
      <w:r>
        <w:rPr>
          <w:sz w:val="22"/>
          <w:lang w:val="en-US"/>
        </w:rPr>
        <w:t>Adibi</w:t>
      </w:r>
      <w:proofErr w:type="spellEnd"/>
      <w:r>
        <w:rPr>
          <w:sz w:val="22"/>
          <w:lang w:val="en-US"/>
        </w:rPr>
        <w:t xml:space="preserve"> et al. 2008; Bastiaensen et al. 2020; Cantonwine et al. 2014; Ferguson et al. 2014)</w:t>
      </w:r>
      <w:r>
        <w:fldChar w:fldCharType="end"/>
      </w:r>
      <w:bookmarkEnd w:id="10"/>
      <w:r>
        <w:rPr>
          <w:sz w:val="22"/>
          <w:szCs w:val="22"/>
          <w:lang w:val="en-US"/>
        </w:rPr>
        <w:t xml:space="preserve">, specific gravity-standardized </w:t>
      </w:r>
      <w:r>
        <w:fldChar w:fldCharType="begin"/>
      </w:r>
      <w:r>
        <w:instrText>ADDIN ZOTERO_ITEM CSL_CITATION {"citationID":"piusYkiv","properties":{"formattedCitation":"(Bastiaensen et al. 2020; Braun et al. 2012; Shin et al. 2019)","plainCitation":"(Bastiaensen et al. 2020; Braun et al. 2012; Shin et al. 2019)","noteIndex":0},"citationItems":[{"id":5620,"uris":["http://zotero.org/users/5642993/items/RNQND4DA"],"uri":["http://zotero.org/users/5642993/items/RNQND4DA"],"itemData":{"id":5620,"type":"article-journal","abstract":"Due to international regulations, commonly used phthalates such as di(2-ethylhexyl) phthalate (DEHP) are being replaced by other phthalates, such as di-isononyl phthalate (DINP), and di-isodecyl phthalate (DIDP) and by alternative plasticizers (APs) with similar chemical characteristics, like di(isononyl)cyclohexane-1,2-dicarboxylate (DINCH), di(2-ethylhexyl) terephthalate (DEHTP), or di-(2-ethylhexyl) adipate (DEHA). Urinary concentrations of metabolites are frequently used in the exposure assessment of non-persistent chemicals and for biomonitoring purposes, the intra- and inter-day variability of the metabolites should be known. However, the short-term variability of AP and several phthalate biomarkers has not been investigated yet. In this study, we collected all spot samples from 10 healthy adults for 5 consecutive days and 24h pooled urine on one additional day to investigate the short-term variability of 22 biomarkers of phthalates and APs. Metabolites of DEP, DEHP, DiBP, DnBP, DBzP, DINP and DIDP were found in high detection frequencies, while metabolites of most APs were found in approximately 50% of the samples. The short-term reproducibility of metabolites with diet as primary source (DEHP, DINP, DIDP) was poor (intraclass correlation coefficient - ICC &lt; 0.4), whereas biomarkers of DEP, DnBP, DiBP and BBzP showed good consistency, most likely due to more continuous sources resulting in less between-day variance. ICC values of AP metabolites were similar to those of DEHP, but more studies are required to confirm these findings. Overall, reproducibility improved considerably when values were corrected for urinary dilution and when only morning voids samples were considered. Levels in morning voids samples were consistent for 5 days and comparable to 24-h pooled urine for all metabolites except for OH-MEHTP, sum DINP and sum DIDP, which supports the use of morning voids in human biomonitoring studies.","container-title":"Environmental Research","DOI":"10.1016/j.envres.2020.110248","ISSN":"1096-0953","journalAbbreviation":"Environ Res","language":"eng","note":"PMID: 32980307","page":"110248","source":"PubMed","title":"Between- and within-individual variability of urinary phthalate and alternative plasticizer metabolites in spot, morning void and 24-h pooled urine samples","volume":"191","author":[{"family":"Bastiaensen","given":"Michiel"},{"family":"Malarvannan","given":"Govindan"},{"family":"Gys","given":"Celine"},{"family":"Ait Bamai","given":"Yu"},{"family":"Araki","given":"Atsuko"},{"family":"Covaci","given":"Adrian"}],"issued":{"date-parts":[["2020",12]]}}},{"id":5553,"uris":["http://zotero.org/users/5642993/items/6IKA2UC6"],"uri":["http://zotero.org/users/5642993/items/6IKA2UC6"],"itemData":{"id":5553,"type":"article-journal","abstract":"Background: Gestational phthalate and bisphenol A (BPA) exposure may increase the risk of adverse maternal/child health outcomes, but there are few data on the variability of urinary biomarkers before and during pregnancy.\n\nObjective: We characterized the variability of urinary phthalate metabolite and BPA concentrations before and during pregnancy and the ability of a single spot urine sample to classify average gestational exposure.\n\nMethods: We collected 1,001 urine samples before and during pregnancy from 137 women who were partners in couples attending a Boston fertility clinic and who had a live birth. Women provided spot urine samples before (n ≥ 2) and during (n ≥ 2) pregnancy. We measured urinary concentrations of monoethyl phthalate (MEP), mono-n-butyl phthalate (MBP), mono-iso-butyl phthalate, monobenzyl phthalate (MBzP), four metabolites of di-(2-ethylhexyl) phthalate (DEHP), and BPA. After adjusting for specific gravity, we characterized biomarker variability using intraclass correlation coefficients (ICCs) and conducted several surrogate category analyses to determine whether a single spot urine sample could adequately classify average gestational exposure.\n\nResults: Absolute concentrations of phthalate metabolites and BPA were similar before and during pregnancy. Variability was higher during pregnancy than before pregnancy for BPA and MBzP, but similar during and before pregnancy for MBP, MEP, and ΣDEHP. During pregnancy, MEP (ICC = 0.50) and MBP (ICC = 0.45) were less variable than BPA (ICC = 0.12), MBzP (ICC = 0.25), and ΣDEHP metabolites (ICC = 0.08). Surrogate analyses suggested that a single spot urine sample may reasonably classify MEP and MBP concentrations during pregnancy, but more than one sample may be necessary for MBzP, DEHP, and BPA.\n\nConclusions: Urinary phthalate metabolites and BPA concentrations were variable before and during pregnancy, but the magnitude of variability was biomarker specific. A single spot urine sample adequately classified MBP and MEP concentrations during pregnancy. The present results may be related to unique features of the women studied, and replication in other pregnancy cohorts is recommended.","container-title":"Environmental Health Perspectives","DOI":"10.1289/ehp.1104139","issue":"5","journalAbbreviation":"Environ Health Perspect","note":"publisher: Environmental Health Perspectives","page":"739-745","source":"ehp-niehs-nih-gov.proxy.insermbiblio.inist.fr (Atypon)","title":"Variability of urinary phthalate metabolite and bisphenol A concentrations before and during pregnancy","volume":"120","author":[{"family":"Braun","given":"Joe M."},{"family":"Smith","given":"Kristen W."},{"family":"Williams","given":"Paige L."},{"family":"Calafat","given":"Antonia M."},{"family":"Berry","given":"Katharine"},{"family":"Ehrlich","given":"Shelley"},{"family":"Hauser","given":"Russ"}],"issued":{"date-parts":[["2012",5,1]]}}},{"id":5412,"uris":["http://zotero.org/users/5642993/items/4UJF8YIX"],"uri":["http://zotero.org/users/5642993/items/4UJF8YIX"],"itemData":{"id":5412,"type":"article-journal","abstract":"Background\nBecause phthalates are quickly metabolized and excreted in urine, and human exposures tend to be episodic, phthalate metabolite concentrations measured in a maternal spot urine sample are only indicative of recent exposure.\nObjective\nTo examine temporal variability of pregnant women's phthalate exposure using multiple first morning voids (FMV) and pooled samples.\nMethods\nWe quantified 14 metabolites of eight phthalates in 577 urine samples collected from 188 pregnancies in the MARBLES (Markers of Autism Risk in Babies – Learning Early Signs) study. We calculated intraclass correlation coefficients (ICCs) using two samples of the same urine type (i.e., two FMVs or two pools) collected across the 2nd and 3rd trimesters. We also calculated ICCs and FMV/pool concentration ratios using two samples (i.e., two FMVs or one FMV and one pool) collected within the same trimester.\nResults\nOverall, ICCs were higher in pooled samples (0.24–0.87) than in FMVs (0.08–0.69). Regardless of the sample type, ICCs tended to be higher for metabolites for which exposure sources are personal care products or indoor residential materials than those for which diet is an important exposure source. ICCs tended to increase and FMV/pool ratios tended to decrease with an increasing number of composite samples in the pools.\nConclusions\nOur study helped determine the number of samples needed to capture moderate to high reproducibility of individual's average exposure to phthalates and the average exposure can be differently characterized depending on the number of samples in the pools.","container-title":"Environment International","DOI":"10.1016/j.envint.2018.11.012","ISSN":"0160-4120","journalAbbreviation":"Environ Int","language":"en","page":"222-230","source":"ScienceDirect","title":"Variability of urinary concentrations of phthalate metabolites during pregnancy in first morning voids and pooled samples","volume":"122","author":[{"family":"Shin","given":"Hyeong-Moo"},{"family":"Bennett","given":"Deborah H."},{"family":"Barkoski","given":"Jacqueline"},{"family":"Ye","given":"Xiaoyun"},{"family":"Calafat","given":"Antonia M."},{"family":"Tancredi","given":"Daniel"},{"family":"Hertz-Picciotto","given":"Irva"}],"issued":{"date-parts":[["2019",1,1]]}}}],"schema":"https://github.com/citation-style-language/schema/raw/master/csl-citation.json"}</w:instrText>
      </w:r>
      <w:r>
        <w:fldChar w:fldCharType="separate"/>
      </w:r>
      <w:bookmarkStart w:id="11" w:name="__Fieldmark__503_3847363368"/>
      <w:r>
        <w:rPr>
          <w:sz w:val="22"/>
          <w:lang w:val="en-US"/>
        </w:rPr>
        <w:t>(Bastiaensen et al. 2020; Braun et al. 2012; Shin et al. 2019)</w:t>
      </w:r>
      <w:r>
        <w:fldChar w:fldCharType="end"/>
      </w:r>
      <w:bookmarkEnd w:id="11"/>
      <w:r>
        <w:rPr>
          <w:sz w:val="22"/>
          <w:szCs w:val="22"/>
          <w:lang w:val="en-US"/>
        </w:rPr>
        <w:t xml:space="preserve"> or non-standardized </w:t>
      </w:r>
      <w:r>
        <w:fldChar w:fldCharType="begin"/>
      </w:r>
      <w:r>
        <w:instrText>ADDIN ZOTERO_ITEM CSL_CITATION {"citationID":"cib0chg6","properties":{"formattedCitation":"(Bastiaensen et al. 2020)","plainCitation":"(Bastiaensen et al. 2020)","noteIndex":0},"citationItems":[{"id":5620,"uris":["http://zotero.org/users/5642993/items/RNQND4DA"],"uri":["http://zotero.org/users/5642993/items/RNQND4DA"],"itemData":{"id":5620,"type":"article-journal","abstract":"Due to international regulations, commonly used phthalates such as di(2-ethylhexyl) phthalate (DEHP) are being replaced by other phthalates, such as di-isononyl phthalate (DINP), and di-isodecyl phthalate (DIDP) and by alternative plasticizers (APs) with similar chemical characteristics, like di(isononyl)cyclohexane-1,2-dicarboxylate (DINCH), di(2-ethylhexyl) terephthalate (DEHTP), or di-(2-ethylhexyl) adipate (DEHA). Urinary concentrations of metabolites are frequently used in the exposure assessment of non-persistent chemicals and for biomonitoring purposes, the intra- and inter-day variability of the metabolites should be known. However, the short-term variability of AP and several phthalate biomarkers has not been investigated yet. In this study, we collected all spot samples from 10 healthy adults for 5 consecutive days and 24h pooled urine on one additional day to investigate the short-term variability of 22 biomarkers of phthalates and APs. Metabolites of DEP, DEHP, DiBP, DnBP, DBzP, DINP and DIDP were found in high detection frequencies, while metabolites of most APs were found in approximately 50% of the samples. The short-term reproducibility of metabolites with diet as primary source (DEHP, DINP, DIDP) was poor (intraclass correlation coefficient - ICC &lt; 0.4), whereas biomarkers of DEP, DnBP, DiBP and BBzP showed good consistency, most likely due to more continuous sources resulting in less between-day variance. ICC values of AP metabolites were similar to those of DEHP, but more studies are required to confirm these findings. Overall, reproducibility improved considerably when values were corrected for urinary dilution and when only morning voids samples were considered. Levels in morning voids samples were consistent for 5 days and comparable to 24-h pooled urine for all metabolites except for OH-MEHTP, sum DINP and sum DIDP, which supports the use of morning voids in human biomonitoring studies.","container-title":"Environmental Research","DOI":"10.1016/j.envres.2020.110248","ISSN":"1096-0953","journalAbbreviation":"Environ Res","language":"eng","note":"PMID: 32980307","page":"110248","source":"PubMed","title":"Between- and within-individual variability of urinary phthalate and alternative plasticizer metabolites in spot, morning void and 24-h pooled urine samples","volume":"191","author":[{"family":"Bastiaensen","given":"Michiel"},{"family":"Malarvannan","given":"Govindan"},{"family":"Gys","given":"Celine"},{"family":"Ait Bamai","given":"Yu"},{"family":"Araki","given":"Atsuko"},{"family":"Covaci","given":"Adrian"}],"issued":{"date-parts":[["2020",12]]}}}],"schema":"https://github.com/citation-style-language/schema/raw/master/csl-citation.json"}</w:instrText>
      </w:r>
      <w:r>
        <w:fldChar w:fldCharType="separate"/>
      </w:r>
      <w:bookmarkStart w:id="12" w:name="__Fieldmark__509_3847363368"/>
      <w:r>
        <w:rPr>
          <w:sz w:val="22"/>
          <w:lang w:val="en-US"/>
        </w:rPr>
        <w:t>(Bastiaensen et al. 2020)</w:t>
      </w:r>
      <w:r>
        <w:fldChar w:fldCharType="end"/>
      </w:r>
      <w:bookmarkEnd w:id="12"/>
      <w:r>
        <w:rPr>
          <w:sz w:val="22"/>
          <w:szCs w:val="22"/>
          <w:lang w:val="en-US"/>
        </w:rPr>
        <w:t xml:space="preserve"> concentrations.</w:t>
      </w:r>
    </w:p>
    <w:p w:rsidR="00167CD4" w:rsidRDefault="005D57F1" w:rsidP="00C80868">
      <w:pPr>
        <w:pStyle w:val="NoSpacing"/>
        <w:spacing w:after="240" w:line="276" w:lineRule="auto"/>
        <w:rPr>
          <w:sz w:val="22"/>
          <w:szCs w:val="22"/>
          <w:lang w:val="en-US"/>
        </w:rPr>
      </w:pPr>
      <w:proofErr w:type="gramStart"/>
      <w:r>
        <w:rPr>
          <w:sz w:val="22"/>
          <w:szCs w:val="22"/>
          <w:vertAlign w:val="superscript"/>
          <w:lang w:val="en-US"/>
        </w:rPr>
        <w:t>b</w:t>
      </w:r>
      <w:proofErr w:type="gramEnd"/>
      <w:r>
        <w:rPr>
          <w:sz w:val="22"/>
          <w:szCs w:val="22"/>
          <w:lang w:val="en-US"/>
        </w:rPr>
        <w:t xml:space="preserve"> ICC value depended on the method applied to standardize concentrations (none, creatinine-, specific gravity-standardized).</w:t>
      </w:r>
    </w:p>
    <w:p w:rsidR="00167CD4" w:rsidRDefault="005D57F1" w:rsidP="00C80868">
      <w:pPr>
        <w:spacing w:line="276" w:lineRule="auto"/>
        <w:rPr>
          <w:sz w:val="22"/>
          <w:szCs w:val="22"/>
          <w:lang w:val="en-US"/>
        </w:rPr>
        <w:sectPr w:rsidR="00167CD4">
          <w:footerReference w:type="default" r:id="rId7"/>
          <w:pgSz w:w="16838" w:h="11906" w:orient="landscape"/>
          <w:pgMar w:top="1440" w:right="1440" w:bottom="1440" w:left="1455" w:header="0" w:footer="720" w:gutter="0"/>
          <w:cols w:space="720"/>
          <w:formProt w:val="0"/>
          <w:docGrid w:linePitch="272" w:charSpace="8192"/>
        </w:sectPr>
      </w:pPr>
      <w:r>
        <w:rPr>
          <w:sz w:val="22"/>
          <w:szCs w:val="22"/>
          <w:lang w:val="en-US"/>
        </w:rPr>
        <w:t xml:space="preserve">Abbreviations: ICC = intraclass correlation coefficient. MBzP = monobenzyl phthalate. MCNP = </w:t>
      </w:r>
      <w:proofErr w:type="spellStart"/>
      <w:r>
        <w:rPr>
          <w:sz w:val="22"/>
          <w:szCs w:val="22"/>
          <w:lang w:val="en-US"/>
        </w:rPr>
        <w:t>monocarboxy-iso-nonyl</w:t>
      </w:r>
      <w:proofErr w:type="spellEnd"/>
      <w:r>
        <w:rPr>
          <w:sz w:val="22"/>
          <w:szCs w:val="22"/>
          <w:lang w:val="en-US"/>
        </w:rPr>
        <w:t xml:space="preserve"> phthalate. MCOP = </w:t>
      </w:r>
      <w:proofErr w:type="spellStart"/>
      <w:r>
        <w:rPr>
          <w:sz w:val="22"/>
          <w:szCs w:val="22"/>
          <w:lang w:val="en-US"/>
        </w:rPr>
        <w:t>monocarboxy-iso-octyl</w:t>
      </w:r>
      <w:proofErr w:type="spellEnd"/>
      <w:r>
        <w:rPr>
          <w:sz w:val="22"/>
          <w:szCs w:val="22"/>
          <w:lang w:val="en-US"/>
        </w:rPr>
        <w:t xml:space="preserve"> phthalate. MCPP = </w:t>
      </w:r>
      <w:proofErr w:type="gramStart"/>
      <w:r>
        <w:rPr>
          <w:sz w:val="22"/>
          <w:szCs w:val="22"/>
          <w:lang w:val="en-US"/>
        </w:rPr>
        <w:t>mono(</w:t>
      </w:r>
      <w:proofErr w:type="gramEnd"/>
      <w:r>
        <w:rPr>
          <w:sz w:val="22"/>
          <w:szCs w:val="22"/>
          <w:lang w:val="en-US"/>
        </w:rPr>
        <w:t xml:space="preserve">3-carboxypropyl) phthalate. MECPP = </w:t>
      </w:r>
      <w:proofErr w:type="gramStart"/>
      <w:r>
        <w:rPr>
          <w:sz w:val="22"/>
          <w:szCs w:val="22"/>
          <w:lang w:val="en-US"/>
        </w:rPr>
        <w:t>mono(</w:t>
      </w:r>
      <w:proofErr w:type="gramEnd"/>
      <w:r>
        <w:rPr>
          <w:sz w:val="22"/>
          <w:szCs w:val="22"/>
          <w:lang w:val="en-US"/>
        </w:rPr>
        <w:t xml:space="preserve">2-ethyl-5-carboxypentyl) phthalate. MEHHP = </w:t>
      </w:r>
      <w:proofErr w:type="gramStart"/>
      <w:r>
        <w:rPr>
          <w:sz w:val="22"/>
          <w:szCs w:val="22"/>
          <w:lang w:val="en-US"/>
        </w:rPr>
        <w:t>mono(</w:t>
      </w:r>
      <w:proofErr w:type="gramEnd"/>
      <w:r>
        <w:rPr>
          <w:sz w:val="22"/>
          <w:szCs w:val="22"/>
          <w:lang w:val="en-US"/>
        </w:rPr>
        <w:t xml:space="preserve">2-ethyl-5-hydroxyhexyl) phthalate. MEHP = </w:t>
      </w:r>
      <w:proofErr w:type="gramStart"/>
      <w:r>
        <w:rPr>
          <w:sz w:val="22"/>
          <w:szCs w:val="22"/>
          <w:lang w:val="en-US"/>
        </w:rPr>
        <w:t>mono(</w:t>
      </w:r>
      <w:proofErr w:type="gramEnd"/>
      <w:r>
        <w:rPr>
          <w:sz w:val="22"/>
          <w:szCs w:val="22"/>
          <w:lang w:val="en-US"/>
        </w:rPr>
        <w:t xml:space="preserve">2-ethylhexyl) phthalate. MEOHP = </w:t>
      </w:r>
      <w:proofErr w:type="gramStart"/>
      <w:r>
        <w:rPr>
          <w:sz w:val="22"/>
          <w:szCs w:val="22"/>
          <w:lang w:val="en-US"/>
        </w:rPr>
        <w:t>mono(</w:t>
      </w:r>
      <w:proofErr w:type="gramEnd"/>
      <w:r>
        <w:rPr>
          <w:sz w:val="22"/>
          <w:szCs w:val="22"/>
          <w:lang w:val="en-US"/>
        </w:rPr>
        <w:t>2-ethyl-5-oxohexyl) phthalate. MEP = monoethyl phthalate. MiBP = mono-</w:t>
      </w:r>
      <w:proofErr w:type="spellStart"/>
      <w:r>
        <w:rPr>
          <w:sz w:val="22"/>
          <w:szCs w:val="22"/>
          <w:lang w:val="en-US"/>
        </w:rPr>
        <w:t>iso</w:t>
      </w:r>
      <w:proofErr w:type="spellEnd"/>
      <w:r>
        <w:rPr>
          <w:sz w:val="22"/>
          <w:szCs w:val="22"/>
          <w:lang w:val="en-US"/>
        </w:rPr>
        <w:t>-butyl phthalate. MnBP = mono-n-butyl phthalate.</w:t>
      </w:r>
    </w:p>
    <w:p w:rsidR="00167CD4" w:rsidRDefault="005D57F1">
      <w:pPr>
        <w:pStyle w:val="Heading1"/>
        <w:spacing w:before="0" w:after="240"/>
        <w:rPr>
          <w:sz w:val="22"/>
          <w:szCs w:val="22"/>
          <w:lang w:val="en-US"/>
        </w:rPr>
      </w:pPr>
      <w:bookmarkStart w:id="13" w:name="_Toc86240727"/>
      <w:r>
        <w:rPr>
          <w:sz w:val="22"/>
          <w:szCs w:val="22"/>
          <w:lang w:val="en-US"/>
        </w:rPr>
        <w:lastRenderedPageBreak/>
        <w:t>Supplementary Figures</w:t>
      </w:r>
      <w:bookmarkEnd w:id="13"/>
    </w:p>
    <w:p w:rsidR="00167CD4" w:rsidRDefault="005D57F1">
      <w:pPr>
        <w:spacing w:after="200" w:line="276" w:lineRule="auto"/>
        <w:rPr>
          <w:sz w:val="24"/>
          <w:szCs w:val="24"/>
          <w:lang w:val="en-US"/>
        </w:rPr>
      </w:pPr>
      <w:r>
        <w:rPr>
          <w:noProof/>
          <w:lang w:val="en-US"/>
        </w:rPr>
        <w:drawing>
          <wp:inline distT="0" distB="0" distL="0" distR="0">
            <wp:extent cx="5731510" cy="42672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rcRect l="462" r="462"/>
                    <a:stretch>
                      <a:fillRect/>
                    </a:stretch>
                  </pic:blipFill>
                  <pic:spPr bwMode="auto">
                    <a:xfrm>
                      <a:off x="0" y="0"/>
                      <a:ext cx="5731510" cy="4267200"/>
                    </a:xfrm>
                    <a:prstGeom prst="rect">
                      <a:avLst/>
                    </a:prstGeom>
                  </pic:spPr>
                </pic:pic>
              </a:graphicData>
            </a:graphic>
          </wp:inline>
        </w:drawing>
      </w:r>
    </w:p>
    <w:p w:rsidR="00167CD4" w:rsidRDefault="005D57F1" w:rsidP="00074039">
      <w:pPr>
        <w:pStyle w:val="Heading2"/>
        <w:spacing w:after="200" w:line="276" w:lineRule="auto"/>
        <w:rPr>
          <w:b w:val="0"/>
          <w:sz w:val="22"/>
          <w:szCs w:val="22"/>
          <w:lang w:val="en-US"/>
        </w:rPr>
      </w:pPr>
      <w:bookmarkStart w:id="14" w:name="_Toc86240728"/>
      <w:r>
        <w:rPr>
          <w:sz w:val="22"/>
          <w:szCs w:val="22"/>
          <w:lang w:val="en-US"/>
        </w:rPr>
        <w:t>Supplementary Figure 1:</w:t>
      </w:r>
      <w:r>
        <w:rPr>
          <w:i/>
          <w:color w:val="44546A"/>
          <w:sz w:val="18"/>
          <w:szCs w:val="18"/>
          <w:lang w:val="en-US"/>
        </w:rPr>
        <w:t xml:space="preserve"> </w:t>
      </w:r>
      <w:r>
        <w:rPr>
          <w:b w:val="0"/>
          <w:sz w:val="22"/>
          <w:szCs w:val="22"/>
          <w:lang w:val="en-US"/>
        </w:rPr>
        <w:t>Study flow chart.</w:t>
      </w:r>
      <w:bookmarkEnd w:id="14"/>
      <w:r>
        <w:rPr>
          <w:b w:val="0"/>
          <w:sz w:val="22"/>
          <w:szCs w:val="22"/>
          <w:lang w:val="en-US"/>
        </w:rPr>
        <w:t xml:space="preserve"> </w:t>
      </w:r>
    </w:p>
    <w:p w:rsidR="00167CD4" w:rsidRDefault="005D57F1" w:rsidP="00074039">
      <w:pPr>
        <w:spacing w:after="200" w:line="276" w:lineRule="auto"/>
        <w:rPr>
          <w:sz w:val="22"/>
          <w:szCs w:val="22"/>
          <w:lang w:val="en-US"/>
        </w:rPr>
      </w:pPr>
      <w:r>
        <w:rPr>
          <w:sz w:val="22"/>
          <w:szCs w:val="22"/>
          <w:vertAlign w:val="superscript"/>
          <w:lang w:val="en-US"/>
        </w:rPr>
        <w:t xml:space="preserve">a </w:t>
      </w:r>
      <w:r>
        <w:rPr>
          <w:sz w:val="22"/>
          <w:szCs w:val="22"/>
          <w:lang w:val="en-US"/>
        </w:rPr>
        <w:t xml:space="preserve">Phthalate concentrations were assessed in the framework of a previous study restricted to boys with at least one maternal urine sample available for phthalate measurements and complete data on prenatal (three ultrasound measurements and biometry at birth) and postnatal growth </w:t>
      </w:r>
      <w:r>
        <w:fldChar w:fldCharType="begin"/>
      </w:r>
      <w:r>
        <w:instrText>ADDIN ZOTERO_ITEM CSL_CITATION {"citationID":"6j8T5dFZ","properties":{"formattedCitation":"(Philippat et al. 2014)","plainCitation":"(Philippat et al. 2014)","noteIndex":0},"citationItems":[{"id":946,"uris":["http://zotero.org/users/5642993/items/78SR5JRK"],"uri":["http://zotero.org/users/5642993/items/78SR5JRK"],"itemData":{"id":946,"type":"article-journal","abstract":"Background\nPhenols interact with nuclear receptors implicated in growth and adipogenesis regulation. Only a few studies have explored their effects on growth in humans.\n\nObjectives\nWe studied the associations of maternal exposure to phenols during pregnancy with prenatal and postnatal growth of male newborns.\n\nMethods\nWithin a cohort of women recruited during pregnancy, we selected 520 mother–son pairs and quantified 9 phenols in spot urine samples collected during pregnancy. We used ultrasonography during pregnancy, together with birth measurements, to assess fetal growth. We modeled individual postnatal growth trajectories from repeated measures of weight and height in the first 3 years of life.\n\nResults\nTriclosan concentration was negatively associated with growth parameters measured at the third ultrasound examination but not earlier in pregnancy. At birth, this phenol tended to be negatively associated with head circumference (−1.2 mm for an interquartile range [IQR] increase in ln-transformed triclosan concentration [95% confidence interval = −2.6 to 0.3]) but not with weight or height. Parabens were positively associated with weight at birth. This positive association remained for 3 years for methylparaben (β = 193 g [−4 to 389]) for an IQR increase in ln-transformed concentrations.\n\nConclusion\nWe relied on only 1 spot urine sample to assess exposure; because of the high variability in phenol urinary concentrations reported during pregnancy, using only 1 sample may result in exposure misclassification, in particular for bisphenol A. Our study suggested associations between prenatal exposure to parabens and triclosan and prenatal or early postnatal growth.","container-title":"Epidemiology (Cambridge, Mass.)","DOI":"10.1097/EDE.0000000000000132","ISSN":"1044-3983","issue":"5","journalAbbreviation":"Epidemiology","note":"tex.ids= philippat2014a\nPMCID: PMC4724208\nPMID: 25061923","page":"625-635","source":"PubMed Central","title":"Prenatal exposure to phenols and growth in boys","volume":"25","author":[{"family":"Philippat","given":"Claire"},{"family":"Botton","given":"Jérémie"},{"family":"Calafat","given":"Antonia M."},{"family":"Ye","given":"Xiaoyun"},{"family":"Charles","given":"Marie-Aline"},{"family":"Slama","given":"Rémy"}],"issued":{"date-parts":[["2014",9]]}}}],"schema":"https://github.com/citation-style-language/schema/raw/master/csl-citation.json"}</w:instrText>
      </w:r>
      <w:r>
        <w:fldChar w:fldCharType="separate"/>
      </w:r>
      <w:bookmarkStart w:id="15" w:name="__Fieldmark__835_3847363368"/>
      <w:r>
        <w:rPr>
          <w:sz w:val="22"/>
          <w:lang w:val="en-US"/>
        </w:rPr>
        <w:t>(Philippat et al. 2014)</w:t>
      </w:r>
      <w:r>
        <w:fldChar w:fldCharType="end"/>
      </w:r>
      <w:bookmarkEnd w:id="15"/>
      <w:r>
        <w:rPr>
          <w:sz w:val="22"/>
          <w:szCs w:val="22"/>
          <w:lang w:val="en-US"/>
        </w:rPr>
        <w:t>.</w:t>
      </w:r>
    </w:p>
    <w:p w:rsidR="00167CD4" w:rsidRDefault="005D57F1" w:rsidP="00074039">
      <w:pPr>
        <w:spacing w:after="200" w:line="276" w:lineRule="auto"/>
        <w:rPr>
          <w:lang w:val="en-US"/>
        </w:rPr>
      </w:pPr>
      <w:r>
        <w:rPr>
          <w:sz w:val="22"/>
          <w:szCs w:val="22"/>
          <w:lang w:val="en-US"/>
        </w:rPr>
        <w:t xml:space="preserve">Abbreviations: EDEN = Etude des </w:t>
      </w:r>
      <w:proofErr w:type="spellStart"/>
      <w:r>
        <w:rPr>
          <w:sz w:val="22"/>
          <w:szCs w:val="22"/>
          <w:lang w:val="en-US"/>
        </w:rPr>
        <w:t>Déterminants</w:t>
      </w:r>
      <w:proofErr w:type="spellEnd"/>
      <w:r>
        <w:rPr>
          <w:sz w:val="22"/>
          <w:szCs w:val="22"/>
          <w:lang w:val="en-US"/>
        </w:rPr>
        <w:t xml:space="preserve"> </w:t>
      </w:r>
      <w:proofErr w:type="spellStart"/>
      <w:r>
        <w:rPr>
          <w:sz w:val="22"/>
          <w:szCs w:val="22"/>
          <w:lang w:val="en-US"/>
        </w:rPr>
        <w:t>pré</w:t>
      </w:r>
      <w:proofErr w:type="spellEnd"/>
      <w:r>
        <w:rPr>
          <w:sz w:val="22"/>
          <w:szCs w:val="22"/>
          <w:lang w:val="en-US"/>
        </w:rPr>
        <w:t xml:space="preserve"> </w:t>
      </w:r>
      <w:proofErr w:type="gramStart"/>
      <w:r>
        <w:rPr>
          <w:sz w:val="22"/>
          <w:szCs w:val="22"/>
          <w:lang w:val="en-US"/>
        </w:rPr>
        <w:t>et</w:t>
      </w:r>
      <w:proofErr w:type="gramEnd"/>
      <w:r>
        <w:rPr>
          <w:sz w:val="22"/>
          <w:szCs w:val="22"/>
          <w:lang w:val="en-US"/>
        </w:rPr>
        <w:t xml:space="preserve"> </w:t>
      </w:r>
      <w:proofErr w:type="spellStart"/>
      <w:r>
        <w:rPr>
          <w:sz w:val="22"/>
          <w:szCs w:val="22"/>
          <w:lang w:val="en-US"/>
        </w:rPr>
        <w:t>postnatals</w:t>
      </w:r>
      <w:proofErr w:type="spellEnd"/>
      <w:r>
        <w:rPr>
          <w:sz w:val="22"/>
          <w:szCs w:val="22"/>
          <w:lang w:val="en-US"/>
        </w:rPr>
        <w:t xml:space="preserve"> du </w:t>
      </w:r>
      <w:proofErr w:type="spellStart"/>
      <w:r>
        <w:rPr>
          <w:sz w:val="22"/>
          <w:szCs w:val="22"/>
          <w:lang w:val="en-US"/>
        </w:rPr>
        <w:t>développement</w:t>
      </w:r>
      <w:proofErr w:type="spellEnd"/>
      <w:r>
        <w:rPr>
          <w:sz w:val="22"/>
          <w:szCs w:val="22"/>
          <w:lang w:val="en-US"/>
        </w:rPr>
        <w:t xml:space="preserve"> et de la santé de </w:t>
      </w:r>
      <w:proofErr w:type="spellStart"/>
      <w:r>
        <w:rPr>
          <w:sz w:val="22"/>
          <w:szCs w:val="22"/>
          <w:lang w:val="en-US"/>
        </w:rPr>
        <w:t>l’Enfant</w:t>
      </w:r>
      <w:proofErr w:type="spellEnd"/>
      <w:r>
        <w:rPr>
          <w:sz w:val="22"/>
          <w:szCs w:val="22"/>
          <w:lang w:val="en-US"/>
        </w:rPr>
        <w:t>.</w:t>
      </w:r>
      <w:r>
        <w:br w:type="page"/>
      </w:r>
    </w:p>
    <w:p w:rsidR="00167CD4" w:rsidRDefault="005D57F1">
      <w:pPr>
        <w:spacing w:line="276" w:lineRule="auto"/>
        <w:rPr>
          <w:lang w:val="en-US"/>
        </w:rPr>
      </w:pPr>
      <w:r>
        <w:rPr>
          <w:noProof/>
          <w:lang w:val="en-US"/>
        </w:rPr>
        <w:lastRenderedPageBreak/>
        <w:drawing>
          <wp:inline distT="0" distB="0" distL="0" distR="0">
            <wp:extent cx="5731510" cy="3289300"/>
            <wp:effectExtent l="0" t="0" r="0" b="0"/>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pic:cNvPicPr>
                      <a:picLocks noChangeAspect="1" noChangeArrowheads="1"/>
                    </pic:cNvPicPr>
                  </pic:nvPicPr>
                  <pic:blipFill>
                    <a:blip r:embed="rId9"/>
                    <a:stretch>
                      <a:fillRect/>
                    </a:stretch>
                  </pic:blipFill>
                  <pic:spPr bwMode="auto">
                    <a:xfrm>
                      <a:off x="0" y="0"/>
                      <a:ext cx="5731510" cy="3289300"/>
                    </a:xfrm>
                    <a:prstGeom prst="rect">
                      <a:avLst/>
                    </a:prstGeom>
                  </pic:spPr>
                </pic:pic>
              </a:graphicData>
            </a:graphic>
          </wp:inline>
        </w:drawing>
      </w:r>
    </w:p>
    <w:p w:rsidR="00167CD4" w:rsidRDefault="005D57F1" w:rsidP="00074039">
      <w:pPr>
        <w:pStyle w:val="Heading2"/>
        <w:spacing w:after="200" w:line="276" w:lineRule="auto"/>
        <w:rPr>
          <w:b w:val="0"/>
          <w:sz w:val="22"/>
          <w:szCs w:val="22"/>
          <w:lang w:val="en-US"/>
        </w:rPr>
      </w:pPr>
      <w:bookmarkStart w:id="16" w:name="_Toc86240729"/>
      <w:r>
        <w:rPr>
          <w:sz w:val="22"/>
          <w:szCs w:val="22"/>
          <w:lang w:val="en-US"/>
        </w:rPr>
        <w:t>Supplementary Figure 2:</w:t>
      </w:r>
      <w:r>
        <w:rPr>
          <w:b w:val="0"/>
          <w:sz w:val="22"/>
          <w:szCs w:val="22"/>
          <w:lang w:val="en-US"/>
        </w:rPr>
        <w:t xml:space="preserve"> Boxplot of the distributions of placental cell type estimates obtained for the EDEN cohort (n = 668).</w:t>
      </w:r>
      <w:bookmarkEnd w:id="16"/>
    </w:p>
    <w:p w:rsidR="00167CD4" w:rsidRDefault="005D57F1" w:rsidP="00074039">
      <w:pPr>
        <w:spacing w:line="276" w:lineRule="auto"/>
        <w:rPr>
          <w:lang w:val="en-US"/>
        </w:rPr>
      </w:pPr>
      <w:r>
        <w:rPr>
          <w:rFonts w:eastAsia="Gungsuh"/>
          <w:sz w:val="22"/>
          <w:szCs w:val="22"/>
          <w:lang w:val="en-US"/>
        </w:rPr>
        <w:t xml:space="preserve">Abbreviations: </w:t>
      </w:r>
      <w:r>
        <w:rPr>
          <w:sz w:val="22"/>
          <w:szCs w:val="22"/>
          <w:lang w:val="en-US"/>
        </w:rPr>
        <w:t xml:space="preserve">EDEN = Etude des </w:t>
      </w:r>
      <w:proofErr w:type="spellStart"/>
      <w:r>
        <w:rPr>
          <w:sz w:val="22"/>
          <w:szCs w:val="22"/>
          <w:lang w:val="en-US"/>
        </w:rPr>
        <w:t>Déterminants</w:t>
      </w:r>
      <w:proofErr w:type="spellEnd"/>
      <w:r>
        <w:rPr>
          <w:sz w:val="22"/>
          <w:szCs w:val="22"/>
          <w:lang w:val="en-US"/>
        </w:rPr>
        <w:t xml:space="preserve"> </w:t>
      </w:r>
      <w:proofErr w:type="spellStart"/>
      <w:r>
        <w:rPr>
          <w:sz w:val="22"/>
          <w:szCs w:val="22"/>
          <w:lang w:val="en-US"/>
        </w:rPr>
        <w:t>pré</w:t>
      </w:r>
      <w:proofErr w:type="spellEnd"/>
      <w:r>
        <w:rPr>
          <w:sz w:val="22"/>
          <w:szCs w:val="22"/>
          <w:lang w:val="en-US"/>
        </w:rPr>
        <w:t xml:space="preserve"> </w:t>
      </w:r>
      <w:proofErr w:type="gramStart"/>
      <w:r>
        <w:rPr>
          <w:sz w:val="22"/>
          <w:szCs w:val="22"/>
          <w:lang w:val="en-US"/>
        </w:rPr>
        <w:t>et</w:t>
      </w:r>
      <w:proofErr w:type="gramEnd"/>
      <w:r>
        <w:rPr>
          <w:sz w:val="22"/>
          <w:szCs w:val="22"/>
          <w:lang w:val="en-US"/>
        </w:rPr>
        <w:t xml:space="preserve"> </w:t>
      </w:r>
      <w:proofErr w:type="spellStart"/>
      <w:r>
        <w:rPr>
          <w:sz w:val="22"/>
          <w:szCs w:val="22"/>
          <w:lang w:val="en-US"/>
        </w:rPr>
        <w:t>postnatals</w:t>
      </w:r>
      <w:proofErr w:type="spellEnd"/>
      <w:r>
        <w:rPr>
          <w:sz w:val="22"/>
          <w:szCs w:val="22"/>
          <w:lang w:val="en-US"/>
        </w:rPr>
        <w:t xml:space="preserve"> du </w:t>
      </w:r>
      <w:proofErr w:type="spellStart"/>
      <w:r>
        <w:rPr>
          <w:sz w:val="22"/>
          <w:szCs w:val="22"/>
          <w:lang w:val="en-US"/>
        </w:rPr>
        <w:t>développement</w:t>
      </w:r>
      <w:proofErr w:type="spellEnd"/>
      <w:r>
        <w:rPr>
          <w:sz w:val="22"/>
          <w:szCs w:val="22"/>
          <w:lang w:val="en-US"/>
        </w:rPr>
        <w:t xml:space="preserve"> et de la santé de </w:t>
      </w:r>
      <w:proofErr w:type="spellStart"/>
      <w:r>
        <w:rPr>
          <w:sz w:val="22"/>
          <w:szCs w:val="22"/>
          <w:lang w:val="en-US"/>
        </w:rPr>
        <w:t>l’Enfant</w:t>
      </w:r>
      <w:proofErr w:type="spellEnd"/>
      <w:r>
        <w:rPr>
          <w:sz w:val="22"/>
          <w:szCs w:val="22"/>
          <w:lang w:val="en-US"/>
        </w:rPr>
        <w:t xml:space="preserve">. </w:t>
      </w:r>
      <w:proofErr w:type="spellStart"/>
      <w:proofErr w:type="gramStart"/>
      <w:r>
        <w:rPr>
          <w:sz w:val="22"/>
          <w:szCs w:val="22"/>
          <w:lang w:val="en-US"/>
        </w:rPr>
        <w:t>nRBC</w:t>
      </w:r>
      <w:proofErr w:type="spellEnd"/>
      <w:proofErr w:type="gramEnd"/>
      <w:r>
        <w:rPr>
          <w:sz w:val="22"/>
          <w:szCs w:val="22"/>
          <w:lang w:val="en-US"/>
        </w:rPr>
        <w:t xml:space="preserve"> = nucleated red blood cells.</w:t>
      </w:r>
    </w:p>
    <w:p w:rsidR="00167CD4" w:rsidRDefault="00167CD4">
      <w:pPr>
        <w:spacing w:line="276" w:lineRule="auto"/>
        <w:rPr>
          <w:lang w:val="en-US"/>
        </w:rPr>
      </w:pPr>
    </w:p>
    <w:p w:rsidR="00167CD4" w:rsidRDefault="005D57F1">
      <w:pPr>
        <w:spacing w:line="276" w:lineRule="auto"/>
        <w:rPr>
          <w:lang w:val="en-US"/>
        </w:rPr>
      </w:pPr>
      <w:r>
        <w:br w:type="page"/>
      </w:r>
    </w:p>
    <w:p w:rsidR="00167CD4" w:rsidRDefault="005D57F1">
      <w:pPr>
        <w:keepNext/>
        <w:spacing w:after="200"/>
        <w:rPr>
          <w:b/>
          <w:sz w:val="22"/>
          <w:szCs w:val="22"/>
          <w:lang w:val="en-US"/>
        </w:rPr>
      </w:pPr>
      <w:r>
        <w:rPr>
          <w:noProof/>
          <w:lang w:val="en-US"/>
        </w:rPr>
        <w:lastRenderedPageBreak/>
        <w:drawing>
          <wp:inline distT="0" distB="0" distL="0" distR="0">
            <wp:extent cx="5731510" cy="4635500"/>
            <wp:effectExtent l="0" t="0" r="0" b="0"/>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10"/>
                    <a:stretch>
                      <a:fillRect/>
                    </a:stretch>
                  </pic:blipFill>
                  <pic:spPr bwMode="auto">
                    <a:xfrm>
                      <a:off x="0" y="0"/>
                      <a:ext cx="5731510" cy="4635500"/>
                    </a:xfrm>
                    <a:prstGeom prst="rect">
                      <a:avLst/>
                    </a:prstGeom>
                  </pic:spPr>
                </pic:pic>
              </a:graphicData>
            </a:graphic>
          </wp:inline>
        </w:drawing>
      </w:r>
    </w:p>
    <w:p w:rsidR="00167CD4" w:rsidRDefault="005D57F1" w:rsidP="00074039">
      <w:pPr>
        <w:pStyle w:val="Heading2"/>
        <w:spacing w:after="200" w:line="276" w:lineRule="auto"/>
        <w:rPr>
          <w:b w:val="0"/>
          <w:sz w:val="22"/>
          <w:szCs w:val="22"/>
          <w:lang w:val="en-US"/>
        </w:rPr>
      </w:pPr>
      <w:bookmarkStart w:id="17" w:name="_Toc86240730"/>
      <w:r>
        <w:rPr>
          <w:sz w:val="22"/>
          <w:szCs w:val="22"/>
          <w:lang w:val="en-US"/>
        </w:rPr>
        <w:t>Supplementary Figure 3:</w:t>
      </w:r>
      <w:r>
        <w:rPr>
          <w:b w:val="0"/>
          <w:sz w:val="22"/>
          <w:szCs w:val="22"/>
          <w:lang w:val="en-US"/>
        </w:rPr>
        <w:t xml:space="preserve"> Spearman’s correlation coefficients (rho) between standardized urinary phthalate metabolite concentrations (n = 202).</w:t>
      </w:r>
      <w:bookmarkEnd w:id="17"/>
    </w:p>
    <w:p w:rsidR="00167CD4" w:rsidRDefault="005D57F1" w:rsidP="00074039">
      <w:pPr>
        <w:spacing w:line="276" w:lineRule="auto"/>
        <w:rPr>
          <w:highlight w:val="yellow"/>
          <w:lang w:val="en-US"/>
        </w:rPr>
      </w:pPr>
      <w:bookmarkStart w:id="18" w:name="_30j0zll"/>
      <w:bookmarkEnd w:id="18"/>
      <w:r>
        <w:rPr>
          <w:rFonts w:eastAsia="Gungsuh"/>
          <w:sz w:val="22"/>
          <w:szCs w:val="22"/>
          <w:lang w:val="en-US"/>
        </w:rPr>
        <w:t xml:space="preserve">Abbreviations: </w:t>
      </w:r>
      <w:r>
        <w:rPr>
          <w:sz w:val="22"/>
          <w:szCs w:val="22"/>
          <w:lang w:val="en-US"/>
        </w:rPr>
        <w:t xml:space="preserve">MBzP = monobenzyl phthalate. MCNP = </w:t>
      </w:r>
      <w:proofErr w:type="spellStart"/>
      <w:r>
        <w:rPr>
          <w:sz w:val="22"/>
          <w:szCs w:val="22"/>
          <w:lang w:val="en-US"/>
        </w:rPr>
        <w:t>monocarboxy-iso-nonyl</w:t>
      </w:r>
      <w:proofErr w:type="spellEnd"/>
      <w:r>
        <w:rPr>
          <w:sz w:val="22"/>
          <w:szCs w:val="22"/>
          <w:lang w:val="en-US"/>
        </w:rPr>
        <w:t xml:space="preserve"> phthalate. MCOP = </w:t>
      </w:r>
      <w:proofErr w:type="spellStart"/>
      <w:r>
        <w:rPr>
          <w:sz w:val="22"/>
          <w:szCs w:val="22"/>
          <w:lang w:val="en-US"/>
        </w:rPr>
        <w:t>monocarboxy-iso-octyl</w:t>
      </w:r>
      <w:proofErr w:type="spellEnd"/>
      <w:r>
        <w:rPr>
          <w:sz w:val="22"/>
          <w:szCs w:val="22"/>
          <w:lang w:val="en-US"/>
        </w:rPr>
        <w:t xml:space="preserve"> phthalate. MCPP = </w:t>
      </w:r>
      <w:proofErr w:type="gramStart"/>
      <w:r>
        <w:rPr>
          <w:sz w:val="22"/>
          <w:szCs w:val="22"/>
          <w:lang w:val="en-US"/>
        </w:rPr>
        <w:t>mono(</w:t>
      </w:r>
      <w:proofErr w:type="gramEnd"/>
      <w:r>
        <w:rPr>
          <w:sz w:val="22"/>
          <w:szCs w:val="22"/>
          <w:lang w:val="en-US"/>
        </w:rPr>
        <w:t xml:space="preserve">3-carboxypropyl) phthalate. MECPP = </w:t>
      </w:r>
      <w:proofErr w:type="gramStart"/>
      <w:r>
        <w:rPr>
          <w:sz w:val="22"/>
          <w:szCs w:val="22"/>
          <w:lang w:val="en-US"/>
        </w:rPr>
        <w:t>mono(</w:t>
      </w:r>
      <w:proofErr w:type="gramEnd"/>
      <w:r>
        <w:rPr>
          <w:sz w:val="22"/>
          <w:szCs w:val="22"/>
          <w:lang w:val="en-US"/>
        </w:rPr>
        <w:t xml:space="preserve">2-ethyl-5-carboxypentyl) phthalate. MEHHP = </w:t>
      </w:r>
      <w:proofErr w:type="gramStart"/>
      <w:r>
        <w:rPr>
          <w:sz w:val="22"/>
          <w:szCs w:val="22"/>
          <w:lang w:val="en-US"/>
        </w:rPr>
        <w:t>mono(</w:t>
      </w:r>
      <w:proofErr w:type="gramEnd"/>
      <w:r>
        <w:rPr>
          <w:sz w:val="22"/>
          <w:szCs w:val="22"/>
          <w:lang w:val="en-US"/>
        </w:rPr>
        <w:t xml:space="preserve">2-ethyl-5-hydroxyhexyl) phthalate. MEHP = </w:t>
      </w:r>
      <w:proofErr w:type="gramStart"/>
      <w:r>
        <w:rPr>
          <w:sz w:val="22"/>
          <w:szCs w:val="22"/>
          <w:lang w:val="en-US"/>
        </w:rPr>
        <w:t>mono(</w:t>
      </w:r>
      <w:proofErr w:type="gramEnd"/>
      <w:r>
        <w:rPr>
          <w:sz w:val="22"/>
          <w:szCs w:val="22"/>
          <w:lang w:val="en-US"/>
        </w:rPr>
        <w:t xml:space="preserve">2-ethylhexyl) phthalate. MEOHP = </w:t>
      </w:r>
      <w:proofErr w:type="gramStart"/>
      <w:r>
        <w:rPr>
          <w:sz w:val="22"/>
          <w:szCs w:val="22"/>
          <w:lang w:val="en-US"/>
        </w:rPr>
        <w:t>mono(</w:t>
      </w:r>
      <w:proofErr w:type="gramEnd"/>
      <w:r>
        <w:rPr>
          <w:sz w:val="22"/>
          <w:szCs w:val="22"/>
          <w:lang w:val="en-US"/>
        </w:rPr>
        <w:t>2-ethyl-5-oxohexyl) phthalate. MEP = monoethyl phthalate. MiBP = mono-</w:t>
      </w:r>
      <w:proofErr w:type="spellStart"/>
      <w:r>
        <w:rPr>
          <w:sz w:val="22"/>
          <w:szCs w:val="22"/>
          <w:lang w:val="en-US"/>
        </w:rPr>
        <w:t>iso</w:t>
      </w:r>
      <w:proofErr w:type="spellEnd"/>
      <w:r>
        <w:rPr>
          <w:sz w:val="22"/>
          <w:szCs w:val="22"/>
          <w:lang w:val="en-US"/>
        </w:rPr>
        <w:t>-butyl phthalate. MnBP = mono-n-butyl phthalate.</w:t>
      </w:r>
    </w:p>
    <w:p w:rsidR="00167CD4" w:rsidRDefault="00167CD4">
      <w:pPr>
        <w:rPr>
          <w:lang w:val="en-US"/>
        </w:rPr>
      </w:pPr>
    </w:p>
    <w:p w:rsidR="00167CD4" w:rsidRDefault="005D57F1">
      <w:pPr>
        <w:rPr>
          <w:lang w:val="en-US"/>
        </w:rPr>
      </w:pPr>
      <w:r>
        <w:br w:type="page"/>
      </w:r>
    </w:p>
    <w:p w:rsidR="00167CD4" w:rsidRDefault="005D57F1">
      <w:pPr>
        <w:keepNext/>
        <w:rPr>
          <w:lang w:val="en-US"/>
        </w:rPr>
      </w:pPr>
      <w:r>
        <w:rPr>
          <w:noProof/>
          <w:lang w:val="en-US"/>
        </w:rPr>
        <w:lastRenderedPageBreak/>
        <w:drawing>
          <wp:inline distT="0" distB="0" distL="0" distR="0">
            <wp:extent cx="5723890" cy="5283200"/>
            <wp:effectExtent l="0" t="0" r="0" b="0"/>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pic:cNvPicPr>
                      <a:picLocks noChangeAspect="1" noChangeArrowheads="1"/>
                    </pic:cNvPicPr>
                  </pic:nvPicPr>
                  <pic:blipFill>
                    <a:blip r:embed="rId11"/>
                    <a:stretch>
                      <a:fillRect/>
                    </a:stretch>
                  </pic:blipFill>
                  <pic:spPr bwMode="auto">
                    <a:xfrm>
                      <a:off x="0" y="0"/>
                      <a:ext cx="5723890" cy="5283200"/>
                    </a:xfrm>
                    <a:prstGeom prst="rect">
                      <a:avLst/>
                    </a:prstGeom>
                  </pic:spPr>
                </pic:pic>
              </a:graphicData>
            </a:graphic>
          </wp:inline>
        </w:drawing>
      </w:r>
    </w:p>
    <w:p w:rsidR="00167CD4" w:rsidRDefault="005D57F1" w:rsidP="00074039">
      <w:pPr>
        <w:pStyle w:val="Heading2"/>
        <w:spacing w:before="240" w:after="200" w:line="276" w:lineRule="auto"/>
        <w:rPr>
          <w:b w:val="0"/>
          <w:sz w:val="22"/>
          <w:szCs w:val="22"/>
          <w:lang w:val="en-US"/>
        </w:rPr>
      </w:pPr>
      <w:bookmarkStart w:id="19" w:name="_Toc86240731"/>
      <w:r>
        <w:rPr>
          <w:sz w:val="22"/>
          <w:szCs w:val="22"/>
          <w:lang w:val="en-US"/>
        </w:rPr>
        <w:t>Supplementary Figure 4:</w:t>
      </w:r>
      <w:r>
        <w:rPr>
          <w:b w:val="0"/>
          <w:i/>
          <w:color w:val="44546A"/>
          <w:sz w:val="18"/>
          <w:szCs w:val="18"/>
          <w:lang w:val="en-US"/>
        </w:rPr>
        <w:t xml:space="preserve"> </w:t>
      </w:r>
      <w:r>
        <w:rPr>
          <w:b w:val="0"/>
          <w:sz w:val="22"/>
          <w:szCs w:val="22"/>
          <w:lang w:val="en-US"/>
        </w:rPr>
        <w:t>Q-Q plots with genomic inflation factor (λ) and BIF for the association between phthalate biomarker concentrations and DNA methylation sites in the EWAS (n = 202, 379,904 CpGs). Red area marks the confidence interval of the fit. Regression models were adjusted for recruitment center, maternal active smoking in the three months preceding pregnancy and during pregnancy, maternal age, parity, maternal education level, maternal pre-pregnancy BMI, season of conception, batch, plate, chip, and estimated placental cell-type proportions. ΣDEHP was calculated by summing molar concentrations of MEHP, MEHHP, MEOHP, and MECPP.</w:t>
      </w:r>
      <w:bookmarkEnd w:id="19"/>
    </w:p>
    <w:p w:rsidR="00167CD4" w:rsidRDefault="005D57F1" w:rsidP="00074039">
      <w:pPr>
        <w:widowControl w:val="0"/>
        <w:spacing w:line="276" w:lineRule="auto"/>
        <w:rPr>
          <w:sz w:val="22"/>
          <w:szCs w:val="22"/>
          <w:lang w:val="en-US"/>
        </w:rPr>
      </w:pPr>
      <w:r>
        <w:rPr>
          <w:sz w:val="22"/>
          <w:szCs w:val="22"/>
          <w:lang w:val="en-US"/>
        </w:rPr>
        <w:t>Abbreviations: BIF = Bayesian inflation factor. BMI = body mass index. Q = quantile.</w:t>
      </w:r>
    </w:p>
    <w:p w:rsidR="00167CD4" w:rsidRDefault="005D57F1" w:rsidP="00074039">
      <w:pPr>
        <w:spacing w:line="276" w:lineRule="auto"/>
        <w:rPr>
          <w:sz w:val="22"/>
          <w:szCs w:val="22"/>
          <w:lang w:val="en-US"/>
        </w:rPr>
      </w:pPr>
      <w:r>
        <w:br w:type="page"/>
      </w:r>
    </w:p>
    <w:p w:rsidR="00167CD4" w:rsidRDefault="005D57F1">
      <w:pPr>
        <w:pStyle w:val="Heading1"/>
        <w:spacing w:before="240" w:after="240"/>
        <w:rPr>
          <w:sz w:val="22"/>
          <w:szCs w:val="22"/>
          <w:lang w:val="en-US"/>
        </w:rPr>
      </w:pPr>
      <w:bookmarkStart w:id="20" w:name="_Toc86240732"/>
      <w:r>
        <w:rPr>
          <w:sz w:val="22"/>
          <w:szCs w:val="22"/>
          <w:lang w:val="en-US"/>
        </w:rPr>
        <w:lastRenderedPageBreak/>
        <w:t>References</w:t>
      </w:r>
      <w:bookmarkEnd w:id="20"/>
    </w:p>
    <w:p w:rsidR="00390BA4" w:rsidRPr="00390BA4" w:rsidRDefault="00390BA4" w:rsidP="00390BA4">
      <w:pPr>
        <w:pStyle w:val="Bibliography"/>
      </w:pPr>
      <w:r>
        <w:fldChar w:fldCharType="begin"/>
      </w:r>
      <w:r>
        <w:instrText xml:space="preserve"> ADDIN ZOTERO_BIBL {"uncited":[],"omitted":[],"custom":[]} CSL_BIBLIOGRAPHY </w:instrText>
      </w:r>
      <w:r>
        <w:fldChar w:fldCharType="separate"/>
      </w:r>
      <w:proofErr w:type="spellStart"/>
      <w:r w:rsidRPr="00390BA4">
        <w:t>Adibi</w:t>
      </w:r>
      <w:proofErr w:type="spellEnd"/>
      <w:r w:rsidRPr="00390BA4">
        <w:t xml:space="preserve"> JJ, </w:t>
      </w:r>
      <w:proofErr w:type="spellStart"/>
      <w:r w:rsidRPr="00390BA4">
        <w:t>Whyatt</w:t>
      </w:r>
      <w:proofErr w:type="spellEnd"/>
      <w:r w:rsidRPr="00390BA4">
        <w:t xml:space="preserve"> RM, Williams PL, Calafat AM, </w:t>
      </w:r>
      <w:proofErr w:type="spellStart"/>
      <w:r w:rsidRPr="00390BA4">
        <w:t>Camann</w:t>
      </w:r>
      <w:proofErr w:type="spellEnd"/>
      <w:r w:rsidRPr="00390BA4">
        <w:t xml:space="preserve"> D, Herrick R, et al. 2008. Characterization of phthalate exposure among pregnant women assessed by repeat air and urine samples. Environ Health </w:t>
      </w:r>
      <w:proofErr w:type="spellStart"/>
      <w:r w:rsidRPr="00390BA4">
        <w:t>Perspect</w:t>
      </w:r>
      <w:proofErr w:type="spellEnd"/>
      <w:r w:rsidRPr="00390BA4">
        <w:t xml:space="preserve"> 116:467–473</w:t>
      </w:r>
      <w:proofErr w:type="gramStart"/>
      <w:r w:rsidRPr="00390BA4">
        <w:t>;</w:t>
      </w:r>
      <w:proofErr w:type="gramEnd"/>
      <w:r w:rsidRPr="00390BA4">
        <w:t xml:space="preserve"> doi:10.1289/ehp.10749. PMID: 18414628.</w:t>
      </w:r>
    </w:p>
    <w:p w:rsidR="00390BA4" w:rsidRPr="00390BA4" w:rsidRDefault="00390BA4" w:rsidP="00390BA4">
      <w:pPr>
        <w:pStyle w:val="Bibliography"/>
      </w:pPr>
      <w:proofErr w:type="spellStart"/>
      <w:r w:rsidRPr="00390BA4">
        <w:t>Bastiaensen</w:t>
      </w:r>
      <w:proofErr w:type="spellEnd"/>
      <w:r w:rsidRPr="00390BA4">
        <w:t xml:space="preserve"> M, </w:t>
      </w:r>
      <w:proofErr w:type="spellStart"/>
      <w:r w:rsidRPr="00390BA4">
        <w:t>Malarvannan</w:t>
      </w:r>
      <w:proofErr w:type="spellEnd"/>
      <w:r w:rsidRPr="00390BA4">
        <w:t xml:space="preserve"> G, </w:t>
      </w:r>
      <w:proofErr w:type="spellStart"/>
      <w:r w:rsidRPr="00390BA4">
        <w:t>Gys</w:t>
      </w:r>
      <w:proofErr w:type="spellEnd"/>
      <w:r w:rsidRPr="00390BA4">
        <w:t xml:space="preserve"> C, Ait </w:t>
      </w:r>
      <w:proofErr w:type="spellStart"/>
      <w:r w:rsidRPr="00390BA4">
        <w:t>Bamai</w:t>
      </w:r>
      <w:proofErr w:type="spellEnd"/>
      <w:r w:rsidRPr="00390BA4">
        <w:t xml:space="preserve"> Y, Araki A, </w:t>
      </w:r>
      <w:proofErr w:type="spellStart"/>
      <w:r w:rsidRPr="00390BA4">
        <w:t>Covaci</w:t>
      </w:r>
      <w:proofErr w:type="spellEnd"/>
      <w:r w:rsidRPr="00390BA4">
        <w:t xml:space="preserve"> A. 2020. Between- and within-individual variability of urinary phthalate and alternative plasticizer metabolites in spot, morning void and 24-h pooled urine samples. Environ Res 191:110248</w:t>
      </w:r>
      <w:proofErr w:type="gramStart"/>
      <w:r w:rsidRPr="00390BA4">
        <w:t>;</w:t>
      </w:r>
      <w:proofErr w:type="gramEnd"/>
      <w:r w:rsidRPr="00390BA4">
        <w:t xml:space="preserve"> doi:10.1016/j.envres.2020.110248. PMID: 32980307.</w:t>
      </w:r>
    </w:p>
    <w:p w:rsidR="00390BA4" w:rsidRPr="00390BA4" w:rsidRDefault="00390BA4" w:rsidP="00390BA4">
      <w:pPr>
        <w:pStyle w:val="Bibliography"/>
      </w:pPr>
      <w:r w:rsidRPr="00390BA4">
        <w:t xml:space="preserve">Braun JM, Smith KW, Williams PL, Calafat AM, Berry K, Ehrlich S, et al. 2012. Variability of urinary phthalate metabolite and bisphenol A concentrations before and during pregnancy. Environ Health </w:t>
      </w:r>
      <w:proofErr w:type="spellStart"/>
      <w:r w:rsidRPr="00390BA4">
        <w:t>Perspect</w:t>
      </w:r>
      <w:proofErr w:type="spellEnd"/>
      <w:r w:rsidRPr="00390BA4">
        <w:t xml:space="preserve"> 120:739–745</w:t>
      </w:r>
      <w:proofErr w:type="gramStart"/>
      <w:r w:rsidRPr="00390BA4">
        <w:t>;</w:t>
      </w:r>
      <w:proofErr w:type="gramEnd"/>
      <w:r w:rsidRPr="00390BA4">
        <w:t xml:space="preserve"> doi:10.1289/ehp.1104139. PMID: 22262702.</w:t>
      </w:r>
    </w:p>
    <w:p w:rsidR="00390BA4" w:rsidRPr="00390BA4" w:rsidRDefault="00390BA4" w:rsidP="00390BA4">
      <w:pPr>
        <w:pStyle w:val="Bibliography"/>
      </w:pPr>
      <w:proofErr w:type="spellStart"/>
      <w:r w:rsidRPr="00390BA4">
        <w:t>Cantonwine</w:t>
      </w:r>
      <w:proofErr w:type="spellEnd"/>
      <w:r w:rsidRPr="00390BA4">
        <w:t xml:space="preserve"> DE, Cordero JF, Rivera-González LO, </w:t>
      </w:r>
      <w:proofErr w:type="spellStart"/>
      <w:r w:rsidRPr="00390BA4">
        <w:t>Anzalota</w:t>
      </w:r>
      <w:proofErr w:type="spellEnd"/>
      <w:r w:rsidRPr="00390BA4">
        <w:t xml:space="preserve"> Del Toro LV, Ferguson KK, Mukherjee B, et al. 2014. Urinary phthalate metabolite concentrations among pregnant women in Northern Puerto Rico: Distribution, temporal variability, and predictors. Environ </w:t>
      </w:r>
      <w:proofErr w:type="spellStart"/>
      <w:r w:rsidRPr="00390BA4">
        <w:t>Int</w:t>
      </w:r>
      <w:proofErr w:type="spellEnd"/>
      <w:r w:rsidRPr="00390BA4">
        <w:t xml:space="preserve"> 62:1–11</w:t>
      </w:r>
      <w:proofErr w:type="gramStart"/>
      <w:r w:rsidRPr="00390BA4">
        <w:t>;</w:t>
      </w:r>
      <w:proofErr w:type="gramEnd"/>
      <w:r w:rsidRPr="00390BA4">
        <w:t xml:space="preserve"> doi:10.1016/j.envint.2013.09.014. PMID: 24161445.</w:t>
      </w:r>
    </w:p>
    <w:p w:rsidR="00390BA4" w:rsidRPr="00390BA4" w:rsidRDefault="00390BA4" w:rsidP="00390BA4">
      <w:pPr>
        <w:pStyle w:val="Bibliography"/>
      </w:pPr>
      <w:r w:rsidRPr="00390BA4">
        <w:t xml:space="preserve">Ferguson KK, </w:t>
      </w:r>
      <w:proofErr w:type="spellStart"/>
      <w:r w:rsidRPr="00390BA4">
        <w:t>McElrath</w:t>
      </w:r>
      <w:proofErr w:type="spellEnd"/>
      <w:r w:rsidRPr="00390BA4">
        <w:t xml:space="preserve"> TF, </w:t>
      </w:r>
      <w:proofErr w:type="spellStart"/>
      <w:proofErr w:type="gramStart"/>
      <w:r w:rsidRPr="00390BA4">
        <w:t>Ko</w:t>
      </w:r>
      <w:proofErr w:type="spellEnd"/>
      <w:proofErr w:type="gramEnd"/>
      <w:r w:rsidRPr="00390BA4">
        <w:t xml:space="preserve"> Y-A, Mukherjee B, Meeker JD. 2014. Variability in urinary phthalate metabolite levels across pregnancy and sensitive windows of exposure for the risk of preterm birth. Environ </w:t>
      </w:r>
      <w:proofErr w:type="spellStart"/>
      <w:r w:rsidRPr="00390BA4">
        <w:t>Int</w:t>
      </w:r>
      <w:proofErr w:type="spellEnd"/>
      <w:r w:rsidRPr="00390BA4">
        <w:t xml:space="preserve"> 70:118–124</w:t>
      </w:r>
      <w:proofErr w:type="gramStart"/>
      <w:r w:rsidRPr="00390BA4">
        <w:t>;</w:t>
      </w:r>
      <w:proofErr w:type="gramEnd"/>
      <w:r w:rsidRPr="00390BA4">
        <w:t xml:space="preserve"> doi:10.1016/j.envint.2014.05.016. PMID: 24934852.</w:t>
      </w:r>
    </w:p>
    <w:p w:rsidR="00390BA4" w:rsidRPr="00390BA4" w:rsidRDefault="00390BA4" w:rsidP="00390BA4">
      <w:pPr>
        <w:pStyle w:val="Bibliography"/>
      </w:pPr>
      <w:r w:rsidRPr="00390BA4">
        <w:t xml:space="preserve">Philippat C, </w:t>
      </w:r>
      <w:proofErr w:type="spellStart"/>
      <w:r w:rsidRPr="00390BA4">
        <w:t>Botton</w:t>
      </w:r>
      <w:proofErr w:type="spellEnd"/>
      <w:r w:rsidRPr="00390BA4">
        <w:t xml:space="preserve"> J, Calafat AM, Ye X, Charles M-A, </w:t>
      </w:r>
      <w:proofErr w:type="spellStart"/>
      <w:r w:rsidRPr="00390BA4">
        <w:t>Slama</w:t>
      </w:r>
      <w:proofErr w:type="spellEnd"/>
      <w:r w:rsidRPr="00390BA4">
        <w:t xml:space="preserve"> R. 2014. Prenatal exposure to phenols and growth in boys. Epidemiology 25:625–635; doi:10.1097/EDE.0000000000000132. PMID: 25061923.</w:t>
      </w:r>
    </w:p>
    <w:p w:rsidR="00390BA4" w:rsidRPr="00390BA4" w:rsidRDefault="00390BA4" w:rsidP="00390BA4">
      <w:pPr>
        <w:pStyle w:val="Bibliography"/>
      </w:pPr>
      <w:proofErr w:type="spellStart"/>
      <w:r w:rsidRPr="00390BA4">
        <w:t>Rosner</w:t>
      </w:r>
      <w:proofErr w:type="spellEnd"/>
      <w:r w:rsidRPr="00390BA4">
        <w:t xml:space="preserve"> B. 2011. </w:t>
      </w:r>
      <w:r w:rsidRPr="00390BA4">
        <w:rPr>
          <w:i/>
          <w:iCs/>
        </w:rPr>
        <w:t>Fundamentals of Biostatistics</w:t>
      </w:r>
      <w:r w:rsidRPr="00390BA4">
        <w:t xml:space="preserve">. Brooks/Cole, Cengage </w:t>
      </w:r>
      <w:proofErr w:type="spellStart"/>
      <w:r w:rsidRPr="00390BA4">
        <w:t>Learning</w:t>
      </w:r>
      <w:proofErr w:type="gramStart"/>
      <w:r w:rsidRPr="00390BA4">
        <w:t>:Boston</w:t>
      </w:r>
      <w:proofErr w:type="spellEnd"/>
      <w:proofErr w:type="gramEnd"/>
      <w:r w:rsidRPr="00390BA4">
        <w:t>.</w:t>
      </w:r>
    </w:p>
    <w:p w:rsidR="00390BA4" w:rsidRPr="00390BA4" w:rsidRDefault="00390BA4" w:rsidP="00390BA4">
      <w:pPr>
        <w:pStyle w:val="Bibliography"/>
      </w:pPr>
      <w:r w:rsidRPr="00390BA4">
        <w:t xml:space="preserve">Shin H-M, Bennett DH, </w:t>
      </w:r>
      <w:proofErr w:type="spellStart"/>
      <w:r w:rsidRPr="00390BA4">
        <w:t>Barkoski</w:t>
      </w:r>
      <w:proofErr w:type="spellEnd"/>
      <w:r w:rsidRPr="00390BA4">
        <w:t xml:space="preserve"> J, Ye X, Calafat AM, </w:t>
      </w:r>
      <w:proofErr w:type="spellStart"/>
      <w:r w:rsidRPr="00390BA4">
        <w:t>Tancredi</w:t>
      </w:r>
      <w:proofErr w:type="spellEnd"/>
      <w:r w:rsidRPr="00390BA4">
        <w:t xml:space="preserve"> D, et al. 2019. Variability of urinary concentrations of phthalate metabolites during pregnancy in first morning voids and pooled samples. Environ </w:t>
      </w:r>
      <w:proofErr w:type="spellStart"/>
      <w:r w:rsidRPr="00390BA4">
        <w:t>Int</w:t>
      </w:r>
      <w:proofErr w:type="spellEnd"/>
      <w:r w:rsidRPr="00390BA4">
        <w:t xml:space="preserve"> 122:222–230</w:t>
      </w:r>
      <w:proofErr w:type="gramStart"/>
      <w:r w:rsidRPr="00390BA4">
        <w:t>;</w:t>
      </w:r>
      <w:proofErr w:type="gramEnd"/>
      <w:r w:rsidRPr="00390BA4">
        <w:t xml:space="preserve"> doi:10.1016/j.envint.2018.11.012. PMID: 30477814.</w:t>
      </w:r>
    </w:p>
    <w:p w:rsidR="00390BA4" w:rsidRPr="00390BA4" w:rsidRDefault="00390BA4" w:rsidP="00390BA4">
      <w:pPr>
        <w:pStyle w:val="Bibliography"/>
      </w:pPr>
      <w:proofErr w:type="spellStart"/>
      <w:r w:rsidRPr="00390BA4">
        <w:t>Stelzer</w:t>
      </w:r>
      <w:proofErr w:type="spellEnd"/>
      <w:r w:rsidRPr="00390BA4">
        <w:t xml:space="preserve"> G, Rosen N, </w:t>
      </w:r>
      <w:proofErr w:type="spellStart"/>
      <w:r w:rsidRPr="00390BA4">
        <w:t>Plaschkes</w:t>
      </w:r>
      <w:proofErr w:type="spellEnd"/>
      <w:r w:rsidRPr="00390BA4">
        <w:t xml:space="preserve"> I, Zimmerman S, </w:t>
      </w:r>
      <w:proofErr w:type="spellStart"/>
      <w:r w:rsidRPr="00390BA4">
        <w:t>Twik</w:t>
      </w:r>
      <w:proofErr w:type="spellEnd"/>
      <w:r w:rsidRPr="00390BA4">
        <w:t xml:space="preserve"> M, </w:t>
      </w:r>
      <w:proofErr w:type="spellStart"/>
      <w:r w:rsidRPr="00390BA4">
        <w:t>Fishilevich</w:t>
      </w:r>
      <w:proofErr w:type="spellEnd"/>
      <w:r w:rsidRPr="00390BA4">
        <w:t xml:space="preserve"> S, et al. 2016. The </w:t>
      </w:r>
      <w:proofErr w:type="spellStart"/>
      <w:r w:rsidRPr="00390BA4">
        <w:t>GeneCards</w:t>
      </w:r>
      <w:proofErr w:type="spellEnd"/>
      <w:r w:rsidRPr="00390BA4">
        <w:t xml:space="preserve"> Suite: from gene data mining to disease genome sequence analyses. </w:t>
      </w:r>
      <w:proofErr w:type="spellStart"/>
      <w:r w:rsidRPr="00390BA4">
        <w:t>Curr</w:t>
      </w:r>
      <w:proofErr w:type="spellEnd"/>
      <w:r w:rsidRPr="00390BA4">
        <w:t xml:space="preserve"> </w:t>
      </w:r>
      <w:proofErr w:type="spellStart"/>
      <w:r w:rsidRPr="00390BA4">
        <w:t>Protoc</w:t>
      </w:r>
      <w:proofErr w:type="spellEnd"/>
      <w:r w:rsidRPr="00390BA4">
        <w:t xml:space="preserve"> Bioinformatics 54:1.30.1-1.30.33; doi:10.1002/cpbi.5. PMID: 27322403.</w:t>
      </w:r>
    </w:p>
    <w:p w:rsidR="00167CD4" w:rsidRDefault="00390BA4">
      <w:pPr>
        <w:pStyle w:val="Bibliography"/>
      </w:pPr>
      <w:r>
        <w:fldChar w:fldCharType="end"/>
      </w:r>
      <w:bookmarkStart w:id="21" w:name="_GoBack"/>
      <w:bookmarkEnd w:id="21"/>
    </w:p>
    <w:sectPr w:rsidR="00167CD4">
      <w:footerReference w:type="default" r:id="rId12"/>
      <w:pgSz w:w="11906" w:h="16838"/>
      <w:pgMar w:top="1455" w:right="1440" w:bottom="1440" w:left="1440" w:header="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BE5" w:rsidRDefault="003B4BE5">
      <w:r>
        <w:separator/>
      </w:r>
    </w:p>
  </w:endnote>
  <w:endnote w:type="continuationSeparator" w:id="0">
    <w:p w:rsidR="003B4BE5" w:rsidRDefault="003B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D4" w:rsidRDefault="005D57F1">
    <w:pPr>
      <w:widowControl w:val="0"/>
      <w:jc w:val="center"/>
      <w:rPr>
        <w:color w:val="000000"/>
        <w:sz w:val="22"/>
        <w:szCs w:val="22"/>
      </w:rPr>
    </w:pPr>
    <w:r>
      <w:fldChar w:fldCharType="begin"/>
    </w:r>
    <w:r>
      <w:instrText>PAGE</w:instrText>
    </w:r>
    <w:r>
      <w:fldChar w:fldCharType="separate"/>
    </w:r>
    <w:r w:rsidR="00A4328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D4" w:rsidRDefault="005D57F1">
    <w:pPr>
      <w:widowControl w:val="0"/>
      <w:jc w:val="center"/>
    </w:pPr>
    <w:r>
      <w:fldChar w:fldCharType="begin"/>
    </w:r>
    <w:r>
      <w:instrText>PAGE</w:instrText>
    </w:r>
    <w:r>
      <w:fldChar w:fldCharType="separate"/>
    </w:r>
    <w:r w:rsidR="00A4328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D4" w:rsidRDefault="005D57F1">
    <w:pPr>
      <w:widowControl w:val="0"/>
      <w:jc w:val="center"/>
    </w:pPr>
    <w:r>
      <w:fldChar w:fldCharType="begin"/>
    </w:r>
    <w:r>
      <w:instrText>PAGE</w:instrText>
    </w:r>
    <w:r>
      <w:fldChar w:fldCharType="separate"/>
    </w:r>
    <w:r w:rsidR="00A4328A">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BE5" w:rsidRDefault="003B4BE5">
      <w:r>
        <w:separator/>
      </w:r>
    </w:p>
  </w:footnote>
  <w:footnote w:type="continuationSeparator" w:id="0">
    <w:p w:rsidR="003B4BE5" w:rsidRDefault="003B4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D4"/>
    <w:rsid w:val="00074039"/>
    <w:rsid w:val="00167CD4"/>
    <w:rsid w:val="00390BA4"/>
    <w:rsid w:val="003B4BE5"/>
    <w:rsid w:val="004E497F"/>
    <w:rsid w:val="005D57F1"/>
    <w:rsid w:val="0065526D"/>
    <w:rsid w:val="008B01D0"/>
    <w:rsid w:val="00A22F60"/>
    <w:rsid w:val="00A4328A"/>
    <w:rsid w:val="00AE2853"/>
    <w:rsid w:val="00C80868"/>
    <w:rsid w:val="00FE42C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FBF4B-E2D9-4F84-817B-B4FDEE7A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BC"/>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4"/>
      <w:szCs w:val="24"/>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10C6F"/>
  </w:style>
  <w:style w:type="character" w:customStyle="1" w:styleId="FooterChar">
    <w:name w:val="Footer Char"/>
    <w:basedOn w:val="DefaultParagraphFont"/>
    <w:link w:val="Footer"/>
    <w:uiPriority w:val="99"/>
    <w:qFormat/>
    <w:rsid w:val="00B10C6F"/>
  </w:style>
  <w:style w:type="character" w:styleId="LineNumber">
    <w:name w:val="line number"/>
    <w:basedOn w:val="DefaultParagraphFont"/>
    <w:uiPriority w:val="99"/>
    <w:semiHidden/>
    <w:unhideWhenUsed/>
    <w:qFormat/>
    <w:rsid w:val="00017594"/>
  </w:style>
  <w:style w:type="character" w:customStyle="1" w:styleId="Heading2Char">
    <w:name w:val="Heading 2 Char"/>
    <w:basedOn w:val="DefaultParagraphFont"/>
    <w:link w:val="Heading2"/>
    <w:qFormat/>
    <w:rsid w:val="00FF25BE"/>
    <w:rPr>
      <w:b/>
      <w:sz w:val="36"/>
      <w:szCs w:val="36"/>
    </w:rPr>
  </w:style>
  <w:style w:type="character" w:customStyle="1" w:styleId="InternetLink">
    <w:name w:val="Internet Link"/>
    <w:basedOn w:val="DefaultParagraphFont"/>
    <w:uiPriority w:val="99"/>
    <w:unhideWhenUsed/>
    <w:rsid w:val="00F53D28"/>
    <w:rPr>
      <w:color w:val="0000FF" w:themeColor="hyperlink"/>
      <w:u w:val="single"/>
    </w:rPr>
  </w:style>
  <w:style w:type="character" w:customStyle="1" w:styleId="BalloonTextChar">
    <w:name w:val="Balloon Text Char"/>
    <w:basedOn w:val="DefaultParagraphFont"/>
    <w:link w:val="BalloonText"/>
    <w:uiPriority w:val="99"/>
    <w:semiHidden/>
    <w:qFormat/>
    <w:rsid w:val="009C5B7C"/>
    <w:rPr>
      <w:rFonts w:ascii="Segoe UI" w:hAnsi="Segoe UI" w:cs="Segoe UI"/>
      <w:sz w:val="18"/>
      <w:szCs w:val="18"/>
    </w:rPr>
  </w:style>
  <w:style w:type="character" w:customStyle="1" w:styleId="IndexLink">
    <w:name w:val="Index Link"/>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qFormat/>
    <w:pPr>
      <w:keepNext/>
      <w:keepLines/>
      <w:spacing w:before="480" w:after="120"/>
    </w:pPr>
    <w:rPr>
      <w:b/>
      <w:color w:val="000000"/>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0C6F"/>
    <w:pPr>
      <w:suppressLineNumbers/>
      <w:tabs>
        <w:tab w:val="center" w:pos="4680"/>
        <w:tab w:val="right" w:pos="9360"/>
      </w:tabs>
    </w:pPr>
  </w:style>
  <w:style w:type="paragraph" w:styleId="Footer">
    <w:name w:val="footer"/>
    <w:basedOn w:val="Normal"/>
    <w:link w:val="FooterChar"/>
    <w:uiPriority w:val="99"/>
    <w:unhideWhenUsed/>
    <w:rsid w:val="00B10C6F"/>
    <w:pPr>
      <w:suppressLineNumbers/>
      <w:tabs>
        <w:tab w:val="center" w:pos="4680"/>
        <w:tab w:val="right" w:pos="9360"/>
      </w:tabs>
    </w:pPr>
  </w:style>
  <w:style w:type="paragraph" w:styleId="Bibliography">
    <w:name w:val="Bibliography"/>
    <w:basedOn w:val="Normal"/>
    <w:next w:val="Normal"/>
    <w:uiPriority w:val="37"/>
    <w:unhideWhenUsed/>
    <w:qFormat/>
    <w:rsid w:val="006740E8"/>
    <w:pPr>
      <w:spacing w:after="240"/>
      <w:ind w:left="720" w:hanging="720"/>
    </w:pPr>
  </w:style>
  <w:style w:type="paragraph" w:styleId="TOC1">
    <w:name w:val="toc 1"/>
    <w:basedOn w:val="Normal"/>
    <w:next w:val="Normal"/>
    <w:autoRedefine/>
    <w:uiPriority w:val="39"/>
    <w:unhideWhenUsed/>
    <w:rsid w:val="00C00478"/>
    <w:pPr>
      <w:tabs>
        <w:tab w:val="right" w:leader="dot" w:pos="9016"/>
      </w:tabs>
      <w:spacing w:after="100"/>
    </w:pPr>
    <w:rPr>
      <w:b/>
      <w:sz w:val="22"/>
      <w:szCs w:val="22"/>
    </w:rPr>
  </w:style>
  <w:style w:type="paragraph" w:styleId="TOC2">
    <w:name w:val="toc 2"/>
    <w:basedOn w:val="Normal"/>
    <w:next w:val="Normal"/>
    <w:autoRedefine/>
    <w:uiPriority w:val="39"/>
    <w:unhideWhenUsed/>
    <w:rsid w:val="00F53D28"/>
    <w:pPr>
      <w:spacing w:after="100"/>
      <w:ind w:left="200"/>
    </w:pPr>
  </w:style>
  <w:style w:type="paragraph" w:styleId="NoSpacing">
    <w:name w:val="No Spacing"/>
    <w:uiPriority w:val="1"/>
    <w:qFormat/>
    <w:rsid w:val="000F5AAB"/>
  </w:style>
  <w:style w:type="paragraph" w:styleId="BalloonText">
    <w:name w:val="Balloon Text"/>
    <w:basedOn w:val="Normal"/>
    <w:link w:val="BalloonTextChar"/>
    <w:uiPriority w:val="99"/>
    <w:semiHidden/>
    <w:unhideWhenUsed/>
    <w:qFormat/>
    <w:rsid w:val="009C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Jedynak</dc:creator>
  <dc:description/>
  <cp:lastModifiedBy>Paulina Jedynak</cp:lastModifiedBy>
  <cp:revision>2</cp:revision>
  <cp:lastPrinted>2022-01-03T10:10:00Z</cp:lastPrinted>
  <dcterms:created xsi:type="dcterms:W3CDTF">2022-01-04T10:10:00Z</dcterms:created>
  <dcterms:modified xsi:type="dcterms:W3CDTF">2022-01-04T10:10:00Z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zotero-version="5.0.96.3"&gt;&lt;session id="8Wi0qfrU"/&gt;&lt;style id="blank" hasBibliography="1" bibliographyStyleHasBeenSet="1"/&gt;&lt;prefs&gt;&lt;pref name="fieldType" value="Field"/&gt;&lt;/prefs&gt;&lt;/data&gt;</vt:lpwstr>
  </property>
</Properties>
</file>