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FF97B" w14:textId="6B9B8A34" w:rsidR="00D03F7C" w:rsidRPr="00E80541" w:rsidRDefault="00D03F7C" w:rsidP="00DE3138">
      <w:pPr>
        <w:spacing w:after="0" w:line="480" w:lineRule="auto"/>
        <w:rPr>
          <w:rFonts w:ascii="Times New Roman" w:hAnsi="Times New Roman"/>
          <w:b/>
          <w:sz w:val="24"/>
          <w:szCs w:val="24"/>
        </w:rPr>
      </w:pPr>
      <w:r w:rsidRPr="00E80541">
        <w:rPr>
          <w:rFonts w:ascii="Times New Roman" w:hAnsi="Times New Roman"/>
          <w:b/>
          <w:sz w:val="24"/>
          <w:szCs w:val="24"/>
        </w:rPr>
        <w:t>Appendix to “</w:t>
      </w:r>
      <w:r w:rsidR="00AA7222" w:rsidRPr="00E80541">
        <w:rPr>
          <w:rFonts w:ascii="Times New Roman" w:hAnsi="Times New Roman"/>
          <w:b/>
          <w:sz w:val="24"/>
          <w:szCs w:val="24"/>
        </w:rPr>
        <w:t>State-level Estimates of Childhood Obesity Prevalence in the United States Corrected for Report Bias</w:t>
      </w:r>
      <w:r w:rsidRPr="00E80541">
        <w:rPr>
          <w:rFonts w:ascii="Times New Roman" w:hAnsi="Times New Roman"/>
          <w:b/>
          <w:sz w:val="24"/>
          <w:szCs w:val="24"/>
        </w:rPr>
        <w:t xml:space="preserve">” by Long et al. </w:t>
      </w:r>
    </w:p>
    <w:p w14:paraId="42FBA998" w14:textId="77777777" w:rsidR="00977F60" w:rsidRPr="00E80541" w:rsidRDefault="00977F60" w:rsidP="00DE3138">
      <w:pPr>
        <w:spacing w:after="0" w:line="480" w:lineRule="auto"/>
        <w:rPr>
          <w:rFonts w:ascii="Times New Roman" w:hAnsi="Times New Roman"/>
          <w:i/>
          <w:sz w:val="24"/>
          <w:szCs w:val="24"/>
        </w:rPr>
      </w:pPr>
    </w:p>
    <w:p w14:paraId="47773366" w14:textId="11F319A8" w:rsidR="00977F60" w:rsidRPr="00E80541" w:rsidRDefault="00842153" w:rsidP="00DE3138">
      <w:pPr>
        <w:spacing w:after="0" w:line="480" w:lineRule="auto"/>
        <w:rPr>
          <w:rFonts w:ascii="Times New Roman" w:hAnsi="Times New Roman"/>
          <w:b/>
          <w:sz w:val="24"/>
          <w:szCs w:val="24"/>
        </w:rPr>
      </w:pPr>
      <w:r w:rsidRPr="00E80541">
        <w:rPr>
          <w:rFonts w:ascii="Times New Roman" w:hAnsi="Times New Roman"/>
          <w:b/>
          <w:sz w:val="24"/>
          <w:szCs w:val="24"/>
        </w:rPr>
        <w:t>Childhood Obesity Intervention Cost Effectiveness Study (</w:t>
      </w:r>
      <w:r w:rsidR="00977F60" w:rsidRPr="00E80541">
        <w:rPr>
          <w:rFonts w:ascii="Times New Roman" w:hAnsi="Times New Roman"/>
          <w:b/>
          <w:sz w:val="24"/>
          <w:szCs w:val="24"/>
        </w:rPr>
        <w:t>CHOICES</w:t>
      </w:r>
      <w:r w:rsidRPr="00E80541">
        <w:rPr>
          <w:rFonts w:ascii="Times New Roman" w:hAnsi="Times New Roman"/>
          <w:b/>
          <w:sz w:val="24"/>
          <w:szCs w:val="24"/>
        </w:rPr>
        <w:t>)</w:t>
      </w:r>
      <w:r w:rsidR="00977F60" w:rsidRPr="00E80541">
        <w:rPr>
          <w:rFonts w:ascii="Times New Roman" w:hAnsi="Times New Roman"/>
          <w:b/>
          <w:sz w:val="24"/>
          <w:szCs w:val="24"/>
        </w:rPr>
        <w:t xml:space="preserve"> </w:t>
      </w:r>
      <w:r w:rsidR="00977F60" w:rsidRPr="00E80541">
        <w:rPr>
          <w:rFonts w:ascii="Times New Roman" w:hAnsi="Times New Roman"/>
          <w:b/>
          <w:sz w:val="24"/>
          <w:szCs w:val="24"/>
        </w:rPr>
        <w:t>Matching Process</w:t>
      </w:r>
    </w:p>
    <w:p w14:paraId="0F5D175F" w14:textId="24780CED" w:rsidR="00EB5AF8" w:rsidRPr="00E80541" w:rsidRDefault="00977F60" w:rsidP="00DE3138">
      <w:pPr>
        <w:spacing w:after="0" w:line="480" w:lineRule="auto"/>
        <w:rPr>
          <w:rFonts w:ascii="Times New Roman" w:hAnsi="Times New Roman"/>
          <w:sz w:val="24"/>
          <w:szCs w:val="24"/>
        </w:rPr>
      </w:pPr>
      <w:r w:rsidRPr="00E80541">
        <w:rPr>
          <w:rFonts w:ascii="Times New Roman" w:hAnsi="Times New Roman"/>
          <w:sz w:val="24"/>
          <w:szCs w:val="24"/>
        </w:rPr>
        <w:t>Statistical matching techniques allow researchers to combine data from distinct datasets that are sampled from the same underlying population, but do not contain any individual identifiers in common.</w:t>
      </w:r>
      <w:hyperlink w:anchor="_ENREF_1" w:tooltip="D'Orazio, 2006 #7" w:history="1">
        <w:r w:rsidR="001A6DDE" w:rsidRPr="00E80541">
          <w:rPr>
            <w:rFonts w:ascii="Times New Roman" w:hAnsi="Times New Roman"/>
            <w:sz w:val="24"/>
            <w:szCs w:val="24"/>
          </w:rPr>
          <w:fldChar w:fldCharType="begin"/>
        </w:r>
        <w:r w:rsidR="001A6DDE" w:rsidRPr="00E80541">
          <w:rPr>
            <w:rFonts w:ascii="Times New Roman" w:hAnsi="Times New Roman"/>
            <w:sz w:val="24"/>
            <w:szCs w:val="24"/>
          </w:rPr>
          <w:instrText xml:space="preserve"> ADDIN EN.CITE &lt;EndNote&gt;&lt;Cite&gt;&lt;Author&gt;D&amp;apos;Orazio&lt;/Author&gt;&lt;Year&gt;2006&lt;/Year&gt;&lt;RecNum&gt;7&lt;/RecNum&gt;&lt;DisplayText&gt;&lt;style face="superscript"&gt;1&lt;/style&gt;&lt;/DisplayText&gt;&lt;record&gt;&lt;rec-number&gt;7&lt;/rec-number&gt;&lt;foreign-keys&gt;&lt;key app="EN" db-id="e0a9sdftlpeazee5d51xxzzexr9vpd00deds" timestamp="1443205253"&gt;7&lt;/key&gt;&lt;/foreign-keys&gt;&lt;ref-type name="Book"&gt;6&lt;/ref-type&gt;&lt;contributors&gt;&lt;authors&gt;&lt;author&gt;D&amp;apos;Orazio, Marcello&lt;/author&gt;&lt;author&gt;Di Zio, Marco&lt;/author&gt;&lt;author&gt;Scanu, Mauro&lt;/author&gt;&lt;/authors&gt;&lt;/contributors&gt;&lt;titles&gt;&lt;title&gt;Statistical matching : theory and practice&lt;/title&gt;&lt;secondary-title&gt;Wiley series in survey methodology&lt;/secondary-title&gt;&lt;/titles&gt;&lt;pages&gt;x, 256 p.&lt;/pages&gt;&lt;keywords&gt;&lt;keyword&gt;Statistical matching.&lt;/keyword&gt;&lt;/keywords&gt;&lt;dates&gt;&lt;year&gt;2006&lt;/year&gt;&lt;/dates&gt;&lt;pub-location&gt;Chichester, England ; Hoboken, NJ&lt;/pub-location&gt;&lt;publisher&gt;Wiley&lt;/publisher&gt;&lt;isbn&gt;0470023538 (hbk. acid-free paper)&amp;#xD;9780470023532 (hbk. acid-free paper)&lt;/isbn&gt;&lt;accession-num&gt;14242627&lt;/accession-num&gt;&lt;call-num&gt;Jefferson or Adams Building Reading Rooms - STORED OFFSITE QA276.6 .D67 2006&lt;/call-num&gt;&lt;urls&gt;&lt;related-urls&gt;&lt;url&gt;Publisher description http://www.loc.gov/catdir/enhancements/fy0658/2006040184-d.html&lt;/url&gt;&lt;url&gt;Table of contents only http://www.loc.gov/catdir/enhancements/fy0658/2006040184-t.html&lt;/url&gt;&lt;/related-urls&gt;&lt;/urls&gt;&lt;/record&gt;&lt;/Cite&gt;&lt;/EndNote&gt;</w:instrText>
        </w:r>
        <w:r w:rsidR="001A6DDE" w:rsidRPr="00E80541">
          <w:rPr>
            <w:rFonts w:ascii="Times New Roman" w:hAnsi="Times New Roman"/>
            <w:sz w:val="24"/>
            <w:szCs w:val="24"/>
          </w:rPr>
          <w:fldChar w:fldCharType="separate"/>
        </w:r>
        <w:r w:rsidR="001A6DDE" w:rsidRPr="00E80541">
          <w:rPr>
            <w:rFonts w:ascii="Times New Roman" w:hAnsi="Times New Roman"/>
            <w:noProof/>
            <w:sz w:val="24"/>
            <w:szCs w:val="24"/>
            <w:vertAlign w:val="superscript"/>
          </w:rPr>
          <w:t>1</w:t>
        </w:r>
        <w:r w:rsidR="001A6DDE" w:rsidRPr="00E80541">
          <w:rPr>
            <w:rFonts w:ascii="Times New Roman" w:hAnsi="Times New Roman"/>
            <w:sz w:val="24"/>
            <w:szCs w:val="24"/>
          </w:rPr>
          <w:fldChar w:fldCharType="end"/>
        </w:r>
      </w:hyperlink>
      <w:r w:rsidRPr="00E80541">
        <w:rPr>
          <w:rFonts w:ascii="Times New Roman" w:hAnsi="Times New Roman"/>
          <w:sz w:val="24"/>
          <w:szCs w:val="24"/>
        </w:rPr>
        <w:t xml:space="preserve"> For this project, we </w:t>
      </w:r>
      <w:r w:rsidR="00BC0E7A" w:rsidRPr="00E80541">
        <w:rPr>
          <w:rFonts w:ascii="Times New Roman" w:hAnsi="Times New Roman"/>
          <w:sz w:val="24"/>
          <w:szCs w:val="24"/>
        </w:rPr>
        <w:t xml:space="preserve">used statistical matching techniques to </w:t>
      </w:r>
      <w:r w:rsidRPr="00E80541">
        <w:rPr>
          <w:rFonts w:ascii="Times New Roman" w:hAnsi="Times New Roman"/>
          <w:sz w:val="24"/>
          <w:szCs w:val="24"/>
        </w:rPr>
        <w:t>co</w:t>
      </w:r>
      <w:r w:rsidR="00BC0E7A" w:rsidRPr="00E80541">
        <w:rPr>
          <w:rFonts w:ascii="Times New Roman" w:hAnsi="Times New Roman"/>
          <w:sz w:val="24"/>
          <w:szCs w:val="24"/>
        </w:rPr>
        <w:t>mbine</w:t>
      </w:r>
      <w:r w:rsidRPr="00E80541">
        <w:rPr>
          <w:rFonts w:ascii="Times New Roman" w:hAnsi="Times New Roman"/>
          <w:sz w:val="24"/>
          <w:szCs w:val="24"/>
        </w:rPr>
        <w:t xml:space="preserve"> data on distinct individuals from the 2010 U.S. Census, the American Community Survey, the National Survey of Children’s Health (NSCH), and the National Health and Nutrition Examination Survey (NHANES).</w:t>
      </w:r>
    </w:p>
    <w:p w14:paraId="61425AFD" w14:textId="77777777" w:rsidR="00790864" w:rsidRPr="00E80541" w:rsidRDefault="00790864" w:rsidP="00DE3138">
      <w:pPr>
        <w:spacing w:after="0" w:line="480" w:lineRule="auto"/>
        <w:rPr>
          <w:rFonts w:ascii="Times New Roman" w:hAnsi="Times New Roman"/>
          <w:sz w:val="24"/>
          <w:szCs w:val="24"/>
        </w:rPr>
      </w:pPr>
    </w:p>
    <w:p w14:paraId="62999B01" w14:textId="3E693994" w:rsidR="00790864" w:rsidRPr="00E80541" w:rsidRDefault="00790864" w:rsidP="00DE3138">
      <w:pPr>
        <w:spacing w:after="0" w:line="480" w:lineRule="auto"/>
        <w:rPr>
          <w:rFonts w:ascii="Times New Roman" w:hAnsi="Times New Roman"/>
          <w:b/>
          <w:sz w:val="24"/>
          <w:szCs w:val="24"/>
        </w:rPr>
      </w:pPr>
      <w:r w:rsidRPr="00E80541">
        <w:rPr>
          <w:rFonts w:ascii="Times New Roman" w:hAnsi="Times New Roman"/>
          <w:sz w:val="24"/>
          <w:szCs w:val="24"/>
        </w:rPr>
        <w:t xml:space="preserve">The matching process described in this appendix was conducted using Java, a compiled programming language. </w:t>
      </w:r>
      <w:r w:rsidR="00DF04D2" w:rsidRPr="00E80541">
        <w:rPr>
          <w:rFonts w:ascii="Times New Roman" w:hAnsi="Times New Roman"/>
          <w:sz w:val="24"/>
          <w:szCs w:val="24"/>
        </w:rPr>
        <w:t>The detail in the paper and appendix on the matching methods are intended to support replication by a skilled programmer in Java or other programming languages</w:t>
      </w:r>
      <w:r w:rsidR="001A6DDE" w:rsidRPr="00E80541">
        <w:rPr>
          <w:rFonts w:ascii="Times New Roman" w:hAnsi="Times New Roman"/>
          <w:sz w:val="24"/>
          <w:szCs w:val="24"/>
        </w:rPr>
        <w:t xml:space="preserve"> familiar with the theory and techniques discussed in textbooks on these methods</w:t>
      </w:r>
      <w:r w:rsidR="00DF04D2" w:rsidRPr="00E80541">
        <w:rPr>
          <w:rFonts w:ascii="Times New Roman" w:hAnsi="Times New Roman"/>
          <w:sz w:val="24"/>
          <w:szCs w:val="24"/>
        </w:rPr>
        <w:t>.</w:t>
      </w:r>
      <w:hyperlink w:anchor="_ENREF_1" w:tooltip="D'Orazio, 2006 #7" w:history="1">
        <w:r w:rsidR="001A6DDE" w:rsidRPr="00E80541">
          <w:rPr>
            <w:rFonts w:ascii="Times New Roman" w:hAnsi="Times New Roman"/>
            <w:sz w:val="24"/>
            <w:szCs w:val="24"/>
          </w:rPr>
          <w:fldChar w:fldCharType="begin"/>
        </w:r>
        <w:r w:rsidR="001A6DDE" w:rsidRPr="00E80541">
          <w:rPr>
            <w:rFonts w:ascii="Times New Roman" w:hAnsi="Times New Roman"/>
            <w:sz w:val="24"/>
            <w:szCs w:val="24"/>
          </w:rPr>
          <w:instrText xml:space="preserve"> ADDIN EN.CITE &lt;EndNote&gt;&lt;Cite&gt;&lt;Author&gt;D&amp;apos;Orazio&lt;/Author&gt;&lt;Year&gt;2006&lt;/Year&gt;&lt;RecNum&gt;7&lt;/RecNum&gt;&lt;DisplayText&gt;&lt;style face="superscript"&gt;1&lt;/style&gt;&lt;/DisplayText&gt;&lt;record&gt;&lt;rec-number&gt;7&lt;/rec-number&gt;&lt;foreign-keys&gt;&lt;key app="EN" db-id="e0a9sdftlpeazee5d51xxzzexr9vpd00deds" timestamp="1443205253"&gt;7&lt;/key&gt;&lt;/foreign-keys&gt;&lt;ref-type name="Book"&gt;6&lt;/ref-type&gt;&lt;contributors&gt;&lt;authors&gt;&lt;author&gt;D&amp;apos;Orazio, Marcello&lt;/author&gt;&lt;author&gt;Di Zio, Marco&lt;/author&gt;&lt;author&gt;Scanu, Mauro&lt;/author&gt;&lt;/authors&gt;&lt;/contributors&gt;&lt;titles&gt;&lt;title&gt;Statistical matching : theory and practice&lt;/title&gt;&lt;secondary-title&gt;Wiley series in survey methodology&lt;/secondary-title&gt;&lt;/titles&gt;&lt;pages&gt;x, 256 p.&lt;/pages&gt;&lt;keywords&gt;&lt;keyword&gt;Statistical matching.&lt;/keyword&gt;&lt;/keywords&gt;&lt;dates&gt;&lt;year&gt;2006&lt;/year&gt;&lt;/dates&gt;&lt;pub-location&gt;Chichester, England ; Hoboken, NJ&lt;/pub-location&gt;&lt;publisher&gt;Wiley&lt;/publisher&gt;&lt;isbn&gt;0470023538 (hbk. acid-free paper)&amp;#xD;9780470023532 (hbk. acid-free paper)&lt;/isbn&gt;&lt;accession-num&gt;14242627&lt;/accession-num&gt;&lt;call-num&gt;Jefferson or Adams Building Reading Rooms - STORED OFFSITE QA276.6 .D67 2006&lt;/call-num&gt;&lt;urls&gt;&lt;related-urls&gt;&lt;url&gt;Publisher description http://www.loc.gov/catdir/enhancements/fy0658/2006040184-d.html&lt;/url&gt;&lt;url&gt;Table of contents only http://www.loc.gov/catdir/enhancements/fy0658/2006040184-t.html&lt;/url&gt;&lt;/related-urls&gt;&lt;/urls&gt;&lt;/record&gt;&lt;/Cite&gt;&lt;/EndNote&gt;</w:instrText>
        </w:r>
        <w:r w:rsidR="001A6DDE" w:rsidRPr="00E80541">
          <w:rPr>
            <w:rFonts w:ascii="Times New Roman" w:hAnsi="Times New Roman"/>
            <w:sz w:val="24"/>
            <w:szCs w:val="24"/>
          </w:rPr>
          <w:fldChar w:fldCharType="separate"/>
        </w:r>
        <w:r w:rsidR="001A6DDE" w:rsidRPr="00E80541">
          <w:rPr>
            <w:rFonts w:ascii="Times New Roman" w:hAnsi="Times New Roman"/>
            <w:noProof/>
            <w:sz w:val="24"/>
            <w:szCs w:val="24"/>
            <w:vertAlign w:val="superscript"/>
          </w:rPr>
          <w:t>1</w:t>
        </w:r>
        <w:r w:rsidR="001A6DDE" w:rsidRPr="00E80541">
          <w:rPr>
            <w:rFonts w:ascii="Times New Roman" w:hAnsi="Times New Roman"/>
            <w:sz w:val="24"/>
            <w:szCs w:val="24"/>
          </w:rPr>
          <w:fldChar w:fldCharType="end"/>
        </w:r>
      </w:hyperlink>
      <w:r w:rsidR="00DF04D2" w:rsidRPr="00E80541">
        <w:rPr>
          <w:rFonts w:ascii="Times New Roman" w:hAnsi="Times New Roman"/>
          <w:sz w:val="24"/>
          <w:szCs w:val="24"/>
        </w:rPr>
        <w:t xml:space="preserve"> The methods can also be applied to related height and weight bias correction needs, as was done in an analysis of the healthcare costs associated with obesity and severe obesity using data from the Medical Expenditure Panel Survey by Wang et al.</w:t>
      </w:r>
      <w:hyperlink w:anchor="_ENREF_2" w:tooltip="Wang, 2015 #35" w:history="1">
        <w:r w:rsidR="001A6DDE" w:rsidRPr="00E80541">
          <w:rPr>
            <w:rFonts w:ascii="Times New Roman" w:hAnsi="Times New Roman"/>
            <w:sz w:val="24"/>
            <w:szCs w:val="24"/>
          </w:rPr>
          <w:fldChar w:fldCharType="begin">
            <w:fldData xml:space="preserve">PEVuZE5vdGU+PENpdGU+PEF1dGhvcj5XYW5nPC9BdXRob3I+PFllYXI+MjAxNTwvWWVhcj48UmVj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</w:fldData>
          </w:fldChar>
        </w:r>
        <w:r w:rsidR="001A6DDE" w:rsidRPr="00E80541">
          <w:rPr>
            <w:rFonts w:ascii="Times New Roman" w:hAnsi="Times New Roman"/>
            <w:sz w:val="24"/>
            <w:szCs w:val="24"/>
          </w:rPr>
          <w:instrText xml:space="preserve"> ADDIN EN.CITE </w:instrText>
        </w:r>
        <w:r w:rsidR="001A6DDE" w:rsidRPr="00E80541">
          <w:rPr>
            <w:rFonts w:ascii="Times New Roman" w:hAnsi="Times New Roman"/>
            <w:sz w:val="24"/>
            <w:szCs w:val="24"/>
          </w:rPr>
          <w:fldChar w:fldCharType="begin">
            <w:fldData xml:space="preserve">PEVuZE5vdGU+PENpdGU+PEF1dGhvcj5XYW5nPC9BdXRob3I+PFllYXI+MjAxNTwvWWVhcj48UmVj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</w:fldData>
          </w:fldChar>
        </w:r>
        <w:r w:rsidR="001A6DDE" w:rsidRPr="00E80541">
          <w:rPr>
            <w:rFonts w:ascii="Times New Roman" w:hAnsi="Times New Roman"/>
            <w:sz w:val="24"/>
            <w:szCs w:val="24"/>
          </w:rPr>
          <w:instrText xml:space="preserve"> ADDIN EN.CITE.DATA </w:instrText>
        </w:r>
        <w:r w:rsidR="001A6DDE" w:rsidRPr="00E80541">
          <w:rPr>
            <w:rFonts w:ascii="Times New Roman" w:hAnsi="Times New Roman"/>
            <w:sz w:val="24"/>
            <w:szCs w:val="24"/>
          </w:rPr>
        </w:r>
        <w:r w:rsidR="001A6DDE" w:rsidRPr="00E80541">
          <w:rPr>
            <w:rFonts w:ascii="Times New Roman" w:hAnsi="Times New Roman"/>
            <w:sz w:val="24"/>
            <w:szCs w:val="24"/>
          </w:rPr>
          <w:fldChar w:fldCharType="end"/>
        </w:r>
        <w:r w:rsidR="001A6DDE" w:rsidRPr="00E80541">
          <w:rPr>
            <w:rFonts w:ascii="Times New Roman" w:hAnsi="Times New Roman"/>
            <w:sz w:val="24"/>
            <w:szCs w:val="24"/>
          </w:rPr>
        </w:r>
        <w:r w:rsidR="001A6DDE" w:rsidRPr="00E80541">
          <w:rPr>
            <w:rFonts w:ascii="Times New Roman" w:hAnsi="Times New Roman"/>
            <w:sz w:val="24"/>
            <w:szCs w:val="24"/>
          </w:rPr>
          <w:fldChar w:fldCharType="separate"/>
        </w:r>
        <w:r w:rsidR="001A6DDE" w:rsidRPr="00E80541">
          <w:rPr>
            <w:rFonts w:ascii="Times New Roman" w:hAnsi="Times New Roman"/>
            <w:noProof/>
            <w:sz w:val="24"/>
            <w:szCs w:val="24"/>
            <w:vertAlign w:val="superscript"/>
          </w:rPr>
          <w:t>2</w:t>
        </w:r>
        <w:r w:rsidR="001A6DDE" w:rsidRPr="00E80541">
          <w:rPr>
            <w:rFonts w:ascii="Times New Roman" w:hAnsi="Times New Roman"/>
            <w:sz w:val="24"/>
            <w:szCs w:val="24"/>
          </w:rPr>
          <w:fldChar w:fldCharType="end"/>
        </w:r>
      </w:hyperlink>
    </w:p>
    <w:p w14:paraId="653A2C95" w14:textId="77777777" w:rsidR="00EB5AF8" w:rsidRPr="00E80541" w:rsidRDefault="00EB5AF8" w:rsidP="00DE3138">
      <w:pPr>
        <w:spacing w:after="0" w:line="480" w:lineRule="auto"/>
        <w:rPr>
          <w:rFonts w:ascii="Times New Roman" w:hAnsi="Times New Roman"/>
          <w:b/>
          <w:sz w:val="24"/>
          <w:szCs w:val="24"/>
        </w:rPr>
      </w:pPr>
    </w:p>
    <w:p w14:paraId="6E0D8647" w14:textId="738F133E" w:rsidR="00B13026" w:rsidRPr="00E80541" w:rsidRDefault="00B13026" w:rsidP="00DE3138">
      <w:pPr>
        <w:spacing w:after="0" w:line="480" w:lineRule="auto"/>
        <w:rPr>
          <w:rFonts w:ascii="Times New Roman" w:hAnsi="Times New Roman"/>
          <w:b/>
          <w:sz w:val="24"/>
          <w:szCs w:val="24"/>
        </w:rPr>
      </w:pPr>
      <w:r w:rsidRPr="00E80541">
        <w:rPr>
          <w:rFonts w:ascii="Times New Roman" w:hAnsi="Times New Roman"/>
          <w:sz w:val="24"/>
          <w:szCs w:val="24"/>
        </w:rPr>
        <w:t xml:space="preserve">We randomly </w:t>
      </w:r>
      <w:r w:rsidRPr="00E80541">
        <w:rPr>
          <w:rFonts w:ascii="Times New Roman" w:hAnsi="Times New Roman"/>
          <w:sz w:val="24"/>
          <w:szCs w:val="24"/>
        </w:rPr>
        <w:t>sampled</w:t>
      </w:r>
      <w:r w:rsidR="00D66C70" w:rsidRPr="00E80541">
        <w:rPr>
          <w:rFonts w:ascii="Times New Roman" w:hAnsi="Times New Roman"/>
          <w:sz w:val="24"/>
          <w:szCs w:val="24"/>
        </w:rPr>
        <w:t xml:space="preserve"> with replacement</w:t>
      </w:r>
      <w:r w:rsidRPr="00E80541">
        <w:rPr>
          <w:rFonts w:ascii="Times New Roman" w:hAnsi="Times New Roman"/>
          <w:sz w:val="24"/>
          <w:szCs w:val="24"/>
        </w:rPr>
        <w:t xml:space="preserve"> </w:t>
      </w:r>
      <w:r w:rsidRPr="00E80541">
        <w:rPr>
          <w:rFonts w:ascii="Times New Roman" w:hAnsi="Times New Roman"/>
          <w:sz w:val="24"/>
          <w:szCs w:val="24"/>
        </w:rPr>
        <w:t>populations of 30 million individuals at the census tract level from the 2010 U.S. Census</w:t>
      </w:r>
      <w:r w:rsidR="00261851" w:rsidRPr="00E80541">
        <w:rPr>
          <w:rFonts w:ascii="Times New Roman" w:hAnsi="Times New Roman"/>
          <w:sz w:val="24"/>
          <w:szCs w:val="24"/>
        </w:rPr>
        <w:t>, which yielded</w:t>
      </w:r>
      <w:r w:rsidRPr="00E80541">
        <w:rPr>
          <w:rFonts w:ascii="Times New Roman" w:hAnsi="Times New Roman"/>
          <w:sz w:val="24"/>
          <w:szCs w:val="24"/>
        </w:rPr>
        <w:t xml:space="preserve"> 6.4 million individuals 2-17 years of age.</w:t>
      </w:r>
      <w:r w:rsidR="00BA3740" w:rsidRPr="00E80541">
        <w:rPr>
          <w:rFonts w:ascii="Times New Roman" w:hAnsi="Times New Roman"/>
          <w:sz w:val="24"/>
          <w:szCs w:val="24"/>
        </w:rPr>
        <w:t xml:space="preserve"> Fifty populations were </w:t>
      </w:r>
      <w:r w:rsidR="00261851" w:rsidRPr="00E80541">
        <w:rPr>
          <w:rFonts w:ascii="Times New Roman" w:hAnsi="Times New Roman"/>
          <w:sz w:val="24"/>
          <w:szCs w:val="24"/>
        </w:rPr>
        <w:t xml:space="preserve">independently </w:t>
      </w:r>
      <w:r w:rsidR="00BA3740" w:rsidRPr="00E80541">
        <w:rPr>
          <w:rFonts w:ascii="Times New Roman" w:hAnsi="Times New Roman"/>
          <w:sz w:val="24"/>
          <w:szCs w:val="24"/>
        </w:rPr>
        <w:t>sampled in order to estimate variation in population estimates due to the random sampling process used in the matching algorithm</w:t>
      </w:r>
      <w:r w:rsidR="000B725F" w:rsidRPr="00E80541">
        <w:rPr>
          <w:rFonts w:ascii="Times New Roman" w:hAnsi="Times New Roman"/>
          <w:sz w:val="24"/>
          <w:szCs w:val="24"/>
        </w:rPr>
        <w:t>.</w:t>
      </w:r>
    </w:p>
    <w:p w14:paraId="2F060CB4" w14:textId="77777777" w:rsidR="00B13026" w:rsidRPr="00E80541" w:rsidRDefault="00B13026" w:rsidP="00DE3138">
      <w:pPr>
        <w:spacing w:after="0" w:line="480" w:lineRule="auto"/>
        <w:rPr>
          <w:rFonts w:ascii="Times New Roman" w:hAnsi="Times New Roman"/>
          <w:sz w:val="24"/>
          <w:szCs w:val="24"/>
        </w:rPr>
      </w:pPr>
    </w:p>
    <w:p w14:paraId="7BDBA9E2" w14:textId="16804009" w:rsidR="00B13026" w:rsidRPr="00E80541" w:rsidRDefault="00B13026" w:rsidP="00DE3138">
      <w:pPr>
        <w:spacing w:after="0" w:line="480" w:lineRule="auto"/>
        <w:rPr>
          <w:rFonts w:ascii="Times New Roman" w:hAnsi="Times New Roman"/>
          <w:sz w:val="24"/>
          <w:szCs w:val="24"/>
        </w:rPr>
      </w:pPr>
      <w:r w:rsidRPr="00E80541">
        <w:rPr>
          <w:rFonts w:ascii="Times New Roman" w:hAnsi="Times New Roman"/>
          <w:sz w:val="24"/>
          <w:szCs w:val="24"/>
        </w:rPr>
        <w:lastRenderedPageBreak/>
        <w:t xml:space="preserve">To generate bias-corrected estimates of BMI at the state level using statistical matching, the random sample of </w:t>
      </w:r>
      <w:r w:rsidR="002C2464" w:rsidRPr="00E80541">
        <w:rPr>
          <w:rFonts w:ascii="Times New Roman" w:hAnsi="Times New Roman"/>
          <w:sz w:val="24"/>
          <w:szCs w:val="24"/>
        </w:rPr>
        <w:t>6.4</w:t>
      </w:r>
      <w:r w:rsidRPr="00E80541">
        <w:rPr>
          <w:rFonts w:ascii="Times New Roman" w:hAnsi="Times New Roman"/>
          <w:sz w:val="24"/>
          <w:szCs w:val="24"/>
        </w:rPr>
        <w:t xml:space="preserve"> million </w:t>
      </w:r>
      <w:r w:rsidR="005322EA" w:rsidRPr="00E80541">
        <w:rPr>
          <w:rFonts w:ascii="Times New Roman" w:hAnsi="Times New Roman"/>
          <w:sz w:val="24"/>
          <w:szCs w:val="24"/>
        </w:rPr>
        <w:t>children and adolescents</w:t>
      </w:r>
      <w:r w:rsidRPr="00E80541">
        <w:rPr>
          <w:rFonts w:ascii="Times New Roman" w:hAnsi="Times New Roman"/>
          <w:sz w:val="24"/>
          <w:szCs w:val="24"/>
        </w:rPr>
        <w:t xml:space="preserve"> from the 2010 U.S. Census was first matched by</w:t>
      </w:r>
      <w:r w:rsidR="00DE3138" w:rsidRPr="00E80541">
        <w:rPr>
          <w:rFonts w:ascii="Times New Roman" w:hAnsi="Times New Roman"/>
          <w:sz w:val="24"/>
          <w:szCs w:val="24"/>
        </w:rPr>
        <w:t xml:space="preserve"> randomly sampling individuals in the 5-year ACS with replacement proportional to sampling weights within</w:t>
      </w:r>
      <w:r w:rsidRPr="00E80541">
        <w:rPr>
          <w:rFonts w:ascii="Times New Roman" w:hAnsi="Times New Roman"/>
          <w:sz w:val="24"/>
          <w:szCs w:val="24"/>
        </w:rPr>
        <w:t xml:space="preserve"> census tract, age, sex, and race/ethnicity</w:t>
      </w:r>
      <w:r w:rsidR="00DE3138" w:rsidRPr="00E80541">
        <w:rPr>
          <w:rFonts w:ascii="Times New Roman" w:hAnsi="Times New Roman"/>
          <w:sz w:val="24"/>
          <w:szCs w:val="24"/>
        </w:rPr>
        <w:t xml:space="preserve"> subgroups</w:t>
      </w:r>
      <w:r w:rsidRPr="00E80541">
        <w:rPr>
          <w:rFonts w:ascii="Times New Roman" w:hAnsi="Times New Roman"/>
          <w:sz w:val="24"/>
          <w:szCs w:val="24"/>
        </w:rPr>
        <w:t xml:space="preserve"> to assign household income to each individual. The new dataset was the</w:t>
      </w:r>
      <w:r w:rsidRPr="00E80541">
        <w:rPr>
          <w:rFonts w:ascii="Times New Roman" w:hAnsi="Times New Roman"/>
          <w:sz w:val="24"/>
          <w:szCs w:val="24"/>
        </w:rPr>
        <w:t xml:space="preserve">n matched </w:t>
      </w:r>
      <w:r w:rsidR="00E54773" w:rsidRPr="00E80541">
        <w:rPr>
          <w:rFonts w:ascii="Times New Roman" w:hAnsi="Times New Roman"/>
          <w:sz w:val="24"/>
          <w:szCs w:val="24"/>
        </w:rPr>
        <w:t>within</w:t>
      </w:r>
      <w:r w:rsidRPr="00E80541">
        <w:rPr>
          <w:rFonts w:ascii="Times New Roman" w:hAnsi="Times New Roman"/>
          <w:sz w:val="24"/>
          <w:szCs w:val="24"/>
        </w:rPr>
        <w:t xml:space="preserve"> </w:t>
      </w:r>
      <w:r w:rsidRPr="00E80541">
        <w:rPr>
          <w:rFonts w:ascii="Times New Roman" w:hAnsi="Times New Roman"/>
          <w:sz w:val="24"/>
          <w:szCs w:val="24"/>
        </w:rPr>
        <w:t>state, age, sex, race/ethnicity and household income</w:t>
      </w:r>
      <w:r w:rsidR="00E54773" w:rsidRPr="00E80541">
        <w:rPr>
          <w:rFonts w:ascii="Times New Roman" w:hAnsi="Times New Roman"/>
          <w:sz w:val="24"/>
          <w:szCs w:val="24"/>
        </w:rPr>
        <w:t xml:space="preserve"> subgroups</w:t>
      </w:r>
      <w:r w:rsidR="00DE3138" w:rsidRPr="00E80541">
        <w:rPr>
          <w:rFonts w:ascii="Times New Roman" w:hAnsi="Times New Roman"/>
          <w:sz w:val="24"/>
          <w:szCs w:val="24"/>
        </w:rPr>
        <w:t xml:space="preserve"> </w:t>
      </w:r>
      <w:r w:rsidRPr="00E80541">
        <w:rPr>
          <w:rFonts w:ascii="Times New Roman" w:hAnsi="Times New Roman"/>
          <w:sz w:val="24"/>
          <w:szCs w:val="24"/>
        </w:rPr>
        <w:t>to the pooled 2003/2007 NSCH sample</w:t>
      </w:r>
      <w:r w:rsidR="00E54773" w:rsidRPr="00E80541">
        <w:rPr>
          <w:rFonts w:ascii="Times New Roman" w:hAnsi="Times New Roman"/>
          <w:sz w:val="24"/>
          <w:szCs w:val="24"/>
        </w:rPr>
        <w:t xml:space="preserve"> using random sampling with replacement</w:t>
      </w:r>
      <w:r w:rsidRPr="00E80541">
        <w:rPr>
          <w:rFonts w:ascii="Times New Roman" w:hAnsi="Times New Roman"/>
          <w:sz w:val="24"/>
          <w:szCs w:val="24"/>
        </w:rPr>
        <w:t xml:space="preserve"> </w:t>
      </w:r>
      <w:r w:rsidR="00E54773" w:rsidRPr="00E80541">
        <w:rPr>
          <w:rFonts w:ascii="Times New Roman" w:hAnsi="Times New Roman"/>
          <w:sz w:val="24"/>
          <w:szCs w:val="24"/>
        </w:rPr>
        <w:t xml:space="preserve">of individuals in the NSCH sample </w:t>
      </w:r>
      <w:r w:rsidRPr="00E80541">
        <w:rPr>
          <w:rFonts w:ascii="Times New Roman" w:hAnsi="Times New Roman"/>
          <w:sz w:val="24"/>
          <w:szCs w:val="24"/>
        </w:rPr>
        <w:t xml:space="preserve">proportional to sampling weights to assign parent-reported height and weight. Parent reported height and weight were </w:t>
      </w:r>
      <w:r w:rsidRPr="00E80541">
        <w:rPr>
          <w:rFonts w:ascii="Times New Roman" w:hAnsi="Times New Roman"/>
          <w:sz w:val="24"/>
          <w:szCs w:val="24"/>
        </w:rPr>
        <w:t xml:space="preserve">converted to </w:t>
      </w:r>
      <w:r w:rsidR="00EC5AF6" w:rsidRPr="00E80541">
        <w:rPr>
          <w:rFonts w:ascii="Times New Roman" w:hAnsi="Times New Roman"/>
          <w:sz w:val="24"/>
          <w:szCs w:val="24"/>
        </w:rPr>
        <w:t xml:space="preserve">national-level </w:t>
      </w:r>
      <w:r w:rsidRPr="00E80541">
        <w:rPr>
          <w:rFonts w:ascii="Times New Roman" w:hAnsi="Times New Roman"/>
          <w:sz w:val="24"/>
          <w:szCs w:val="24"/>
        </w:rPr>
        <w:t xml:space="preserve">percentiles </w:t>
      </w:r>
      <w:r w:rsidR="00EC5AF6" w:rsidRPr="00E80541">
        <w:rPr>
          <w:rFonts w:ascii="Times New Roman" w:hAnsi="Times New Roman"/>
          <w:sz w:val="24"/>
          <w:szCs w:val="24"/>
        </w:rPr>
        <w:t>within</w:t>
      </w:r>
      <w:r w:rsidRPr="00E80541">
        <w:rPr>
          <w:rFonts w:ascii="Times New Roman" w:hAnsi="Times New Roman"/>
          <w:sz w:val="24"/>
          <w:szCs w:val="24"/>
        </w:rPr>
        <w:t xml:space="preserve"> </w:t>
      </w:r>
      <w:r w:rsidR="00EC5AF6" w:rsidRPr="00E80541">
        <w:rPr>
          <w:rFonts w:ascii="Times New Roman" w:hAnsi="Times New Roman"/>
          <w:sz w:val="24"/>
          <w:szCs w:val="24"/>
        </w:rPr>
        <w:t>demographic subgroups</w:t>
      </w:r>
      <w:r w:rsidRPr="00E80541">
        <w:rPr>
          <w:rFonts w:ascii="Times New Roman" w:hAnsi="Times New Roman"/>
          <w:sz w:val="24"/>
          <w:szCs w:val="24"/>
        </w:rPr>
        <w:t xml:space="preserve"> in the sample-weighted NSCH </w:t>
      </w:r>
      <w:r w:rsidR="00EC5AF6" w:rsidRPr="00E80541">
        <w:rPr>
          <w:rFonts w:ascii="Times New Roman" w:hAnsi="Times New Roman"/>
          <w:sz w:val="24"/>
          <w:szCs w:val="24"/>
        </w:rPr>
        <w:t>dataset</w:t>
      </w:r>
      <w:r w:rsidRPr="00E80541">
        <w:rPr>
          <w:rFonts w:ascii="Times New Roman" w:hAnsi="Times New Roman"/>
          <w:sz w:val="24"/>
          <w:szCs w:val="24"/>
        </w:rPr>
        <w:t xml:space="preserve">. </w:t>
      </w:r>
      <w:r w:rsidRPr="00E80541">
        <w:rPr>
          <w:rFonts w:ascii="Times New Roman" w:hAnsi="Times New Roman"/>
          <w:sz w:val="24"/>
          <w:szCs w:val="24"/>
        </w:rPr>
        <w:t>Household income was reported as a categorical variable based on ranges of percentage poverty level. In order to be matched to the household income data from ACS, the NSCH percentage poverty level variable was converted to a household income range in dollars based on the year of the survey, state</w:t>
      </w:r>
      <w:r w:rsidR="00EC5AF6" w:rsidRPr="00E80541">
        <w:rPr>
          <w:rFonts w:ascii="Times New Roman" w:hAnsi="Times New Roman"/>
          <w:sz w:val="24"/>
          <w:szCs w:val="24"/>
        </w:rPr>
        <w:t>,</w:t>
      </w:r>
      <w:r w:rsidRPr="00E80541">
        <w:rPr>
          <w:rFonts w:ascii="Times New Roman" w:hAnsi="Times New Roman"/>
          <w:sz w:val="24"/>
          <w:szCs w:val="24"/>
        </w:rPr>
        <w:t xml:space="preserve"> and household size following the Department of Health &amp; Human Services (HHS) guideline</w:t>
      </w:r>
      <w:r w:rsidRPr="00E80541">
        <w:rPr>
          <w:rFonts w:ascii="Times New Roman" w:hAnsi="Times New Roman"/>
          <w:sz w:val="24"/>
          <w:szCs w:val="24"/>
        </w:rPr>
        <w:t>s.</w:t>
      </w:r>
      <w:r w:rsidR="0074718D" w:rsidRPr="00E80541">
        <w:rPr>
          <w:rFonts w:ascii="Times New Roman" w:hAnsi="Times New Roman"/>
          <w:sz w:val="24"/>
          <w:szCs w:val="24"/>
        </w:rPr>
        <w:t xml:space="preserve"> Crosswalks for linking race/ethnicity and household income across the Census/ACS, NSCH, and NHANES are included in Appendices E and F.  </w:t>
      </w:r>
    </w:p>
    <w:p w14:paraId="35113884" w14:textId="77777777" w:rsidR="00B13026" w:rsidRPr="00E80541" w:rsidRDefault="00B13026" w:rsidP="00AA7222">
      <w:pPr>
        <w:spacing w:line="480" w:lineRule="auto"/>
        <w:rPr>
          <w:rFonts w:ascii="Times New Roman" w:hAnsi="Times New Roman"/>
          <w:sz w:val="24"/>
          <w:szCs w:val="24"/>
        </w:rPr>
      </w:pPr>
    </w:p>
    <w:p w14:paraId="021846E6" w14:textId="34159A05" w:rsidR="00EB5AF8" w:rsidRPr="00E80541" w:rsidRDefault="00B13026" w:rsidP="00DE3138">
      <w:pPr>
        <w:spacing w:after="0" w:line="480" w:lineRule="auto"/>
        <w:rPr>
          <w:rFonts w:ascii="Times New Roman" w:hAnsi="Times New Roman"/>
          <w:sz w:val="24"/>
          <w:szCs w:val="24"/>
        </w:rPr>
      </w:pPr>
      <w:r w:rsidRPr="00E80541">
        <w:rPr>
          <w:rFonts w:ascii="Times New Roman" w:hAnsi="Times New Roman"/>
          <w:sz w:val="24"/>
          <w:szCs w:val="24"/>
        </w:rPr>
        <w:t>The resulting dataset combining inputs from the Census, ACS, and NSCH was then matched to individuals from the 2005-2010 NHANES</w:t>
      </w:r>
      <w:r w:rsidR="00DE3138" w:rsidRPr="00E80541">
        <w:rPr>
          <w:rFonts w:ascii="Times New Roman" w:hAnsi="Times New Roman"/>
          <w:sz w:val="24"/>
          <w:szCs w:val="24"/>
        </w:rPr>
        <w:t xml:space="preserve"> on parent-reported height and weight percentiles from NSCH</w:t>
      </w:r>
      <w:r w:rsidRPr="00E80541">
        <w:rPr>
          <w:rFonts w:ascii="Times New Roman" w:hAnsi="Times New Roman"/>
          <w:sz w:val="24"/>
          <w:szCs w:val="24"/>
        </w:rPr>
        <w:t xml:space="preserve"> by</w:t>
      </w:r>
      <w:r w:rsidR="00DE3138" w:rsidRPr="00E80541">
        <w:rPr>
          <w:rFonts w:ascii="Times New Roman" w:hAnsi="Times New Roman"/>
          <w:sz w:val="24"/>
          <w:szCs w:val="24"/>
        </w:rPr>
        <w:t xml:space="preserve"> sampling individuals with replacement proportional to sampling weights within</w:t>
      </w:r>
      <w:r w:rsidRPr="00E80541">
        <w:rPr>
          <w:rFonts w:ascii="Times New Roman" w:hAnsi="Times New Roman"/>
          <w:sz w:val="24"/>
          <w:szCs w:val="24"/>
        </w:rPr>
        <w:t xml:space="preserve"> </w:t>
      </w:r>
      <w:r w:rsidRPr="00E80541">
        <w:rPr>
          <w:rFonts w:ascii="Times New Roman" w:hAnsi="Times New Roman"/>
          <w:sz w:val="24"/>
          <w:szCs w:val="24"/>
        </w:rPr>
        <w:t xml:space="preserve">age, sex, race/ethnicity, household </w:t>
      </w:r>
      <w:r w:rsidRPr="00E80541">
        <w:rPr>
          <w:rFonts w:ascii="Times New Roman" w:hAnsi="Times New Roman"/>
          <w:sz w:val="24"/>
          <w:szCs w:val="24"/>
        </w:rPr>
        <w:t>income</w:t>
      </w:r>
      <w:r w:rsidR="00DE3138" w:rsidRPr="00E80541">
        <w:rPr>
          <w:rFonts w:ascii="Times New Roman" w:hAnsi="Times New Roman"/>
          <w:sz w:val="24"/>
          <w:szCs w:val="24"/>
        </w:rPr>
        <w:t xml:space="preserve"> subgroups</w:t>
      </w:r>
      <w:r w:rsidRPr="00E80541">
        <w:rPr>
          <w:rFonts w:ascii="Times New Roman" w:hAnsi="Times New Roman"/>
          <w:sz w:val="24"/>
          <w:szCs w:val="24"/>
        </w:rPr>
        <w:t xml:space="preserve">. </w:t>
      </w:r>
      <w:r w:rsidRPr="00E80541">
        <w:rPr>
          <w:rFonts w:ascii="Times New Roman" w:hAnsi="Times New Roman"/>
          <w:sz w:val="24"/>
          <w:szCs w:val="24"/>
        </w:rPr>
        <w:t xml:space="preserve">For each individual in the NHANES sample, measured height and weight </w:t>
      </w:r>
      <w:r w:rsidR="00BC0E7A" w:rsidRPr="00E80541">
        <w:rPr>
          <w:rFonts w:ascii="Times New Roman" w:hAnsi="Times New Roman"/>
          <w:sz w:val="24"/>
          <w:szCs w:val="24"/>
        </w:rPr>
        <w:t xml:space="preserve">data are </w:t>
      </w:r>
      <w:r w:rsidRPr="00E80541">
        <w:rPr>
          <w:rFonts w:ascii="Times New Roman" w:hAnsi="Times New Roman"/>
          <w:sz w:val="24"/>
          <w:szCs w:val="24"/>
        </w:rPr>
        <w:t xml:space="preserve">collected by NHANES </w:t>
      </w:r>
      <w:r w:rsidR="00464C1E" w:rsidRPr="00E80541">
        <w:rPr>
          <w:rFonts w:ascii="Times New Roman" w:hAnsi="Times New Roman"/>
          <w:sz w:val="24"/>
          <w:szCs w:val="24"/>
        </w:rPr>
        <w:t>trained technicians.</w:t>
      </w:r>
      <w:r w:rsidRPr="00E80541">
        <w:rPr>
          <w:rFonts w:ascii="Times New Roman" w:hAnsi="Times New Roman"/>
          <w:sz w:val="24"/>
          <w:szCs w:val="24"/>
        </w:rPr>
        <w:t xml:space="preserve"> Matching by height and weight was conducted in two ways. For adolescents aged 16-17 years</w:t>
      </w:r>
      <w:r w:rsidR="00BC0E7A" w:rsidRPr="00E80541">
        <w:rPr>
          <w:rFonts w:ascii="Times New Roman" w:hAnsi="Times New Roman"/>
          <w:sz w:val="24"/>
          <w:szCs w:val="24"/>
        </w:rPr>
        <w:t>,</w:t>
      </w:r>
      <w:r w:rsidRPr="00E80541">
        <w:rPr>
          <w:rFonts w:ascii="Times New Roman" w:hAnsi="Times New Roman"/>
          <w:sz w:val="24"/>
          <w:szCs w:val="24"/>
        </w:rPr>
        <w:t xml:space="preserve"> for whom self-reported height and weight were available from NHANES, individuals were matched within demographic strata based on </w:t>
      </w:r>
      <w:r w:rsidRPr="00E80541">
        <w:rPr>
          <w:rFonts w:ascii="Times New Roman" w:hAnsi="Times New Roman"/>
          <w:sz w:val="24"/>
          <w:szCs w:val="24"/>
        </w:rPr>
        <w:lastRenderedPageBreak/>
        <w:t>sample-weighted self-reported height and weight percentiles within the NHANES dataset. Measured height and weight values from the matched individual in the donor dataset were then assigned to individuals in the synthesized dataset. Because children and adolescents 2-15 years of age did not self-report height and weight in NHANES, these individuals were matched within demographic strata based on</w:t>
      </w:r>
      <w:r w:rsidR="00BC0E7A" w:rsidRPr="00E80541">
        <w:rPr>
          <w:rFonts w:ascii="Times New Roman" w:hAnsi="Times New Roman"/>
          <w:sz w:val="24"/>
          <w:szCs w:val="24"/>
        </w:rPr>
        <w:t xml:space="preserve"> their parent-reported height and weight percentiles from NSCH and their</w:t>
      </w:r>
      <w:r w:rsidRPr="00E80541">
        <w:rPr>
          <w:rFonts w:ascii="Times New Roman" w:hAnsi="Times New Roman"/>
          <w:sz w:val="24"/>
          <w:szCs w:val="24"/>
        </w:rPr>
        <w:t xml:space="preserve"> measured height and weight percentiles from NHANES. Measured height and weight were then assigned to individuals in the synthesized dataset. </w:t>
      </w:r>
    </w:p>
    <w:p w14:paraId="48E8FBA2" w14:textId="77777777" w:rsidR="00DE3138" w:rsidRPr="00E80541" w:rsidRDefault="00DE3138" w:rsidP="00DE3138">
      <w:pPr>
        <w:spacing w:after="0" w:line="480" w:lineRule="auto"/>
        <w:rPr>
          <w:rFonts w:ascii="Times New Roman" w:hAnsi="Times New Roman"/>
          <w:sz w:val="24"/>
          <w:szCs w:val="24"/>
        </w:rPr>
      </w:pPr>
    </w:p>
    <w:p w14:paraId="6966CC2B" w14:textId="23968EF7" w:rsidR="009A1952" w:rsidRPr="00E80541" w:rsidRDefault="00E54773" w:rsidP="00DE3138">
      <w:pPr>
        <w:autoSpaceDE w:val="0"/>
        <w:autoSpaceDN w:val="0"/>
        <w:adjustRightInd w:val="0"/>
        <w:spacing w:after="0" w:line="480" w:lineRule="auto"/>
        <w:rPr>
          <w:rFonts w:ascii="Times New Roman" w:eastAsiaTheme="minorHAnsi" w:hAnsi="Times New Roman"/>
          <w:color w:val="000000"/>
          <w:sz w:val="24"/>
          <w:szCs w:val="24"/>
        </w:rPr>
      </w:pPr>
      <w:r w:rsidRPr="00E80541">
        <w:rPr>
          <w:rFonts w:ascii="Times New Roman" w:eastAsiaTheme="minorHAnsi" w:hAnsi="Times New Roman"/>
          <w:color w:val="000000"/>
          <w:sz w:val="24"/>
          <w:szCs w:val="24"/>
        </w:rPr>
        <w:t xml:space="preserve">Matching achieves greater precision through tightly-defined subgroups, such that all explainable variation in the imputed variables is captured in the process. However, the goal of precision must be balanced with the </w:t>
      </w:r>
      <w:r w:rsidR="00D66C70" w:rsidRPr="00E80541">
        <w:rPr>
          <w:rFonts w:ascii="Times New Roman" w:eastAsiaTheme="minorHAnsi" w:hAnsi="Times New Roman"/>
          <w:color w:val="000000"/>
          <w:sz w:val="24"/>
          <w:szCs w:val="24"/>
        </w:rPr>
        <w:t>need to represent heterogeneity. A very tightly-defined subgroup may fail to adequately represent variation in the synthesized joint distribution and may result in no possible matches within a very narrow subgroup. Using a very broad subgroup definition may lead to inappropriate matches that fail to represent the explainable variation</w:t>
      </w:r>
      <w:r w:rsidR="009A1952" w:rsidRPr="00E80541">
        <w:rPr>
          <w:rFonts w:ascii="Times New Roman" w:eastAsiaTheme="minorHAnsi" w:hAnsi="Times New Roman"/>
          <w:color w:val="000000"/>
          <w:sz w:val="24"/>
          <w:szCs w:val="24"/>
        </w:rPr>
        <w:t xml:space="preserve">. To </w:t>
      </w:r>
      <w:r w:rsidR="00D66C70" w:rsidRPr="00E80541">
        <w:rPr>
          <w:rFonts w:ascii="Times New Roman" w:eastAsiaTheme="minorHAnsi" w:hAnsi="Times New Roman"/>
          <w:color w:val="000000"/>
          <w:sz w:val="24"/>
          <w:szCs w:val="24"/>
        </w:rPr>
        <w:t>achieve this balance,</w:t>
      </w:r>
      <w:r w:rsidR="009A1952" w:rsidRPr="00E80541">
        <w:rPr>
          <w:rFonts w:ascii="Times New Roman" w:eastAsiaTheme="minorHAnsi" w:hAnsi="Times New Roman"/>
          <w:color w:val="000000"/>
          <w:sz w:val="24"/>
          <w:szCs w:val="24"/>
        </w:rPr>
        <w:t xml:space="preserve"> we used dynamic subgroup definitions </w:t>
      </w:r>
      <w:r w:rsidR="00D66C70" w:rsidRPr="00E80541">
        <w:rPr>
          <w:rFonts w:ascii="Times New Roman" w:eastAsiaTheme="minorHAnsi" w:hAnsi="Times New Roman"/>
          <w:color w:val="000000"/>
          <w:sz w:val="24"/>
          <w:szCs w:val="24"/>
        </w:rPr>
        <w:t>to achieve a</w:t>
      </w:r>
      <w:r w:rsidR="009A1952" w:rsidRPr="00E80541">
        <w:rPr>
          <w:rFonts w:ascii="Times New Roman" w:eastAsiaTheme="minorHAnsi" w:hAnsi="Times New Roman"/>
          <w:color w:val="000000"/>
          <w:sz w:val="24"/>
          <w:szCs w:val="24"/>
        </w:rPr>
        <w:t xml:space="preserve"> minimum sample size, which we varied empirically to yield the desired balance between sample heterogeneity and matching precision.</w:t>
      </w:r>
      <w:r w:rsidR="008B772B" w:rsidRPr="00E80541">
        <w:rPr>
          <w:rFonts w:ascii="Times New Roman" w:eastAsiaTheme="minorHAnsi" w:hAnsi="Times New Roman"/>
          <w:color w:val="000000"/>
          <w:sz w:val="24"/>
          <w:szCs w:val="24"/>
        </w:rPr>
        <w:t xml:space="preserve"> </w:t>
      </w:r>
    </w:p>
    <w:p w14:paraId="02B9F6AA" w14:textId="77777777" w:rsidR="0074718D" w:rsidRPr="00E80541" w:rsidRDefault="0074718D" w:rsidP="009A1952">
      <w:pPr>
        <w:autoSpaceDE w:val="0"/>
        <w:autoSpaceDN w:val="0"/>
        <w:adjustRightInd w:val="0"/>
        <w:spacing w:after="0" w:line="480" w:lineRule="auto"/>
        <w:rPr>
          <w:rFonts w:ascii="Times New Roman" w:eastAsiaTheme="minorHAnsi" w:hAnsi="Times New Roman"/>
          <w:color w:val="000000"/>
          <w:sz w:val="24"/>
          <w:szCs w:val="24"/>
        </w:rPr>
      </w:pPr>
    </w:p>
    <w:p w14:paraId="6AFD1E49" w14:textId="0FF7CBDB" w:rsidR="00693A55" w:rsidRPr="00E80541" w:rsidRDefault="00D66C70" w:rsidP="008D242B">
      <w:pPr>
        <w:autoSpaceDE w:val="0"/>
        <w:autoSpaceDN w:val="0"/>
        <w:adjustRightInd w:val="0"/>
        <w:spacing w:after="0" w:line="480" w:lineRule="auto"/>
        <w:rPr>
          <w:rFonts w:ascii="Times New Roman" w:hAnsi="Times New Roman"/>
          <w:sz w:val="24"/>
          <w:szCs w:val="24"/>
        </w:rPr>
      </w:pPr>
      <w:r w:rsidRPr="00E80541">
        <w:rPr>
          <w:rFonts w:ascii="Times New Roman" w:eastAsiaTheme="minorHAnsi" w:hAnsi="Times New Roman"/>
          <w:color w:val="000000"/>
          <w:sz w:val="24"/>
          <w:szCs w:val="24"/>
        </w:rPr>
        <w:t>W</w:t>
      </w:r>
      <w:r w:rsidR="009A1952" w:rsidRPr="00E80541">
        <w:rPr>
          <w:rFonts w:ascii="Times New Roman" w:eastAsiaTheme="minorHAnsi" w:hAnsi="Times New Roman"/>
          <w:color w:val="000000"/>
          <w:sz w:val="24"/>
          <w:szCs w:val="24"/>
        </w:rPr>
        <w:t xml:space="preserve">e used age- and sex-specific thresholds that </w:t>
      </w:r>
      <w:r w:rsidR="00DE3138" w:rsidRPr="00E80541">
        <w:rPr>
          <w:rFonts w:ascii="Times New Roman" w:eastAsiaTheme="minorHAnsi" w:hAnsi="Times New Roman"/>
          <w:color w:val="000000"/>
          <w:sz w:val="24"/>
          <w:szCs w:val="24"/>
        </w:rPr>
        <w:t>resulted in</w:t>
      </w:r>
      <w:r w:rsidR="009A1952" w:rsidRPr="00E80541">
        <w:rPr>
          <w:rFonts w:ascii="Times New Roman" w:eastAsiaTheme="minorHAnsi" w:hAnsi="Times New Roman"/>
          <w:color w:val="000000"/>
          <w:sz w:val="24"/>
          <w:szCs w:val="24"/>
        </w:rPr>
        <w:t xml:space="preserve"> obesity </w:t>
      </w:r>
      <w:proofErr w:type="spellStart"/>
      <w:r w:rsidR="009A1952" w:rsidRPr="00E80541">
        <w:rPr>
          <w:rFonts w:ascii="Times New Roman" w:eastAsiaTheme="minorHAnsi" w:hAnsi="Times New Roman"/>
          <w:color w:val="000000"/>
          <w:sz w:val="24"/>
          <w:szCs w:val="24"/>
        </w:rPr>
        <w:t>prevalences</w:t>
      </w:r>
      <w:proofErr w:type="spellEnd"/>
      <w:r w:rsidR="009A1952" w:rsidRPr="00E80541">
        <w:rPr>
          <w:rFonts w:ascii="Times New Roman" w:eastAsiaTheme="minorHAnsi" w:hAnsi="Times New Roman"/>
          <w:color w:val="000000"/>
          <w:sz w:val="24"/>
          <w:szCs w:val="24"/>
        </w:rPr>
        <w:t xml:space="preserve"> statistically similar to NHANES. These thresholds were identified using a grid search. </w:t>
      </w:r>
      <w:r w:rsidRPr="00E80541">
        <w:rPr>
          <w:rFonts w:ascii="Times New Roman" w:eastAsiaTheme="minorHAnsi" w:hAnsi="Times New Roman"/>
          <w:color w:val="000000"/>
          <w:sz w:val="24"/>
          <w:szCs w:val="24"/>
        </w:rPr>
        <w:t xml:space="preserve">The target sample size for each age and sex group is included in Appendix G. </w:t>
      </w:r>
      <w:r w:rsidR="009A1952" w:rsidRPr="00E80541">
        <w:rPr>
          <w:rFonts w:ascii="Times New Roman" w:eastAsiaTheme="minorHAnsi" w:hAnsi="Times New Roman"/>
          <w:color w:val="000000"/>
          <w:sz w:val="24"/>
          <w:szCs w:val="24"/>
        </w:rPr>
        <w:t xml:space="preserve">If the subgroup sample was below the specified size, the matching restrictions were loosened until the </w:t>
      </w:r>
      <w:r w:rsidR="008346EC" w:rsidRPr="00E80541">
        <w:rPr>
          <w:rFonts w:ascii="Times New Roman" w:eastAsiaTheme="minorHAnsi" w:hAnsi="Times New Roman"/>
          <w:color w:val="000000"/>
          <w:sz w:val="24"/>
          <w:szCs w:val="24"/>
        </w:rPr>
        <w:t>specified sample size</w:t>
      </w:r>
      <w:r w:rsidR="009A1952" w:rsidRPr="00E80541">
        <w:rPr>
          <w:rFonts w:ascii="Times New Roman" w:eastAsiaTheme="minorHAnsi" w:hAnsi="Times New Roman"/>
          <w:color w:val="000000"/>
          <w:sz w:val="24"/>
          <w:szCs w:val="24"/>
        </w:rPr>
        <w:t xml:space="preserve"> was</w:t>
      </w:r>
      <w:r w:rsidR="008D242B" w:rsidRPr="00E80541">
        <w:rPr>
          <w:rFonts w:ascii="Times New Roman" w:eastAsiaTheme="minorHAnsi" w:hAnsi="Times New Roman"/>
          <w:color w:val="000000"/>
          <w:sz w:val="24"/>
          <w:szCs w:val="24"/>
        </w:rPr>
        <w:t xml:space="preserve"> </w:t>
      </w:r>
      <w:r w:rsidR="009A1952" w:rsidRPr="00E80541">
        <w:rPr>
          <w:rFonts w:ascii="Times New Roman" w:eastAsiaTheme="minorHAnsi" w:hAnsi="Times New Roman"/>
          <w:color w:val="000000"/>
          <w:sz w:val="24"/>
          <w:szCs w:val="24"/>
        </w:rPr>
        <w:t>met (see Appendix</w:t>
      </w:r>
      <w:r w:rsidRPr="00E80541">
        <w:rPr>
          <w:rFonts w:ascii="Times New Roman" w:eastAsiaTheme="minorHAnsi" w:hAnsi="Times New Roman"/>
          <w:color w:val="000000"/>
          <w:sz w:val="24"/>
          <w:szCs w:val="24"/>
        </w:rPr>
        <w:t xml:space="preserve"> H</w:t>
      </w:r>
      <w:r w:rsidR="009A1952" w:rsidRPr="00E80541">
        <w:rPr>
          <w:rFonts w:ascii="Times New Roman" w:eastAsiaTheme="minorHAnsi" w:hAnsi="Times New Roman"/>
          <w:color w:val="000000"/>
          <w:sz w:val="24"/>
          <w:szCs w:val="24"/>
        </w:rPr>
        <w:t>).</w:t>
      </w:r>
      <w:r w:rsidRPr="00E80541">
        <w:rPr>
          <w:rFonts w:ascii="Times New Roman" w:eastAsiaTheme="minorHAnsi" w:hAnsi="Times New Roman"/>
          <w:color w:val="000000"/>
          <w:sz w:val="24"/>
          <w:szCs w:val="24"/>
        </w:rPr>
        <w:t xml:space="preserve"> </w:t>
      </w:r>
      <w:r w:rsidR="009A1952" w:rsidRPr="00E80541">
        <w:rPr>
          <w:rFonts w:ascii="Times New Roman" w:eastAsiaTheme="minorHAnsi" w:hAnsi="Times New Roman"/>
          <w:color w:val="000000"/>
          <w:sz w:val="24"/>
          <w:szCs w:val="24"/>
        </w:rPr>
        <w:t xml:space="preserve">Within subgroup samples, percentile-matching bandwidths </w:t>
      </w:r>
      <w:r w:rsidR="00DE3138" w:rsidRPr="00E80541">
        <w:rPr>
          <w:rFonts w:ascii="Times New Roman" w:eastAsiaTheme="minorHAnsi" w:hAnsi="Times New Roman"/>
          <w:color w:val="000000"/>
          <w:sz w:val="24"/>
          <w:szCs w:val="24"/>
        </w:rPr>
        <w:t xml:space="preserve">used to sample values of height and weight </w:t>
      </w:r>
      <w:r w:rsidR="009A1952" w:rsidRPr="00E80541">
        <w:rPr>
          <w:rFonts w:ascii="Times New Roman" w:eastAsiaTheme="minorHAnsi" w:hAnsi="Times New Roman"/>
          <w:color w:val="000000"/>
          <w:sz w:val="24"/>
          <w:szCs w:val="24"/>
        </w:rPr>
        <w:t>were</w:t>
      </w:r>
      <w:r w:rsidR="008D242B" w:rsidRPr="00E80541">
        <w:rPr>
          <w:rFonts w:ascii="Times New Roman" w:eastAsiaTheme="minorHAnsi" w:hAnsi="Times New Roman"/>
          <w:color w:val="000000"/>
          <w:sz w:val="24"/>
          <w:szCs w:val="24"/>
        </w:rPr>
        <w:t xml:space="preserve"> </w:t>
      </w:r>
      <w:r w:rsidR="009A1952" w:rsidRPr="00E80541">
        <w:rPr>
          <w:rFonts w:ascii="Times New Roman" w:eastAsiaTheme="minorHAnsi" w:hAnsi="Times New Roman"/>
          <w:color w:val="000000"/>
          <w:sz w:val="24"/>
          <w:szCs w:val="24"/>
        </w:rPr>
        <w:t>initialized to zero and expanded in a similarly iterative way until a match was found.</w:t>
      </w:r>
    </w:p>
    <w:p w14:paraId="276431C9" w14:textId="77777777" w:rsidR="008D242B" w:rsidRPr="00E80541" w:rsidRDefault="008D242B" w:rsidP="00DE3138">
      <w:pPr>
        <w:spacing w:after="0" w:line="480" w:lineRule="auto"/>
        <w:rPr>
          <w:rFonts w:ascii="Times New Roman" w:hAnsi="Times New Roman"/>
          <w:sz w:val="24"/>
          <w:szCs w:val="24"/>
        </w:rPr>
      </w:pPr>
    </w:p>
    <w:p w14:paraId="00AC19E7" w14:textId="77777777" w:rsidR="009E5E61" w:rsidRDefault="00B13026" w:rsidP="00834D60">
      <w:pPr>
        <w:spacing w:line="480" w:lineRule="auto"/>
        <w:rPr>
          <w:rFonts w:ascii="Times New Roman" w:hAnsi="Times New Roman"/>
          <w:sz w:val="24"/>
          <w:szCs w:val="24"/>
        </w:rPr>
      </w:pPr>
      <w:r w:rsidRPr="00E80541">
        <w:rPr>
          <w:rFonts w:ascii="Times New Roman" w:hAnsi="Times New Roman"/>
          <w:sz w:val="24"/>
          <w:szCs w:val="24"/>
        </w:rPr>
        <w:t xml:space="preserve">Sampled measured height and weight were </w:t>
      </w:r>
      <w:r w:rsidR="00BC0E7A" w:rsidRPr="00E80541">
        <w:rPr>
          <w:rFonts w:ascii="Times New Roman" w:hAnsi="Times New Roman"/>
          <w:sz w:val="24"/>
          <w:szCs w:val="24"/>
        </w:rPr>
        <w:t xml:space="preserve">“smoothed” by randomly adding or subtracting up to 1% of the sampled value </w:t>
      </w:r>
      <w:r w:rsidR="009A1952" w:rsidRPr="00E80541">
        <w:rPr>
          <w:rFonts w:ascii="Times New Roman" w:hAnsi="Times New Roman"/>
          <w:sz w:val="24"/>
          <w:szCs w:val="24"/>
        </w:rPr>
        <w:t xml:space="preserve">for </w:t>
      </w:r>
      <w:r w:rsidR="00BC0E7A" w:rsidRPr="00E80541">
        <w:rPr>
          <w:rFonts w:ascii="Times New Roman" w:hAnsi="Times New Roman"/>
          <w:sz w:val="24"/>
          <w:szCs w:val="24"/>
        </w:rPr>
        <w:t>each individual</w:t>
      </w:r>
      <w:r w:rsidRPr="00E80541">
        <w:rPr>
          <w:rFonts w:ascii="Times New Roman" w:hAnsi="Times New Roman"/>
          <w:sz w:val="24"/>
          <w:szCs w:val="24"/>
        </w:rPr>
        <w:t>.</w:t>
      </w:r>
      <w:hyperlink w:anchor="_ENREF_3" w:tooltip="Silverman, 1987 #32" w:history="1">
        <w:r w:rsidR="001A6DDE" w:rsidRPr="00E80541">
          <w:rPr>
            <w:rFonts w:ascii="Times New Roman" w:hAnsi="Times New Roman"/>
            <w:sz w:val="24"/>
            <w:szCs w:val="24"/>
          </w:rPr>
          <w:fldChar w:fldCharType="begin"/>
        </w:r>
        <w:r w:rsidR="001A6DDE" w:rsidRPr="00E80541">
          <w:rPr>
            <w:rFonts w:ascii="Times New Roman" w:hAnsi="Times New Roman"/>
            <w:sz w:val="24"/>
            <w:szCs w:val="24"/>
          </w:rPr>
          <w:instrText xml:space="preserve"> ADDIN EN.CITE &lt;EndNote&gt;&lt;Cite&gt;&lt;Author&gt;Silverman&lt;/Author&gt;&lt;Year&gt;1987&lt;/Year&gt;&lt;RecNum&gt;32&lt;/RecNum&gt;&lt;DisplayText&gt;&lt;style face="superscript"&gt;3&lt;/style&gt;&lt;/DisplayText&gt;&lt;record&gt;&lt;rec-number&gt;32&lt;/rec-number&gt;&lt;foreign-keys&gt;&lt;key app="EN" db-id="e0a9sdftlpeazee5d51xxzzexr9vpd00deds" timestamp="1455119788"&gt;32&lt;/key&gt;&lt;/foreign-keys&gt;&lt;ref-type name="Journal Article"&gt;17&lt;/ref-type&gt;&lt;contributors&gt;&lt;authors&gt;&lt;author&gt;Silverman, BW&lt;/author&gt;&lt;author&gt;Young, GA&lt;/author&gt;&lt;/authors&gt;&lt;/contributors&gt;&lt;titles&gt;&lt;title&gt;The Bootstrap: To Smooth or Not to Smooth?&lt;/title&gt;&lt;secondary-title&gt;Biometrika&lt;/secondary-title&gt;&lt;/titles&gt;&lt;periodical&gt;&lt;full-title&gt;Biometrika&lt;/full-title&gt;&lt;/periodical&gt;&lt;pages&gt;469-479&lt;/pages&gt;&lt;volume&gt;74&lt;/volume&gt;&lt;number&gt;3&lt;/number&gt;&lt;dates&gt;&lt;year&gt;1987&lt;/year&gt;&lt;/dates&gt;&lt;urls&gt;&lt;related-urls&gt;&lt;url&gt;http://www.jstor.org/stable/2336686&lt;/url&gt;&lt;/related-urls&gt;&lt;/urls&gt;&lt;access-date&gt;21/08/2013 11:47&lt;/access-date&gt;&lt;/record&gt;&lt;/Cite&gt;&lt;/EndNote&gt;</w:instrText>
        </w:r>
        <w:r w:rsidR="001A6DDE" w:rsidRPr="00E80541">
          <w:rPr>
            <w:rFonts w:ascii="Times New Roman" w:hAnsi="Times New Roman"/>
            <w:sz w:val="24"/>
            <w:szCs w:val="24"/>
          </w:rPr>
          <w:fldChar w:fldCharType="separate"/>
        </w:r>
        <w:r w:rsidR="001A6DDE" w:rsidRPr="00E80541">
          <w:rPr>
            <w:rFonts w:ascii="Times New Roman" w:hAnsi="Times New Roman"/>
            <w:noProof/>
            <w:sz w:val="24"/>
            <w:szCs w:val="24"/>
            <w:vertAlign w:val="superscript"/>
          </w:rPr>
          <w:t>3</w:t>
        </w:r>
        <w:r w:rsidR="001A6DDE" w:rsidRPr="00E80541">
          <w:rPr>
            <w:rFonts w:ascii="Times New Roman" w:hAnsi="Times New Roman"/>
            <w:sz w:val="24"/>
            <w:szCs w:val="24"/>
          </w:rPr>
          <w:fldChar w:fldCharType="end"/>
        </w:r>
      </w:hyperlink>
      <w:r w:rsidR="00BC0E7A" w:rsidRPr="00E80541">
        <w:rPr>
          <w:rFonts w:ascii="Times New Roman" w:hAnsi="Times New Roman"/>
          <w:sz w:val="24"/>
          <w:szCs w:val="24"/>
        </w:rPr>
        <w:t xml:space="preserve"> </w:t>
      </w:r>
      <w:r w:rsidR="00EB5AF8" w:rsidRPr="00E80541">
        <w:rPr>
          <w:rFonts w:ascii="Times New Roman" w:hAnsi="Times New Roman"/>
          <w:sz w:val="24"/>
          <w:szCs w:val="24"/>
        </w:rPr>
        <w:t>The assigned smoothed</w:t>
      </w:r>
      <w:r w:rsidRPr="00E80541">
        <w:rPr>
          <w:rFonts w:ascii="Times New Roman" w:hAnsi="Times New Roman"/>
          <w:sz w:val="24"/>
          <w:szCs w:val="24"/>
        </w:rPr>
        <w:t xml:space="preserve"> height and weight values from matched individuals were used to derive BMI (kg/m</w:t>
      </w:r>
      <w:r w:rsidRPr="00E80541">
        <w:rPr>
          <w:rFonts w:ascii="Times New Roman" w:hAnsi="Times New Roman"/>
          <w:sz w:val="24"/>
          <w:szCs w:val="24"/>
          <w:vertAlign w:val="superscript"/>
        </w:rPr>
        <w:t>2</w:t>
      </w:r>
      <w:r w:rsidRPr="00E80541">
        <w:rPr>
          <w:rFonts w:ascii="Times New Roman" w:hAnsi="Times New Roman"/>
          <w:sz w:val="24"/>
          <w:szCs w:val="24"/>
        </w:rPr>
        <w:t xml:space="preserve">). </w:t>
      </w:r>
      <w:r w:rsidR="002C56C5" w:rsidRPr="00E80541">
        <w:rPr>
          <w:rFonts w:ascii="Times New Roman" w:hAnsi="Times New Roman"/>
          <w:sz w:val="24"/>
          <w:szCs w:val="24"/>
        </w:rPr>
        <w:t>BMI percentile w</w:t>
      </w:r>
      <w:r w:rsidR="00285DC7" w:rsidRPr="00E80541">
        <w:rPr>
          <w:rFonts w:ascii="Times New Roman" w:hAnsi="Times New Roman"/>
          <w:sz w:val="24"/>
          <w:szCs w:val="24"/>
        </w:rPr>
        <w:t>as used to define overweight (</w:t>
      </w:r>
      <w:r w:rsidR="002C56C5" w:rsidRPr="00E80541">
        <w:rPr>
          <w:rFonts w:ascii="Times New Roman" w:hAnsi="Times New Roman"/>
          <w:sz w:val="24"/>
          <w:szCs w:val="24"/>
        </w:rPr>
        <w:t>≥85</w:t>
      </w:r>
      <w:r w:rsidR="002C56C5" w:rsidRPr="00E80541">
        <w:rPr>
          <w:rFonts w:ascii="Times New Roman" w:hAnsi="Times New Roman"/>
          <w:sz w:val="24"/>
          <w:szCs w:val="24"/>
          <w:vertAlign w:val="superscript"/>
        </w:rPr>
        <w:t xml:space="preserve">th </w:t>
      </w:r>
      <w:r w:rsidR="002C56C5" w:rsidRPr="00E80541">
        <w:rPr>
          <w:rFonts w:ascii="Times New Roman" w:hAnsi="Times New Roman"/>
          <w:sz w:val="24"/>
          <w:szCs w:val="24"/>
        </w:rPr>
        <w:t xml:space="preserve">and </w:t>
      </w:r>
      <w:r w:rsidR="00285DC7" w:rsidRPr="00E80541">
        <w:rPr>
          <w:rFonts w:ascii="Times New Roman" w:hAnsi="Times New Roman"/>
          <w:sz w:val="24"/>
          <w:szCs w:val="24"/>
        </w:rPr>
        <w:t>&lt;</w:t>
      </w:r>
      <w:r w:rsidR="002C56C5" w:rsidRPr="00E80541">
        <w:rPr>
          <w:rFonts w:ascii="Times New Roman" w:hAnsi="Times New Roman"/>
          <w:sz w:val="24"/>
          <w:szCs w:val="24"/>
        </w:rPr>
        <w:t>95</w:t>
      </w:r>
      <w:r w:rsidR="002C56C5" w:rsidRPr="00E80541">
        <w:rPr>
          <w:rFonts w:ascii="Times New Roman" w:hAnsi="Times New Roman"/>
          <w:sz w:val="24"/>
          <w:szCs w:val="24"/>
          <w:vertAlign w:val="superscript"/>
        </w:rPr>
        <w:t>th</w:t>
      </w:r>
      <w:r w:rsidR="002C56C5" w:rsidRPr="00E80541">
        <w:rPr>
          <w:rFonts w:ascii="Times New Roman" w:hAnsi="Times New Roman"/>
          <w:sz w:val="24"/>
          <w:szCs w:val="24"/>
        </w:rPr>
        <w:t xml:space="preserve"> percentile) and obesity</w:t>
      </w:r>
      <w:r w:rsidRPr="00E80541">
        <w:rPr>
          <w:rFonts w:ascii="Times New Roman" w:hAnsi="Times New Roman"/>
          <w:sz w:val="24"/>
          <w:szCs w:val="24"/>
        </w:rPr>
        <w:t xml:space="preserve"> status</w:t>
      </w:r>
      <w:r w:rsidR="002C56C5" w:rsidRPr="00E80541">
        <w:rPr>
          <w:rFonts w:ascii="Times New Roman" w:hAnsi="Times New Roman"/>
          <w:sz w:val="24"/>
          <w:szCs w:val="24"/>
        </w:rPr>
        <w:t xml:space="preserve"> (≥95</w:t>
      </w:r>
      <w:r w:rsidR="002C56C5" w:rsidRPr="00E80541">
        <w:rPr>
          <w:rFonts w:ascii="Times New Roman" w:hAnsi="Times New Roman"/>
          <w:sz w:val="24"/>
          <w:szCs w:val="24"/>
          <w:vertAlign w:val="superscript"/>
        </w:rPr>
        <w:t>th</w:t>
      </w:r>
      <w:r w:rsidR="002C56C5" w:rsidRPr="00E80541">
        <w:rPr>
          <w:rFonts w:ascii="Times New Roman" w:hAnsi="Times New Roman"/>
          <w:sz w:val="24"/>
          <w:szCs w:val="24"/>
        </w:rPr>
        <w:t xml:space="preserve"> percentile)</w:t>
      </w:r>
      <w:r w:rsidRPr="00E80541">
        <w:rPr>
          <w:rFonts w:ascii="Times New Roman" w:hAnsi="Times New Roman"/>
          <w:sz w:val="24"/>
          <w:szCs w:val="24"/>
        </w:rPr>
        <w:t xml:space="preserve"> based on the 2000 CDC growth charts.</w:t>
      </w:r>
      <w:hyperlink w:anchor="_ENREF_4" w:tooltip="Kuczmarski, 2002 #12" w:history="1">
        <w:r w:rsidR="001A6DDE" w:rsidRPr="00E80541">
          <w:rPr>
            <w:rFonts w:ascii="Times New Roman" w:hAnsi="Times New Roman"/>
            <w:sz w:val="24"/>
            <w:szCs w:val="24"/>
          </w:rPr>
          <w:fldChar w:fldCharType="begin">
            <w:fldData xml:space="preserve">PEVuZE5vdGU+PENpdGU+PEF1dGhvcj5LdWN6bWFyc2tpPC9BdXRob3I+PFllYXI+MjAwMjwvWWVh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</w:fldData>
          </w:fldChar>
        </w:r>
        <w:r w:rsidR="001A6DDE" w:rsidRPr="00E80541">
          <w:rPr>
            <w:rFonts w:ascii="Times New Roman" w:hAnsi="Times New Roman"/>
            <w:sz w:val="24"/>
            <w:szCs w:val="24"/>
          </w:rPr>
          <w:instrText xml:space="preserve"> ADDIN EN.CITE </w:instrText>
        </w:r>
        <w:r w:rsidR="001A6DDE" w:rsidRPr="00E80541">
          <w:rPr>
            <w:rFonts w:ascii="Times New Roman" w:hAnsi="Times New Roman"/>
            <w:sz w:val="24"/>
            <w:szCs w:val="24"/>
          </w:rPr>
          <w:fldChar w:fldCharType="begin">
            <w:fldData xml:space="preserve">PEVuZE5vdGU+PENpdGU+PEF1dGhvcj5LdWN6bWFyc2tpPC9BdXRob3I+PFllYXI+MjAwMjwvWWVh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</w:fldData>
          </w:fldChar>
        </w:r>
        <w:r w:rsidR="001A6DDE" w:rsidRPr="00E80541">
          <w:rPr>
            <w:rFonts w:ascii="Times New Roman" w:hAnsi="Times New Roman"/>
            <w:sz w:val="24"/>
            <w:szCs w:val="24"/>
          </w:rPr>
          <w:instrText xml:space="preserve"> ADDIN EN.CITE.DATA </w:instrText>
        </w:r>
        <w:r w:rsidR="001A6DDE" w:rsidRPr="00E80541">
          <w:rPr>
            <w:rFonts w:ascii="Times New Roman" w:hAnsi="Times New Roman"/>
            <w:sz w:val="24"/>
            <w:szCs w:val="24"/>
          </w:rPr>
        </w:r>
        <w:r w:rsidR="001A6DDE" w:rsidRPr="00E80541">
          <w:rPr>
            <w:rFonts w:ascii="Times New Roman" w:hAnsi="Times New Roman"/>
            <w:sz w:val="24"/>
            <w:szCs w:val="24"/>
          </w:rPr>
          <w:fldChar w:fldCharType="end"/>
        </w:r>
        <w:r w:rsidR="001A6DDE" w:rsidRPr="00E80541">
          <w:rPr>
            <w:rFonts w:ascii="Times New Roman" w:hAnsi="Times New Roman"/>
            <w:sz w:val="24"/>
            <w:szCs w:val="24"/>
          </w:rPr>
        </w:r>
        <w:r w:rsidR="001A6DDE" w:rsidRPr="00E80541">
          <w:rPr>
            <w:rFonts w:ascii="Times New Roman" w:hAnsi="Times New Roman"/>
            <w:sz w:val="24"/>
            <w:szCs w:val="24"/>
          </w:rPr>
          <w:fldChar w:fldCharType="separate"/>
        </w:r>
        <w:r w:rsidR="001A6DDE" w:rsidRPr="00E80541">
          <w:rPr>
            <w:rFonts w:ascii="Times New Roman" w:hAnsi="Times New Roman"/>
            <w:noProof/>
            <w:sz w:val="24"/>
            <w:szCs w:val="24"/>
            <w:vertAlign w:val="superscript"/>
          </w:rPr>
          <w:t>4</w:t>
        </w:r>
        <w:r w:rsidR="001A6DDE" w:rsidRPr="00E80541">
          <w:rPr>
            <w:rFonts w:ascii="Times New Roman" w:hAnsi="Times New Roman"/>
            <w:sz w:val="24"/>
            <w:szCs w:val="24"/>
          </w:rPr>
          <w:fldChar w:fldCharType="end"/>
        </w:r>
      </w:hyperlink>
      <w:r w:rsidRPr="00E80541">
        <w:rPr>
          <w:rFonts w:ascii="Times New Roman" w:hAnsi="Times New Roman"/>
          <w:sz w:val="24"/>
          <w:szCs w:val="24"/>
        </w:rPr>
        <w:t xml:space="preserve"> </w:t>
      </w:r>
    </w:p>
    <w:p w14:paraId="05142D7C" w14:textId="656A58AE" w:rsidR="00693A55" w:rsidRPr="00E80541" w:rsidRDefault="00693A55" w:rsidP="00834D60">
      <w:pPr>
        <w:spacing w:line="480" w:lineRule="auto"/>
        <w:rPr>
          <w:rFonts w:ascii="Times New Roman" w:hAnsi="Times New Roman"/>
          <w:b/>
          <w:sz w:val="24"/>
          <w:szCs w:val="24"/>
        </w:rPr>
      </w:pPr>
      <w:bookmarkStart w:id="0" w:name="_GoBack"/>
      <w:bookmarkEnd w:id="0"/>
      <w:r w:rsidRPr="00E80541">
        <w:rPr>
          <w:rFonts w:ascii="Times New Roman" w:hAnsi="Times New Roman"/>
          <w:b/>
          <w:sz w:val="24"/>
          <w:szCs w:val="24"/>
        </w:rPr>
        <w:t>References</w:t>
      </w:r>
    </w:p>
    <w:p w14:paraId="223A7C5C" w14:textId="77777777" w:rsidR="001A6DDE" w:rsidRPr="00E80541" w:rsidRDefault="00693A55" w:rsidP="00834D60">
      <w:pPr>
        <w:pStyle w:val="EndNoteBibliography"/>
        <w:spacing w:after="0" w:line="480" w:lineRule="auto"/>
        <w:rPr>
          <w:rFonts w:ascii="Times New Roman" w:hAnsi="Times New Roman"/>
          <w:sz w:val="24"/>
          <w:szCs w:val="24"/>
        </w:rPr>
      </w:pPr>
      <w:r w:rsidRPr="00E80541">
        <w:rPr>
          <w:rFonts w:ascii="Times New Roman" w:hAnsi="Times New Roman"/>
          <w:sz w:val="24"/>
          <w:szCs w:val="24"/>
        </w:rPr>
        <w:fldChar w:fldCharType="begin"/>
      </w:r>
      <w:r w:rsidRPr="00E80541">
        <w:rPr>
          <w:rFonts w:ascii="Times New Roman" w:hAnsi="Times New Roman"/>
          <w:sz w:val="24"/>
          <w:szCs w:val="24"/>
        </w:rPr>
        <w:instrText xml:space="preserve"> ADDIN EN.REFLIST </w:instrText>
      </w:r>
      <w:r w:rsidRPr="00E80541">
        <w:rPr>
          <w:rFonts w:ascii="Times New Roman" w:hAnsi="Times New Roman"/>
          <w:sz w:val="24"/>
          <w:szCs w:val="24"/>
        </w:rPr>
        <w:fldChar w:fldCharType="separate"/>
      </w:r>
      <w:bookmarkStart w:id="1" w:name="_ENREF_1"/>
      <w:r w:rsidR="001A6DDE" w:rsidRPr="00E80541">
        <w:rPr>
          <w:rFonts w:ascii="Times New Roman" w:hAnsi="Times New Roman"/>
          <w:sz w:val="24"/>
          <w:szCs w:val="24"/>
        </w:rPr>
        <w:t>1.</w:t>
      </w:r>
      <w:r w:rsidR="001A6DDE" w:rsidRPr="00E80541">
        <w:rPr>
          <w:rFonts w:ascii="Times New Roman" w:hAnsi="Times New Roman"/>
          <w:sz w:val="24"/>
          <w:szCs w:val="24"/>
        </w:rPr>
        <w:tab/>
        <w:t>D'Orazio M, Di Zio M, Scanu M. Statistical matching : theory and practice. Chichester, England ; Hoboken, NJ: Wiley; 2006. x, 256 p. p.</w:t>
      </w:r>
      <w:bookmarkEnd w:id="1"/>
    </w:p>
    <w:p w14:paraId="4952FEF1" w14:textId="77777777" w:rsidR="001A6DDE" w:rsidRPr="00E80541" w:rsidRDefault="001A6DDE" w:rsidP="00834D60">
      <w:pPr>
        <w:pStyle w:val="EndNoteBibliography"/>
        <w:spacing w:after="0" w:line="480" w:lineRule="auto"/>
        <w:rPr>
          <w:rFonts w:ascii="Times New Roman" w:hAnsi="Times New Roman"/>
          <w:sz w:val="24"/>
          <w:szCs w:val="24"/>
        </w:rPr>
      </w:pPr>
      <w:bookmarkStart w:id="2" w:name="_ENREF_2"/>
      <w:r w:rsidRPr="00E80541">
        <w:rPr>
          <w:rFonts w:ascii="Times New Roman" w:hAnsi="Times New Roman"/>
          <w:sz w:val="24"/>
          <w:szCs w:val="24"/>
        </w:rPr>
        <w:t>2.</w:t>
      </w:r>
      <w:r w:rsidRPr="00E80541">
        <w:rPr>
          <w:rFonts w:ascii="Times New Roman" w:hAnsi="Times New Roman"/>
          <w:sz w:val="24"/>
          <w:szCs w:val="24"/>
        </w:rPr>
        <w:tab/>
        <w:t>Wang YC, Pamplin J, Long MW, Ward ZJ, Gortmaker SL, Andreyeva T. Severe Obesity In Adults Cost State Medicaid Programs Nearly $8 Billion In 2013. Health Aff (Millwood) 2015;34(11):1923-31.</w:t>
      </w:r>
      <w:bookmarkEnd w:id="2"/>
    </w:p>
    <w:p w14:paraId="1A057997" w14:textId="77777777" w:rsidR="001A6DDE" w:rsidRPr="00E80541" w:rsidRDefault="001A6DDE" w:rsidP="00834D60">
      <w:pPr>
        <w:pStyle w:val="EndNoteBibliography"/>
        <w:spacing w:after="0" w:line="480" w:lineRule="auto"/>
        <w:rPr>
          <w:rFonts w:ascii="Times New Roman" w:hAnsi="Times New Roman"/>
          <w:sz w:val="24"/>
          <w:szCs w:val="24"/>
        </w:rPr>
      </w:pPr>
      <w:bookmarkStart w:id="3" w:name="_ENREF_3"/>
      <w:r w:rsidRPr="00E80541">
        <w:rPr>
          <w:rFonts w:ascii="Times New Roman" w:hAnsi="Times New Roman"/>
          <w:sz w:val="24"/>
          <w:szCs w:val="24"/>
        </w:rPr>
        <w:t>3.</w:t>
      </w:r>
      <w:r w:rsidRPr="00E80541">
        <w:rPr>
          <w:rFonts w:ascii="Times New Roman" w:hAnsi="Times New Roman"/>
          <w:sz w:val="24"/>
          <w:szCs w:val="24"/>
        </w:rPr>
        <w:tab/>
        <w:t>Silverman B, Young G. The Bootstrap: To Smooth or Not to Smooth? Biometrika 1987;74(3):469-79.</w:t>
      </w:r>
      <w:bookmarkEnd w:id="3"/>
    </w:p>
    <w:p w14:paraId="7923D5F5" w14:textId="77777777" w:rsidR="001A6DDE" w:rsidRPr="00E80541" w:rsidRDefault="001A6DDE" w:rsidP="00834D60">
      <w:pPr>
        <w:pStyle w:val="EndNoteBibliography"/>
        <w:spacing w:line="480" w:lineRule="auto"/>
        <w:rPr>
          <w:rFonts w:ascii="Times New Roman" w:hAnsi="Times New Roman"/>
          <w:sz w:val="24"/>
          <w:szCs w:val="24"/>
        </w:rPr>
      </w:pPr>
      <w:bookmarkStart w:id="4" w:name="_ENREF_4"/>
      <w:r w:rsidRPr="00E80541">
        <w:rPr>
          <w:rFonts w:ascii="Times New Roman" w:hAnsi="Times New Roman"/>
          <w:sz w:val="24"/>
          <w:szCs w:val="24"/>
        </w:rPr>
        <w:t>4.</w:t>
      </w:r>
      <w:r w:rsidRPr="00E80541">
        <w:rPr>
          <w:rFonts w:ascii="Times New Roman" w:hAnsi="Times New Roman"/>
          <w:sz w:val="24"/>
          <w:szCs w:val="24"/>
        </w:rPr>
        <w:tab/>
        <w:t>Kuczmarski RJ, Ogden CL, Guo SS, Grummer-Strawn LM, Flegal KM, Mei Z, et al. 2000 CDC Growth Charts for the United States: methods and development. Vital and health statistics Series 11, Data from the national health survey 2002(246):1-190.</w:t>
      </w:r>
      <w:bookmarkEnd w:id="4"/>
    </w:p>
    <w:p w14:paraId="05F54260" w14:textId="75D14A7F" w:rsidR="00693A55" w:rsidRPr="00E80541" w:rsidRDefault="00693A55" w:rsidP="00834D60">
      <w:pPr>
        <w:suppressLineNumbers/>
        <w:spacing w:line="480" w:lineRule="auto"/>
        <w:rPr>
          <w:rFonts w:ascii="Times New Roman" w:hAnsi="Times New Roman"/>
          <w:sz w:val="24"/>
          <w:szCs w:val="24"/>
        </w:rPr>
      </w:pPr>
      <w:r w:rsidRPr="00E80541">
        <w:rPr>
          <w:rFonts w:ascii="Times New Roman" w:hAnsi="Times New Roman"/>
          <w:sz w:val="24"/>
          <w:szCs w:val="24"/>
        </w:rPr>
        <w:fldChar w:fldCharType="end"/>
      </w:r>
      <w:r w:rsidRPr="00E80541">
        <w:rPr>
          <w:rFonts w:ascii="Times New Roman" w:hAnsi="Times New Roman"/>
          <w:sz w:val="24"/>
          <w:szCs w:val="24"/>
        </w:rPr>
        <w:br w:type="page"/>
      </w:r>
    </w:p>
    <w:p w14:paraId="61A8BFA8" w14:textId="6D38CF1C" w:rsidR="00C2109A" w:rsidRPr="00E80541" w:rsidRDefault="00C2109A" w:rsidP="00834D60">
      <w:pPr>
        <w:suppressLineNumbers/>
        <w:spacing w:line="240" w:lineRule="auto"/>
        <w:rPr>
          <w:rFonts w:ascii="Times New Roman" w:hAnsi="Times New Roman"/>
          <w:b/>
          <w:sz w:val="24"/>
          <w:szCs w:val="24"/>
        </w:rPr>
      </w:pPr>
      <w:r w:rsidRPr="00E80541">
        <w:rPr>
          <w:rFonts w:ascii="Times New Roman" w:hAnsi="Times New Roman"/>
          <w:b/>
          <w:sz w:val="24"/>
          <w:szCs w:val="24"/>
        </w:rPr>
        <w:lastRenderedPageBreak/>
        <w:t>Appendix A. Comparison of mean body mass index (BMI) by age and sex from parent-reported 2003/2007 National Survey of Children’s Health (NSCH) (n=133,213) and objectively measured 2005-2010 National Health and Nutrition Examination Survey (NHANES) (n=9,377)</w:t>
      </w:r>
    </w:p>
    <w:p w14:paraId="123F205C" w14:textId="77777777" w:rsidR="00C2109A" w:rsidRPr="00E80541" w:rsidRDefault="00C2109A" w:rsidP="00DF5A28">
      <w:pPr>
        <w:suppressLineNumbers/>
        <w:spacing w:after="0"/>
        <w:rPr>
          <w:rFonts w:ascii="Times New Roman" w:hAnsi="Times New Roman"/>
          <w:b/>
        </w:rPr>
      </w:pPr>
      <w:r w:rsidRPr="00E80541">
        <w:rPr>
          <w:noProof/>
        </w:rPr>
        <w:drawing>
          <wp:inline distT="0" distB="0" distL="0" distR="0" wp14:anchorId="332C7549" wp14:editId="4B9C3674">
            <wp:extent cx="5754414" cy="3026979"/>
            <wp:effectExtent l="0" t="0" r="1778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C92F68" w14:textId="77777777" w:rsidR="00C2109A" w:rsidRPr="00E80541" w:rsidRDefault="00C2109A" w:rsidP="00DF5A28">
      <w:pPr>
        <w:suppressLineNumbers/>
        <w:rPr>
          <w:rFonts w:ascii="Times New Roman" w:hAnsi="Times New Roman"/>
          <w:b/>
        </w:rPr>
      </w:pPr>
      <w:r w:rsidRPr="00E80541">
        <w:rPr>
          <w:noProof/>
        </w:rPr>
        <w:drawing>
          <wp:inline distT="0" distB="0" distL="0" distR="0" wp14:anchorId="42E1DE2D" wp14:editId="6E153C9C">
            <wp:extent cx="5754370" cy="2727435"/>
            <wp:effectExtent l="0" t="0" r="1778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CF1251" w14:textId="77777777" w:rsidR="00C2109A" w:rsidRPr="00E80541" w:rsidRDefault="00C2109A" w:rsidP="00DF5A28">
      <w:pPr>
        <w:suppressLineNumbers/>
        <w:spacing w:line="480" w:lineRule="auto"/>
        <w:rPr>
          <w:rFonts w:ascii="Times New Roman" w:hAnsi="Times New Roman"/>
          <w:b/>
        </w:rPr>
      </w:pPr>
    </w:p>
    <w:p w14:paraId="1BC357AA" w14:textId="77777777" w:rsidR="00C2109A" w:rsidRPr="00E80541" w:rsidRDefault="00C2109A" w:rsidP="00DF5A28">
      <w:pPr>
        <w:suppressLineNumbers/>
        <w:spacing w:line="480" w:lineRule="auto"/>
        <w:rPr>
          <w:rFonts w:ascii="Times New Roman" w:hAnsi="Times New Roman"/>
          <w:b/>
        </w:rPr>
      </w:pPr>
      <w:r w:rsidRPr="00E80541">
        <w:rPr>
          <w:rFonts w:ascii="Times New Roman" w:hAnsi="Times New Roman"/>
          <w:b/>
        </w:rPr>
        <w:br w:type="page"/>
      </w:r>
    </w:p>
    <w:p w14:paraId="7E4CB601" w14:textId="3DD03C4D" w:rsidR="006F693F" w:rsidRPr="00E80541" w:rsidRDefault="0031714B" w:rsidP="00834D60">
      <w:pPr>
        <w:suppressLineNumbers/>
        <w:spacing w:after="0" w:line="240" w:lineRule="auto"/>
        <w:rPr>
          <w:rFonts w:ascii="Times New Roman" w:hAnsi="Times New Roman"/>
          <w:sz w:val="24"/>
          <w:szCs w:val="24"/>
        </w:rPr>
      </w:pPr>
      <w:r w:rsidRPr="00E80541">
        <w:rPr>
          <w:rFonts w:ascii="Times New Roman" w:hAnsi="Times New Roman"/>
          <w:b/>
          <w:sz w:val="24"/>
          <w:szCs w:val="24"/>
        </w:rPr>
        <w:lastRenderedPageBreak/>
        <w:t>Appendix</w:t>
      </w:r>
      <w:r w:rsidR="00C2109A" w:rsidRPr="00E80541">
        <w:rPr>
          <w:rFonts w:ascii="Times New Roman" w:hAnsi="Times New Roman"/>
          <w:b/>
          <w:sz w:val="24"/>
          <w:szCs w:val="24"/>
        </w:rPr>
        <w:t xml:space="preserve"> B</w:t>
      </w:r>
      <w:r w:rsidR="004822CD" w:rsidRPr="00E80541">
        <w:rPr>
          <w:rFonts w:ascii="Times New Roman" w:hAnsi="Times New Roman"/>
          <w:b/>
          <w:sz w:val="24"/>
          <w:szCs w:val="24"/>
        </w:rPr>
        <w:t>.</w:t>
      </w:r>
      <w:r w:rsidR="00CB79B9" w:rsidRPr="00E80541">
        <w:rPr>
          <w:rFonts w:ascii="Times New Roman" w:hAnsi="Times New Roman"/>
          <w:b/>
          <w:sz w:val="24"/>
          <w:szCs w:val="24"/>
        </w:rPr>
        <w:t xml:space="preserve"> </w:t>
      </w:r>
      <w:r w:rsidR="004822CD" w:rsidRPr="00E80541">
        <w:rPr>
          <w:rFonts w:ascii="Times New Roman" w:hAnsi="Times New Roman"/>
          <w:b/>
          <w:sz w:val="24"/>
          <w:szCs w:val="24"/>
        </w:rPr>
        <w:t xml:space="preserve">Comparison of mean height, weight, and BMI by age and sex </w:t>
      </w:r>
      <w:r w:rsidR="00D915A3" w:rsidRPr="00E80541">
        <w:rPr>
          <w:rFonts w:ascii="Times New Roman" w:hAnsi="Times New Roman"/>
          <w:b/>
          <w:sz w:val="24"/>
          <w:szCs w:val="24"/>
        </w:rPr>
        <w:t xml:space="preserve">from </w:t>
      </w:r>
      <w:r w:rsidR="002C56C5" w:rsidRPr="00E80541">
        <w:rPr>
          <w:rFonts w:ascii="Times New Roman" w:hAnsi="Times New Roman"/>
          <w:b/>
          <w:sz w:val="24"/>
          <w:szCs w:val="24"/>
        </w:rPr>
        <w:t>2003-2008</w:t>
      </w:r>
      <w:r w:rsidR="004822CD" w:rsidRPr="00E80541">
        <w:rPr>
          <w:rFonts w:ascii="Times New Roman" w:hAnsi="Times New Roman"/>
          <w:b/>
          <w:sz w:val="24"/>
          <w:szCs w:val="24"/>
        </w:rPr>
        <w:t xml:space="preserve"> N</w:t>
      </w:r>
      <w:r w:rsidR="00842153" w:rsidRPr="00E80541">
        <w:rPr>
          <w:rFonts w:ascii="Times New Roman" w:hAnsi="Times New Roman"/>
          <w:b/>
          <w:sz w:val="24"/>
          <w:szCs w:val="24"/>
        </w:rPr>
        <w:t xml:space="preserve">ational </w:t>
      </w:r>
      <w:r w:rsidR="004822CD" w:rsidRPr="00E80541">
        <w:rPr>
          <w:rFonts w:ascii="Times New Roman" w:hAnsi="Times New Roman"/>
          <w:b/>
          <w:sz w:val="24"/>
          <w:szCs w:val="24"/>
        </w:rPr>
        <w:t>S</w:t>
      </w:r>
      <w:r w:rsidR="00842153" w:rsidRPr="00E80541">
        <w:rPr>
          <w:rFonts w:ascii="Times New Roman" w:hAnsi="Times New Roman"/>
          <w:b/>
          <w:sz w:val="24"/>
          <w:szCs w:val="24"/>
        </w:rPr>
        <w:t>urvey of Children’s Health (NS</w:t>
      </w:r>
      <w:r w:rsidR="004822CD" w:rsidRPr="00E80541">
        <w:rPr>
          <w:rFonts w:ascii="Times New Roman" w:hAnsi="Times New Roman"/>
          <w:b/>
          <w:sz w:val="24"/>
          <w:szCs w:val="24"/>
        </w:rPr>
        <w:t>CH</w:t>
      </w:r>
      <w:r w:rsidR="00842153" w:rsidRPr="00E80541">
        <w:rPr>
          <w:rFonts w:ascii="Times New Roman" w:hAnsi="Times New Roman"/>
          <w:b/>
          <w:sz w:val="24"/>
          <w:szCs w:val="24"/>
        </w:rPr>
        <w:t>)</w:t>
      </w:r>
      <w:r w:rsidR="004822CD" w:rsidRPr="00E80541">
        <w:rPr>
          <w:rFonts w:ascii="Times New Roman" w:hAnsi="Times New Roman"/>
          <w:b/>
          <w:sz w:val="24"/>
          <w:szCs w:val="24"/>
        </w:rPr>
        <w:t xml:space="preserve"> (</w:t>
      </w:r>
      <w:r w:rsidR="006F693F" w:rsidRPr="00E80541">
        <w:rPr>
          <w:rFonts w:ascii="Times New Roman" w:hAnsi="Times New Roman"/>
          <w:b/>
          <w:sz w:val="24"/>
          <w:szCs w:val="24"/>
        </w:rPr>
        <w:t>n=133,21</w:t>
      </w:r>
      <w:r w:rsidR="00053744" w:rsidRPr="00E80541">
        <w:rPr>
          <w:rFonts w:ascii="Times New Roman" w:hAnsi="Times New Roman"/>
          <w:b/>
          <w:sz w:val="24"/>
          <w:szCs w:val="24"/>
        </w:rPr>
        <w:t>3</w:t>
      </w:r>
      <w:r w:rsidR="006F693F" w:rsidRPr="00E80541">
        <w:rPr>
          <w:rFonts w:ascii="Times New Roman" w:hAnsi="Times New Roman"/>
          <w:b/>
          <w:sz w:val="24"/>
          <w:szCs w:val="24"/>
        </w:rPr>
        <w:t xml:space="preserve">) </w:t>
      </w:r>
      <w:r w:rsidR="004822CD" w:rsidRPr="00E80541">
        <w:rPr>
          <w:rFonts w:ascii="Times New Roman" w:hAnsi="Times New Roman"/>
          <w:b/>
          <w:sz w:val="24"/>
          <w:szCs w:val="24"/>
        </w:rPr>
        <w:t>and 2005-2010</w:t>
      </w:r>
      <w:r w:rsidR="00842153" w:rsidRPr="00E80541">
        <w:rPr>
          <w:rFonts w:ascii="Times New Roman" w:hAnsi="Times New Roman"/>
          <w:b/>
          <w:sz w:val="24"/>
          <w:szCs w:val="24"/>
        </w:rPr>
        <w:t xml:space="preserve"> National Health and Nutrition Examination Survey</w:t>
      </w:r>
      <w:r w:rsidR="004822CD" w:rsidRPr="00E80541">
        <w:rPr>
          <w:rFonts w:ascii="Times New Roman" w:hAnsi="Times New Roman"/>
          <w:b/>
          <w:sz w:val="24"/>
          <w:szCs w:val="24"/>
        </w:rPr>
        <w:t xml:space="preserve"> </w:t>
      </w:r>
      <w:r w:rsidR="00842153" w:rsidRPr="00E80541">
        <w:rPr>
          <w:rFonts w:ascii="Times New Roman" w:hAnsi="Times New Roman"/>
          <w:b/>
          <w:sz w:val="24"/>
          <w:szCs w:val="24"/>
        </w:rPr>
        <w:t>(</w:t>
      </w:r>
      <w:r w:rsidR="004822CD" w:rsidRPr="00E80541">
        <w:rPr>
          <w:rFonts w:ascii="Times New Roman" w:hAnsi="Times New Roman"/>
          <w:b/>
          <w:sz w:val="24"/>
          <w:szCs w:val="24"/>
        </w:rPr>
        <w:t>NHANES</w:t>
      </w:r>
      <w:r w:rsidR="00842153" w:rsidRPr="00E80541">
        <w:rPr>
          <w:rFonts w:ascii="Times New Roman" w:hAnsi="Times New Roman"/>
          <w:b/>
          <w:sz w:val="24"/>
          <w:szCs w:val="24"/>
        </w:rPr>
        <w:t>)</w:t>
      </w:r>
      <w:r w:rsidR="004822CD" w:rsidRPr="00E80541">
        <w:rPr>
          <w:rFonts w:ascii="Times New Roman" w:hAnsi="Times New Roman"/>
          <w:b/>
          <w:sz w:val="24"/>
          <w:szCs w:val="24"/>
        </w:rPr>
        <w:t xml:space="preserve"> (n=</w:t>
      </w:r>
      <w:r w:rsidR="006F693F" w:rsidRPr="00E80541">
        <w:rPr>
          <w:rFonts w:ascii="Times New Roman" w:hAnsi="Times New Roman"/>
          <w:b/>
          <w:sz w:val="24"/>
          <w:szCs w:val="24"/>
        </w:rPr>
        <w:t>9,</w:t>
      </w:r>
      <w:r w:rsidR="004E51B4" w:rsidRPr="00E80541">
        <w:rPr>
          <w:rFonts w:ascii="Times New Roman" w:hAnsi="Times New Roman"/>
          <w:b/>
          <w:sz w:val="24"/>
          <w:szCs w:val="24"/>
        </w:rPr>
        <w:t>377</w:t>
      </w:r>
      <w:r w:rsidR="004822CD" w:rsidRPr="00E80541">
        <w:rPr>
          <w:rFonts w:ascii="Times New Roman" w:hAnsi="Times New Roman"/>
          <w:b/>
          <w:sz w:val="24"/>
          <w:szCs w:val="24"/>
        </w:rPr>
        <w:t>)</w:t>
      </w:r>
    </w:p>
    <w:tbl>
      <w:tblPr>
        <w:tblStyle w:val="LightList-Accent1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094"/>
        <w:gridCol w:w="2593"/>
        <w:gridCol w:w="2650"/>
        <w:gridCol w:w="926"/>
        <w:gridCol w:w="938"/>
        <w:gridCol w:w="859"/>
      </w:tblGrid>
      <w:tr w:rsidR="00940F9C" w:rsidRPr="00E80541" w14:paraId="7AAA4F09" w14:textId="77777777" w:rsidTr="004543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noWrap/>
            <w:hideMark/>
          </w:tcPr>
          <w:p w14:paraId="5FEF4EAE" w14:textId="77777777" w:rsidR="00940F9C" w:rsidRPr="00E80541" w:rsidRDefault="00940F9C" w:rsidP="00DF5A28">
            <w:pPr>
              <w:suppressLineNumbers/>
              <w:jc w:val="center"/>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HEIGHT (cm) - Males</w:t>
            </w:r>
          </w:p>
        </w:tc>
      </w:tr>
      <w:tr w:rsidR="00332197" w:rsidRPr="00E80541" w14:paraId="1152215B"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hideMark/>
          </w:tcPr>
          <w:p w14:paraId="72A706B3" w14:textId="77777777" w:rsidR="00332197" w:rsidRPr="00E80541" w:rsidRDefault="00332197"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Age Group</w:t>
            </w:r>
          </w:p>
        </w:tc>
        <w:tc>
          <w:tcPr>
            <w:tcW w:w="1289" w:type="pct"/>
            <w:tcBorders>
              <w:top w:val="none" w:sz="0" w:space="0" w:color="auto"/>
              <w:bottom w:val="none" w:sz="0" w:space="0" w:color="auto"/>
            </w:tcBorders>
            <w:noWrap/>
            <w:hideMark/>
          </w:tcPr>
          <w:p w14:paraId="0CB8F9BE"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NHANES Mean (95% CI)</w:t>
            </w:r>
          </w:p>
        </w:tc>
        <w:tc>
          <w:tcPr>
            <w:tcW w:w="1317" w:type="pct"/>
            <w:tcBorders>
              <w:top w:val="none" w:sz="0" w:space="0" w:color="auto"/>
              <w:bottom w:val="none" w:sz="0" w:space="0" w:color="auto"/>
            </w:tcBorders>
            <w:noWrap/>
            <w:hideMark/>
          </w:tcPr>
          <w:p w14:paraId="2F51931D"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NSCH Mean (95% CI)</w:t>
            </w:r>
          </w:p>
        </w:tc>
        <w:tc>
          <w:tcPr>
            <w:tcW w:w="460" w:type="pct"/>
            <w:tcBorders>
              <w:top w:val="none" w:sz="0" w:space="0" w:color="auto"/>
              <w:bottom w:val="none" w:sz="0" w:space="0" w:color="auto"/>
            </w:tcBorders>
            <w:noWrap/>
            <w:hideMark/>
          </w:tcPr>
          <w:p w14:paraId="67859600"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proofErr w:type="spellStart"/>
            <w:r w:rsidRPr="00E80541">
              <w:rPr>
                <w:rFonts w:ascii="Times New Roman" w:eastAsia="Times New Roman" w:hAnsi="Times New Roman"/>
                <w:b/>
                <w:color w:val="000000"/>
                <w:sz w:val="20"/>
                <w:szCs w:val="20"/>
              </w:rPr>
              <w:t>df</w:t>
            </w:r>
            <w:proofErr w:type="spellEnd"/>
          </w:p>
        </w:tc>
        <w:tc>
          <w:tcPr>
            <w:tcW w:w="466" w:type="pct"/>
            <w:tcBorders>
              <w:top w:val="none" w:sz="0" w:space="0" w:color="auto"/>
              <w:bottom w:val="none" w:sz="0" w:space="0" w:color="auto"/>
            </w:tcBorders>
            <w:noWrap/>
            <w:hideMark/>
          </w:tcPr>
          <w:p w14:paraId="0AD86F5F"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t</w:t>
            </w:r>
          </w:p>
        </w:tc>
        <w:tc>
          <w:tcPr>
            <w:tcW w:w="427" w:type="pct"/>
            <w:tcBorders>
              <w:top w:val="none" w:sz="0" w:space="0" w:color="auto"/>
              <w:bottom w:val="none" w:sz="0" w:space="0" w:color="auto"/>
              <w:right w:val="none" w:sz="0" w:space="0" w:color="auto"/>
            </w:tcBorders>
            <w:noWrap/>
            <w:hideMark/>
          </w:tcPr>
          <w:p w14:paraId="2C353C2C"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p</w:t>
            </w:r>
          </w:p>
        </w:tc>
      </w:tr>
      <w:tr w:rsidR="00332197" w:rsidRPr="00E80541" w14:paraId="70046DC0"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1041" w:type="pct"/>
            <w:noWrap/>
            <w:hideMark/>
          </w:tcPr>
          <w:p w14:paraId="16D64A79" w14:textId="77777777" w:rsidR="00332197" w:rsidRPr="00E80541" w:rsidRDefault="00785D76"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2-5</w:t>
            </w:r>
          </w:p>
        </w:tc>
        <w:tc>
          <w:tcPr>
            <w:tcW w:w="1289" w:type="pct"/>
            <w:noWrap/>
          </w:tcPr>
          <w:p w14:paraId="35F3B017" w14:textId="77777777" w:rsidR="00332197" w:rsidRPr="00E80541" w:rsidRDefault="00785D76"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102.98 (102.35-103.62)</w:t>
            </w:r>
          </w:p>
        </w:tc>
        <w:tc>
          <w:tcPr>
            <w:tcW w:w="1317" w:type="pct"/>
            <w:noWrap/>
          </w:tcPr>
          <w:p w14:paraId="60B73BAB" w14:textId="77777777" w:rsidR="00332197"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99.09 (98.60-99.58)</w:t>
            </w:r>
          </w:p>
        </w:tc>
        <w:tc>
          <w:tcPr>
            <w:tcW w:w="460" w:type="pct"/>
            <w:noWrap/>
          </w:tcPr>
          <w:p w14:paraId="7078FCBD" w14:textId="77777777" w:rsidR="00332197"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10,304</w:t>
            </w:r>
          </w:p>
        </w:tc>
        <w:tc>
          <w:tcPr>
            <w:tcW w:w="466" w:type="pct"/>
            <w:noWrap/>
          </w:tcPr>
          <w:p w14:paraId="6C84D4E5" w14:textId="77777777" w:rsidR="00332197"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-9.50</w:t>
            </w:r>
          </w:p>
        </w:tc>
        <w:tc>
          <w:tcPr>
            <w:tcW w:w="427" w:type="pct"/>
            <w:noWrap/>
          </w:tcPr>
          <w:p w14:paraId="3EE8474F" w14:textId="523A01F0" w:rsidR="00332197" w:rsidRPr="00E80541" w:rsidRDefault="00C05E72"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&lt;</w:t>
            </w:r>
            <w:r w:rsidR="00B35E27" w:rsidRPr="00E80541">
              <w:rPr>
                <w:rFonts w:ascii="Times New Roman" w:eastAsia="Times New Roman" w:hAnsi="Times New Roman"/>
                <w:color w:val="000000"/>
                <w:sz w:val="20"/>
                <w:szCs w:val="20"/>
              </w:rPr>
              <w:t>0.00</w:t>
            </w:r>
            <w:r w:rsidRPr="00E80541">
              <w:rPr>
                <w:rFonts w:ascii="Times New Roman" w:eastAsia="Times New Roman" w:hAnsi="Times New Roman"/>
                <w:color w:val="000000"/>
                <w:sz w:val="20"/>
                <w:szCs w:val="20"/>
              </w:rPr>
              <w:t>1</w:t>
            </w:r>
          </w:p>
        </w:tc>
      </w:tr>
      <w:tr w:rsidR="00332197" w:rsidRPr="00E80541" w14:paraId="4C23CCD7"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hideMark/>
          </w:tcPr>
          <w:p w14:paraId="74F34699" w14:textId="77777777" w:rsidR="00332197" w:rsidRPr="00E80541" w:rsidRDefault="00332197"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6-9</w:t>
            </w:r>
          </w:p>
        </w:tc>
        <w:tc>
          <w:tcPr>
            <w:tcW w:w="1289" w:type="pct"/>
            <w:tcBorders>
              <w:top w:val="none" w:sz="0" w:space="0" w:color="auto"/>
              <w:bottom w:val="none" w:sz="0" w:space="0" w:color="auto"/>
            </w:tcBorders>
            <w:noWrap/>
          </w:tcPr>
          <w:p w14:paraId="33E8527F" w14:textId="77777777" w:rsidR="00332197" w:rsidRPr="00E80541" w:rsidRDefault="00785D76"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128.19 (127.53-128.84)</w:t>
            </w:r>
          </w:p>
        </w:tc>
        <w:tc>
          <w:tcPr>
            <w:tcW w:w="1317" w:type="pct"/>
            <w:tcBorders>
              <w:top w:val="none" w:sz="0" w:space="0" w:color="auto"/>
              <w:bottom w:val="none" w:sz="0" w:space="0" w:color="auto"/>
            </w:tcBorders>
            <w:noWrap/>
          </w:tcPr>
          <w:p w14:paraId="72B18FCD" w14:textId="77777777" w:rsidR="00332197"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124.26 (123.74-124.78)</w:t>
            </w:r>
          </w:p>
        </w:tc>
        <w:tc>
          <w:tcPr>
            <w:tcW w:w="460" w:type="pct"/>
            <w:tcBorders>
              <w:top w:val="none" w:sz="0" w:space="0" w:color="auto"/>
              <w:bottom w:val="none" w:sz="0" w:space="0" w:color="auto"/>
            </w:tcBorders>
            <w:noWrap/>
          </w:tcPr>
          <w:p w14:paraId="20E6981F" w14:textId="77777777" w:rsidR="00332197"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10,048</w:t>
            </w:r>
          </w:p>
        </w:tc>
        <w:tc>
          <w:tcPr>
            <w:tcW w:w="466" w:type="pct"/>
            <w:tcBorders>
              <w:top w:val="none" w:sz="0" w:space="0" w:color="auto"/>
              <w:bottom w:val="none" w:sz="0" w:space="0" w:color="auto"/>
            </w:tcBorders>
            <w:noWrap/>
          </w:tcPr>
          <w:p w14:paraId="49669F6C" w14:textId="77777777" w:rsidR="00332197"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-9.19</w:t>
            </w:r>
          </w:p>
        </w:tc>
        <w:tc>
          <w:tcPr>
            <w:tcW w:w="427" w:type="pct"/>
            <w:tcBorders>
              <w:top w:val="none" w:sz="0" w:space="0" w:color="auto"/>
              <w:bottom w:val="none" w:sz="0" w:space="0" w:color="auto"/>
              <w:right w:val="none" w:sz="0" w:space="0" w:color="auto"/>
            </w:tcBorders>
            <w:noWrap/>
          </w:tcPr>
          <w:p w14:paraId="00FEDAFD" w14:textId="1EE85CC5" w:rsidR="00332197" w:rsidRPr="00E80541" w:rsidRDefault="00C05E72"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&lt;0.001</w:t>
            </w:r>
          </w:p>
        </w:tc>
      </w:tr>
      <w:tr w:rsidR="00332197" w:rsidRPr="00E80541" w14:paraId="5BF5969B" w14:textId="77777777" w:rsidTr="00454308">
        <w:trPr>
          <w:trHeight w:val="358"/>
        </w:trPr>
        <w:tc>
          <w:tcPr>
            <w:cnfStyle w:val="001000000000" w:firstRow="0" w:lastRow="0" w:firstColumn="1" w:lastColumn="0" w:oddVBand="0" w:evenVBand="0" w:oddHBand="0" w:evenHBand="0" w:firstRowFirstColumn="0" w:firstRowLastColumn="0" w:lastRowFirstColumn="0" w:lastRowLastColumn="0"/>
            <w:tcW w:w="1041" w:type="pct"/>
            <w:noWrap/>
            <w:hideMark/>
          </w:tcPr>
          <w:p w14:paraId="14761F0A" w14:textId="77777777" w:rsidR="00332197" w:rsidRPr="00E80541" w:rsidRDefault="00332197"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10-1</w:t>
            </w:r>
            <w:r w:rsidR="00785D76" w:rsidRPr="00E80541">
              <w:rPr>
                <w:rFonts w:ascii="Times New Roman" w:eastAsia="Times New Roman" w:hAnsi="Times New Roman"/>
                <w:color w:val="000000"/>
                <w:sz w:val="20"/>
                <w:szCs w:val="20"/>
              </w:rPr>
              <w:t>3</w:t>
            </w:r>
          </w:p>
        </w:tc>
        <w:tc>
          <w:tcPr>
            <w:tcW w:w="1289" w:type="pct"/>
            <w:noWrap/>
          </w:tcPr>
          <w:p w14:paraId="129173CA" w14:textId="77777777" w:rsidR="00332197" w:rsidRPr="00E80541" w:rsidRDefault="00785D76"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152.11 (151.29-152.94)</w:t>
            </w:r>
          </w:p>
        </w:tc>
        <w:tc>
          <w:tcPr>
            <w:tcW w:w="1317" w:type="pct"/>
            <w:noWrap/>
          </w:tcPr>
          <w:p w14:paraId="7113C5DA" w14:textId="77777777" w:rsidR="00332197"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150.70 (150.28-151.13)</w:t>
            </w:r>
          </w:p>
        </w:tc>
        <w:tc>
          <w:tcPr>
            <w:tcW w:w="460" w:type="pct"/>
            <w:noWrap/>
          </w:tcPr>
          <w:p w14:paraId="1E9A2240" w14:textId="77777777" w:rsidR="00332197"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21,420</w:t>
            </w:r>
          </w:p>
        </w:tc>
        <w:tc>
          <w:tcPr>
            <w:tcW w:w="466" w:type="pct"/>
            <w:noWrap/>
          </w:tcPr>
          <w:p w14:paraId="1A20B404" w14:textId="77777777" w:rsidR="00332197"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-2.97</w:t>
            </w:r>
          </w:p>
        </w:tc>
        <w:tc>
          <w:tcPr>
            <w:tcW w:w="427" w:type="pct"/>
            <w:noWrap/>
          </w:tcPr>
          <w:p w14:paraId="73A6AADB" w14:textId="77777777" w:rsidR="00332197"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0.003</w:t>
            </w:r>
          </w:p>
        </w:tc>
      </w:tr>
      <w:tr w:rsidR="00332197" w:rsidRPr="00E80541" w14:paraId="6996E4A2"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hideMark/>
          </w:tcPr>
          <w:p w14:paraId="779FACAB" w14:textId="77777777" w:rsidR="00332197" w:rsidRPr="00E80541" w:rsidRDefault="00332197"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w:t>
            </w:r>
            <w:r w:rsidR="00785D76" w:rsidRPr="00E80541">
              <w:rPr>
                <w:rFonts w:ascii="Times New Roman" w:eastAsia="Times New Roman" w:hAnsi="Times New Roman"/>
                <w:color w:val="000000"/>
                <w:sz w:val="20"/>
                <w:szCs w:val="20"/>
              </w:rPr>
              <w:t>4</w:t>
            </w:r>
            <w:r w:rsidRPr="00E80541">
              <w:rPr>
                <w:rFonts w:ascii="Times New Roman" w:eastAsia="Times New Roman" w:hAnsi="Times New Roman"/>
                <w:color w:val="000000"/>
                <w:sz w:val="20"/>
                <w:szCs w:val="20"/>
              </w:rPr>
              <w:t>-1</w:t>
            </w:r>
            <w:r w:rsidR="00785D76" w:rsidRPr="00E80541">
              <w:rPr>
                <w:rFonts w:ascii="Times New Roman" w:eastAsia="Times New Roman" w:hAnsi="Times New Roman"/>
                <w:color w:val="000000"/>
                <w:sz w:val="20"/>
                <w:szCs w:val="20"/>
              </w:rPr>
              <w:t>7</w:t>
            </w:r>
          </w:p>
        </w:tc>
        <w:tc>
          <w:tcPr>
            <w:tcW w:w="1289" w:type="pct"/>
            <w:tcBorders>
              <w:top w:val="none" w:sz="0" w:space="0" w:color="auto"/>
              <w:bottom w:val="none" w:sz="0" w:space="0" w:color="auto"/>
            </w:tcBorders>
            <w:noWrap/>
          </w:tcPr>
          <w:p w14:paraId="43B01FB2" w14:textId="77777777" w:rsidR="00332197" w:rsidRPr="00E80541" w:rsidRDefault="00785D76"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173.46 (172.86-174.05)</w:t>
            </w:r>
          </w:p>
        </w:tc>
        <w:tc>
          <w:tcPr>
            <w:tcW w:w="1317" w:type="pct"/>
            <w:tcBorders>
              <w:top w:val="none" w:sz="0" w:space="0" w:color="auto"/>
              <w:bottom w:val="none" w:sz="0" w:space="0" w:color="auto"/>
            </w:tcBorders>
            <w:noWrap/>
          </w:tcPr>
          <w:p w14:paraId="56BCC801" w14:textId="77777777" w:rsidR="00332197"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174.21 (173.92-174.49)</w:t>
            </w:r>
          </w:p>
        </w:tc>
        <w:tc>
          <w:tcPr>
            <w:tcW w:w="460" w:type="pct"/>
            <w:tcBorders>
              <w:top w:val="none" w:sz="0" w:space="0" w:color="auto"/>
              <w:bottom w:val="none" w:sz="0" w:space="0" w:color="auto"/>
            </w:tcBorders>
            <w:noWrap/>
          </w:tcPr>
          <w:p w14:paraId="2351AE20" w14:textId="77777777" w:rsidR="00332197"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19,573</w:t>
            </w:r>
          </w:p>
        </w:tc>
        <w:tc>
          <w:tcPr>
            <w:tcW w:w="466" w:type="pct"/>
            <w:tcBorders>
              <w:top w:val="none" w:sz="0" w:space="0" w:color="auto"/>
              <w:bottom w:val="none" w:sz="0" w:space="0" w:color="auto"/>
            </w:tcBorders>
            <w:noWrap/>
          </w:tcPr>
          <w:p w14:paraId="0F91BA59" w14:textId="77777777" w:rsidR="00332197"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0.74</w:t>
            </w:r>
          </w:p>
        </w:tc>
        <w:tc>
          <w:tcPr>
            <w:tcW w:w="427" w:type="pct"/>
            <w:tcBorders>
              <w:top w:val="none" w:sz="0" w:space="0" w:color="auto"/>
              <w:bottom w:val="none" w:sz="0" w:space="0" w:color="auto"/>
              <w:right w:val="none" w:sz="0" w:space="0" w:color="auto"/>
            </w:tcBorders>
            <w:noWrap/>
          </w:tcPr>
          <w:p w14:paraId="64A6AF10" w14:textId="77777777" w:rsidR="00332197"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0.457</w:t>
            </w:r>
          </w:p>
        </w:tc>
      </w:tr>
      <w:tr w:rsidR="00940F9C" w:rsidRPr="00E80541" w14:paraId="666182C1"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5CCE034D" w14:textId="77777777" w:rsidR="00940F9C" w:rsidRPr="00E80541" w:rsidRDefault="00940F9C" w:rsidP="00DF5A28">
            <w:pPr>
              <w:suppressLineNumbers/>
              <w:jc w:val="center"/>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HEIGHT (cm) - Females</w:t>
            </w:r>
          </w:p>
        </w:tc>
      </w:tr>
      <w:tr w:rsidR="00332197" w:rsidRPr="00E80541" w14:paraId="21530A65"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hideMark/>
          </w:tcPr>
          <w:p w14:paraId="45E20187" w14:textId="77777777" w:rsidR="00332197" w:rsidRPr="00E80541" w:rsidRDefault="00332197"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Age Group</w:t>
            </w:r>
          </w:p>
        </w:tc>
        <w:tc>
          <w:tcPr>
            <w:tcW w:w="1289" w:type="pct"/>
            <w:tcBorders>
              <w:top w:val="none" w:sz="0" w:space="0" w:color="auto"/>
              <w:bottom w:val="none" w:sz="0" w:space="0" w:color="auto"/>
            </w:tcBorders>
            <w:noWrap/>
            <w:hideMark/>
          </w:tcPr>
          <w:p w14:paraId="0A61629A"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NHANES Mean (95% CI)</w:t>
            </w:r>
          </w:p>
        </w:tc>
        <w:tc>
          <w:tcPr>
            <w:tcW w:w="1317" w:type="pct"/>
            <w:tcBorders>
              <w:top w:val="none" w:sz="0" w:space="0" w:color="auto"/>
              <w:bottom w:val="none" w:sz="0" w:space="0" w:color="auto"/>
            </w:tcBorders>
            <w:noWrap/>
            <w:hideMark/>
          </w:tcPr>
          <w:p w14:paraId="55105728"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NSCH Mean (95% CI)</w:t>
            </w:r>
          </w:p>
        </w:tc>
        <w:tc>
          <w:tcPr>
            <w:tcW w:w="460" w:type="pct"/>
            <w:tcBorders>
              <w:top w:val="none" w:sz="0" w:space="0" w:color="auto"/>
              <w:bottom w:val="none" w:sz="0" w:space="0" w:color="auto"/>
            </w:tcBorders>
            <w:noWrap/>
            <w:hideMark/>
          </w:tcPr>
          <w:p w14:paraId="6EEC6F9F" w14:textId="77777777" w:rsidR="00332197" w:rsidRPr="00E80541" w:rsidRDefault="003F1FC4"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proofErr w:type="spellStart"/>
            <w:r w:rsidRPr="00E80541">
              <w:rPr>
                <w:rFonts w:ascii="Times New Roman" w:eastAsia="Times New Roman" w:hAnsi="Times New Roman"/>
                <w:b/>
                <w:color w:val="000000"/>
                <w:sz w:val="20"/>
                <w:szCs w:val="20"/>
              </w:rPr>
              <w:t>d</w:t>
            </w:r>
            <w:r w:rsidR="00332197" w:rsidRPr="00E80541">
              <w:rPr>
                <w:rFonts w:ascii="Times New Roman" w:eastAsia="Times New Roman" w:hAnsi="Times New Roman"/>
                <w:b/>
                <w:color w:val="000000"/>
                <w:sz w:val="20"/>
                <w:szCs w:val="20"/>
              </w:rPr>
              <w:t>f</w:t>
            </w:r>
            <w:proofErr w:type="spellEnd"/>
          </w:p>
        </w:tc>
        <w:tc>
          <w:tcPr>
            <w:tcW w:w="466" w:type="pct"/>
            <w:tcBorders>
              <w:top w:val="none" w:sz="0" w:space="0" w:color="auto"/>
              <w:bottom w:val="none" w:sz="0" w:space="0" w:color="auto"/>
            </w:tcBorders>
            <w:noWrap/>
            <w:hideMark/>
          </w:tcPr>
          <w:p w14:paraId="7F831BA5"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t</w:t>
            </w:r>
          </w:p>
        </w:tc>
        <w:tc>
          <w:tcPr>
            <w:tcW w:w="427" w:type="pct"/>
            <w:tcBorders>
              <w:top w:val="none" w:sz="0" w:space="0" w:color="auto"/>
              <w:bottom w:val="none" w:sz="0" w:space="0" w:color="auto"/>
              <w:right w:val="none" w:sz="0" w:space="0" w:color="auto"/>
            </w:tcBorders>
            <w:noWrap/>
            <w:hideMark/>
          </w:tcPr>
          <w:p w14:paraId="63C896EE" w14:textId="77777777" w:rsidR="00332197"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P</w:t>
            </w:r>
          </w:p>
        </w:tc>
      </w:tr>
      <w:tr w:rsidR="00785D76" w:rsidRPr="00E80541" w14:paraId="5992146B"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1041" w:type="pct"/>
            <w:noWrap/>
            <w:hideMark/>
          </w:tcPr>
          <w:p w14:paraId="09C287AE" w14:textId="77777777" w:rsidR="00785D76" w:rsidRPr="00E80541" w:rsidRDefault="00785D76"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2-5</w:t>
            </w:r>
          </w:p>
        </w:tc>
        <w:tc>
          <w:tcPr>
            <w:tcW w:w="1289" w:type="pct"/>
            <w:noWrap/>
          </w:tcPr>
          <w:p w14:paraId="06DBE087" w14:textId="77777777" w:rsidR="00785D76" w:rsidRPr="00E80541" w:rsidRDefault="00785D76"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101.50 (100.86-102.14)</w:t>
            </w:r>
          </w:p>
        </w:tc>
        <w:tc>
          <w:tcPr>
            <w:tcW w:w="1317" w:type="pct"/>
            <w:noWrap/>
          </w:tcPr>
          <w:p w14:paraId="3C414501" w14:textId="77777777" w:rsidR="00785D76"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97.97 (97.47-98.48)</w:t>
            </w:r>
          </w:p>
        </w:tc>
        <w:tc>
          <w:tcPr>
            <w:tcW w:w="460" w:type="pct"/>
            <w:noWrap/>
          </w:tcPr>
          <w:p w14:paraId="2F01066A" w14:textId="77777777" w:rsidR="00785D76"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9,765</w:t>
            </w:r>
          </w:p>
        </w:tc>
        <w:tc>
          <w:tcPr>
            <w:tcW w:w="466" w:type="pct"/>
            <w:noWrap/>
          </w:tcPr>
          <w:p w14:paraId="555FDC2F" w14:textId="77777777" w:rsidR="00785D76"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-8.46</w:t>
            </w:r>
          </w:p>
        </w:tc>
        <w:tc>
          <w:tcPr>
            <w:tcW w:w="427" w:type="pct"/>
            <w:noWrap/>
          </w:tcPr>
          <w:p w14:paraId="598EE272" w14:textId="773028DA" w:rsidR="00785D76" w:rsidRPr="00E80541" w:rsidRDefault="00C05E72"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&lt;0.001</w:t>
            </w:r>
          </w:p>
        </w:tc>
      </w:tr>
      <w:tr w:rsidR="00785D76" w:rsidRPr="00E80541" w14:paraId="7D65A46D"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hideMark/>
          </w:tcPr>
          <w:p w14:paraId="54262104" w14:textId="77777777" w:rsidR="00785D76" w:rsidRPr="00E80541" w:rsidRDefault="00785D76"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6-9</w:t>
            </w:r>
          </w:p>
        </w:tc>
        <w:tc>
          <w:tcPr>
            <w:tcW w:w="1289" w:type="pct"/>
            <w:tcBorders>
              <w:top w:val="none" w:sz="0" w:space="0" w:color="auto"/>
              <w:bottom w:val="none" w:sz="0" w:space="0" w:color="auto"/>
            </w:tcBorders>
            <w:noWrap/>
          </w:tcPr>
          <w:p w14:paraId="55CD6F9E" w14:textId="77777777" w:rsidR="00785D76" w:rsidRPr="00E80541" w:rsidRDefault="00785D76"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128.35 (127.68-129.01)</w:t>
            </w:r>
          </w:p>
        </w:tc>
        <w:tc>
          <w:tcPr>
            <w:tcW w:w="1317" w:type="pct"/>
            <w:tcBorders>
              <w:top w:val="none" w:sz="0" w:space="0" w:color="auto"/>
              <w:bottom w:val="none" w:sz="0" w:space="0" w:color="auto"/>
            </w:tcBorders>
            <w:noWrap/>
          </w:tcPr>
          <w:p w14:paraId="453FE015" w14:textId="77777777" w:rsidR="00785D76"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123.74 (123.12-124.35)</w:t>
            </w:r>
          </w:p>
        </w:tc>
        <w:tc>
          <w:tcPr>
            <w:tcW w:w="460" w:type="pct"/>
            <w:tcBorders>
              <w:top w:val="none" w:sz="0" w:space="0" w:color="auto"/>
              <w:bottom w:val="none" w:sz="0" w:space="0" w:color="auto"/>
            </w:tcBorders>
            <w:noWrap/>
          </w:tcPr>
          <w:p w14:paraId="3E845DBF" w14:textId="77777777" w:rsidR="00785D76"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9,702</w:t>
            </w:r>
          </w:p>
        </w:tc>
        <w:tc>
          <w:tcPr>
            <w:tcW w:w="466" w:type="pct"/>
            <w:tcBorders>
              <w:top w:val="none" w:sz="0" w:space="0" w:color="auto"/>
              <w:bottom w:val="none" w:sz="0" w:space="0" w:color="auto"/>
            </w:tcBorders>
            <w:noWrap/>
          </w:tcPr>
          <w:p w14:paraId="770D333D" w14:textId="77777777" w:rsidR="00785D76"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-9.95</w:t>
            </w:r>
          </w:p>
        </w:tc>
        <w:tc>
          <w:tcPr>
            <w:tcW w:w="427" w:type="pct"/>
            <w:tcBorders>
              <w:top w:val="none" w:sz="0" w:space="0" w:color="auto"/>
              <w:bottom w:val="none" w:sz="0" w:space="0" w:color="auto"/>
              <w:right w:val="none" w:sz="0" w:space="0" w:color="auto"/>
            </w:tcBorders>
            <w:noWrap/>
          </w:tcPr>
          <w:p w14:paraId="5073969B" w14:textId="07D59C11" w:rsidR="00785D76" w:rsidRPr="00E80541" w:rsidRDefault="00C05E72"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&lt;0.001</w:t>
            </w:r>
          </w:p>
        </w:tc>
      </w:tr>
      <w:tr w:rsidR="00785D76" w:rsidRPr="00E80541" w14:paraId="401C3B93"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1041" w:type="pct"/>
            <w:noWrap/>
            <w:hideMark/>
          </w:tcPr>
          <w:p w14:paraId="3F61EDEC" w14:textId="77777777" w:rsidR="00785D76" w:rsidRPr="00E80541" w:rsidRDefault="00785D76"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10-13</w:t>
            </w:r>
          </w:p>
        </w:tc>
        <w:tc>
          <w:tcPr>
            <w:tcW w:w="1289" w:type="pct"/>
            <w:noWrap/>
          </w:tcPr>
          <w:p w14:paraId="2AF1482F" w14:textId="77777777" w:rsidR="00785D76" w:rsidRPr="00E80541" w:rsidRDefault="00785D76"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152.68 (151.98-153.38)</w:t>
            </w:r>
          </w:p>
        </w:tc>
        <w:tc>
          <w:tcPr>
            <w:tcW w:w="1317" w:type="pct"/>
            <w:noWrap/>
          </w:tcPr>
          <w:p w14:paraId="056AF790" w14:textId="77777777" w:rsidR="00785D76"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149.91 (149.46-150.35)</w:t>
            </w:r>
          </w:p>
        </w:tc>
        <w:tc>
          <w:tcPr>
            <w:tcW w:w="460" w:type="pct"/>
            <w:noWrap/>
          </w:tcPr>
          <w:p w14:paraId="73A80389" w14:textId="77777777" w:rsidR="00785D76"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20,483</w:t>
            </w:r>
          </w:p>
        </w:tc>
        <w:tc>
          <w:tcPr>
            <w:tcW w:w="466" w:type="pct"/>
            <w:noWrap/>
          </w:tcPr>
          <w:p w14:paraId="0F9C8FC4" w14:textId="77777777" w:rsidR="00785D76" w:rsidRPr="00E80541" w:rsidRDefault="00B35E2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-6.52</w:t>
            </w:r>
          </w:p>
        </w:tc>
        <w:tc>
          <w:tcPr>
            <w:tcW w:w="427" w:type="pct"/>
            <w:noWrap/>
          </w:tcPr>
          <w:p w14:paraId="04440263" w14:textId="3D15E683" w:rsidR="00785D76" w:rsidRPr="00E80541" w:rsidRDefault="00C05E72"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&lt;0.001</w:t>
            </w:r>
          </w:p>
        </w:tc>
      </w:tr>
      <w:tr w:rsidR="00785D76" w:rsidRPr="00E80541" w14:paraId="5D23A7C0"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hideMark/>
          </w:tcPr>
          <w:p w14:paraId="1626454E" w14:textId="77777777" w:rsidR="00785D76" w:rsidRPr="00E80541" w:rsidRDefault="00785D76"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14-17</w:t>
            </w:r>
          </w:p>
        </w:tc>
        <w:tc>
          <w:tcPr>
            <w:tcW w:w="1289" w:type="pct"/>
            <w:tcBorders>
              <w:top w:val="none" w:sz="0" w:space="0" w:color="auto"/>
              <w:bottom w:val="none" w:sz="0" w:space="0" w:color="auto"/>
            </w:tcBorders>
            <w:noWrap/>
          </w:tcPr>
          <w:p w14:paraId="553D7F13" w14:textId="77777777" w:rsidR="00785D76" w:rsidRPr="00E80541" w:rsidRDefault="00785D76"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162.34 (161.78-162.91)</w:t>
            </w:r>
          </w:p>
        </w:tc>
        <w:tc>
          <w:tcPr>
            <w:tcW w:w="1317" w:type="pct"/>
            <w:tcBorders>
              <w:top w:val="none" w:sz="0" w:space="0" w:color="auto"/>
              <w:bottom w:val="none" w:sz="0" w:space="0" w:color="auto"/>
            </w:tcBorders>
            <w:noWrap/>
          </w:tcPr>
          <w:p w14:paraId="3340EF85" w14:textId="77777777" w:rsidR="00785D76"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163.35 (163.13-163.57)</w:t>
            </w:r>
          </w:p>
        </w:tc>
        <w:tc>
          <w:tcPr>
            <w:tcW w:w="460" w:type="pct"/>
            <w:tcBorders>
              <w:top w:val="none" w:sz="0" w:space="0" w:color="auto"/>
              <w:bottom w:val="none" w:sz="0" w:space="0" w:color="auto"/>
            </w:tcBorders>
            <w:noWrap/>
          </w:tcPr>
          <w:p w14:paraId="5D317F35" w14:textId="77777777" w:rsidR="00785D76"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24,197</w:t>
            </w:r>
          </w:p>
        </w:tc>
        <w:tc>
          <w:tcPr>
            <w:tcW w:w="466" w:type="pct"/>
            <w:tcBorders>
              <w:top w:val="none" w:sz="0" w:space="0" w:color="auto"/>
              <w:bottom w:val="none" w:sz="0" w:space="0" w:color="auto"/>
            </w:tcBorders>
            <w:noWrap/>
          </w:tcPr>
          <w:p w14:paraId="4EE9EF71" w14:textId="77777777" w:rsidR="00785D76"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3.24</w:t>
            </w:r>
          </w:p>
        </w:tc>
        <w:tc>
          <w:tcPr>
            <w:tcW w:w="427" w:type="pct"/>
            <w:tcBorders>
              <w:top w:val="none" w:sz="0" w:space="0" w:color="auto"/>
              <w:bottom w:val="none" w:sz="0" w:space="0" w:color="auto"/>
              <w:right w:val="none" w:sz="0" w:space="0" w:color="auto"/>
            </w:tcBorders>
            <w:noWrap/>
          </w:tcPr>
          <w:p w14:paraId="7F939E0F" w14:textId="77777777" w:rsidR="00785D76" w:rsidRPr="00E80541" w:rsidRDefault="00B35E2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0.001</w:t>
            </w:r>
          </w:p>
        </w:tc>
      </w:tr>
      <w:tr w:rsidR="00940F9C" w:rsidRPr="00E80541" w14:paraId="326D5CCE"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3BE745CB" w14:textId="77777777" w:rsidR="00940F9C" w:rsidRPr="00E80541" w:rsidRDefault="00940F9C" w:rsidP="00DF5A28">
            <w:pPr>
              <w:suppressLineNumbers/>
              <w:jc w:val="center"/>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WEIGHT (kg) - Males</w:t>
            </w:r>
          </w:p>
        </w:tc>
      </w:tr>
      <w:tr w:rsidR="00332197" w:rsidRPr="00E80541" w14:paraId="6501F287"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hideMark/>
          </w:tcPr>
          <w:p w14:paraId="288E1F6F" w14:textId="77777777" w:rsidR="00332197" w:rsidRPr="00E80541" w:rsidRDefault="00332197"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Age Group</w:t>
            </w:r>
          </w:p>
        </w:tc>
        <w:tc>
          <w:tcPr>
            <w:tcW w:w="1289" w:type="pct"/>
            <w:tcBorders>
              <w:top w:val="none" w:sz="0" w:space="0" w:color="auto"/>
              <w:bottom w:val="none" w:sz="0" w:space="0" w:color="auto"/>
            </w:tcBorders>
            <w:noWrap/>
            <w:hideMark/>
          </w:tcPr>
          <w:p w14:paraId="6F589B92"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NHANES Mean (95% CI)</w:t>
            </w:r>
          </w:p>
        </w:tc>
        <w:tc>
          <w:tcPr>
            <w:tcW w:w="1317" w:type="pct"/>
            <w:tcBorders>
              <w:top w:val="none" w:sz="0" w:space="0" w:color="auto"/>
              <w:bottom w:val="none" w:sz="0" w:space="0" w:color="auto"/>
            </w:tcBorders>
            <w:noWrap/>
            <w:hideMark/>
          </w:tcPr>
          <w:p w14:paraId="35551D5C"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NSCH Mean (95% CI)</w:t>
            </w:r>
          </w:p>
        </w:tc>
        <w:tc>
          <w:tcPr>
            <w:tcW w:w="460" w:type="pct"/>
            <w:tcBorders>
              <w:top w:val="none" w:sz="0" w:space="0" w:color="auto"/>
              <w:bottom w:val="none" w:sz="0" w:space="0" w:color="auto"/>
            </w:tcBorders>
            <w:noWrap/>
            <w:hideMark/>
          </w:tcPr>
          <w:p w14:paraId="1D542CDD"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proofErr w:type="spellStart"/>
            <w:r w:rsidRPr="00E80541">
              <w:rPr>
                <w:rFonts w:ascii="Times New Roman" w:eastAsia="Times New Roman" w:hAnsi="Times New Roman"/>
                <w:b/>
                <w:color w:val="000000"/>
                <w:sz w:val="20"/>
                <w:szCs w:val="20"/>
              </w:rPr>
              <w:t>df</w:t>
            </w:r>
            <w:proofErr w:type="spellEnd"/>
          </w:p>
        </w:tc>
        <w:tc>
          <w:tcPr>
            <w:tcW w:w="466" w:type="pct"/>
            <w:tcBorders>
              <w:top w:val="none" w:sz="0" w:space="0" w:color="auto"/>
              <w:bottom w:val="none" w:sz="0" w:space="0" w:color="auto"/>
            </w:tcBorders>
            <w:noWrap/>
            <w:hideMark/>
          </w:tcPr>
          <w:p w14:paraId="4149D6FA"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t</w:t>
            </w:r>
          </w:p>
        </w:tc>
        <w:tc>
          <w:tcPr>
            <w:tcW w:w="427" w:type="pct"/>
            <w:tcBorders>
              <w:top w:val="none" w:sz="0" w:space="0" w:color="auto"/>
              <w:bottom w:val="none" w:sz="0" w:space="0" w:color="auto"/>
              <w:right w:val="none" w:sz="0" w:space="0" w:color="auto"/>
            </w:tcBorders>
            <w:noWrap/>
            <w:hideMark/>
          </w:tcPr>
          <w:p w14:paraId="48C9139B" w14:textId="77777777" w:rsidR="00332197" w:rsidRPr="00E80541" w:rsidRDefault="0033219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p</w:t>
            </w:r>
          </w:p>
        </w:tc>
      </w:tr>
      <w:tr w:rsidR="00DC455F" w:rsidRPr="00E80541" w14:paraId="3092B33D"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1041" w:type="pct"/>
            <w:noWrap/>
          </w:tcPr>
          <w:p w14:paraId="16C2215A" w14:textId="77777777" w:rsidR="00DC455F" w:rsidRPr="00E80541" w:rsidRDefault="00DC455F"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2-5</w:t>
            </w:r>
          </w:p>
        </w:tc>
        <w:tc>
          <w:tcPr>
            <w:tcW w:w="1289" w:type="pct"/>
            <w:noWrap/>
          </w:tcPr>
          <w:p w14:paraId="30863A49" w14:textId="77777777" w:rsidR="00DC455F" w:rsidRPr="00E80541" w:rsidRDefault="00DC455F"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17.55 (17.30-17.81)</w:t>
            </w:r>
          </w:p>
        </w:tc>
        <w:tc>
          <w:tcPr>
            <w:tcW w:w="1317" w:type="pct"/>
            <w:noWrap/>
          </w:tcPr>
          <w:p w14:paraId="2876CC07" w14:textId="77777777" w:rsidR="00DC455F" w:rsidRPr="00E80541" w:rsidRDefault="006C4602"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17.96 (17.79-18.13)</w:t>
            </w:r>
          </w:p>
        </w:tc>
        <w:tc>
          <w:tcPr>
            <w:tcW w:w="460" w:type="pct"/>
            <w:noWrap/>
          </w:tcPr>
          <w:p w14:paraId="707DE349" w14:textId="77777777" w:rsidR="00DC455F" w:rsidRPr="00E80541" w:rsidRDefault="0090018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10,304</w:t>
            </w:r>
          </w:p>
        </w:tc>
        <w:tc>
          <w:tcPr>
            <w:tcW w:w="466" w:type="pct"/>
            <w:noWrap/>
          </w:tcPr>
          <w:p w14:paraId="288550F2" w14:textId="77777777" w:rsidR="00DC455F" w:rsidRPr="00E80541" w:rsidRDefault="0090018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2.57</w:t>
            </w:r>
          </w:p>
        </w:tc>
        <w:tc>
          <w:tcPr>
            <w:tcW w:w="427" w:type="pct"/>
            <w:noWrap/>
          </w:tcPr>
          <w:p w14:paraId="1D7F1D45" w14:textId="77777777" w:rsidR="00DC455F" w:rsidRPr="00E80541" w:rsidRDefault="0090018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0.01</w:t>
            </w:r>
          </w:p>
        </w:tc>
      </w:tr>
      <w:tr w:rsidR="00DC455F" w:rsidRPr="00E80541" w14:paraId="20E7C727"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tcPr>
          <w:p w14:paraId="06F2F678" w14:textId="77777777" w:rsidR="00DC455F" w:rsidRPr="00E80541" w:rsidRDefault="00DC455F"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6-9</w:t>
            </w:r>
          </w:p>
        </w:tc>
        <w:tc>
          <w:tcPr>
            <w:tcW w:w="1289" w:type="pct"/>
            <w:tcBorders>
              <w:top w:val="none" w:sz="0" w:space="0" w:color="auto"/>
              <w:bottom w:val="none" w:sz="0" w:space="0" w:color="auto"/>
            </w:tcBorders>
            <w:noWrap/>
          </w:tcPr>
          <w:p w14:paraId="31E5FBC3" w14:textId="77777777" w:rsidR="00DC455F" w:rsidRPr="00E80541" w:rsidRDefault="00DC455F"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29.27 (28.67-29.88)</w:t>
            </w:r>
          </w:p>
        </w:tc>
        <w:tc>
          <w:tcPr>
            <w:tcW w:w="1317" w:type="pct"/>
            <w:tcBorders>
              <w:top w:val="none" w:sz="0" w:space="0" w:color="auto"/>
              <w:bottom w:val="none" w:sz="0" w:space="0" w:color="auto"/>
            </w:tcBorders>
            <w:noWrap/>
          </w:tcPr>
          <w:p w14:paraId="5EF83B15" w14:textId="77777777" w:rsidR="00DC455F" w:rsidRPr="00E80541" w:rsidRDefault="006C4602"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29.21 (28.91-29.51)</w:t>
            </w:r>
          </w:p>
        </w:tc>
        <w:tc>
          <w:tcPr>
            <w:tcW w:w="460" w:type="pct"/>
            <w:tcBorders>
              <w:top w:val="none" w:sz="0" w:space="0" w:color="auto"/>
              <w:bottom w:val="none" w:sz="0" w:space="0" w:color="auto"/>
            </w:tcBorders>
            <w:noWrap/>
          </w:tcPr>
          <w:p w14:paraId="73FF8D43" w14:textId="77777777" w:rsidR="00DC455F" w:rsidRPr="00E80541" w:rsidRDefault="0090018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10,048</w:t>
            </w:r>
          </w:p>
        </w:tc>
        <w:tc>
          <w:tcPr>
            <w:tcW w:w="466" w:type="pct"/>
            <w:tcBorders>
              <w:top w:val="none" w:sz="0" w:space="0" w:color="auto"/>
              <w:bottom w:val="none" w:sz="0" w:space="0" w:color="auto"/>
            </w:tcBorders>
            <w:noWrap/>
          </w:tcPr>
          <w:p w14:paraId="2DDB2E1D" w14:textId="77777777" w:rsidR="00DC455F" w:rsidRPr="00E80541" w:rsidRDefault="0090018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-0.19</w:t>
            </w:r>
          </w:p>
        </w:tc>
        <w:tc>
          <w:tcPr>
            <w:tcW w:w="427" w:type="pct"/>
            <w:tcBorders>
              <w:top w:val="none" w:sz="0" w:space="0" w:color="auto"/>
              <w:bottom w:val="none" w:sz="0" w:space="0" w:color="auto"/>
              <w:right w:val="none" w:sz="0" w:space="0" w:color="auto"/>
            </w:tcBorders>
            <w:noWrap/>
          </w:tcPr>
          <w:p w14:paraId="4C84E23B" w14:textId="77777777" w:rsidR="00DC455F" w:rsidRPr="00E80541" w:rsidRDefault="0090018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0.85</w:t>
            </w:r>
          </w:p>
        </w:tc>
      </w:tr>
      <w:tr w:rsidR="00DC455F" w:rsidRPr="00E80541" w14:paraId="5A94DBFC"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1041" w:type="pct"/>
            <w:noWrap/>
          </w:tcPr>
          <w:p w14:paraId="76CFF536" w14:textId="77777777" w:rsidR="00DC455F" w:rsidRPr="00E80541" w:rsidRDefault="00DC455F"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10-13</w:t>
            </w:r>
          </w:p>
        </w:tc>
        <w:tc>
          <w:tcPr>
            <w:tcW w:w="1289" w:type="pct"/>
            <w:noWrap/>
          </w:tcPr>
          <w:p w14:paraId="22FF14DA" w14:textId="77777777" w:rsidR="00DC455F" w:rsidRPr="00E80541" w:rsidRDefault="00DC455F"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48.46 (47.35-49.57)</w:t>
            </w:r>
          </w:p>
        </w:tc>
        <w:tc>
          <w:tcPr>
            <w:tcW w:w="1317" w:type="pct"/>
            <w:noWrap/>
          </w:tcPr>
          <w:p w14:paraId="2ECFA8F7" w14:textId="77777777" w:rsidR="00DC455F" w:rsidRPr="00E80541" w:rsidRDefault="006C4602"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47.76 (47.31-48.21)</w:t>
            </w:r>
          </w:p>
        </w:tc>
        <w:tc>
          <w:tcPr>
            <w:tcW w:w="460" w:type="pct"/>
            <w:noWrap/>
          </w:tcPr>
          <w:p w14:paraId="6F91E74A" w14:textId="77777777" w:rsidR="00DC455F" w:rsidRPr="00E80541" w:rsidRDefault="0090018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21,420</w:t>
            </w:r>
          </w:p>
        </w:tc>
        <w:tc>
          <w:tcPr>
            <w:tcW w:w="466" w:type="pct"/>
            <w:noWrap/>
          </w:tcPr>
          <w:p w14:paraId="4B6300BC" w14:textId="77777777" w:rsidR="00DC455F" w:rsidRPr="00E80541" w:rsidRDefault="0090018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-1.14</w:t>
            </w:r>
          </w:p>
        </w:tc>
        <w:tc>
          <w:tcPr>
            <w:tcW w:w="427" w:type="pct"/>
            <w:noWrap/>
          </w:tcPr>
          <w:p w14:paraId="30201A11" w14:textId="77777777" w:rsidR="00DC455F" w:rsidRPr="00E80541" w:rsidRDefault="0090018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0.256</w:t>
            </w:r>
          </w:p>
        </w:tc>
      </w:tr>
      <w:tr w:rsidR="00DC455F" w:rsidRPr="00E80541" w14:paraId="6A5A3EDC"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tcPr>
          <w:p w14:paraId="1BC83C46" w14:textId="77777777" w:rsidR="00DC455F" w:rsidRPr="00E80541" w:rsidRDefault="00DC455F"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14-17</w:t>
            </w:r>
          </w:p>
        </w:tc>
        <w:tc>
          <w:tcPr>
            <w:tcW w:w="1289" w:type="pct"/>
            <w:tcBorders>
              <w:top w:val="none" w:sz="0" w:space="0" w:color="auto"/>
              <w:bottom w:val="none" w:sz="0" w:space="0" w:color="auto"/>
            </w:tcBorders>
            <w:noWrap/>
          </w:tcPr>
          <w:p w14:paraId="6BBD0838" w14:textId="77777777" w:rsidR="00DC455F" w:rsidRPr="00E80541" w:rsidRDefault="00DC455F"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71.24 (69.80-72.68)</w:t>
            </w:r>
          </w:p>
        </w:tc>
        <w:tc>
          <w:tcPr>
            <w:tcW w:w="1317" w:type="pct"/>
            <w:tcBorders>
              <w:top w:val="none" w:sz="0" w:space="0" w:color="auto"/>
              <w:bottom w:val="none" w:sz="0" w:space="0" w:color="auto"/>
            </w:tcBorders>
            <w:noWrap/>
          </w:tcPr>
          <w:p w14:paraId="4DF12E6D" w14:textId="77777777" w:rsidR="00DC455F" w:rsidRPr="00E80541" w:rsidRDefault="006C4602"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69.59 (69.09-70.09)</w:t>
            </w:r>
          </w:p>
        </w:tc>
        <w:tc>
          <w:tcPr>
            <w:tcW w:w="460" w:type="pct"/>
            <w:tcBorders>
              <w:top w:val="none" w:sz="0" w:space="0" w:color="auto"/>
              <w:bottom w:val="none" w:sz="0" w:space="0" w:color="auto"/>
            </w:tcBorders>
            <w:noWrap/>
          </w:tcPr>
          <w:p w14:paraId="388EDC99" w14:textId="77777777" w:rsidR="00DC455F" w:rsidRPr="00E80541" w:rsidRDefault="0090018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26,560</w:t>
            </w:r>
          </w:p>
        </w:tc>
        <w:tc>
          <w:tcPr>
            <w:tcW w:w="466" w:type="pct"/>
            <w:tcBorders>
              <w:top w:val="none" w:sz="0" w:space="0" w:color="auto"/>
              <w:bottom w:val="none" w:sz="0" w:space="0" w:color="auto"/>
            </w:tcBorders>
            <w:noWrap/>
          </w:tcPr>
          <w:p w14:paraId="5BB19A9E" w14:textId="77777777" w:rsidR="00DC455F" w:rsidRPr="00E80541" w:rsidRDefault="0090018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-2.12</w:t>
            </w:r>
          </w:p>
        </w:tc>
        <w:tc>
          <w:tcPr>
            <w:tcW w:w="427" w:type="pct"/>
            <w:tcBorders>
              <w:top w:val="none" w:sz="0" w:space="0" w:color="auto"/>
              <w:bottom w:val="none" w:sz="0" w:space="0" w:color="auto"/>
              <w:right w:val="none" w:sz="0" w:space="0" w:color="auto"/>
            </w:tcBorders>
            <w:noWrap/>
          </w:tcPr>
          <w:p w14:paraId="478592B7" w14:textId="77777777" w:rsidR="00DC455F" w:rsidRPr="00E80541" w:rsidRDefault="0090018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0.034</w:t>
            </w:r>
          </w:p>
        </w:tc>
      </w:tr>
      <w:tr w:rsidR="00940F9C" w:rsidRPr="00E80541" w14:paraId="2D21C6BC"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tcPr>
          <w:p w14:paraId="232A6999" w14:textId="77777777" w:rsidR="00940F9C" w:rsidRPr="00E80541" w:rsidRDefault="00940F9C" w:rsidP="00DF5A28">
            <w:pPr>
              <w:suppressLineNumbers/>
              <w:jc w:val="center"/>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WEIGHT (kg) - Females</w:t>
            </w:r>
          </w:p>
        </w:tc>
      </w:tr>
      <w:tr w:rsidR="007657CD" w:rsidRPr="00E80541" w14:paraId="0BE401E5"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tcPr>
          <w:p w14:paraId="03D1DDF6" w14:textId="77777777" w:rsidR="007657CD" w:rsidRPr="00E80541" w:rsidRDefault="007657CD"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Age Group</w:t>
            </w:r>
          </w:p>
        </w:tc>
        <w:tc>
          <w:tcPr>
            <w:tcW w:w="1289" w:type="pct"/>
            <w:tcBorders>
              <w:top w:val="none" w:sz="0" w:space="0" w:color="auto"/>
              <w:bottom w:val="none" w:sz="0" w:space="0" w:color="auto"/>
            </w:tcBorders>
            <w:noWrap/>
          </w:tcPr>
          <w:p w14:paraId="253CDAAB" w14:textId="77777777" w:rsidR="007657CD" w:rsidRPr="00E80541" w:rsidRDefault="007657C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NHANES Mean (95% CI)</w:t>
            </w:r>
          </w:p>
        </w:tc>
        <w:tc>
          <w:tcPr>
            <w:tcW w:w="1317" w:type="pct"/>
            <w:tcBorders>
              <w:top w:val="none" w:sz="0" w:space="0" w:color="auto"/>
              <w:bottom w:val="none" w:sz="0" w:space="0" w:color="auto"/>
            </w:tcBorders>
            <w:noWrap/>
          </w:tcPr>
          <w:p w14:paraId="2A9DA3B8" w14:textId="77777777" w:rsidR="007657CD" w:rsidRPr="00E80541" w:rsidRDefault="007657C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NSCH Mean (95% CI)</w:t>
            </w:r>
          </w:p>
        </w:tc>
        <w:tc>
          <w:tcPr>
            <w:tcW w:w="460" w:type="pct"/>
            <w:tcBorders>
              <w:top w:val="none" w:sz="0" w:space="0" w:color="auto"/>
              <w:bottom w:val="none" w:sz="0" w:space="0" w:color="auto"/>
            </w:tcBorders>
            <w:noWrap/>
          </w:tcPr>
          <w:p w14:paraId="7C9E9C43" w14:textId="77777777" w:rsidR="007657CD" w:rsidRPr="00E80541" w:rsidRDefault="007657C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proofErr w:type="spellStart"/>
            <w:r w:rsidRPr="00E80541">
              <w:rPr>
                <w:rFonts w:ascii="Times New Roman" w:eastAsia="Times New Roman" w:hAnsi="Times New Roman"/>
                <w:b/>
                <w:color w:val="000000"/>
                <w:sz w:val="20"/>
                <w:szCs w:val="20"/>
              </w:rPr>
              <w:t>df</w:t>
            </w:r>
            <w:proofErr w:type="spellEnd"/>
          </w:p>
        </w:tc>
        <w:tc>
          <w:tcPr>
            <w:tcW w:w="466" w:type="pct"/>
            <w:tcBorders>
              <w:top w:val="none" w:sz="0" w:space="0" w:color="auto"/>
              <w:bottom w:val="none" w:sz="0" w:space="0" w:color="auto"/>
            </w:tcBorders>
            <w:noWrap/>
          </w:tcPr>
          <w:p w14:paraId="6BDDAF0C" w14:textId="77777777" w:rsidR="007657CD" w:rsidRPr="00E80541" w:rsidRDefault="007657C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t</w:t>
            </w:r>
          </w:p>
        </w:tc>
        <w:tc>
          <w:tcPr>
            <w:tcW w:w="427" w:type="pct"/>
            <w:tcBorders>
              <w:top w:val="none" w:sz="0" w:space="0" w:color="auto"/>
              <w:bottom w:val="none" w:sz="0" w:space="0" w:color="auto"/>
              <w:right w:val="none" w:sz="0" w:space="0" w:color="auto"/>
            </w:tcBorders>
            <w:noWrap/>
          </w:tcPr>
          <w:p w14:paraId="3291512D" w14:textId="77777777" w:rsidR="007657CD" w:rsidRPr="00E80541" w:rsidRDefault="007657C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p</w:t>
            </w:r>
          </w:p>
        </w:tc>
      </w:tr>
      <w:tr w:rsidR="00DC455F" w:rsidRPr="00E80541" w14:paraId="128CB1BB"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1041" w:type="pct"/>
            <w:noWrap/>
          </w:tcPr>
          <w:p w14:paraId="452959CD" w14:textId="77777777" w:rsidR="00DC455F" w:rsidRPr="00E80541" w:rsidRDefault="00DC455F"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2-5</w:t>
            </w:r>
          </w:p>
        </w:tc>
        <w:tc>
          <w:tcPr>
            <w:tcW w:w="1289" w:type="pct"/>
            <w:noWrap/>
          </w:tcPr>
          <w:p w14:paraId="5E66DC5F" w14:textId="77777777" w:rsidR="00DC455F" w:rsidRPr="00E80541" w:rsidRDefault="00DC455F"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16.91 (16.60-17.23)</w:t>
            </w:r>
          </w:p>
        </w:tc>
        <w:tc>
          <w:tcPr>
            <w:tcW w:w="1317" w:type="pct"/>
            <w:noWrap/>
          </w:tcPr>
          <w:p w14:paraId="2B210C9E" w14:textId="77777777" w:rsidR="00DC455F" w:rsidRPr="00E80541" w:rsidRDefault="006C4602"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17.10 (16.96-17.24)</w:t>
            </w:r>
          </w:p>
        </w:tc>
        <w:tc>
          <w:tcPr>
            <w:tcW w:w="460" w:type="pct"/>
            <w:noWrap/>
          </w:tcPr>
          <w:p w14:paraId="2DEDD6A7" w14:textId="77777777" w:rsidR="00DC455F" w:rsidRPr="00E80541" w:rsidRDefault="0090018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9,765</w:t>
            </w:r>
          </w:p>
        </w:tc>
        <w:tc>
          <w:tcPr>
            <w:tcW w:w="466" w:type="pct"/>
            <w:noWrap/>
          </w:tcPr>
          <w:p w14:paraId="18508290" w14:textId="77777777" w:rsidR="00DC455F" w:rsidRPr="00E80541" w:rsidRDefault="0090018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1.06</w:t>
            </w:r>
          </w:p>
        </w:tc>
        <w:tc>
          <w:tcPr>
            <w:tcW w:w="427" w:type="pct"/>
            <w:noWrap/>
          </w:tcPr>
          <w:p w14:paraId="63AD8323" w14:textId="77777777" w:rsidR="00DC455F" w:rsidRPr="00E80541" w:rsidRDefault="0090018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0.288</w:t>
            </w:r>
          </w:p>
        </w:tc>
      </w:tr>
      <w:tr w:rsidR="00DC455F" w:rsidRPr="00E80541" w14:paraId="0DDEF956"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tcPr>
          <w:p w14:paraId="3A8B0882" w14:textId="77777777" w:rsidR="00DC455F" w:rsidRPr="00E80541" w:rsidRDefault="00DC455F"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6-9</w:t>
            </w:r>
          </w:p>
        </w:tc>
        <w:tc>
          <w:tcPr>
            <w:tcW w:w="1289" w:type="pct"/>
            <w:tcBorders>
              <w:top w:val="none" w:sz="0" w:space="0" w:color="auto"/>
              <w:bottom w:val="none" w:sz="0" w:space="0" w:color="auto"/>
            </w:tcBorders>
            <w:noWrap/>
          </w:tcPr>
          <w:p w14:paraId="02D23833" w14:textId="77777777" w:rsidR="00DC455F" w:rsidRPr="00E80541" w:rsidRDefault="00DC455F"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29.38 (28.77-29.99)</w:t>
            </w:r>
          </w:p>
        </w:tc>
        <w:tc>
          <w:tcPr>
            <w:tcW w:w="1317" w:type="pct"/>
            <w:tcBorders>
              <w:top w:val="none" w:sz="0" w:space="0" w:color="auto"/>
              <w:bottom w:val="none" w:sz="0" w:space="0" w:color="auto"/>
            </w:tcBorders>
            <w:noWrap/>
          </w:tcPr>
          <w:p w14:paraId="55C2AF41" w14:textId="77777777" w:rsidR="00DC455F" w:rsidRPr="00E80541" w:rsidRDefault="006C4602"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28.98 (28.63-29.34)</w:t>
            </w:r>
          </w:p>
        </w:tc>
        <w:tc>
          <w:tcPr>
            <w:tcW w:w="460" w:type="pct"/>
            <w:tcBorders>
              <w:top w:val="none" w:sz="0" w:space="0" w:color="auto"/>
              <w:bottom w:val="none" w:sz="0" w:space="0" w:color="auto"/>
            </w:tcBorders>
            <w:noWrap/>
          </w:tcPr>
          <w:p w14:paraId="28CA2955" w14:textId="77777777" w:rsidR="00DC455F" w:rsidRPr="00E80541" w:rsidRDefault="0090018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9,702</w:t>
            </w:r>
          </w:p>
        </w:tc>
        <w:tc>
          <w:tcPr>
            <w:tcW w:w="466" w:type="pct"/>
            <w:tcBorders>
              <w:top w:val="none" w:sz="0" w:space="0" w:color="auto"/>
              <w:bottom w:val="none" w:sz="0" w:space="0" w:color="auto"/>
            </w:tcBorders>
            <w:noWrap/>
          </w:tcPr>
          <w:p w14:paraId="6EA06EC1" w14:textId="77777777" w:rsidR="00DC455F" w:rsidRPr="00E80541" w:rsidRDefault="0090018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-1.11</w:t>
            </w:r>
          </w:p>
        </w:tc>
        <w:tc>
          <w:tcPr>
            <w:tcW w:w="427" w:type="pct"/>
            <w:tcBorders>
              <w:top w:val="none" w:sz="0" w:space="0" w:color="auto"/>
              <w:bottom w:val="none" w:sz="0" w:space="0" w:color="auto"/>
              <w:right w:val="none" w:sz="0" w:space="0" w:color="auto"/>
            </w:tcBorders>
            <w:noWrap/>
          </w:tcPr>
          <w:p w14:paraId="1BC5C9E4" w14:textId="77777777" w:rsidR="00DC455F" w:rsidRPr="00E80541" w:rsidRDefault="0090018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0.266</w:t>
            </w:r>
          </w:p>
        </w:tc>
      </w:tr>
      <w:tr w:rsidR="00DC455F" w:rsidRPr="00E80541" w14:paraId="1E5E7C33"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1041" w:type="pct"/>
            <w:noWrap/>
          </w:tcPr>
          <w:p w14:paraId="3E1012FD" w14:textId="77777777" w:rsidR="00DC455F" w:rsidRPr="00E80541" w:rsidRDefault="00DC455F"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10-13</w:t>
            </w:r>
          </w:p>
        </w:tc>
        <w:tc>
          <w:tcPr>
            <w:tcW w:w="1289" w:type="pct"/>
            <w:noWrap/>
          </w:tcPr>
          <w:p w14:paraId="09B536FA" w14:textId="77777777" w:rsidR="00DC455F" w:rsidRPr="00E80541" w:rsidRDefault="00DC455F"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49.75 (48.65-50.85)</w:t>
            </w:r>
          </w:p>
        </w:tc>
        <w:tc>
          <w:tcPr>
            <w:tcW w:w="1317" w:type="pct"/>
            <w:noWrap/>
          </w:tcPr>
          <w:p w14:paraId="080AB7BE" w14:textId="77777777" w:rsidR="00DC455F" w:rsidRPr="00E80541" w:rsidRDefault="006C4602"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46.44 (46.03-46.85)</w:t>
            </w:r>
          </w:p>
        </w:tc>
        <w:tc>
          <w:tcPr>
            <w:tcW w:w="460" w:type="pct"/>
            <w:noWrap/>
          </w:tcPr>
          <w:p w14:paraId="1E3799DD" w14:textId="77777777" w:rsidR="00DC455F" w:rsidRPr="00E80541" w:rsidRDefault="0090018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20,483</w:t>
            </w:r>
          </w:p>
        </w:tc>
        <w:tc>
          <w:tcPr>
            <w:tcW w:w="466" w:type="pct"/>
            <w:noWrap/>
          </w:tcPr>
          <w:p w14:paraId="561682B5" w14:textId="77777777" w:rsidR="00DC455F" w:rsidRPr="00E80541" w:rsidRDefault="0090018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-5.54</w:t>
            </w:r>
          </w:p>
        </w:tc>
        <w:tc>
          <w:tcPr>
            <w:tcW w:w="427" w:type="pct"/>
            <w:noWrap/>
          </w:tcPr>
          <w:p w14:paraId="38A14846" w14:textId="5EAFDD4B" w:rsidR="00DC455F" w:rsidRPr="00E80541" w:rsidRDefault="00C05E72"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&lt;0.001</w:t>
            </w:r>
          </w:p>
        </w:tc>
      </w:tr>
      <w:tr w:rsidR="00DC455F" w:rsidRPr="00E80541" w14:paraId="2AF43738"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tcPr>
          <w:p w14:paraId="29CF710B" w14:textId="77777777" w:rsidR="00DC455F" w:rsidRPr="00E80541" w:rsidRDefault="00DC455F"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14-17</w:t>
            </w:r>
          </w:p>
        </w:tc>
        <w:tc>
          <w:tcPr>
            <w:tcW w:w="1289" w:type="pct"/>
            <w:tcBorders>
              <w:top w:val="none" w:sz="0" w:space="0" w:color="auto"/>
              <w:bottom w:val="none" w:sz="0" w:space="0" w:color="auto"/>
            </w:tcBorders>
            <w:noWrap/>
          </w:tcPr>
          <w:p w14:paraId="16307589" w14:textId="77777777" w:rsidR="00DC455F" w:rsidRPr="00E80541" w:rsidRDefault="00DC455F"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62.19 (61.09-63.29)</w:t>
            </w:r>
          </w:p>
        </w:tc>
        <w:tc>
          <w:tcPr>
            <w:tcW w:w="1317" w:type="pct"/>
            <w:tcBorders>
              <w:top w:val="none" w:sz="0" w:space="0" w:color="auto"/>
              <w:bottom w:val="none" w:sz="0" w:space="0" w:color="auto"/>
            </w:tcBorders>
            <w:noWrap/>
          </w:tcPr>
          <w:p w14:paraId="5C19C7A2" w14:textId="77777777" w:rsidR="00DC455F" w:rsidRPr="00E80541" w:rsidRDefault="006C4602"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59.29 (58.94-59.63)</w:t>
            </w:r>
          </w:p>
        </w:tc>
        <w:tc>
          <w:tcPr>
            <w:tcW w:w="460" w:type="pct"/>
            <w:tcBorders>
              <w:top w:val="none" w:sz="0" w:space="0" w:color="auto"/>
              <w:bottom w:val="none" w:sz="0" w:space="0" w:color="auto"/>
            </w:tcBorders>
            <w:noWrap/>
          </w:tcPr>
          <w:p w14:paraId="640C7AE6" w14:textId="77777777" w:rsidR="00DC455F" w:rsidRPr="00E80541" w:rsidRDefault="0090018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24,197</w:t>
            </w:r>
          </w:p>
        </w:tc>
        <w:tc>
          <w:tcPr>
            <w:tcW w:w="466" w:type="pct"/>
            <w:tcBorders>
              <w:top w:val="none" w:sz="0" w:space="0" w:color="auto"/>
              <w:bottom w:val="none" w:sz="0" w:space="0" w:color="auto"/>
            </w:tcBorders>
            <w:noWrap/>
          </w:tcPr>
          <w:p w14:paraId="4DD3BCB8" w14:textId="77777777" w:rsidR="00DC455F" w:rsidRPr="00E80541" w:rsidRDefault="0090018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-4.95</w:t>
            </w:r>
          </w:p>
        </w:tc>
        <w:tc>
          <w:tcPr>
            <w:tcW w:w="427" w:type="pct"/>
            <w:tcBorders>
              <w:top w:val="none" w:sz="0" w:space="0" w:color="auto"/>
              <w:bottom w:val="none" w:sz="0" w:space="0" w:color="auto"/>
              <w:right w:val="none" w:sz="0" w:space="0" w:color="auto"/>
            </w:tcBorders>
            <w:noWrap/>
          </w:tcPr>
          <w:p w14:paraId="4EFBBFA7" w14:textId="6A94DAC4" w:rsidR="00DC455F" w:rsidRPr="00E80541" w:rsidRDefault="00C05E72"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&lt;0.001</w:t>
            </w:r>
          </w:p>
        </w:tc>
      </w:tr>
      <w:tr w:rsidR="00F82E1E" w:rsidRPr="00E80541" w14:paraId="2856B1E1"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tcPr>
          <w:p w14:paraId="75F7391B" w14:textId="77777777" w:rsidR="00F82E1E" w:rsidRPr="00E80541" w:rsidRDefault="00F82E1E" w:rsidP="00DF5A28">
            <w:pPr>
              <w:suppressLineNumbers/>
              <w:jc w:val="center"/>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BMI (kg/m</w:t>
            </w:r>
            <w:r w:rsidRPr="00E80541">
              <w:rPr>
                <w:rFonts w:ascii="Times New Roman" w:eastAsia="Times New Roman" w:hAnsi="Times New Roman"/>
                <w:color w:val="000000"/>
                <w:sz w:val="20"/>
                <w:szCs w:val="20"/>
                <w:vertAlign w:val="superscript"/>
              </w:rPr>
              <w:t>2</w:t>
            </w:r>
            <w:r w:rsidRPr="00E80541">
              <w:rPr>
                <w:rFonts w:ascii="Times New Roman" w:eastAsia="Times New Roman" w:hAnsi="Times New Roman"/>
                <w:color w:val="000000"/>
                <w:sz w:val="20"/>
                <w:szCs w:val="20"/>
              </w:rPr>
              <w:t>) - Males</w:t>
            </w:r>
          </w:p>
        </w:tc>
      </w:tr>
      <w:tr w:rsidR="00E6780D" w:rsidRPr="00E80541" w14:paraId="08611120"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tcPr>
          <w:p w14:paraId="20F2BBF6" w14:textId="77777777" w:rsidR="00E6780D" w:rsidRPr="00E80541" w:rsidRDefault="00E6780D"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Age Group</w:t>
            </w:r>
          </w:p>
        </w:tc>
        <w:tc>
          <w:tcPr>
            <w:tcW w:w="1289" w:type="pct"/>
            <w:tcBorders>
              <w:top w:val="none" w:sz="0" w:space="0" w:color="auto"/>
              <w:bottom w:val="none" w:sz="0" w:space="0" w:color="auto"/>
            </w:tcBorders>
            <w:noWrap/>
          </w:tcPr>
          <w:p w14:paraId="1B21A130" w14:textId="77777777" w:rsidR="00E6780D" w:rsidRPr="00E80541" w:rsidRDefault="00E6780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NHANES Mean (95% CI)</w:t>
            </w:r>
          </w:p>
        </w:tc>
        <w:tc>
          <w:tcPr>
            <w:tcW w:w="1317" w:type="pct"/>
            <w:tcBorders>
              <w:top w:val="none" w:sz="0" w:space="0" w:color="auto"/>
              <w:bottom w:val="none" w:sz="0" w:space="0" w:color="auto"/>
            </w:tcBorders>
            <w:noWrap/>
          </w:tcPr>
          <w:p w14:paraId="74317996" w14:textId="77777777" w:rsidR="00E6780D" w:rsidRPr="00E80541" w:rsidRDefault="00E6780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NSCH Mean (95% CI)</w:t>
            </w:r>
          </w:p>
        </w:tc>
        <w:tc>
          <w:tcPr>
            <w:tcW w:w="460" w:type="pct"/>
            <w:tcBorders>
              <w:top w:val="none" w:sz="0" w:space="0" w:color="auto"/>
              <w:bottom w:val="none" w:sz="0" w:space="0" w:color="auto"/>
            </w:tcBorders>
            <w:noWrap/>
          </w:tcPr>
          <w:p w14:paraId="291276D0" w14:textId="77777777" w:rsidR="00E6780D" w:rsidRPr="00E80541" w:rsidRDefault="00E6780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proofErr w:type="spellStart"/>
            <w:r w:rsidRPr="00E80541">
              <w:rPr>
                <w:rFonts w:ascii="Times New Roman" w:eastAsia="Times New Roman" w:hAnsi="Times New Roman"/>
                <w:b/>
                <w:color w:val="000000"/>
                <w:sz w:val="20"/>
                <w:szCs w:val="20"/>
              </w:rPr>
              <w:t>df</w:t>
            </w:r>
            <w:proofErr w:type="spellEnd"/>
          </w:p>
        </w:tc>
        <w:tc>
          <w:tcPr>
            <w:tcW w:w="466" w:type="pct"/>
            <w:tcBorders>
              <w:top w:val="none" w:sz="0" w:space="0" w:color="auto"/>
              <w:bottom w:val="none" w:sz="0" w:space="0" w:color="auto"/>
            </w:tcBorders>
            <w:noWrap/>
          </w:tcPr>
          <w:p w14:paraId="4464E533" w14:textId="77777777" w:rsidR="00E6780D" w:rsidRPr="00E80541" w:rsidRDefault="00E6780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t</w:t>
            </w:r>
          </w:p>
        </w:tc>
        <w:tc>
          <w:tcPr>
            <w:tcW w:w="427" w:type="pct"/>
            <w:tcBorders>
              <w:top w:val="none" w:sz="0" w:space="0" w:color="auto"/>
              <w:bottom w:val="none" w:sz="0" w:space="0" w:color="auto"/>
              <w:right w:val="none" w:sz="0" w:space="0" w:color="auto"/>
            </w:tcBorders>
            <w:noWrap/>
          </w:tcPr>
          <w:p w14:paraId="6DB9B4FC" w14:textId="77777777" w:rsidR="00E6780D" w:rsidRPr="00E80541" w:rsidRDefault="00E6780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p</w:t>
            </w:r>
          </w:p>
        </w:tc>
      </w:tr>
      <w:tr w:rsidR="00E6780D" w:rsidRPr="00E80541" w14:paraId="170FC1BD"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1041" w:type="pct"/>
            <w:noWrap/>
          </w:tcPr>
          <w:p w14:paraId="0EDAA98E" w14:textId="77777777" w:rsidR="00E6780D" w:rsidRPr="00E80541" w:rsidRDefault="00E6780D"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2-5</w:t>
            </w:r>
          </w:p>
        </w:tc>
        <w:tc>
          <w:tcPr>
            <w:tcW w:w="1289" w:type="pct"/>
            <w:noWrap/>
          </w:tcPr>
          <w:p w14:paraId="75A77783" w14:textId="77777777" w:rsidR="00E6780D" w:rsidRPr="00E80541" w:rsidRDefault="009F66FE"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16.39 (16.28-16.51)</w:t>
            </w:r>
          </w:p>
        </w:tc>
        <w:tc>
          <w:tcPr>
            <w:tcW w:w="1317" w:type="pct"/>
            <w:noWrap/>
          </w:tcPr>
          <w:p w14:paraId="34A0CF02" w14:textId="77777777" w:rsidR="00E6780D" w:rsidRPr="00E80541" w:rsidRDefault="00330208"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18.95 (18.71-19.19)</w:t>
            </w:r>
          </w:p>
        </w:tc>
        <w:tc>
          <w:tcPr>
            <w:tcW w:w="460" w:type="pct"/>
            <w:noWrap/>
          </w:tcPr>
          <w:p w14:paraId="1832414B" w14:textId="77777777" w:rsidR="00E6780D" w:rsidRPr="00E80541" w:rsidRDefault="0055266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10,304</w:t>
            </w:r>
          </w:p>
        </w:tc>
        <w:tc>
          <w:tcPr>
            <w:tcW w:w="466" w:type="pct"/>
            <w:noWrap/>
          </w:tcPr>
          <w:p w14:paraId="5AFF8B3F" w14:textId="77777777" w:rsidR="00E6780D" w:rsidRPr="00E80541" w:rsidRDefault="0055266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18.93</w:t>
            </w:r>
          </w:p>
        </w:tc>
        <w:tc>
          <w:tcPr>
            <w:tcW w:w="427" w:type="pct"/>
            <w:noWrap/>
          </w:tcPr>
          <w:p w14:paraId="188DE826" w14:textId="3117E46B" w:rsidR="00E6780D" w:rsidRPr="00E80541" w:rsidRDefault="00C05E72"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&lt;0.001</w:t>
            </w:r>
          </w:p>
        </w:tc>
      </w:tr>
      <w:tr w:rsidR="00E6780D" w:rsidRPr="00E80541" w14:paraId="4C6A0478"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tcPr>
          <w:p w14:paraId="52883185" w14:textId="77777777" w:rsidR="00E6780D" w:rsidRPr="00E80541" w:rsidRDefault="00E6780D"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6-9</w:t>
            </w:r>
          </w:p>
        </w:tc>
        <w:tc>
          <w:tcPr>
            <w:tcW w:w="1289" w:type="pct"/>
            <w:tcBorders>
              <w:top w:val="none" w:sz="0" w:space="0" w:color="auto"/>
              <w:bottom w:val="none" w:sz="0" w:space="0" w:color="auto"/>
            </w:tcBorders>
            <w:noWrap/>
          </w:tcPr>
          <w:p w14:paraId="4DE0AE8E" w14:textId="77777777" w:rsidR="00E6780D" w:rsidRPr="00E80541" w:rsidRDefault="009F66FE"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17.51 (17.28-17.73)</w:t>
            </w:r>
          </w:p>
        </w:tc>
        <w:tc>
          <w:tcPr>
            <w:tcW w:w="1317" w:type="pct"/>
            <w:tcBorders>
              <w:top w:val="none" w:sz="0" w:space="0" w:color="auto"/>
              <w:bottom w:val="none" w:sz="0" w:space="0" w:color="auto"/>
            </w:tcBorders>
            <w:noWrap/>
          </w:tcPr>
          <w:p w14:paraId="3F95655D" w14:textId="77777777" w:rsidR="00E6780D" w:rsidRPr="00E80541" w:rsidRDefault="00330208"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19.19 (18.98-19.40)</w:t>
            </w:r>
          </w:p>
        </w:tc>
        <w:tc>
          <w:tcPr>
            <w:tcW w:w="460" w:type="pct"/>
            <w:tcBorders>
              <w:top w:val="none" w:sz="0" w:space="0" w:color="auto"/>
              <w:bottom w:val="none" w:sz="0" w:space="0" w:color="auto"/>
            </w:tcBorders>
            <w:noWrap/>
          </w:tcPr>
          <w:p w14:paraId="615E6A37" w14:textId="77777777" w:rsidR="00E6780D" w:rsidRPr="00E80541" w:rsidRDefault="0055266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10,048</w:t>
            </w:r>
          </w:p>
        </w:tc>
        <w:tc>
          <w:tcPr>
            <w:tcW w:w="466" w:type="pct"/>
            <w:tcBorders>
              <w:top w:val="none" w:sz="0" w:space="0" w:color="auto"/>
              <w:bottom w:val="none" w:sz="0" w:space="0" w:color="auto"/>
            </w:tcBorders>
            <w:noWrap/>
          </w:tcPr>
          <w:p w14:paraId="7E1D9A1E" w14:textId="77777777" w:rsidR="00E6780D" w:rsidRPr="00E80541" w:rsidRDefault="0055266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10.77</w:t>
            </w:r>
          </w:p>
        </w:tc>
        <w:tc>
          <w:tcPr>
            <w:tcW w:w="427" w:type="pct"/>
            <w:tcBorders>
              <w:top w:val="none" w:sz="0" w:space="0" w:color="auto"/>
              <w:bottom w:val="none" w:sz="0" w:space="0" w:color="auto"/>
              <w:right w:val="none" w:sz="0" w:space="0" w:color="auto"/>
            </w:tcBorders>
            <w:noWrap/>
          </w:tcPr>
          <w:p w14:paraId="50AE5E71" w14:textId="4FBF4998" w:rsidR="00E6780D" w:rsidRPr="00E80541" w:rsidRDefault="00C05E72"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&lt;0.001</w:t>
            </w:r>
          </w:p>
        </w:tc>
      </w:tr>
      <w:tr w:rsidR="00E6780D" w:rsidRPr="00E80541" w14:paraId="36FBABF7"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1041" w:type="pct"/>
            <w:noWrap/>
          </w:tcPr>
          <w:p w14:paraId="1A3A4D42" w14:textId="77777777" w:rsidR="00E6780D" w:rsidRPr="00E80541" w:rsidRDefault="00E6780D"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10-13</w:t>
            </w:r>
          </w:p>
        </w:tc>
        <w:tc>
          <w:tcPr>
            <w:tcW w:w="1289" w:type="pct"/>
            <w:noWrap/>
          </w:tcPr>
          <w:p w14:paraId="49B29266" w14:textId="77777777" w:rsidR="00E6780D" w:rsidRPr="00E80541" w:rsidRDefault="009F66FE"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20.60 (20.26-20.94)</w:t>
            </w:r>
          </w:p>
        </w:tc>
        <w:tc>
          <w:tcPr>
            <w:tcW w:w="1317" w:type="pct"/>
            <w:noWrap/>
          </w:tcPr>
          <w:p w14:paraId="62A74073" w14:textId="77777777" w:rsidR="00E6780D" w:rsidRPr="00E80541" w:rsidRDefault="00330208"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20.89 (20.73-21.04)</w:t>
            </w:r>
          </w:p>
        </w:tc>
        <w:tc>
          <w:tcPr>
            <w:tcW w:w="460" w:type="pct"/>
            <w:noWrap/>
          </w:tcPr>
          <w:p w14:paraId="45605D1C" w14:textId="77777777" w:rsidR="00E6780D" w:rsidRPr="00E80541" w:rsidRDefault="0055266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21,420</w:t>
            </w:r>
          </w:p>
        </w:tc>
        <w:tc>
          <w:tcPr>
            <w:tcW w:w="466" w:type="pct"/>
            <w:noWrap/>
          </w:tcPr>
          <w:p w14:paraId="1CE0D324" w14:textId="77777777" w:rsidR="00E6780D" w:rsidRPr="00E80541" w:rsidRDefault="0055266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1.52</w:t>
            </w:r>
          </w:p>
        </w:tc>
        <w:tc>
          <w:tcPr>
            <w:tcW w:w="427" w:type="pct"/>
            <w:noWrap/>
          </w:tcPr>
          <w:p w14:paraId="7810C8FE" w14:textId="77777777" w:rsidR="00E6780D" w:rsidRPr="00E80541" w:rsidRDefault="0055266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0.129</w:t>
            </w:r>
          </w:p>
        </w:tc>
      </w:tr>
      <w:tr w:rsidR="00E6780D" w:rsidRPr="00E80541" w14:paraId="6AD82632"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tcPr>
          <w:p w14:paraId="7000E796" w14:textId="77777777" w:rsidR="00E6780D" w:rsidRPr="00E80541" w:rsidRDefault="00E6780D"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14-17</w:t>
            </w:r>
          </w:p>
        </w:tc>
        <w:tc>
          <w:tcPr>
            <w:tcW w:w="1289" w:type="pct"/>
            <w:tcBorders>
              <w:top w:val="none" w:sz="0" w:space="0" w:color="auto"/>
              <w:bottom w:val="none" w:sz="0" w:space="0" w:color="auto"/>
            </w:tcBorders>
            <w:noWrap/>
          </w:tcPr>
          <w:p w14:paraId="6DC162EB" w14:textId="77777777" w:rsidR="00E6780D" w:rsidRPr="00E80541" w:rsidRDefault="009F66FE"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23.52 (23.11-23.93)</w:t>
            </w:r>
          </w:p>
        </w:tc>
        <w:tc>
          <w:tcPr>
            <w:tcW w:w="1317" w:type="pct"/>
            <w:tcBorders>
              <w:top w:val="none" w:sz="0" w:space="0" w:color="auto"/>
              <w:bottom w:val="none" w:sz="0" w:space="0" w:color="auto"/>
            </w:tcBorders>
            <w:noWrap/>
          </w:tcPr>
          <w:p w14:paraId="2EFCD446" w14:textId="77777777" w:rsidR="00E6780D" w:rsidRPr="00E80541" w:rsidRDefault="00330208"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22.83 (22.69-22.98)</w:t>
            </w:r>
          </w:p>
        </w:tc>
        <w:tc>
          <w:tcPr>
            <w:tcW w:w="460" w:type="pct"/>
            <w:tcBorders>
              <w:top w:val="none" w:sz="0" w:space="0" w:color="auto"/>
              <w:bottom w:val="none" w:sz="0" w:space="0" w:color="auto"/>
            </w:tcBorders>
            <w:noWrap/>
          </w:tcPr>
          <w:p w14:paraId="3468417F" w14:textId="77777777" w:rsidR="00E6780D" w:rsidRPr="00E80541" w:rsidRDefault="0055266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26,560</w:t>
            </w:r>
          </w:p>
        </w:tc>
        <w:tc>
          <w:tcPr>
            <w:tcW w:w="466" w:type="pct"/>
            <w:tcBorders>
              <w:top w:val="none" w:sz="0" w:space="0" w:color="auto"/>
              <w:bottom w:val="none" w:sz="0" w:space="0" w:color="auto"/>
            </w:tcBorders>
            <w:noWrap/>
          </w:tcPr>
          <w:p w14:paraId="1EA5643B" w14:textId="77777777" w:rsidR="00E6780D" w:rsidRPr="00E80541" w:rsidRDefault="0055266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-3.10</w:t>
            </w:r>
          </w:p>
        </w:tc>
        <w:tc>
          <w:tcPr>
            <w:tcW w:w="427" w:type="pct"/>
            <w:tcBorders>
              <w:top w:val="none" w:sz="0" w:space="0" w:color="auto"/>
              <w:bottom w:val="none" w:sz="0" w:space="0" w:color="auto"/>
              <w:right w:val="none" w:sz="0" w:space="0" w:color="auto"/>
            </w:tcBorders>
            <w:noWrap/>
          </w:tcPr>
          <w:p w14:paraId="4A02DCA9" w14:textId="77777777" w:rsidR="00E6780D" w:rsidRPr="00E80541" w:rsidRDefault="0055266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0.002</w:t>
            </w:r>
          </w:p>
        </w:tc>
      </w:tr>
      <w:tr w:rsidR="00F82E1E" w:rsidRPr="00E80541" w14:paraId="497B3825"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noWrap/>
          </w:tcPr>
          <w:p w14:paraId="013E2E19" w14:textId="77777777" w:rsidR="00F82E1E" w:rsidRPr="00E80541" w:rsidRDefault="00F82E1E" w:rsidP="00DF5A28">
            <w:pPr>
              <w:suppressLineNumbers/>
              <w:jc w:val="center"/>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BMI (kg/m</w:t>
            </w:r>
            <w:r w:rsidRPr="00E80541">
              <w:rPr>
                <w:rFonts w:ascii="Times New Roman" w:eastAsia="Times New Roman" w:hAnsi="Times New Roman"/>
                <w:color w:val="000000"/>
                <w:sz w:val="20"/>
                <w:szCs w:val="20"/>
                <w:vertAlign w:val="superscript"/>
              </w:rPr>
              <w:t>2</w:t>
            </w:r>
            <w:r w:rsidRPr="00E80541">
              <w:rPr>
                <w:rFonts w:ascii="Times New Roman" w:eastAsia="Times New Roman" w:hAnsi="Times New Roman"/>
                <w:color w:val="000000"/>
                <w:sz w:val="20"/>
                <w:szCs w:val="20"/>
              </w:rPr>
              <w:t>) - Females</w:t>
            </w:r>
          </w:p>
        </w:tc>
      </w:tr>
      <w:tr w:rsidR="007657CD" w:rsidRPr="00E80541" w14:paraId="52E91ED4"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tcPr>
          <w:p w14:paraId="1725ACBA" w14:textId="77777777" w:rsidR="007657CD" w:rsidRPr="00E80541" w:rsidRDefault="007657CD"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Age Group</w:t>
            </w:r>
          </w:p>
        </w:tc>
        <w:tc>
          <w:tcPr>
            <w:tcW w:w="1289" w:type="pct"/>
            <w:tcBorders>
              <w:top w:val="none" w:sz="0" w:space="0" w:color="auto"/>
              <w:bottom w:val="none" w:sz="0" w:space="0" w:color="auto"/>
            </w:tcBorders>
            <w:noWrap/>
          </w:tcPr>
          <w:p w14:paraId="1B600CE0" w14:textId="77777777" w:rsidR="007657CD" w:rsidRPr="00E80541" w:rsidRDefault="007657C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NHANES Mean (95% CI)</w:t>
            </w:r>
          </w:p>
        </w:tc>
        <w:tc>
          <w:tcPr>
            <w:tcW w:w="1317" w:type="pct"/>
            <w:tcBorders>
              <w:top w:val="none" w:sz="0" w:space="0" w:color="auto"/>
              <w:bottom w:val="none" w:sz="0" w:space="0" w:color="auto"/>
            </w:tcBorders>
            <w:noWrap/>
          </w:tcPr>
          <w:p w14:paraId="4EDAB4C8" w14:textId="77777777" w:rsidR="007657CD" w:rsidRPr="00E80541" w:rsidRDefault="007657C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NSCH Mean (95% CI)</w:t>
            </w:r>
          </w:p>
        </w:tc>
        <w:tc>
          <w:tcPr>
            <w:tcW w:w="460" w:type="pct"/>
            <w:tcBorders>
              <w:top w:val="none" w:sz="0" w:space="0" w:color="auto"/>
              <w:bottom w:val="none" w:sz="0" w:space="0" w:color="auto"/>
            </w:tcBorders>
            <w:noWrap/>
          </w:tcPr>
          <w:p w14:paraId="37563A78" w14:textId="77777777" w:rsidR="007657CD" w:rsidRPr="00E80541" w:rsidRDefault="007657C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proofErr w:type="spellStart"/>
            <w:r w:rsidRPr="00E80541">
              <w:rPr>
                <w:rFonts w:ascii="Times New Roman" w:eastAsia="Times New Roman" w:hAnsi="Times New Roman"/>
                <w:b/>
                <w:color w:val="000000"/>
                <w:sz w:val="20"/>
                <w:szCs w:val="20"/>
              </w:rPr>
              <w:t>df</w:t>
            </w:r>
            <w:proofErr w:type="spellEnd"/>
          </w:p>
        </w:tc>
        <w:tc>
          <w:tcPr>
            <w:tcW w:w="466" w:type="pct"/>
            <w:tcBorders>
              <w:top w:val="none" w:sz="0" w:space="0" w:color="auto"/>
              <w:bottom w:val="none" w:sz="0" w:space="0" w:color="auto"/>
            </w:tcBorders>
            <w:noWrap/>
          </w:tcPr>
          <w:p w14:paraId="020DD0F5" w14:textId="77777777" w:rsidR="007657CD" w:rsidRPr="00E80541" w:rsidRDefault="007657C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t</w:t>
            </w:r>
          </w:p>
        </w:tc>
        <w:tc>
          <w:tcPr>
            <w:tcW w:w="427" w:type="pct"/>
            <w:tcBorders>
              <w:top w:val="none" w:sz="0" w:space="0" w:color="auto"/>
              <w:bottom w:val="none" w:sz="0" w:space="0" w:color="auto"/>
              <w:right w:val="none" w:sz="0" w:space="0" w:color="auto"/>
            </w:tcBorders>
            <w:noWrap/>
          </w:tcPr>
          <w:p w14:paraId="671605CB" w14:textId="77777777" w:rsidR="007657CD" w:rsidRPr="00E80541" w:rsidRDefault="007657CD"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rPr>
            </w:pPr>
            <w:r w:rsidRPr="00E80541">
              <w:rPr>
                <w:rFonts w:ascii="Times New Roman" w:eastAsia="Times New Roman" w:hAnsi="Times New Roman"/>
                <w:b/>
                <w:color w:val="000000"/>
                <w:sz w:val="20"/>
                <w:szCs w:val="20"/>
              </w:rPr>
              <w:t>p</w:t>
            </w:r>
          </w:p>
        </w:tc>
      </w:tr>
      <w:tr w:rsidR="00E6780D" w:rsidRPr="00E80541" w14:paraId="40A60EAC"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1041" w:type="pct"/>
            <w:noWrap/>
          </w:tcPr>
          <w:p w14:paraId="545092F1" w14:textId="77777777" w:rsidR="00E6780D" w:rsidRPr="00E80541" w:rsidRDefault="00E6780D"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2-5</w:t>
            </w:r>
          </w:p>
        </w:tc>
        <w:tc>
          <w:tcPr>
            <w:tcW w:w="1289" w:type="pct"/>
            <w:noWrap/>
          </w:tcPr>
          <w:p w14:paraId="3221FEEB" w14:textId="77777777" w:rsidR="00E6780D" w:rsidRPr="00E80541" w:rsidRDefault="009F66FE"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16.24 (16.10-16.39)</w:t>
            </w:r>
          </w:p>
        </w:tc>
        <w:tc>
          <w:tcPr>
            <w:tcW w:w="1317" w:type="pct"/>
            <w:noWrap/>
          </w:tcPr>
          <w:p w14:paraId="5D3D4F44" w14:textId="77777777" w:rsidR="00E6780D" w:rsidRPr="00E80541" w:rsidRDefault="00330208"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18.46 (18.27-18.65)</w:t>
            </w:r>
          </w:p>
        </w:tc>
        <w:tc>
          <w:tcPr>
            <w:tcW w:w="460" w:type="pct"/>
            <w:noWrap/>
          </w:tcPr>
          <w:p w14:paraId="1416D200" w14:textId="77777777" w:rsidR="00E6780D" w:rsidRPr="00E80541" w:rsidRDefault="0055266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9,765</w:t>
            </w:r>
          </w:p>
        </w:tc>
        <w:tc>
          <w:tcPr>
            <w:tcW w:w="466" w:type="pct"/>
            <w:noWrap/>
          </w:tcPr>
          <w:p w14:paraId="4A830BDD" w14:textId="77777777" w:rsidR="00E6780D" w:rsidRPr="00E80541" w:rsidRDefault="0055266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18.2</w:t>
            </w:r>
          </w:p>
        </w:tc>
        <w:tc>
          <w:tcPr>
            <w:tcW w:w="427" w:type="pct"/>
            <w:noWrap/>
          </w:tcPr>
          <w:p w14:paraId="206AEA2A" w14:textId="04953E0F" w:rsidR="00E6780D" w:rsidRPr="00E80541" w:rsidRDefault="00C05E72"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&lt;0.001</w:t>
            </w:r>
          </w:p>
        </w:tc>
      </w:tr>
      <w:tr w:rsidR="00E6780D" w:rsidRPr="00E80541" w14:paraId="6BC48501"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tcPr>
          <w:p w14:paraId="3D8DA5EA" w14:textId="77777777" w:rsidR="00E6780D" w:rsidRPr="00E80541" w:rsidRDefault="00E6780D"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6-9</w:t>
            </w:r>
          </w:p>
        </w:tc>
        <w:tc>
          <w:tcPr>
            <w:tcW w:w="1289" w:type="pct"/>
            <w:tcBorders>
              <w:top w:val="none" w:sz="0" w:space="0" w:color="auto"/>
              <w:bottom w:val="none" w:sz="0" w:space="0" w:color="auto"/>
            </w:tcBorders>
            <w:noWrap/>
          </w:tcPr>
          <w:p w14:paraId="7E22DC25" w14:textId="77777777" w:rsidR="00E6780D" w:rsidRPr="00E80541" w:rsidRDefault="009F66FE"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17.52 (17.29-17.76)</w:t>
            </w:r>
          </w:p>
        </w:tc>
        <w:tc>
          <w:tcPr>
            <w:tcW w:w="1317" w:type="pct"/>
            <w:tcBorders>
              <w:top w:val="none" w:sz="0" w:space="0" w:color="auto"/>
              <w:bottom w:val="none" w:sz="0" w:space="0" w:color="auto"/>
            </w:tcBorders>
            <w:noWrap/>
          </w:tcPr>
          <w:p w14:paraId="1A6464FD" w14:textId="77777777" w:rsidR="00E6780D" w:rsidRPr="00E80541" w:rsidRDefault="00330208"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19.21 (18.95-19.47)</w:t>
            </w:r>
          </w:p>
        </w:tc>
        <w:tc>
          <w:tcPr>
            <w:tcW w:w="460" w:type="pct"/>
            <w:tcBorders>
              <w:top w:val="none" w:sz="0" w:space="0" w:color="auto"/>
              <w:bottom w:val="none" w:sz="0" w:space="0" w:color="auto"/>
            </w:tcBorders>
            <w:noWrap/>
          </w:tcPr>
          <w:p w14:paraId="188306F8" w14:textId="77777777" w:rsidR="00E6780D" w:rsidRPr="00E80541" w:rsidRDefault="0055266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9,702</w:t>
            </w:r>
          </w:p>
        </w:tc>
        <w:tc>
          <w:tcPr>
            <w:tcW w:w="466" w:type="pct"/>
            <w:tcBorders>
              <w:top w:val="none" w:sz="0" w:space="0" w:color="auto"/>
              <w:bottom w:val="none" w:sz="0" w:space="0" w:color="auto"/>
            </w:tcBorders>
            <w:noWrap/>
          </w:tcPr>
          <w:p w14:paraId="75AF0F63" w14:textId="77777777" w:rsidR="00E6780D" w:rsidRPr="00E80541" w:rsidRDefault="0055266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9.47</w:t>
            </w:r>
          </w:p>
        </w:tc>
        <w:tc>
          <w:tcPr>
            <w:tcW w:w="427" w:type="pct"/>
            <w:tcBorders>
              <w:top w:val="none" w:sz="0" w:space="0" w:color="auto"/>
              <w:bottom w:val="none" w:sz="0" w:space="0" w:color="auto"/>
              <w:right w:val="none" w:sz="0" w:space="0" w:color="auto"/>
            </w:tcBorders>
            <w:noWrap/>
          </w:tcPr>
          <w:p w14:paraId="57EE4B1D" w14:textId="411C949B" w:rsidR="00E6780D" w:rsidRPr="00E80541" w:rsidRDefault="00C05E72"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&lt;0.001</w:t>
            </w:r>
          </w:p>
        </w:tc>
      </w:tr>
      <w:tr w:rsidR="00E6780D" w:rsidRPr="00E80541" w14:paraId="38B5EB81" w14:textId="77777777" w:rsidTr="00454308">
        <w:trPr>
          <w:trHeight w:val="300"/>
        </w:trPr>
        <w:tc>
          <w:tcPr>
            <w:cnfStyle w:val="001000000000" w:firstRow="0" w:lastRow="0" w:firstColumn="1" w:lastColumn="0" w:oddVBand="0" w:evenVBand="0" w:oddHBand="0" w:evenHBand="0" w:firstRowFirstColumn="0" w:firstRowLastColumn="0" w:lastRowFirstColumn="0" w:lastRowLastColumn="0"/>
            <w:tcW w:w="1041" w:type="pct"/>
            <w:noWrap/>
          </w:tcPr>
          <w:p w14:paraId="6D2F5FA9" w14:textId="77777777" w:rsidR="00E6780D" w:rsidRPr="00E80541" w:rsidRDefault="00E6780D"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10-13</w:t>
            </w:r>
          </w:p>
        </w:tc>
        <w:tc>
          <w:tcPr>
            <w:tcW w:w="1289" w:type="pct"/>
            <w:noWrap/>
          </w:tcPr>
          <w:p w14:paraId="4D75D09A" w14:textId="77777777" w:rsidR="00E6780D" w:rsidRPr="00E80541" w:rsidRDefault="009F66FE"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21.05 (20.69-21.42)</w:t>
            </w:r>
          </w:p>
        </w:tc>
        <w:tc>
          <w:tcPr>
            <w:tcW w:w="1317" w:type="pct"/>
            <w:noWrap/>
          </w:tcPr>
          <w:p w14:paraId="3BD087AD" w14:textId="77777777" w:rsidR="00E6780D" w:rsidRPr="00E80541" w:rsidRDefault="00330208"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20.61 (20.44-20.77)</w:t>
            </w:r>
          </w:p>
        </w:tc>
        <w:tc>
          <w:tcPr>
            <w:tcW w:w="460" w:type="pct"/>
            <w:noWrap/>
          </w:tcPr>
          <w:p w14:paraId="49F1C89F" w14:textId="77777777" w:rsidR="00E6780D" w:rsidRPr="00E80541" w:rsidRDefault="0055266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20,483</w:t>
            </w:r>
          </w:p>
        </w:tc>
        <w:tc>
          <w:tcPr>
            <w:tcW w:w="466" w:type="pct"/>
            <w:noWrap/>
          </w:tcPr>
          <w:p w14:paraId="5BAA4E42" w14:textId="77777777" w:rsidR="00E6780D" w:rsidRPr="00E80541" w:rsidRDefault="0055266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-2.18</w:t>
            </w:r>
          </w:p>
        </w:tc>
        <w:tc>
          <w:tcPr>
            <w:tcW w:w="427" w:type="pct"/>
            <w:noWrap/>
          </w:tcPr>
          <w:p w14:paraId="2F89134B" w14:textId="77777777" w:rsidR="00E6780D" w:rsidRPr="00E80541" w:rsidRDefault="00552667" w:rsidP="00DF5A28">
            <w:pPr>
              <w:suppressLineNumber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0.03</w:t>
            </w:r>
          </w:p>
        </w:tc>
      </w:tr>
      <w:tr w:rsidR="00E6780D" w:rsidRPr="00E80541" w14:paraId="04174A49" w14:textId="77777777" w:rsidTr="004543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1" w:type="pct"/>
            <w:tcBorders>
              <w:top w:val="none" w:sz="0" w:space="0" w:color="auto"/>
              <w:left w:val="none" w:sz="0" w:space="0" w:color="auto"/>
              <w:bottom w:val="none" w:sz="0" w:space="0" w:color="auto"/>
            </w:tcBorders>
            <w:noWrap/>
          </w:tcPr>
          <w:p w14:paraId="361883BD" w14:textId="77777777" w:rsidR="00E6780D" w:rsidRPr="00E80541" w:rsidRDefault="00E6780D" w:rsidP="00DF5A28">
            <w:pPr>
              <w:suppressLineNumbers/>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14-17</w:t>
            </w:r>
          </w:p>
        </w:tc>
        <w:tc>
          <w:tcPr>
            <w:tcW w:w="1289" w:type="pct"/>
            <w:tcBorders>
              <w:top w:val="none" w:sz="0" w:space="0" w:color="auto"/>
              <w:bottom w:val="none" w:sz="0" w:space="0" w:color="auto"/>
            </w:tcBorders>
            <w:noWrap/>
          </w:tcPr>
          <w:p w14:paraId="6582B543" w14:textId="77777777" w:rsidR="00E6780D" w:rsidRPr="00E80541" w:rsidRDefault="009F66FE"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23.56 (23.16-23.95)</w:t>
            </w:r>
          </w:p>
        </w:tc>
        <w:tc>
          <w:tcPr>
            <w:tcW w:w="1317" w:type="pct"/>
            <w:tcBorders>
              <w:top w:val="none" w:sz="0" w:space="0" w:color="auto"/>
              <w:bottom w:val="none" w:sz="0" w:space="0" w:color="auto"/>
            </w:tcBorders>
            <w:noWrap/>
          </w:tcPr>
          <w:p w14:paraId="6270AFBE" w14:textId="77777777" w:rsidR="00E6780D" w:rsidRPr="00E80541" w:rsidRDefault="00330208"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22.21 (22.08-22.34)</w:t>
            </w:r>
          </w:p>
        </w:tc>
        <w:tc>
          <w:tcPr>
            <w:tcW w:w="460" w:type="pct"/>
            <w:tcBorders>
              <w:top w:val="none" w:sz="0" w:space="0" w:color="auto"/>
              <w:bottom w:val="none" w:sz="0" w:space="0" w:color="auto"/>
            </w:tcBorders>
            <w:noWrap/>
          </w:tcPr>
          <w:p w14:paraId="1812F527" w14:textId="77777777" w:rsidR="00E6780D" w:rsidRPr="00E80541" w:rsidRDefault="0055266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24,197</w:t>
            </w:r>
          </w:p>
        </w:tc>
        <w:tc>
          <w:tcPr>
            <w:tcW w:w="466" w:type="pct"/>
            <w:tcBorders>
              <w:top w:val="none" w:sz="0" w:space="0" w:color="auto"/>
              <w:bottom w:val="none" w:sz="0" w:space="0" w:color="auto"/>
            </w:tcBorders>
            <w:noWrap/>
          </w:tcPr>
          <w:p w14:paraId="2A538693" w14:textId="77777777" w:rsidR="00E6780D" w:rsidRPr="00E80541" w:rsidRDefault="00552667"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-6.38</w:t>
            </w:r>
          </w:p>
        </w:tc>
        <w:tc>
          <w:tcPr>
            <w:tcW w:w="427" w:type="pct"/>
            <w:tcBorders>
              <w:top w:val="none" w:sz="0" w:space="0" w:color="auto"/>
              <w:bottom w:val="none" w:sz="0" w:space="0" w:color="auto"/>
              <w:right w:val="none" w:sz="0" w:space="0" w:color="auto"/>
            </w:tcBorders>
            <w:noWrap/>
          </w:tcPr>
          <w:p w14:paraId="615E9216" w14:textId="6C0227E0" w:rsidR="00E6780D" w:rsidRPr="00E80541" w:rsidRDefault="00C05E72" w:rsidP="00DF5A28">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rPr>
            </w:pPr>
            <w:r w:rsidRPr="00E80541">
              <w:rPr>
                <w:rFonts w:ascii="Times New Roman" w:eastAsia="Times New Roman" w:hAnsi="Times New Roman"/>
                <w:color w:val="000000"/>
                <w:sz w:val="20"/>
                <w:szCs w:val="20"/>
              </w:rPr>
              <w:t>&lt;0.001</w:t>
            </w:r>
          </w:p>
        </w:tc>
      </w:tr>
    </w:tbl>
    <w:p w14:paraId="0C898267" w14:textId="4B49586C" w:rsidR="0031714B" w:rsidRPr="00E80541" w:rsidRDefault="0031714B" w:rsidP="00DF5A28">
      <w:pPr>
        <w:suppressLineNumbers/>
        <w:rPr>
          <w:rFonts w:ascii="Times New Roman" w:hAnsi="Times New Roman"/>
        </w:rPr>
      </w:pPr>
      <w:r w:rsidRPr="00E80541">
        <w:rPr>
          <w:rFonts w:ascii="Times New Roman" w:hAnsi="Times New Roman"/>
          <w:b/>
          <w:sz w:val="24"/>
          <w:szCs w:val="24"/>
        </w:rPr>
        <w:lastRenderedPageBreak/>
        <w:t xml:space="preserve">Appendix </w:t>
      </w:r>
      <w:r w:rsidR="00C2109A" w:rsidRPr="00E80541">
        <w:rPr>
          <w:rFonts w:ascii="Times New Roman" w:hAnsi="Times New Roman"/>
          <w:b/>
          <w:sz w:val="24"/>
          <w:szCs w:val="24"/>
        </w:rPr>
        <w:t>C</w:t>
      </w:r>
      <w:r w:rsidR="002C56C5" w:rsidRPr="00E80541">
        <w:rPr>
          <w:rFonts w:ascii="Times New Roman" w:hAnsi="Times New Roman"/>
          <w:b/>
          <w:sz w:val="24"/>
          <w:szCs w:val="24"/>
        </w:rPr>
        <w:t>. Comparison of BMI d</w:t>
      </w:r>
      <w:r w:rsidRPr="00E80541">
        <w:rPr>
          <w:rFonts w:ascii="Times New Roman" w:hAnsi="Times New Roman"/>
          <w:b/>
          <w:sz w:val="24"/>
          <w:szCs w:val="24"/>
        </w:rPr>
        <w:t xml:space="preserve">istributions by age and sex </w:t>
      </w:r>
      <w:r w:rsidR="00D915A3" w:rsidRPr="00E80541">
        <w:rPr>
          <w:rFonts w:ascii="Times New Roman" w:hAnsi="Times New Roman"/>
          <w:b/>
          <w:sz w:val="24"/>
          <w:szCs w:val="24"/>
        </w:rPr>
        <w:t xml:space="preserve">from </w:t>
      </w:r>
      <w:r w:rsidRPr="00E80541">
        <w:rPr>
          <w:rFonts w:ascii="Times New Roman" w:hAnsi="Times New Roman"/>
          <w:b/>
          <w:sz w:val="24"/>
          <w:szCs w:val="24"/>
        </w:rPr>
        <w:t xml:space="preserve">NHANES 2005-2010 and </w:t>
      </w:r>
      <w:r w:rsidR="00D03F7C" w:rsidRPr="00E80541">
        <w:rPr>
          <w:rFonts w:ascii="Times New Roman" w:hAnsi="Times New Roman"/>
          <w:b/>
          <w:sz w:val="24"/>
          <w:szCs w:val="24"/>
        </w:rPr>
        <w:t>CHOICES model</w:t>
      </w:r>
      <w:r w:rsidR="00CB79B9" w:rsidRPr="00E80541">
        <w:rPr>
          <w:rFonts w:ascii="Times New Roman" w:hAnsi="Times New Roman"/>
          <w:i/>
        </w:rPr>
        <w:t xml:space="preserve">              </w:t>
      </w:r>
      <w:r w:rsidRPr="00E80541">
        <w:rPr>
          <w:rFonts w:ascii="Times New Roman" w:hAnsi="Times New Roman"/>
          <w:noProof/>
        </w:rPr>
        <w:drawing>
          <wp:inline distT="0" distB="0" distL="0" distR="0" wp14:anchorId="109FC5C4" wp14:editId="5C72A879">
            <wp:extent cx="1793240" cy="21399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240" cy="213995"/>
                    </a:xfrm>
                    <a:prstGeom prst="rect">
                      <a:avLst/>
                    </a:prstGeom>
                    <a:noFill/>
                    <a:ln>
                      <a:noFill/>
                    </a:ln>
                  </pic:spPr>
                </pic:pic>
              </a:graphicData>
            </a:graphic>
          </wp:inline>
        </w:drawing>
      </w:r>
    </w:p>
    <w:p w14:paraId="6C494E32" w14:textId="77777777" w:rsidR="00DF5A28" w:rsidRPr="00E80541" w:rsidRDefault="00A54501" w:rsidP="00DF5A28">
      <w:pPr>
        <w:suppressLineNumbers/>
        <w:spacing w:after="0"/>
        <w:rPr>
          <w:rFonts w:ascii="Times New Roman" w:hAnsi="Times New Roman"/>
        </w:rPr>
        <w:sectPr w:rsidR="00DF5A28" w:rsidRPr="00E80541" w:rsidSect="0031714B">
          <w:footerReference w:type="default" r:id="rId11"/>
          <w:pgSz w:w="12240" w:h="15840"/>
          <w:pgMar w:top="1440" w:right="720" w:bottom="1440" w:left="1440" w:header="720" w:footer="720" w:gutter="0"/>
          <w:lnNumType w:countBy="1" w:restart="continuous"/>
          <w:cols w:space="720"/>
          <w:docGrid w:linePitch="360"/>
        </w:sectPr>
      </w:pPr>
      <w:r w:rsidRPr="00E80541">
        <w:rPr>
          <w:noProof/>
        </w:rPr>
        <w:drawing>
          <wp:inline distT="0" distB="0" distL="0" distR="0" wp14:anchorId="35B6139B" wp14:editId="251AFF7F">
            <wp:extent cx="3200400" cy="187452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80541">
        <w:rPr>
          <w:noProof/>
        </w:rPr>
        <w:drawing>
          <wp:inline distT="0" distB="0" distL="0" distR="0" wp14:anchorId="17C86AFA" wp14:editId="7EBCC95D">
            <wp:extent cx="3200400" cy="187452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80541">
        <w:rPr>
          <w:noProof/>
        </w:rPr>
        <w:drawing>
          <wp:inline distT="0" distB="0" distL="0" distR="0" wp14:anchorId="2B85FF1B" wp14:editId="4E986E46">
            <wp:extent cx="3200400" cy="187452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80541">
        <w:rPr>
          <w:noProof/>
        </w:rPr>
        <w:drawing>
          <wp:inline distT="0" distB="0" distL="0" distR="0" wp14:anchorId="48CB4780" wp14:editId="3982CBB2">
            <wp:extent cx="3200400" cy="187452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80541">
        <w:rPr>
          <w:noProof/>
        </w:rPr>
        <w:drawing>
          <wp:inline distT="0" distB="0" distL="0" distR="0" wp14:anchorId="69CD4F77" wp14:editId="046E8657">
            <wp:extent cx="3200400" cy="187452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E80541">
        <w:rPr>
          <w:noProof/>
        </w:rPr>
        <w:drawing>
          <wp:inline distT="0" distB="0" distL="0" distR="0" wp14:anchorId="1F245F9F" wp14:editId="51750A16">
            <wp:extent cx="3200400" cy="187452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E80541">
        <w:rPr>
          <w:noProof/>
        </w:rPr>
        <w:drawing>
          <wp:inline distT="0" distB="0" distL="0" distR="0" wp14:anchorId="1210D818" wp14:editId="2B3ECBFD">
            <wp:extent cx="3200400" cy="187452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80541">
        <w:rPr>
          <w:noProof/>
        </w:rPr>
        <w:drawing>
          <wp:inline distT="0" distB="0" distL="0" distR="0" wp14:anchorId="23247663" wp14:editId="48DE86C3">
            <wp:extent cx="3200400" cy="187452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EF8B07" w14:textId="6416900E" w:rsidR="002C2464" w:rsidRPr="00E80541" w:rsidRDefault="00DF5A28" w:rsidP="00DF5A28">
      <w:pPr>
        <w:suppressLineNumbers/>
        <w:spacing w:after="0"/>
        <w:rPr>
          <w:rFonts w:ascii="Times New Roman" w:hAnsi="Times New Roman"/>
          <w:b/>
          <w:sz w:val="24"/>
          <w:szCs w:val="24"/>
        </w:rPr>
      </w:pPr>
      <w:r w:rsidRPr="00E80541">
        <w:rPr>
          <w:rFonts w:ascii="Times New Roman" w:hAnsi="Times New Roman"/>
          <w:b/>
        </w:rPr>
        <w:lastRenderedPageBreak/>
        <w:t xml:space="preserve">Appendix D. </w:t>
      </w:r>
      <w:r w:rsidRPr="00E80541">
        <w:rPr>
          <w:rFonts w:ascii="Times New Roman" w:hAnsi="Times New Roman"/>
          <w:b/>
          <w:sz w:val="24"/>
          <w:szCs w:val="24"/>
        </w:rPr>
        <w:t xml:space="preserve">Childhood overweight </w:t>
      </w:r>
      <w:r w:rsidR="0074718D" w:rsidRPr="00E80541">
        <w:rPr>
          <w:rFonts w:ascii="Times New Roman" w:hAnsi="Times New Roman"/>
          <w:b/>
          <w:sz w:val="24"/>
          <w:szCs w:val="24"/>
        </w:rPr>
        <w:t xml:space="preserve">and obesity </w:t>
      </w:r>
      <w:r w:rsidRPr="00E80541">
        <w:rPr>
          <w:rFonts w:ascii="Times New Roman" w:hAnsi="Times New Roman"/>
          <w:b/>
          <w:sz w:val="24"/>
          <w:szCs w:val="24"/>
        </w:rPr>
        <w:t xml:space="preserve">prevalence by state in </w:t>
      </w:r>
      <w:r w:rsidR="00842153" w:rsidRPr="00E80541">
        <w:rPr>
          <w:rFonts w:ascii="Times New Roman" w:hAnsi="Times New Roman"/>
          <w:b/>
          <w:sz w:val="24"/>
          <w:szCs w:val="24"/>
        </w:rPr>
        <w:t>2005-2010 estimated by CHOICES M</w:t>
      </w:r>
      <w:r w:rsidRPr="00E80541">
        <w:rPr>
          <w:rFonts w:ascii="Times New Roman" w:hAnsi="Times New Roman"/>
          <w:b/>
          <w:sz w:val="24"/>
          <w:szCs w:val="24"/>
        </w:rPr>
        <w:t>odel</w:t>
      </w:r>
    </w:p>
    <w:p w14:paraId="76F799CD" w14:textId="2025B8BA" w:rsidR="0074718D" w:rsidRPr="00E80541" w:rsidRDefault="0074718D" w:rsidP="00DF5A28">
      <w:pPr>
        <w:suppressLineNumbers/>
        <w:spacing w:after="0"/>
        <w:rPr>
          <w:rFonts w:ascii="Times New Roman" w:hAnsi="Times New Roman"/>
        </w:rPr>
      </w:pPr>
      <w:r w:rsidRPr="00E80541">
        <w:rPr>
          <w:rFonts w:ascii="Times New Roman" w:hAnsi="Times New Roman"/>
          <w:noProof/>
        </w:rPr>
        <w:drawing>
          <wp:inline distT="0" distB="0" distL="0" distR="0" wp14:anchorId="46688EB7" wp14:editId="24313140">
            <wp:extent cx="5308270" cy="3666024"/>
            <wp:effectExtent l="0" t="0" r="6985" b="0"/>
            <wp:docPr id="9" name="Picture 9" descr="C:\Users\michael_long\Downloads\Child_Map - Overweight+Obe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_long\Downloads\Child_Map - Overweight+Obesity.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4978" cy="3677563"/>
                    </a:xfrm>
                    <a:prstGeom prst="rect">
                      <a:avLst/>
                    </a:prstGeom>
                    <a:noFill/>
                    <a:ln>
                      <a:noFill/>
                    </a:ln>
                  </pic:spPr>
                </pic:pic>
              </a:graphicData>
            </a:graphic>
          </wp:inline>
        </w:drawing>
      </w:r>
    </w:p>
    <w:p w14:paraId="19725CCC" w14:textId="77777777" w:rsidR="0074718D" w:rsidRPr="00E80541" w:rsidRDefault="0074718D" w:rsidP="00DF5A28">
      <w:pPr>
        <w:suppressLineNumbers/>
        <w:spacing w:after="0"/>
        <w:rPr>
          <w:rFonts w:ascii="Times New Roman" w:hAnsi="Times New Roman"/>
        </w:rPr>
      </w:pPr>
    </w:p>
    <w:p w14:paraId="2AD9B8C0" w14:textId="714E7F76" w:rsidR="0074718D" w:rsidRPr="00E80541" w:rsidRDefault="0074718D" w:rsidP="00DF5A28">
      <w:pPr>
        <w:suppressLineNumbers/>
        <w:spacing w:after="0"/>
        <w:rPr>
          <w:rFonts w:ascii="Times New Roman" w:hAnsi="Times New Roman"/>
          <w:b/>
        </w:rPr>
      </w:pPr>
      <w:r w:rsidRPr="00E80541">
        <w:rPr>
          <w:rFonts w:ascii="Times New Roman" w:hAnsi="Times New Roman"/>
          <w:b/>
        </w:rPr>
        <w:t>Appendix E. Crosswalk for Linking Race/Ethnicity Codes across the Census/ACS, National Survey of Children’s Health (NSCH) and the National Health and Nutrition Examination Survey (NHANES)</w:t>
      </w:r>
    </w:p>
    <w:tbl>
      <w:tblPr>
        <w:tblStyle w:val="TableGrid"/>
        <w:tblW w:w="5000" w:type="pct"/>
        <w:tblLook w:val="04A0" w:firstRow="1" w:lastRow="0" w:firstColumn="1" w:lastColumn="0" w:noHBand="0" w:noVBand="1"/>
      </w:tblPr>
      <w:tblGrid>
        <w:gridCol w:w="2828"/>
        <w:gridCol w:w="2499"/>
        <w:gridCol w:w="4743"/>
      </w:tblGrid>
      <w:tr w:rsidR="00842153" w:rsidRPr="00E80541" w14:paraId="17C85B14" w14:textId="77777777" w:rsidTr="008B772B">
        <w:tc>
          <w:tcPr>
            <w:tcW w:w="1404" w:type="pct"/>
            <w:vAlign w:val="center"/>
          </w:tcPr>
          <w:p w14:paraId="5B2E24D1" w14:textId="77777777" w:rsidR="00842153" w:rsidRPr="00E80541" w:rsidRDefault="00842153" w:rsidP="008B772B">
            <w:pPr>
              <w:jc w:val="center"/>
              <w:rPr>
                <w:rFonts w:ascii="Times New Roman" w:hAnsi="Times New Roman"/>
                <w:b/>
                <w:sz w:val="24"/>
                <w:szCs w:val="24"/>
              </w:rPr>
            </w:pPr>
            <w:r w:rsidRPr="00E80541">
              <w:rPr>
                <w:rFonts w:ascii="Times New Roman" w:hAnsi="Times New Roman"/>
                <w:b/>
                <w:sz w:val="24"/>
                <w:szCs w:val="24"/>
              </w:rPr>
              <w:t>Census/ACS</w:t>
            </w:r>
          </w:p>
        </w:tc>
        <w:tc>
          <w:tcPr>
            <w:tcW w:w="1241" w:type="pct"/>
            <w:vAlign w:val="center"/>
          </w:tcPr>
          <w:p w14:paraId="14473EDE" w14:textId="77777777" w:rsidR="00842153" w:rsidRPr="00E80541" w:rsidRDefault="00842153" w:rsidP="008B772B">
            <w:pPr>
              <w:jc w:val="center"/>
              <w:rPr>
                <w:rFonts w:ascii="Times New Roman" w:hAnsi="Times New Roman"/>
                <w:b/>
                <w:sz w:val="24"/>
                <w:szCs w:val="24"/>
              </w:rPr>
            </w:pPr>
            <w:r w:rsidRPr="00E80541">
              <w:rPr>
                <w:rFonts w:ascii="Times New Roman" w:hAnsi="Times New Roman"/>
                <w:b/>
                <w:sz w:val="24"/>
                <w:szCs w:val="24"/>
              </w:rPr>
              <w:t>NSCH</w:t>
            </w:r>
          </w:p>
        </w:tc>
        <w:tc>
          <w:tcPr>
            <w:tcW w:w="2355" w:type="pct"/>
            <w:vAlign w:val="center"/>
          </w:tcPr>
          <w:p w14:paraId="0C43956E" w14:textId="77777777" w:rsidR="00842153" w:rsidRPr="00E80541" w:rsidRDefault="00842153" w:rsidP="008B772B">
            <w:pPr>
              <w:jc w:val="center"/>
              <w:rPr>
                <w:rFonts w:ascii="Times New Roman" w:hAnsi="Times New Roman"/>
                <w:b/>
                <w:sz w:val="24"/>
                <w:szCs w:val="24"/>
              </w:rPr>
            </w:pPr>
            <w:r w:rsidRPr="00E80541">
              <w:rPr>
                <w:rFonts w:ascii="Times New Roman" w:hAnsi="Times New Roman"/>
                <w:b/>
                <w:sz w:val="24"/>
                <w:szCs w:val="24"/>
              </w:rPr>
              <w:t>NHANES</w:t>
            </w:r>
          </w:p>
        </w:tc>
      </w:tr>
      <w:tr w:rsidR="00842153" w:rsidRPr="00E80541" w14:paraId="16756068" w14:textId="77777777" w:rsidTr="008B772B">
        <w:tc>
          <w:tcPr>
            <w:tcW w:w="1404" w:type="pct"/>
            <w:vAlign w:val="center"/>
          </w:tcPr>
          <w:p w14:paraId="7C5AD7FE"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White, Non-Hispanic</w:t>
            </w:r>
          </w:p>
        </w:tc>
        <w:tc>
          <w:tcPr>
            <w:tcW w:w="1241" w:type="pct"/>
            <w:vAlign w:val="center"/>
          </w:tcPr>
          <w:p w14:paraId="441D2149"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White, Non-Hispanic</w:t>
            </w:r>
          </w:p>
        </w:tc>
        <w:tc>
          <w:tcPr>
            <w:tcW w:w="2355" w:type="pct"/>
            <w:vAlign w:val="center"/>
          </w:tcPr>
          <w:p w14:paraId="2C92CAA8"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White, Non-Hispanic</w:t>
            </w:r>
          </w:p>
        </w:tc>
      </w:tr>
      <w:tr w:rsidR="00842153" w:rsidRPr="00E80541" w14:paraId="39C19510" w14:textId="77777777" w:rsidTr="008B772B">
        <w:tc>
          <w:tcPr>
            <w:tcW w:w="1403" w:type="pct"/>
            <w:vAlign w:val="center"/>
          </w:tcPr>
          <w:p w14:paraId="3000334C"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Black or African American, Non-Hispanic</w:t>
            </w:r>
          </w:p>
        </w:tc>
        <w:tc>
          <w:tcPr>
            <w:tcW w:w="1240" w:type="pct"/>
            <w:vAlign w:val="center"/>
          </w:tcPr>
          <w:p w14:paraId="12BCC952"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Black or African American, Non-Hispanic</w:t>
            </w:r>
          </w:p>
        </w:tc>
        <w:tc>
          <w:tcPr>
            <w:tcW w:w="2356" w:type="pct"/>
            <w:vAlign w:val="center"/>
          </w:tcPr>
          <w:p w14:paraId="6F84190A"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Black, Non-Hispanic</w:t>
            </w:r>
          </w:p>
        </w:tc>
      </w:tr>
      <w:tr w:rsidR="00842153" w:rsidRPr="00E80541" w14:paraId="5A7C11EC" w14:textId="77777777" w:rsidTr="008B772B">
        <w:tc>
          <w:tcPr>
            <w:tcW w:w="1403" w:type="pct"/>
            <w:vAlign w:val="center"/>
          </w:tcPr>
          <w:p w14:paraId="5280472D"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American Indian and Alaska Native, Non-Hispanic</w:t>
            </w:r>
          </w:p>
        </w:tc>
        <w:tc>
          <w:tcPr>
            <w:tcW w:w="1240" w:type="pct"/>
            <w:vMerge w:val="restart"/>
            <w:vAlign w:val="center"/>
          </w:tcPr>
          <w:p w14:paraId="1E376450"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Other, Non-Hispanic</w:t>
            </w:r>
          </w:p>
        </w:tc>
        <w:tc>
          <w:tcPr>
            <w:tcW w:w="2356" w:type="pct"/>
            <w:vMerge w:val="restart"/>
            <w:vAlign w:val="center"/>
          </w:tcPr>
          <w:p w14:paraId="4E10182B"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Other Race, including Multi-Racial</w:t>
            </w:r>
          </w:p>
        </w:tc>
      </w:tr>
      <w:tr w:rsidR="00842153" w:rsidRPr="00E80541" w14:paraId="1DF9FA54" w14:textId="77777777" w:rsidTr="008B772B">
        <w:tc>
          <w:tcPr>
            <w:tcW w:w="1404" w:type="pct"/>
            <w:vAlign w:val="center"/>
          </w:tcPr>
          <w:p w14:paraId="64C85E94"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Asian, Non-Hispanic</w:t>
            </w:r>
          </w:p>
        </w:tc>
        <w:tc>
          <w:tcPr>
            <w:tcW w:w="1241" w:type="pct"/>
            <w:vMerge/>
            <w:vAlign w:val="center"/>
          </w:tcPr>
          <w:p w14:paraId="75E1376B" w14:textId="77777777" w:rsidR="00842153" w:rsidRPr="00E80541" w:rsidRDefault="00842153" w:rsidP="008B772B">
            <w:pPr>
              <w:jc w:val="center"/>
              <w:rPr>
                <w:rFonts w:ascii="Times New Roman" w:hAnsi="Times New Roman"/>
                <w:sz w:val="24"/>
                <w:szCs w:val="24"/>
              </w:rPr>
            </w:pPr>
          </w:p>
        </w:tc>
        <w:tc>
          <w:tcPr>
            <w:tcW w:w="2355" w:type="pct"/>
            <w:vMerge/>
            <w:vAlign w:val="center"/>
          </w:tcPr>
          <w:p w14:paraId="5C17F40A" w14:textId="77777777" w:rsidR="00842153" w:rsidRPr="00E80541" w:rsidRDefault="00842153" w:rsidP="008B772B">
            <w:pPr>
              <w:jc w:val="center"/>
              <w:rPr>
                <w:rFonts w:ascii="Times New Roman" w:hAnsi="Times New Roman"/>
                <w:sz w:val="24"/>
                <w:szCs w:val="24"/>
              </w:rPr>
            </w:pPr>
          </w:p>
        </w:tc>
      </w:tr>
      <w:tr w:rsidR="00842153" w:rsidRPr="00E80541" w14:paraId="5BA497FC" w14:textId="77777777" w:rsidTr="008B772B">
        <w:tc>
          <w:tcPr>
            <w:tcW w:w="1404" w:type="pct"/>
            <w:vAlign w:val="center"/>
          </w:tcPr>
          <w:p w14:paraId="1A052210"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Native Hawaiian and Other Pacific Islander, Non-Hispanic</w:t>
            </w:r>
          </w:p>
        </w:tc>
        <w:tc>
          <w:tcPr>
            <w:tcW w:w="1241" w:type="pct"/>
            <w:vMerge/>
            <w:vAlign w:val="center"/>
          </w:tcPr>
          <w:p w14:paraId="51F88678" w14:textId="77777777" w:rsidR="00842153" w:rsidRPr="00E80541" w:rsidRDefault="00842153" w:rsidP="008B772B">
            <w:pPr>
              <w:jc w:val="center"/>
              <w:rPr>
                <w:rFonts w:ascii="Times New Roman" w:hAnsi="Times New Roman"/>
                <w:sz w:val="24"/>
                <w:szCs w:val="24"/>
              </w:rPr>
            </w:pPr>
          </w:p>
        </w:tc>
        <w:tc>
          <w:tcPr>
            <w:tcW w:w="2355" w:type="pct"/>
            <w:vMerge/>
            <w:vAlign w:val="center"/>
          </w:tcPr>
          <w:p w14:paraId="464B8E72" w14:textId="77777777" w:rsidR="00842153" w:rsidRPr="00E80541" w:rsidRDefault="00842153" w:rsidP="008B772B">
            <w:pPr>
              <w:jc w:val="center"/>
              <w:rPr>
                <w:rFonts w:ascii="Times New Roman" w:hAnsi="Times New Roman"/>
                <w:sz w:val="24"/>
                <w:szCs w:val="24"/>
              </w:rPr>
            </w:pPr>
          </w:p>
        </w:tc>
      </w:tr>
      <w:tr w:rsidR="00842153" w:rsidRPr="00E80541" w14:paraId="7CF49202" w14:textId="77777777" w:rsidTr="008B772B">
        <w:tc>
          <w:tcPr>
            <w:tcW w:w="1404" w:type="pct"/>
            <w:vAlign w:val="center"/>
          </w:tcPr>
          <w:p w14:paraId="54677FF4"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Other, Non-Hispanic</w:t>
            </w:r>
          </w:p>
        </w:tc>
        <w:tc>
          <w:tcPr>
            <w:tcW w:w="1241" w:type="pct"/>
            <w:vMerge/>
            <w:vAlign w:val="center"/>
          </w:tcPr>
          <w:p w14:paraId="21A49294" w14:textId="77777777" w:rsidR="00842153" w:rsidRPr="00E80541" w:rsidRDefault="00842153" w:rsidP="008B772B">
            <w:pPr>
              <w:jc w:val="center"/>
              <w:rPr>
                <w:rFonts w:ascii="Times New Roman" w:hAnsi="Times New Roman"/>
                <w:sz w:val="24"/>
                <w:szCs w:val="24"/>
              </w:rPr>
            </w:pPr>
          </w:p>
        </w:tc>
        <w:tc>
          <w:tcPr>
            <w:tcW w:w="2355" w:type="pct"/>
            <w:vMerge/>
            <w:vAlign w:val="center"/>
          </w:tcPr>
          <w:p w14:paraId="4197F090" w14:textId="77777777" w:rsidR="00842153" w:rsidRPr="00E80541" w:rsidRDefault="00842153" w:rsidP="008B772B">
            <w:pPr>
              <w:jc w:val="center"/>
              <w:rPr>
                <w:rFonts w:ascii="Times New Roman" w:hAnsi="Times New Roman"/>
                <w:sz w:val="24"/>
                <w:szCs w:val="24"/>
              </w:rPr>
            </w:pPr>
          </w:p>
        </w:tc>
      </w:tr>
      <w:tr w:rsidR="00842153" w:rsidRPr="00E80541" w14:paraId="5E42D3C2" w14:textId="77777777" w:rsidTr="008B772B">
        <w:tc>
          <w:tcPr>
            <w:tcW w:w="1404" w:type="pct"/>
            <w:vAlign w:val="center"/>
          </w:tcPr>
          <w:p w14:paraId="4D9264CA"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Two or more races, Non-Hispanic</w:t>
            </w:r>
          </w:p>
        </w:tc>
        <w:tc>
          <w:tcPr>
            <w:tcW w:w="1241" w:type="pct"/>
            <w:vAlign w:val="center"/>
          </w:tcPr>
          <w:p w14:paraId="04318236"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Two or more races, Non-Hispanic</w:t>
            </w:r>
          </w:p>
        </w:tc>
        <w:tc>
          <w:tcPr>
            <w:tcW w:w="2355" w:type="pct"/>
            <w:vMerge/>
            <w:vAlign w:val="center"/>
          </w:tcPr>
          <w:p w14:paraId="7A5D0983" w14:textId="77777777" w:rsidR="00842153" w:rsidRPr="00E80541" w:rsidRDefault="00842153" w:rsidP="008B772B">
            <w:pPr>
              <w:jc w:val="center"/>
              <w:rPr>
                <w:rFonts w:ascii="Times New Roman" w:hAnsi="Times New Roman"/>
                <w:sz w:val="24"/>
                <w:szCs w:val="24"/>
              </w:rPr>
            </w:pPr>
          </w:p>
        </w:tc>
      </w:tr>
      <w:tr w:rsidR="00842153" w:rsidRPr="00E80541" w14:paraId="366507FB" w14:textId="77777777" w:rsidTr="008B772B">
        <w:tc>
          <w:tcPr>
            <w:tcW w:w="1404" w:type="pct"/>
            <w:vMerge w:val="restart"/>
            <w:vAlign w:val="center"/>
          </w:tcPr>
          <w:p w14:paraId="44C2AC57"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Hispanic</w:t>
            </w:r>
          </w:p>
        </w:tc>
        <w:tc>
          <w:tcPr>
            <w:tcW w:w="1241" w:type="pct"/>
            <w:vMerge w:val="restart"/>
            <w:vAlign w:val="center"/>
          </w:tcPr>
          <w:p w14:paraId="7B5A70E6"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Hispanic</w:t>
            </w:r>
          </w:p>
        </w:tc>
        <w:tc>
          <w:tcPr>
            <w:tcW w:w="2355" w:type="pct"/>
            <w:vAlign w:val="center"/>
          </w:tcPr>
          <w:p w14:paraId="57AA2BF4"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Mexican American</w:t>
            </w:r>
          </w:p>
        </w:tc>
      </w:tr>
      <w:tr w:rsidR="00842153" w:rsidRPr="00E80541" w14:paraId="1FF0B5BD" w14:textId="77777777" w:rsidTr="008B772B">
        <w:tc>
          <w:tcPr>
            <w:tcW w:w="1404" w:type="pct"/>
            <w:vMerge/>
            <w:vAlign w:val="center"/>
          </w:tcPr>
          <w:p w14:paraId="5CF007F1" w14:textId="77777777" w:rsidR="00842153" w:rsidRPr="00E80541" w:rsidRDefault="00842153" w:rsidP="008B772B">
            <w:pPr>
              <w:jc w:val="center"/>
              <w:rPr>
                <w:rFonts w:ascii="Times New Roman" w:hAnsi="Times New Roman"/>
                <w:sz w:val="24"/>
                <w:szCs w:val="24"/>
              </w:rPr>
            </w:pPr>
          </w:p>
        </w:tc>
        <w:tc>
          <w:tcPr>
            <w:tcW w:w="1241" w:type="pct"/>
            <w:vMerge/>
            <w:vAlign w:val="center"/>
          </w:tcPr>
          <w:p w14:paraId="7F6D87A2" w14:textId="77777777" w:rsidR="00842153" w:rsidRPr="00E80541" w:rsidRDefault="00842153" w:rsidP="008B772B">
            <w:pPr>
              <w:jc w:val="center"/>
              <w:rPr>
                <w:rFonts w:ascii="Times New Roman" w:hAnsi="Times New Roman"/>
                <w:sz w:val="24"/>
                <w:szCs w:val="24"/>
              </w:rPr>
            </w:pPr>
          </w:p>
        </w:tc>
        <w:tc>
          <w:tcPr>
            <w:tcW w:w="2355" w:type="pct"/>
            <w:vAlign w:val="center"/>
          </w:tcPr>
          <w:p w14:paraId="27F93EF3" w14:textId="77777777" w:rsidR="00842153" w:rsidRPr="00E80541" w:rsidRDefault="00842153" w:rsidP="008B772B">
            <w:pPr>
              <w:jc w:val="center"/>
              <w:rPr>
                <w:rFonts w:ascii="Times New Roman" w:hAnsi="Times New Roman"/>
                <w:sz w:val="24"/>
                <w:szCs w:val="24"/>
              </w:rPr>
            </w:pPr>
            <w:r w:rsidRPr="00E80541">
              <w:rPr>
                <w:rFonts w:ascii="Times New Roman" w:hAnsi="Times New Roman"/>
                <w:sz w:val="24"/>
                <w:szCs w:val="24"/>
              </w:rPr>
              <w:t>Other Hispanic</w:t>
            </w:r>
          </w:p>
        </w:tc>
      </w:tr>
    </w:tbl>
    <w:p w14:paraId="6434DDCE" w14:textId="77777777" w:rsidR="00842153" w:rsidRPr="00E80541" w:rsidRDefault="00842153" w:rsidP="00DF5A28">
      <w:pPr>
        <w:suppressLineNumbers/>
        <w:spacing w:after="0"/>
        <w:rPr>
          <w:rFonts w:ascii="Times New Roman" w:hAnsi="Times New Roman"/>
        </w:rPr>
      </w:pPr>
    </w:p>
    <w:p w14:paraId="7078D5BF" w14:textId="116D671D" w:rsidR="00842153" w:rsidRPr="00E80541" w:rsidRDefault="00842153" w:rsidP="00DF5A28">
      <w:pPr>
        <w:suppressLineNumbers/>
        <w:spacing w:after="0"/>
        <w:rPr>
          <w:rFonts w:ascii="Times New Roman" w:hAnsi="Times New Roman"/>
        </w:rPr>
      </w:pPr>
      <w:r w:rsidRPr="00E80541">
        <w:rPr>
          <w:rFonts w:ascii="Times New Roman" w:hAnsi="Times New Roman"/>
        </w:rPr>
        <w:br w:type="page"/>
      </w:r>
    </w:p>
    <w:p w14:paraId="15654B5E" w14:textId="17857A85" w:rsidR="00842153" w:rsidRPr="00E80541" w:rsidRDefault="00E54773" w:rsidP="00842153">
      <w:pPr>
        <w:suppressLineNumbers/>
        <w:spacing w:after="0"/>
        <w:rPr>
          <w:rFonts w:ascii="Times New Roman" w:hAnsi="Times New Roman"/>
          <w:b/>
        </w:rPr>
      </w:pPr>
      <w:r w:rsidRPr="00E80541">
        <w:rPr>
          <w:rFonts w:ascii="Times New Roman" w:hAnsi="Times New Roman"/>
          <w:b/>
        </w:rPr>
        <w:lastRenderedPageBreak/>
        <w:t>Appendix F</w:t>
      </w:r>
      <w:r w:rsidR="00842153" w:rsidRPr="00E80541">
        <w:rPr>
          <w:rFonts w:ascii="Times New Roman" w:hAnsi="Times New Roman"/>
          <w:b/>
        </w:rPr>
        <w:t xml:space="preserve">. Conversion of Ratio of Household Income to Federal Poverty Level to Household Income from National Survey of Children’s Health (NSCH) </w:t>
      </w:r>
    </w:p>
    <w:tbl>
      <w:tblPr>
        <w:tblW w:w="8622" w:type="dxa"/>
        <w:tblInd w:w="93" w:type="dxa"/>
        <w:tblLook w:val="04A0" w:firstRow="1" w:lastRow="0" w:firstColumn="1" w:lastColumn="0" w:noHBand="0" w:noVBand="1"/>
      </w:tblPr>
      <w:tblGrid>
        <w:gridCol w:w="1540"/>
        <w:gridCol w:w="1661"/>
        <w:gridCol w:w="996"/>
        <w:gridCol w:w="996"/>
        <w:gridCol w:w="1661"/>
        <w:gridCol w:w="996"/>
        <w:gridCol w:w="996"/>
      </w:tblGrid>
      <w:tr w:rsidR="00842153" w:rsidRPr="00E80541" w14:paraId="6CA8E017" w14:textId="77777777" w:rsidTr="008B772B">
        <w:trPr>
          <w:trHeight w:val="300"/>
        </w:trPr>
        <w:tc>
          <w:tcPr>
            <w:tcW w:w="1540" w:type="dxa"/>
            <w:vMerge w:val="restart"/>
            <w:tcBorders>
              <w:top w:val="single" w:sz="4" w:space="0" w:color="auto"/>
              <w:left w:val="single" w:sz="4" w:space="0" w:color="auto"/>
              <w:right w:val="single" w:sz="4" w:space="0" w:color="auto"/>
            </w:tcBorders>
            <w:shd w:val="clear" w:color="auto" w:fill="auto"/>
            <w:noWrap/>
            <w:vAlign w:val="center"/>
            <w:hideMark/>
          </w:tcPr>
          <w:p w14:paraId="63E50A82"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Household Size</w:t>
            </w:r>
          </w:p>
        </w:tc>
        <w:tc>
          <w:tcPr>
            <w:tcW w:w="35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D0FB69"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Poverty Threshold (2003)</w:t>
            </w:r>
          </w:p>
        </w:tc>
        <w:tc>
          <w:tcPr>
            <w:tcW w:w="354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49DCD0" w14:textId="77777777" w:rsidR="00842153" w:rsidRPr="00E80541" w:rsidRDefault="00842153" w:rsidP="00790864">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Poverty Threshold (2007)</w:t>
            </w:r>
          </w:p>
        </w:tc>
      </w:tr>
      <w:tr w:rsidR="00842153" w:rsidRPr="00E80541" w14:paraId="424E71AB" w14:textId="77777777" w:rsidTr="008B772B">
        <w:trPr>
          <w:trHeight w:val="341"/>
        </w:trPr>
        <w:tc>
          <w:tcPr>
            <w:tcW w:w="1540" w:type="dxa"/>
            <w:vMerge/>
            <w:tcBorders>
              <w:left w:val="single" w:sz="4" w:space="0" w:color="auto"/>
              <w:bottom w:val="single" w:sz="4" w:space="0" w:color="auto"/>
              <w:right w:val="single" w:sz="4" w:space="0" w:color="auto"/>
            </w:tcBorders>
            <w:shd w:val="clear" w:color="auto" w:fill="auto"/>
            <w:noWrap/>
            <w:vAlign w:val="center"/>
            <w:hideMark/>
          </w:tcPr>
          <w:p w14:paraId="25A9CBF7" w14:textId="77777777" w:rsidR="00842153" w:rsidRPr="00E80541" w:rsidRDefault="00842153">
            <w:pPr>
              <w:spacing w:after="0" w:line="240" w:lineRule="auto"/>
              <w:jc w:val="center"/>
              <w:rPr>
                <w:rFonts w:ascii="Times New Roman" w:eastAsia="Times New Roman" w:hAnsi="Times New Roman"/>
                <w:color w:val="000000"/>
                <w:sz w:val="24"/>
                <w:szCs w:val="24"/>
              </w:rPr>
            </w:pPr>
          </w:p>
        </w:tc>
        <w:tc>
          <w:tcPr>
            <w:tcW w:w="1661" w:type="dxa"/>
            <w:tcBorders>
              <w:top w:val="nil"/>
              <w:left w:val="nil"/>
              <w:bottom w:val="single" w:sz="4" w:space="0" w:color="auto"/>
              <w:right w:val="single" w:sz="4" w:space="0" w:color="auto"/>
            </w:tcBorders>
            <w:shd w:val="clear" w:color="auto" w:fill="auto"/>
            <w:noWrap/>
            <w:vAlign w:val="center"/>
            <w:hideMark/>
          </w:tcPr>
          <w:p w14:paraId="7E029513"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Continental US</w:t>
            </w:r>
          </w:p>
        </w:tc>
        <w:tc>
          <w:tcPr>
            <w:tcW w:w="940" w:type="dxa"/>
            <w:tcBorders>
              <w:top w:val="nil"/>
              <w:left w:val="nil"/>
              <w:bottom w:val="single" w:sz="4" w:space="0" w:color="auto"/>
              <w:right w:val="single" w:sz="4" w:space="0" w:color="auto"/>
            </w:tcBorders>
            <w:shd w:val="clear" w:color="auto" w:fill="auto"/>
            <w:noWrap/>
            <w:vAlign w:val="center"/>
            <w:hideMark/>
          </w:tcPr>
          <w:p w14:paraId="441DEBA5"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Alaska</w:t>
            </w:r>
          </w:p>
        </w:tc>
        <w:tc>
          <w:tcPr>
            <w:tcW w:w="940" w:type="dxa"/>
            <w:tcBorders>
              <w:top w:val="nil"/>
              <w:left w:val="nil"/>
              <w:bottom w:val="single" w:sz="4" w:space="0" w:color="auto"/>
              <w:right w:val="single" w:sz="4" w:space="0" w:color="auto"/>
            </w:tcBorders>
            <w:shd w:val="clear" w:color="auto" w:fill="auto"/>
            <w:noWrap/>
            <w:vAlign w:val="center"/>
            <w:hideMark/>
          </w:tcPr>
          <w:p w14:paraId="4AE5E897"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Hawaii</w:t>
            </w:r>
          </w:p>
        </w:tc>
        <w:tc>
          <w:tcPr>
            <w:tcW w:w="1661" w:type="dxa"/>
            <w:tcBorders>
              <w:top w:val="nil"/>
              <w:left w:val="nil"/>
              <w:bottom w:val="single" w:sz="4" w:space="0" w:color="auto"/>
              <w:right w:val="single" w:sz="4" w:space="0" w:color="auto"/>
            </w:tcBorders>
            <w:shd w:val="clear" w:color="auto" w:fill="auto"/>
            <w:noWrap/>
            <w:vAlign w:val="center"/>
            <w:hideMark/>
          </w:tcPr>
          <w:p w14:paraId="7118C5EA"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Continental US</w:t>
            </w:r>
          </w:p>
        </w:tc>
        <w:tc>
          <w:tcPr>
            <w:tcW w:w="940" w:type="dxa"/>
            <w:tcBorders>
              <w:top w:val="nil"/>
              <w:left w:val="nil"/>
              <w:bottom w:val="single" w:sz="4" w:space="0" w:color="auto"/>
              <w:right w:val="single" w:sz="4" w:space="0" w:color="auto"/>
            </w:tcBorders>
            <w:shd w:val="clear" w:color="auto" w:fill="auto"/>
            <w:noWrap/>
            <w:vAlign w:val="center"/>
            <w:hideMark/>
          </w:tcPr>
          <w:p w14:paraId="5E6D92C6"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Alaska</w:t>
            </w:r>
          </w:p>
        </w:tc>
        <w:tc>
          <w:tcPr>
            <w:tcW w:w="940" w:type="dxa"/>
            <w:tcBorders>
              <w:top w:val="nil"/>
              <w:left w:val="nil"/>
              <w:bottom w:val="single" w:sz="4" w:space="0" w:color="auto"/>
              <w:right w:val="single" w:sz="4" w:space="0" w:color="auto"/>
            </w:tcBorders>
            <w:shd w:val="clear" w:color="auto" w:fill="auto"/>
            <w:noWrap/>
            <w:vAlign w:val="center"/>
            <w:hideMark/>
          </w:tcPr>
          <w:p w14:paraId="2CA49E02"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Hawaii</w:t>
            </w:r>
          </w:p>
        </w:tc>
      </w:tr>
      <w:tr w:rsidR="00842153" w:rsidRPr="00E80541" w14:paraId="31CF1991" w14:textId="77777777" w:rsidTr="008B772B">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66B76C6"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w:t>
            </w:r>
          </w:p>
        </w:tc>
        <w:tc>
          <w:tcPr>
            <w:tcW w:w="1661" w:type="dxa"/>
            <w:tcBorders>
              <w:top w:val="nil"/>
              <w:left w:val="nil"/>
              <w:bottom w:val="single" w:sz="4" w:space="0" w:color="auto"/>
              <w:right w:val="single" w:sz="4" w:space="0" w:color="auto"/>
            </w:tcBorders>
            <w:shd w:val="clear" w:color="auto" w:fill="auto"/>
            <w:noWrap/>
            <w:vAlign w:val="center"/>
            <w:hideMark/>
          </w:tcPr>
          <w:p w14:paraId="73B878F8"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$8,980</w:t>
            </w:r>
          </w:p>
        </w:tc>
        <w:tc>
          <w:tcPr>
            <w:tcW w:w="940" w:type="dxa"/>
            <w:tcBorders>
              <w:top w:val="nil"/>
              <w:left w:val="nil"/>
              <w:bottom w:val="single" w:sz="4" w:space="0" w:color="auto"/>
              <w:right w:val="single" w:sz="4" w:space="0" w:color="auto"/>
            </w:tcBorders>
            <w:shd w:val="clear" w:color="auto" w:fill="auto"/>
            <w:noWrap/>
            <w:vAlign w:val="center"/>
            <w:hideMark/>
          </w:tcPr>
          <w:p w14:paraId="0705C9A5" w14:textId="77777777" w:rsidR="00842153" w:rsidRPr="00E80541" w:rsidRDefault="00842153" w:rsidP="00790864">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$11,210</w:t>
            </w:r>
          </w:p>
        </w:tc>
        <w:tc>
          <w:tcPr>
            <w:tcW w:w="940" w:type="dxa"/>
            <w:tcBorders>
              <w:top w:val="nil"/>
              <w:left w:val="nil"/>
              <w:bottom w:val="single" w:sz="4" w:space="0" w:color="auto"/>
              <w:right w:val="single" w:sz="4" w:space="0" w:color="auto"/>
            </w:tcBorders>
            <w:shd w:val="clear" w:color="auto" w:fill="auto"/>
            <w:noWrap/>
            <w:vAlign w:val="center"/>
            <w:hideMark/>
          </w:tcPr>
          <w:p w14:paraId="041562B0" w14:textId="77777777" w:rsidR="00842153" w:rsidRPr="00E80541" w:rsidRDefault="00842153" w:rsidP="00DF04D2">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$10,330</w:t>
            </w:r>
          </w:p>
        </w:tc>
        <w:tc>
          <w:tcPr>
            <w:tcW w:w="1661" w:type="dxa"/>
            <w:tcBorders>
              <w:top w:val="nil"/>
              <w:left w:val="nil"/>
              <w:bottom w:val="single" w:sz="4" w:space="0" w:color="auto"/>
              <w:right w:val="single" w:sz="4" w:space="0" w:color="auto"/>
            </w:tcBorders>
            <w:shd w:val="clear" w:color="auto" w:fill="auto"/>
            <w:noWrap/>
            <w:vAlign w:val="center"/>
            <w:hideMark/>
          </w:tcPr>
          <w:p w14:paraId="43779FB4" w14:textId="77777777" w:rsidR="00842153" w:rsidRPr="00E80541" w:rsidRDefault="00842153" w:rsidP="001A6DDE">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$10,210</w:t>
            </w:r>
          </w:p>
        </w:tc>
        <w:tc>
          <w:tcPr>
            <w:tcW w:w="940" w:type="dxa"/>
            <w:tcBorders>
              <w:top w:val="nil"/>
              <w:left w:val="nil"/>
              <w:bottom w:val="single" w:sz="4" w:space="0" w:color="auto"/>
              <w:right w:val="single" w:sz="4" w:space="0" w:color="auto"/>
            </w:tcBorders>
            <w:shd w:val="clear" w:color="auto" w:fill="auto"/>
            <w:noWrap/>
            <w:vAlign w:val="center"/>
            <w:hideMark/>
          </w:tcPr>
          <w:p w14:paraId="5F3684D8"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$12,770</w:t>
            </w:r>
          </w:p>
        </w:tc>
        <w:tc>
          <w:tcPr>
            <w:tcW w:w="940" w:type="dxa"/>
            <w:tcBorders>
              <w:top w:val="nil"/>
              <w:left w:val="nil"/>
              <w:bottom w:val="single" w:sz="4" w:space="0" w:color="auto"/>
              <w:right w:val="single" w:sz="4" w:space="0" w:color="auto"/>
            </w:tcBorders>
            <w:shd w:val="clear" w:color="auto" w:fill="auto"/>
            <w:noWrap/>
            <w:vAlign w:val="center"/>
            <w:hideMark/>
          </w:tcPr>
          <w:p w14:paraId="4993451C"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$11,750</w:t>
            </w:r>
          </w:p>
        </w:tc>
      </w:tr>
      <w:tr w:rsidR="00842153" w:rsidRPr="00E80541" w14:paraId="5C868384" w14:textId="77777777" w:rsidTr="008B772B">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11493B5"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w:t>
            </w:r>
          </w:p>
        </w:tc>
        <w:tc>
          <w:tcPr>
            <w:tcW w:w="1661" w:type="dxa"/>
            <w:tcBorders>
              <w:top w:val="nil"/>
              <w:left w:val="nil"/>
              <w:bottom w:val="single" w:sz="4" w:space="0" w:color="auto"/>
              <w:right w:val="single" w:sz="4" w:space="0" w:color="auto"/>
            </w:tcBorders>
            <w:shd w:val="clear" w:color="auto" w:fill="auto"/>
            <w:noWrap/>
            <w:vAlign w:val="center"/>
            <w:hideMark/>
          </w:tcPr>
          <w:p w14:paraId="3D738442"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$12,120</w:t>
            </w:r>
          </w:p>
        </w:tc>
        <w:tc>
          <w:tcPr>
            <w:tcW w:w="940" w:type="dxa"/>
            <w:tcBorders>
              <w:top w:val="nil"/>
              <w:left w:val="nil"/>
              <w:bottom w:val="single" w:sz="4" w:space="0" w:color="auto"/>
              <w:right w:val="single" w:sz="4" w:space="0" w:color="auto"/>
            </w:tcBorders>
            <w:shd w:val="clear" w:color="auto" w:fill="auto"/>
            <w:noWrap/>
            <w:vAlign w:val="center"/>
            <w:hideMark/>
          </w:tcPr>
          <w:p w14:paraId="13A5BB69" w14:textId="77777777" w:rsidR="00842153" w:rsidRPr="00E80541" w:rsidRDefault="00842153" w:rsidP="00790864">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$15,140</w:t>
            </w:r>
          </w:p>
        </w:tc>
        <w:tc>
          <w:tcPr>
            <w:tcW w:w="940" w:type="dxa"/>
            <w:tcBorders>
              <w:top w:val="nil"/>
              <w:left w:val="nil"/>
              <w:bottom w:val="single" w:sz="4" w:space="0" w:color="auto"/>
              <w:right w:val="single" w:sz="4" w:space="0" w:color="auto"/>
            </w:tcBorders>
            <w:shd w:val="clear" w:color="auto" w:fill="auto"/>
            <w:noWrap/>
            <w:vAlign w:val="center"/>
            <w:hideMark/>
          </w:tcPr>
          <w:p w14:paraId="5813600B" w14:textId="77777777" w:rsidR="00842153" w:rsidRPr="00E80541" w:rsidRDefault="00842153" w:rsidP="00DF04D2">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$13,940</w:t>
            </w:r>
          </w:p>
        </w:tc>
        <w:tc>
          <w:tcPr>
            <w:tcW w:w="1661" w:type="dxa"/>
            <w:tcBorders>
              <w:top w:val="nil"/>
              <w:left w:val="nil"/>
              <w:bottom w:val="single" w:sz="4" w:space="0" w:color="auto"/>
              <w:right w:val="single" w:sz="4" w:space="0" w:color="auto"/>
            </w:tcBorders>
            <w:shd w:val="clear" w:color="auto" w:fill="auto"/>
            <w:noWrap/>
            <w:vAlign w:val="center"/>
            <w:hideMark/>
          </w:tcPr>
          <w:p w14:paraId="7A5868F9" w14:textId="77777777" w:rsidR="00842153" w:rsidRPr="00E80541" w:rsidRDefault="00842153" w:rsidP="001A6DDE">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$13,690</w:t>
            </w:r>
          </w:p>
        </w:tc>
        <w:tc>
          <w:tcPr>
            <w:tcW w:w="940" w:type="dxa"/>
            <w:tcBorders>
              <w:top w:val="nil"/>
              <w:left w:val="nil"/>
              <w:bottom w:val="single" w:sz="4" w:space="0" w:color="auto"/>
              <w:right w:val="single" w:sz="4" w:space="0" w:color="auto"/>
            </w:tcBorders>
            <w:shd w:val="clear" w:color="auto" w:fill="auto"/>
            <w:noWrap/>
            <w:vAlign w:val="center"/>
            <w:hideMark/>
          </w:tcPr>
          <w:p w14:paraId="2CC016A3"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$17,120</w:t>
            </w:r>
          </w:p>
        </w:tc>
        <w:tc>
          <w:tcPr>
            <w:tcW w:w="940" w:type="dxa"/>
            <w:tcBorders>
              <w:top w:val="nil"/>
              <w:left w:val="nil"/>
              <w:bottom w:val="single" w:sz="4" w:space="0" w:color="auto"/>
              <w:right w:val="single" w:sz="4" w:space="0" w:color="auto"/>
            </w:tcBorders>
            <w:shd w:val="clear" w:color="auto" w:fill="auto"/>
            <w:noWrap/>
            <w:vAlign w:val="center"/>
            <w:hideMark/>
          </w:tcPr>
          <w:p w14:paraId="6031408E"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$15,750</w:t>
            </w:r>
          </w:p>
        </w:tc>
      </w:tr>
      <w:tr w:rsidR="00842153" w:rsidRPr="00E80541" w14:paraId="54479E3C" w14:textId="77777777" w:rsidTr="008B772B">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F70496D"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3</w:t>
            </w:r>
          </w:p>
        </w:tc>
        <w:tc>
          <w:tcPr>
            <w:tcW w:w="1661" w:type="dxa"/>
            <w:tcBorders>
              <w:top w:val="nil"/>
              <w:left w:val="nil"/>
              <w:bottom w:val="single" w:sz="4" w:space="0" w:color="auto"/>
              <w:right w:val="single" w:sz="4" w:space="0" w:color="auto"/>
            </w:tcBorders>
            <w:shd w:val="clear" w:color="auto" w:fill="auto"/>
            <w:noWrap/>
            <w:vAlign w:val="center"/>
            <w:hideMark/>
          </w:tcPr>
          <w:p w14:paraId="01BDB8B6"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$15,260</w:t>
            </w:r>
          </w:p>
        </w:tc>
        <w:tc>
          <w:tcPr>
            <w:tcW w:w="940" w:type="dxa"/>
            <w:tcBorders>
              <w:top w:val="nil"/>
              <w:left w:val="nil"/>
              <w:bottom w:val="single" w:sz="4" w:space="0" w:color="auto"/>
              <w:right w:val="single" w:sz="4" w:space="0" w:color="auto"/>
            </w:tcBorders>
            <w:shd w:val="clear" w:color="auto" w:fill="auto"/>
            <w:noWrap/>
            <w:vAlign w:val="center"/>
            <w:hideMark/>
          </w:tcPr>
          <w:p w14:paraId="6663D6FC" w14:textId="77777777" w:rsidR="00842153" w:rsidRPr="00E80541" w:rsidRDefault="00842153" w:rsidP="00790864">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$19,070</w:t>
            </w:r>
          </w:p>
        </w:tc>
        <w:tc>
          <w:tcPr>
            <w:tcW w:w="940" w:type="dxa"/>
            <w:tcBorders>
              <w:top w:val="nil"/>
              <w:left w:val="nil"/>
              <w:bottom w:val="single" w:sz="4" w:space="0" w:color="auto"/>
              <w:right w:val="single" w:sz="4" w:space="0" w:color="auto"/>
            </w:tcBorders>
            <w:shd w:val="clear" w:color="auto" w:fill="auto"/>
            <w:noWrap/>
            <w:vAlign w:val="center"/>
            <w:hideMark/>
          </w:tcPr>
          <w:p w14:paraId="1F3B7C95" w14:textId="77777777" w:rsidR="00842153" w:rsidRPr="00E80541" w:rsidRDefault="00842153" w:rsidP="00DF04D2">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$17,550</w:t>
            </w:r>
          </w:p>
        </w:tc>
        <w:tc>
          <w:tcPr>
            <w:tcW w:w="1661" w:type="dxa"/>
            <w:tcBorders>
              <w:top w:val="nil"/>
              <w:left w:val="nil"/>
              <w:bottom w:val="single" w:sz="4" w:space="0" w:color="auto"/>
              <w:right w:val="single" w:sz="4" w:space="0" w:color="auto"/>
            </w:tcBorders>
            <w:shd w:val="clear" w:color="auto" w:fill="auto"/>
            <w:noWrap/>
            <w:vAlign w:val="center"/>
            <w:hideMark/>
          </w:tcPr>
          <w:p w14:paraId="48273459" w14:textId="77777777" w:rsidR="00842153" w:rsidRPr="00E80541" w:rsidRDefault="00842153" w:rsidP="001A6DDE">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$17,170</w:t>
            </w:r>
          </w:p>
        </w:tc>
        <w:tc>
          <w:tcPr>
            <w:tcW w:w="940" w:type="dxa"/>
            <w:tcBorders>
              <w:top w:val="nil"/>
              <w:left w:val="nil"/>
              <w:bottom w:val="single" w:sz="4" w:space="0" w:color="auto"/>
              <w:right w:val="single" w:sz="4" w:space="0" w:color="auto"/>
            </w:tcBorders>
            <w:shd w:val="clear" w:color="auto" w:fill="auto"/>
            <w:noWrap/>
            <w:vAlign w:val="center"/>
            <w:hideMark/>
          </w:tcPr>
          <w:p w14:paraId="23101A78"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$21,470</w:t>
            </w:r>
          </w:p>
        </w:tc>
        <w:tc>
          <w:tcPr>
            <w:tcW w:w="940" w:type="dxa"/>
            <w:tcBorders>
              <w:top w:val="nil"/>
              <w:left w:val="nil"/>
              <w:bottom w:val="single" w:sz="4" w:space="0" w:color="auto"/>
              <w:right w:val="single" w:sz="4" w:space="0" w:color="auto"/>
            </w:tcBorders>
            <w:shd w:val="clear" w:color="auto" w:fill="auto"/>
            <w:noWrap/>
            <w:vAlign w:val="center"/>
            <w:hideMark/>
          </w:tcPr>
          <w:p w14:paraId="3BD422CB"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$19,750</w:t>
            </w:r>
          </w:p>
        </w:tc>
      </w:tr>
      <w:tr w:rsidR="00842153" w:rsidRPr="00E80541" w14:paraId="4C5D6945" w14:textId="77777777" w:rsidTr="008B772B">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A8E517E"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4</w:t>
            </w:r>
          </w:p>
        </w:tc>
        <w:tc>
          <w:tcPr>
            <w:tcW w:w="1661" w:type="dxa"/>
            <w:tcBorders>
              <w:top w:val="nil"/>
              <w:left w:val="nil"/>
              <w:bottom w:val="single" w:sz="4" w:space="0" w:color="auto"/>
              <w:right w:val="single" w:sz="4" w:space="0" w:color="auto"/>
            </w:tcBorders>
            <w:shd w:val="clear" w:color="auto" w:fill="auto"/>
            <w:noWrap/>
            <w:vAlign w:val="center"/>
            <w:hideMark/>
          </w:tcPr>
          <w:p w14:paraId="20D9259E"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$18,400</w:t>
            </w:r>
          </w:p>
        </w:tc>
        <w:tc>
          <w:tcPr>
            <w:tcW w:w="940" w:type="dxa"/>
            <w:tcBorders>
              <w:top w:val="nil"/>
              <w:left w:val="nil"/>
              <w:bottom w:val="single" w:sz="4" w:space="0" w:color="auto"/>
              <w:right w:val="single" w:sz="4" w:space="0" w:color="auto"/>
            </w:tcBorders>
            <w:shd w:val="clear" w:color="auto" w:fill="auto"/>
            <w:noWrap/>
            <w:vAlign w:val="center"/>
            <w:hideMark/>
          </w:tcPr>
          <w:p w14:paraId="4584E5E1" w14:textId="77777777" w:rsidR="00842153" w:rsidRPr="00E80541" w:rsidRDefault="00842153" w:rsidP="00790864">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$23,000</w:t>
            </w:r>
          </w:p>
        </w:tc>
        <w:tc>
          <w:tcPr>
            <w:tcW w:w="940" w:type="dxa"/>
            <w:tcBorders>
              <w:top w:val="nil"/>
              <w:left w:val="nil"/>
              <w:bottom w:val="single" w:sz="4" w:space="0" w:color="auto"/>
              <w:right w:val="single" w:sz="4" w:space="0" w:color="auto"/>
            </w:tcBorders>
            <w:shd w:val="clear" w:color="auto" w:fill="auto"/>
            <w:noWrap/>
            <w:vAlign w:val="center"/>
            <w:hideMark/>
          </w:tcPr>
          <w:p w14:paraId="1673CD85" w14:textId="77777777" w:rsidR="00842153" w:rsidRPr="00E80541" w:rsidRDefault="00842153" w:rsidP="00DF04D2">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$21,160</w:t>
            </w:r>
          </w:p>
        </w:tc>
        <w:tc>
          <w:tcPr>
            <w:tcW w:w="1661" w:type="dxa"/>
            <w:tcBorders>
              <w:top w:val="nil"/>
              <w:left w:val="nil"/>
              <w:bottom w:val="single" w:sz="4" w:space="0" w:color="auto"/>
              <w:right w:val="single" w:sz="4" w:space="0" w:color="auto"/>
            </w:tcBorders>
            <w:shd w:val="clear" w:color="auto" w:fill="auto"/>
            <w:noWrap/>
            <w:vAlign w:val="center"/>
            <w:hideMark/>
          </w:tcPr>
          <w:p w14:paraId="73A0268E" w14:textId="77777777" w:rsidR="00842153" w:rsidRPr="00E80541" w:rsidRDefault="00842153" w:rsidP="001A6DDE">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$20,650</w:t>
            </w:r>
          </w:p>
        </w:tc>
        <w:tc>
          <w:tcPr>
            <w:tcW w:w="940" w:type="dxa"/>
            <w:tcBorders>
              <w:top w:val="nil"/>
              <w:left w:val="nil"/>
              <w:bottom w:val="single" w:sz="4" w:space="0" w:color="auto"/>
              <w:right w:val="single" w:sz="4" w:space="0" w:color="auto"/>
            </w:tcBorders>
            <w:shd w:val="clear" w:color="auto" w:fill="auto"/>
            <w:noWrap/>
            <w:vAlign w:val="center"/>
            <w:hideMark/>
          </w:tcPr>
          <w:p w14:paraId="61F3FB1D"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$25,820</w:t>
            </w:r>
          </w:p>
        </w:tc>
        <w:tc>
          <w:tcPr>
            <w:tcW w:w="940" w:type="dxa"/>
            <w:tcBorders>
              <w:top w:val="nil"/>
              <w:left w:val="nil"/>
              <w:bottom w:val="single" w:sz="4" w:space="0" w:color="auto"/>
              <w:right w:val="single" w:sz="4" w:space="0" w:color="auto"/>
            </w:tcBorders>
            <w:shd w:val="clear" w:color="auto" w:fill="auto"/>
            <w:noWrap/>
            <w:vAlign w:val="center"/>
            <w:hideMark/>
          </w:tcPr>
          <w:p w14:paraId="67F5662B"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$23,750</w:t>
            </w:r>
          </w:p>
        </w:tc>
      </w:tr>
      <w:tr w:rsidR="00842153" w:rsidRPr="00E80541" w14:paraId="1F1968DF" w14:textId="77777777" w:rsidTr="008B772B">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69C5A41"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5</w:t>
            </w:r>
          </w:p>
        </w:tc>
        <w:tc>
          <w:tcPr>
            <w:tcW w:w="1661" w:type="dxa"/>
            <w:tcBorders>
              <w:top w:val="nil"/>
              <w:left w:val="nil"/>
              <w:bottom w:val="single" w:sz="4" w:space="0" w:color="auto"/>
              <w:right w:val="single" w:sz="4" w:space="0" w:color="auto"/>
            </w:tcBorders>
            <w:shd w:val="clear" w:color="auto" w:fill="auto"/>
            <w:noWrap/>
            <w:vAlign w:val="center"/>
            <w:hideMark/>
          </w:tcPr>
          <w:p w14:paraId="273F2F74"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$21,540</w:t>
            </w:r>
          </w:p>
        </w:tc>
        <w:tc>
          <w:tcPr>
            <w:tcW w:w="940" w:type="dxa"/>
            <w:tcBorders>
              <w:top w:val="nil"/>
              <w:left w:val="nil"/>
              <w:bottom w:val="single" w:sz="4" w:space="0" w:color="auto"/>
              <w:right w:val="single" w:sz="4" w:space="0" w:color="auto"/>
            </w:tcBorders>
            <w:shd w:val="clear" w:color="auto" w:fill="auto"/>
            <w:noWrap/>
            <w:vAlign w:val="center"/>
            <w:hideMark/>
          </w:tcPr>
          <w:p w14:paraId="3E0C45B0" w14:textId="77777777" w:rsidR="00842153" w:rsidRPr="00E80541" w:rsidRDefault="00842153" w:rsidP="00790864">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$26,930</w:t>
            </w:r>
          </w:p>
        </w:tc>
        <w:tc>
          <w:tcPr>
            <w:tcW w:w="940" w:type="dxa"/>
            <w:tcBorders>
              <w:top w:val="nil"/>
              <w:left w:val="nil"/>
              <w:bottom w:val="single" w:sz="4" w:space="0" w:color="auto"/>
              <w:right w:val="single" w:sz="4" w:space="0" w:color="auto"/>
            </w:tcBorders>
            <w:shd w:val="clear" w:color="auto" w:fill="auto"/>
            <w:noWrap/>
            <w:vAlign w:val="center"/>
            <w:hideMark/>
          </w:tcPr>
          <w:p w14:paraId="77DA54E4" w14:textId="77777777" w:rsidR="00842153" w:rsidRPr="00E80541" w:rsidRDefault="00842153" w:rsidP="00DF04D2">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$24,770</w:t>
            </w:r>
          </w:p>
        </w:tc>
        <w:tc>
          <w:tcPr>
            <w:tcW w:w="1661" w:type="dxa"/>
            <w:tcBorders>
              <w:top w:val="nil"/>
              <w:left w:val="nil"/>
              <w:bottom w:val="single" w:sz="4" w:space="0" w:color="auto"/>
              <w:right w:val="single" w:sz="4" w:space="0" w:color="auto"/>
            </w:tcBorders>
            <w:shd w:val="clear" w:color="auto" w:fill="auto"/>
            <w:noWrap/>
            <w:vAlign w:val="center"/>
            <w:hideMark/>
          </w:tcPr>
          <w:p w14:paraId="0DF79482" w14:textId="77777777" w:rsidR="00842153" w:rsidRPr="00E80541" w:rsidRDefault="00842153" w:rsidP="001A6DDE">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$24,130</w:t>
            </w:r>
          </w:p>
        </w:tc>
        <w:tc>
          <w:tcPr>
            <w:tcW w:w="940" w:type="dxa"/>
            <w:tcBorders>
              <w:top w:val="nil"/>
              <w:left w:val="nil"/>
              <w:bottom w:val="single" w:sz="4" w:space="0" w:color="auto"/>
              <w:right w:val="single" w:sz="4" w:space="0" w:color="auto"/>
            </w:tcBorders>
            <w:shd w:val="clear" w:color="auto" w:fill="auto"/>
            <w:noWrap/>
            <w:vAlign w:val="center"/>
            <w:hideMark/>
          </w:tcPr>
          <w:p w14:paraId="6E09056F"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$30,170</w:t>
            </w:r>
          </w:p>
        </w:tc>
        <w:tc>
          <w:tcPr>
            <w:tcW w:w="940" w:type="dxa"/>
            <w:tcBorders>
              <w:top w:val="nil"/>
              <w:left w:val="nil"/>
              <w:bottom w:val="single" w:sz="4" w:space="0" w:color="auto"/>
              <w:right w:val="single" w:sz="4" w:space="0" w:color="auto"/>
            </w:tcBorders>
            <w:shd w:val="clear" w:color="auto" w:fill="auto"/>
            <w:noWrap/>
            <w:vAlign w:val="center"/>
            <w:hideMark/>
          </w:tcPr>
          <w:p w14:paraId="6B2254BB"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$27,750</w:t>
            </w:r>
          </w:p>
        </w:tc>
      </w:tr>
      <w:tr w:rsidR="00842153" w:rsidRPr="00E80541" w14:paraId="450AB52A" w14:textId="77777777" w:rsidTr="008B772B">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CD8EBE2"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6</w:t>
            </w:r>
          </w:p>
        </w:tc>
        <w:tc>
          <w:tcPr>
            <w:tcW w:w="1661" w:type="dxa"/>
            <w:tcBorders>
              <w:top w:val="nil"/>
              <w:left w:val="nil"/>
              <w:bottom w:val="single" w:sz="4" w:space="0" w:color="auto"/>
              <w:right w:val="single" w:sz="4" w:space="0" w:color="auto"/>
            </w:tcBorders>
            <w:shd w:val="clear" w:color="auto" w:fill="auto"/>
            <w:noWrap/>
            <w:vAlign w:val="center"/>
            <w:hideMark/>
          </w:tcPr>
          <w:p w14:paraId="18DE11C6"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$24,680</w:t>
            </w:r>
          </w:p>
        </w:tc>
        <w:tc>
          <w:tcPr>
            <w:tcW w:w="940" w:type="dxa"/>
            <w:tcBorders>
              <w:top w:val="nil"/>
              <w:left w:val="nil"/>
              <w:bottom w:val="single" w:sz="4" w:space="0" w:color="auto"/>
              <w:right w:val="single" w:sz="4" w:space="0" w:color="auto"/>
            </w:tcBorders>
            <w:shd w:val="clear" w:color="auto" w:fill="auto"/>
            <w:noWrap/>
            <w:vAlign w:val="center"/>
            <w:hideMark/>
          </w:tcPr>
          <w:p w14:paraId="1A5C9626" w14:textId="77777777" w:rsidR="00842153" w:rsidRPr="00E80541" w:rsidRDefault="00842153" w:rsidP="00790864">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$30,860</w:t>
            </w:r>
          </w:p>
        </w:tc>
        <w:tc>
          <w:tcPr>
            <w:tcW w:w="940" w:type="dxa"/>
            <w:tcBorders>
              <w:top w:val="nil"/>
              <w:left w:val="nil"/>
              <w:bottom w:val="single" w:sz="4" w:space="0" w:color="auto"/>
              <w:right w:val="single" w:sz="4" w:space="0" w:color="auto"/>
            </w:tcBorders>
            <w:shd w:val="clear" w:color="auto" w:fill="auto"/>
            <w:noWrap/>
            <w:vAlign w:val="center"/>
            <w:hideMark/>
          </w:tcPr>
          <w:p w14:paraId="6CF8F2A3" w14:textId="77777777" w:rsidR="00842153" w:rsidRPr="00E80541" w:rsidRDefault="00842153" w:rsidP="00DF04D2">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$28,380</w:t>
            </w:r>
          </w:p>
        </w:tc>
        <w:tc>
          <w:tcPr>
            <w:tcW w:w="1661" w:type="dxa"/>
            <w:tcBorders>
              <w:top w:val="nil"/>
              <w:left w:val="nil"/>
              <w:bottom w:val="single" w:sz="4" w:space="0" w:color="auto"/>
              <w:right w:val="single" w:sz="4" w:space="0" w:color="auto"/>
            </w:tcBorders>
            <w:shd w:val="clear" w:color="auto" w:fill="auto"/>
            <w:noWrap/>
            <w:vAlign w:val="center"/>
            <w:hideMark/>
          </w:tcPr>
          <w:p w14:paraId="25815851" w14:textId="77777777" w:rsidR="00842153" w:rsidRPr="00E80541" w:rsidRDefault="00842153" w:rsidP="001A6DDE">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$27,610</w:t>
            </w:r>
          </w:p>
        </w:tc>
        <w:tc>
          <w:tcPr>
            <w:tcW w:w="940" w:type="dxa"/>
            <w:tcBorders>
              <w:top w:val="nil"/>
              <w:left w:val="nil"/>
              <w:bottom w:val="single" w:sz="4" w:space="0" w:color="auto"/>
              <w:right w:val="single" w:sz="4" w:space="0" w:color="auto"/>
            </w:tcBorders>
            <w:shd w:val="clear" w:color="auto" w:fill="auto"/>
            <w:noWrap/>
            <w:vAlign w:val="center"/>
            <w:hideMark/>
          </w:tcPr>
          <w:p w14:paraId="6E25F410"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$34,520</w:t>
            </w:r>
          </w:p>
        </w:tc>
        <w:tc>
          <w:tcPr>
            <w:tcW w:w="940" w:type="dxa"/>
            <w:tcBorders>
              <w:top w:val="nil"/>
              <w:left w:val="nil"/>
              <w:bottom w:val="single" w:sz="4" w:space="0" w:color="auto"/>
              <w:right w:val="single" w:sz="4" w:space="0" w:color="auto"/>
            </w:tcBorders>
            <w:shd w:val="clear" w:color="auto" w:fill="auto"/>
            <w:noWrap/>
            <w:vAlign w:val="center"/>
            <w:hideMark/>
          </w:tcPr>
          <w:p w14:paraId="41110572"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$31,750</w:t>
            </w:r>
          </w:p>
        </w:tc>
      </w:tr>
      <w:tr w:rsidR="00842153" w:rsidRPr="00E80541" w14:paraId="0BEB8B19" w14:textId="77777777" w:rsidTr="008B772B">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6D4E26D"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7+</w:t>
            </w:r>
          </w:p>
        </w:tc>
        <w:tc>
          <w:tcPr>
            <w:tcW w:w="1661" w:type="dxa"/>
            <w:tcBorders>
              <w:top w:val="nil"/>
              <w:left w:val="nil"/>
              <w:bottom w:val="single" w:sz="4" w:space="0" w:color="auto"/>
              <w:right w:val="single" w:sz="4" w:space="0" w:color="auto"/>
            </w:tcBorders>
            <w:shd w:val="clear" w:color="auto" w:fill="auto"/>
            <w:noWrap/>
            <w:vAlign w:val="center"/>
            <w:hideMark/>
          </w:tcPr>
          <w:p w14:paraId="6FFF4517" w14:textId="77777777" w:rsidR="00842153" w:rsidRPr="00E80541" w:rsidRDefault="00842153" w:rsidP="008346EC">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$27,820</w:t>
            </w:r>
          </w:p>
        </w:tc>
        <w:tc>
          <w:tcPr>
            <w:tcW w:w="940" w:type="dxa"/>
            <w:tcBorders>
              <w:top w:val="nil"/>
              <w:left w:val="nil"/>
              <w:bottom w:val="single" w:sz="4" w:space="0" w:color="auto"/>
              <w:right w:val="single" w:sz="4" w:space="0" w:color="auto"/>
            </w:tcBorders>
            <w:shd w:val="clear" w:color="auto" w:fill="auto"/>
            <w:noWrap/>
            <w:vAlign w:val="center"/>
            <w:hideMark/>
          </w:tcPr>
          <w:p w14:paraId="2F0A66DD" w14:textId="77777777" w:rsidR="00842153" w:rsidRPr="00E80541" w:rsidRDefault="00842153" w:rsidP="00790864">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$34,790</w:t>
            </w:r>
          </w:p>
        </w:tc>
        <w:tc>
          <w:tcPr>
            <w:tcW w:w="940" w:type="dxa"/>
            <w:tcBorders>
              <w:top w:val="nil"/>
              <w:left w:val="nil"/>
              <w:bottom w:val="single" w:sz="4" w:space="0" w:color="auto"/>
              <w:right w:val="single" w:sz="4" w:space="0" w:color="auto"/>
            </w:tcBorders>
            <w:shd w:val="clear" w:color="auto" w:fill="auto"/>
            <w:noWrap/>
            <w:vAlign w:val="center"/>
            <w:hideMark/>
          </w:tcPr>
          <w:p w14:paraId="3D18E827" w14:textId="77777777" w:rsidR="00842153" w:rsidRPr="00E80541" w:rsidRDefault="00842153" w:rsidP="00DF04D2">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$31,990</w:t>
            </w:r>
          </w:p>
        </w:tc>
        <w:tc>
          <w:tcPr>
            <w:tcW w:w="1661" w:type="dxa"/>
            <w:tcBorders>
              <w:top w:val="nil"/>
              <w:left w:val="nil"/>
              <w:bottom w:val="single" w:sz="4" w:space="0" w:color="auto"/>
              <w:right w:val="single" w:sz="4" w:space="0" w:color="auto"/>
            </w:tcBorders>
            <w:shd w:val="clear" w:color="auto" w:fill="auto"/>
            <w:noWrap/>
            <w:vAlign w:val="center"/>
            <w:hideMark/>
          </w:tcPr>
          <w:p w14:paraId="7F8EFF06" w14:textId="77777777" w:rsidR="00842153" w:rsidRPr="00E80541" w:rsidRDefault="00842153" w:rsidP="001A6DDE">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$31,090</w:t>
            </w:r>
          </w:p>
        </w:tc>
        <w:tc>
          <w:tcPr>
            <w:tcW w:w="940" w:type="dxa"/>
            <w:tcBorders>
              <w:top w:val="nil"/>
              <w:left w:val="nil"/>
              <w:bottom w:val="single" w:sz="4" w:space="0" w:color="auto"/>
              <w:right w:val="single" w:sz="4" w:space="0" w:color="auto"/>
            </w:tcBorders>
            <w:shd w:val="clear" w:color="auto" w:fill="auto"/>
            <w:noWrap/>
            <w:vAlign w:val="center"/>
            <w:hideMark/>
          </w:tcPr>
          <w:p w14:paraId="2BDA87BC"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$38,870</w:t>
            </w:r>
          </w:p>
        </w:tc>
        <w:tc>
          <w:tcPr>
            <w:tcW w:w="940" w:type="dxa"/>
            <w:tcBorders>
              <w:top w:val="nil"/>
              <w:left w:val="nil"/>
              <w:bottom w:val="single" w:sz="4" w:space="0" w:color="auto"/>
              <w:right w:val="single" w:sz="4" w:space="0" w:color="auto"/>
            </w:tcBorders>
            <w:shd w:val="clear" w:color="auto" w:fill="auto"/>
            <w:noWrap/>
            <w:vAlign w:val="center"/>
            <w:hideMark/>
          </w:tcPr>
          <w:p w14:paraId="79960931" w14:textId="77777777" w:rsidR="00842153" w:rsidRPr="00E80541" w:rsidRDefault="00842153">
            <w:pPr>
              <w:spacing w:after="0" w:line="240" w:lineRule="auto"/>
              <w:jc w:val="center"/>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$35,750</w:t>
            </w:r>
          </w:p>
        </w:tc>
      </w:tr>
    </w:tbl>
    <w:p w14:paraId="6643FFF1" w14:textId="77777777" w:rsidR="00842153" w:rsidRPr="00E80541" w:rsidRDefault="00842153" w:rsidP="008346EC">
      <w:pPr>
        <w:suppressLineNumbers/>
        <w:rPr>
          <w:rFonts w:ascii="Times New Roman" w:hAnsi="Times New Roman"/>
          <w:sz w:val="24"/>
          <w:szCs w:val="24"/>
        </w:rPr>
      </w:pPr>
      <w:r w:rsidRPr="00E80541">
        <w:rPr>
          <w:rFonts w:ascii="Times New Roman" w:hAnsi="Times New Roman"/>
          <w:sz w:val="24"/>
          <w:szCs w:val="24"/>
        </w:rPr>
        <w:t>Poverty level categories (defined as a range of ratios of household income to poverty threshold) were multiplied by the poverty threshold in order to calculate ranges of household income.</w:t>
      </w:r>
    </w:p>
    <w:p w14:paraId="2D196EB2" w14:textId="67E48540" w:rsidR="00842153" w:rsidRPr="00E80541" w:rsidRDefault="00E54773" w:rsidP="008346EC">
      <w:pPr>
        <w:suppressLineNumbers/>
        <w:spacing w:after="0"/>
        <w:rPr>
          <w:rFonts w:ascii="Times New Roman" w:hAnsi="Times New Roman"/>
          <w:b/>
          <w:sz w:val="24"/>
          <w:szCs w:val="24"/>
        </w:rPr>
      </w:pPr>
      <w:r w:rsidRPr="00E80541">
        <w:rPr>
          <w:rFonts w:ascii="Times New Roman" w:hAnsi="Times New Roman"/>
          <w:b/>
          <w:sz w:val="24"/>
          <w:szCs w:val="24"/>
        </w:rPr>
        <w:t>Appendix G</w:t>
      </w:r>
      <w:r w:rsidR="008B772B" w:rsidRPr="00E80541">
        <w:rPr>
          <w:rFonts w:ascii="Times New Roman" w:hAnsi="Times New Roman"/>
          <w:b/>
          <w:sz w:val="24"/>
          <w:szCs w:val="24"/>
        </w:rPr>
        <w:t>. Optimum Subgroup Sample Size by Age and Sex</w:t>
      </w:r>
    </w:p>
    <w:tbl>
      <w:tblPr>
        <w:tblW w:w="0" w:type="auto"/>
        <w:tblInd w:w="108" w:type="dxa"/>
        <w:shd w:val="clear" w:color="auto" w:fill="FFFFFF"/>
        <w:tblCellMar>
          <w:left w:w="0" w:type="dxa"/>
          <w:right w:w="0" w:type="dxa"/>
        </w:tblCellMar>
        <w:tblLook w:val="04A0" w:firstRow="1" w:lastRow="0" w:firstColumn="1" w:lastColumn="0" w:noHBand="0" w:noVBand="1"/>
      </w:tblPr>
      <w:tblGrid>
        <w:gridCol w:w="1279"/>
        <w:gridCol w:w="866"/>
        <w:gridCol w:w="1064"/>
      </w:tblGrid>
      <w:tr w:rsidR="008B772B" w:rsidRPr="00E80541" w14:paraId="5B489BCB" w14:textId="77777777" w:rsidTr="008B772B">
        <w:tc>
          <w:tcPr>
            <w:tcW w:w="1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78046D" w14:textId="77777777" w:rsidR="008B772B" w:rsidRPr="00E80541" w:rsidRDefault="008B772B" w:rsidP="008346EC">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Age Group</w:t>
            </w:r>
          </w:p>
        </w:tc>
        <w:tc>
          <w:tcPr>
            <w:tcW w:w="8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4EC442" w14:textId="77777777" w:rsidR="008B772B" w:rsidRPr="00E80541" w:rsidRDefault="008B772B" w:rsidP="008346EC">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Males</w:t>
            </w:r>
          </w:p>
        </w:tc>
        <w:tc>
          <w:tcPr>
            <w:tcW w:w="10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4CBD8CA" w14:textId="77777777" w:rsidR="008B772B" w:rsidRPr="00E80541" w:rsidRDefault="008B772B" w:rsidP="00790864">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Females</w:t>
            </w:r>
          </w:p>
        </w:tc>
      </w:tr>
      <w:tr w:rsidR="008B772B" w:rsidRPr="00E80541" w14:paraId="4B6304BE" w14:textId="77777777" w:rsidTr="008B772B">
        <w:tc>
          <w:tcPr>
            <w:tcW w:w="1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8D8F7E" w14:textId="77777777" w:rsidR="008B772B" w:rsidRPr="00E80541" w:rsidRDefault="008B772B" w:rsidP="008346EC">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2-5</w:t>
            </w:r>
          </w:p>
        </w:tc>
        <w:tc>
          <w:tcPr>
            <w:tcW w:w="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698F5" w14:textId="77777777" w:rsidR="008B772B" w:rsidRPr="00E80541" w:rsidRDefault="008B772B" w:rsidP="008346EC">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125</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E6D414" w14:textId="77777777" w:rsidR="008B772B" w:rsidRPr="00E80541" w:rsidRDefault="008B772B" w:rsidP="00790864">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125</w:t>
            </w:r>
          </w:p>
        </w:tc>
      </w:tr>
      <w:tr w:rsidR="008B772B" w:rsidRPr="00E80541" w14:paraId="5E3DB8F0" w14:textId="77777777" w:rsidTr="008B772B">
        <w:tc>
          <w:tcPr>
            <w:tcW w:w="1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B9C211" w14:textId="77777777" w:rsidR="008B772B" w:rsidRPr="00E80541" w:rsidRDefault="008B772B" w:rsidP="008346EC">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6-9</w:t>
            </w:r>
          </w:p>
        </w:tc>
        <w:tc>
          <w:tcPr>
            <w:tcW w:w="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56E63B" w14:textId="77777777" w:rsidR="008B772B" w:rsidRPr="00E80541" w:rsidRDefault="008B772B" w:rsidP="008346EC">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125</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CB6064" w14:textId="77777777" w:rsidR="008B772B" w:rsidRPr="00E80541" w:rsidRDefault="008B772B" w:rsidP="00790864">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75</w:t>
            </w:r>
          </w:p>
        </w:tc>
      </w:tr>
      <w:tr w:rsidR="008B772B" w:rsidRPr="00E80541" w14:paraId="3D2080F5" w14:textId="77777777" w:rsidTr="008B772B">
        <w:tc>
          <w:tcPr>
            <w:tcW w:w="1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ECBC83" w14:textId="77777777" w:rsidR="008B772B" w:rsidRPr="00E80541" w:rsidRDefault="008B772B" w:rsidP="008346EC">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10-13</w:t>
            </w:r>
          </w:p>
        </w:tc>
        <w:tc>
          <w:tcPr>
            <w:tcW w:w="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8A198" w14:textId="77777777" w:rsidR="008B772B" w:rsidRPr="00E80541" w:rsidRDefault="008B772B" w:rsidP="008346EC">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200</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2BF9F3" w14:textId="77777777" w:rsidR="008B772B" w:rsidRPr="00E80541" w:rsidRDefault="008B772B" w:rsidP="00790864">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200</w:t>
            </w:r>
          </w:p>
        </w:tc>
      </w:tr>
      <w:tr w:rsidR="008B772B" w:rsidRPr="00E80541" w14:paraId="04832C14" w14:textId="77777777" w:rsidTr="008B772B">
        <w:tc>
          <w:tcPr>
            <w:tcW w:w="1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001681" w14:textId="77777777" w:rsidR="008B772B" w:rsidRPr="00E80541" w:rsidRDefault="008B772B" w:rsidP="008346EC">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14-17</w:t>
            </w:r>
          </w:p>
        </w:tc>
        <w:tc>
          <w:tcPr>
            <w:tcW w:w="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6C066A" w14:textId="77777777" w:rsidR="008B772B" w:rsidRPr="00E80541" w:rsidRDefault="008B772B" w:rsidP="008346EC">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200</w:t>
            </w:r>
          </w:p>
        </w:tc>
        <w:tc>
          <w:tcPr>
            <w:tcW w:w="1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3EE926" w14:textId="77777777" w:rsidR="008B772B" w:rsidRPr="00E80541" w:rsidRDefault="008B772B" w:rsidP="008346EC">
            <w:pPr>
              <w:spacing w:after="0" w:line="240" w:lineRule="auto"/>
              <w:rPr>
                <w:rFonts w:ascii="Times New Roman" w:eastAsia="Times New Roman" w:hAnsi="Times New Roman"/>
                <w:color w:val="000000"/>
                <w:sz w:val="24"/>
                <w:szCs w:val="24"/>
              </w:rPr>
            </w:pPr>
            <w:r w:rsidRPr="00E80541">
              <w:rPr>
                <w:rFonts w:ascii="Times New Roman" w:eastAsia="Times New Roman" w:hAnsi="Times New Roman"/>
                <w:color w:val="000000"/>
                <w:sz w:val="24"/>
                <w:szCs w:val="24"/>
              </w:rPr>
              <w:t>125</w:t>
            </w:r>
          </w:p>
        </w:tc>
      </w:tr>
    </w:tbl>
    <w:p w14:paraId="79B41FDB" w14:textId="77777777" w:rsidR="008B772B" w:rsidRPr="00E80541" w:rsidRDefault="008B772B" w:rsidP="008346EC">
      <w:pPr>
        <w:suppressLineNumbers/>
        <w:spacing w:after="0"/>
        <w:rPr>
          <w:rFonts w:ascii="Times New Roman" w:hAnsi="Times New Roman"/>
        </w:rPr>
      </w:pPr>
    </w:p>
    <w:p w14:paraId="68FEDCE5" w14:textId="4F5CBCD3" w:rsidR="008B772B" w:rsidRPr="00E80541" w:rsidRDefault="00E54773" w:rsidP="008346EC">
      <w:pPr>
        <w:suppressLineNumbers/>
        <w:spacing w:after="0"/>
        <w:rPr>
          <w:rFonts w:ascii="Times New Roman" w:hAnsi="Times New Roman"/>
          <w:b/>
          <w:sz w:val="24"/>
          <w:szCs w:val="24"/>
        </w:rPr>
      </w:pPr>
      <w:r w:rsidRPr="00E80541">
        <w:rPr>
          <w:rFonts w:ascii="Times New Roman" w:hAnsi="Times New Roman"/>
          <w:b/>
          <w:sz w:val="24"/>
          <w:szCs w:val="24"/>
        </w:rPr>
        <w:t>Appendix H</w:t>
      </w:r>
      <w:r w:rsidR="008B772B" w:rsidRPr="00E80541">
        <w:rPr>
          <w:rFonts w:ascii="Times New Roman" w:hAnsi="Times New Roman"/>
          <w:b/>
          <w:sz w:val="24"/>
          <w:szCs w:val="24"/>
        </w:rPr>
        <w:t>. Dynamic Subgroup Matching Definitions to Achieve Optimum Subgroup Sample Size</w:t>
      </w:r>
    </w:p>
    <w:p w14:paraId="01894013" w14:textId="77777777" w:rsidR="008B772B" w:rsidRPr="00E80541" w:rsidRDefault="008B772B" w:rsidP="008346EC">
      <w:pPr>
        <w:suppressLineNumbers/>
        <w:rPr>
          <w:rFonts w:ascii="Times New Roman" w:hAnsi="Times New Roman"/>
          <w:b/>
          <w:sz w:val="24"/>
          <w:szCs w:val="24"/>
        </w:rPr>
      </w:pPr>
      <w:r w:rsidRPr="00E80541">
        <w:rPr>
          <w:rFonts w:ascii="Times New Roman" w:hAnsi="Times New Roman"/>
          <w:b/>
          <w:sz w:val="24"/>
          <w:szCs w:val="24"/>
        </w:rPr>
        <w:t>Census/ACS to NSCH</w:t>
      </w:r>
    </w:p>
    <w:tbl>
      <w:tblPr>
        <w:tblStyle w:val="TableGrid"/>
        <w:tblW w:w="0" w:type="auto"/>
        <w:tblLook w:val="04A0" w:firstRow="1" w:lastRow="0" w:firstColumn="1" w:lastColumn="0" w:noHBand="0" w:noVBand="1"/>
      </w:tblPr>
      <w:tblGrid>
        <w:gridCol w:w="1125"/>
        <w:gridCol w:w="3192"/>
        <w:gridCol w:w="2441"/>
      </w:tblGrid>
      <w:tr w:rsidR="008B772B" w:rsidRPr="00E80541" w14:paraId="66340013" w14:textId="77777777" w:rsidTr="008B772B">
        <w:tc>
          <w:tcPr>
            <w:tcW w:w="1125" w:type="dxa"/>
          </w:tcPr>
          <w:p w14:paraId="096BCD48" w14:textId="77777777" w:rsidR="008B772B" w:rsidRPr="00E80541" w:rsidRDefault="008B772B" w:rsidP="008346EC">
            <w:pPr>
              <w:jc w:val="center"/>
              <w:rPr>
                <w:rFonts w:ascii="Times New Roman" w:hAnsi="Times New Roman"/>
                <w:b/>
                <w:sz w:val="24"/>
                <w:szCs w:val="24"/>
              </w:rPr>
            </w:pPr>
            <w:r w:rsidRPr="00E80541">
              <w:rPr>
                <w:rFonts w:ascii="Times New Roman" w:hAnsi="Times New Roman"/>
                <w:b/>
                <w:sz w:val="24"/>
                <w:szCs w:val="24"/>
              </w:rPr>
              <w:t>Iteration</w:t>
            </w:r>
          </w:p>
        </w:tc>
        <w:tc>
          <w:tcPr>
            <w:tcW w:w="3192" w:type="dxa"/>
          </w:tcPr>
          <w:p w14:paraId="07AEF55D" w14:textId="77777777" w:rsidR="008B772B" w:rsidRPr="00E80541" w:rsidRDefault="008B772B" w:rsidP="00790864">
            <w:pPr>
              <w:jc w:val="center"/>
              <w:rPr>
                <w:rFonts w:ascii="Times New Roman" w:hAnsi="Times New Roman"/>
                <w:b/>
                <w:sz w:val="24"/>
                <w:szCs w:val="24"/>
              </w:rPr>
            </w:pPr>
            <w:r w:rsidRPr="00E80541">
              <w:rPr>
                <w:rFonts w:ascii="Times New Roman" w:hAnsi="Times New Roman"/>
                <w:b/>
                <w:sz w:val="24"/>
                <w:szCs w:val="24"/>
              </w:rPr>
              <w:t>Matching Group</w:t>
            </w:r>
          </w:p>
        </w:tc>
        <w:tc>
          <w:tcPr>
            <w:tcW w:w="2441" w:type="dxa"/>
          </w:tcPr>
          <w:p w14:paraId="5E07A439" w14:textId="77777777" w:rsidR="008B772B" w:rsidRPr="00E80541" w:rsidRDefault="008B772B" w:rsidP="00DF04D2">
            <w:pPr>
              <w:jc w:val="center"/>
              <w:rPr>
                <w:rFonts w:ascii="Times New Roman" w:hAnsi="Times New Roman"/>
                <w:b/>
                <w:sz w:val="24"/>
                <w:szCs w:val="24"/>
              </w:rPr>
            </w:pPr>
            <w:r w:rsidRPr="00E80541">
              <w:rPr>
                <w:rFonts w:ascii="Times New Roman" w:hAnsi="Times New Roman"/>
                <w:b/>
                <w:sz w:val="24"/>
                <w:szCs w:val="24"/>
              </w:rPr>
              <w:t>Cumulative % Matched</w:t>
            </w:r>
          </w:p>
        </w:tc>
      </w:tr>
      <w:tr w:rsidR="008B772B" w:rsidRPr="00E80541" w14:paraId="49C3D159" w14:textId="77777777" w:rsidTr="008B772B">
        <w:tc>
          <w:tcPr>
            <w:tcW w:w="1125" w:type="dxa"/>
          </w:tcPr>
          <w:p w14:paraId="73F3C77E"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0</w:t>
            </w:r>
          </w:p>
        </w:tc>
        <w:tc>
          <w:tcPr>
            <w:tcW w:w="3192" w:type="dxa"/>
          </w:tcPr>
          <w:p w14:paraId="6A3930DF"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(Exact Match)</w:t>
            </w:r>
          </w:p>
        </w:tc>
        <w:tc>
          <w:tcPr>
            <w:tcW w:w="2441" w:type="dxa"/>
          </w:tcPr>
          <w:p w14:paraId="2F14BDD8"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60.62%</w:t>
            </w:r>
          </w:p>
        </w:tc>
      </w:tr>
      <w:tr w:rsidR="008B772B" w:rsidRPr="00E80541" w14:paraId="5E72D799" w14:textId="77777777" w:rsidTr="008B772B">
        <w:tc>
          <w:tcPr>
            <w:tcW w:w="1125" w:type="dxa"/>
          </w:tcPr>
          <w:p w14:paraId="784320EA"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1</w:t>
            </w:r>
          </w:p>
        </w:tc>
        <w:tc>
          <w:tcPr>
            <w:tcW w:w="3192" w:type="dxa"/>
          </w:tcPr>
          <w:p w14:paraId="4252AC31"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+/- 5,000</w:t>
            </w:r>
          </w:p>
        </w:tc>
        <w:tc>
          <w:tcPr>
            <w:tcW w:w="2441" w:type="dxa"/>
          </w:tcPr>
          <w:p w14:paraId="78A49EF3"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76.69%</w:t>
            </w:r>
          </w:p>
        </w:tc>
      </w:tr>
      <w:tr w:rsidR="008B772B" w:rsidRPr="00E80541" w14:paraId="3F204C51" w14:textId="77777777" w:rsidTr="008B772B">
        <w:tc>
          <w:tcPr>
            <w:tcW w:w="1125" w:type="dxa"/>
          </w:tcPr>
          <w:p w14:paraId="76C5E437"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2</w:t>
            </w:r>
          </w:p>
        </w:tc>
        <w:tc>
          <w:tcPr>
            <w:tcW w:w="3192" w:type="dxa"/>
          </w:tcPr>
          <w:p w14:paraId="20D117CE"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+/-10,000</w:t>
            </w:r>
          </w:p>
        </w:tc>
        <w:tc>
          <w:tcPr>
            <w:tcW w:w="2441" w:type="dxa"/>
          </w:tcPr>
          <w:p w14:paraId="108AFD33"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79.88%</w:t>
            </w:r>
          </w:p>
        </w:tc>
      </w:tr>
      <w:tr w:rsidR="008B772B" w:rsidRPr="00E80541" w14:paraId="454FD03C" w14:textId="77777777" w:rsidTr="008B772B">
        <w:tc>
          <w:tcPr>
            <w:tcW w:w="1125" w:type="dxa"/>
          </w:tcPr>
          <w:p w14:paraId="551CA182"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3</w:t>
            </w:r>
          </w:p>
        </w:tc>
        <w:tc>
          <w:tcPr>
            <w:tcW w:w="3192" w:type="dxa"/>
          </w:tcPr>
          <w:p w14:paraId="466CC926"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Adjacent age</w:t>
            </w:r>
          </w:p>
        </w:tc>
        <w:tc>
          <w:tcPr>
            <w:tcW w:w="2441" w:type="dxa"/>
          </w:tcPr>
          <w:p w14:paraId="566D973D"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89.53%</w:t>
            </w:r>
          </w:p>
        </w:tc>
      </w:tr>
      <w:tr w:rsidR="008B772B" w:rsidRPr="00E80541" w14:paraId="6F510986" w14:textId="77777777" w:rsidTr="008B772B">
        <w:tc>
          <w:tcPr>
            <w:tcW w:w="1125" w:type="dxa"/>
          </w:tcPr>
          <w:p w14:paraId="21F455CE"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4</w:t>
            </w:r>
          </w:p>
        </w:tc>
        <w:tc>
          <w:tcPr>
            <w:tcW w:w="3192" w:type="dxa"/>
          </w:tcPr>
          <w:p w14:paraId="358C88AB"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+/- 15,000</w:t>
            </w:r>
          </w:p>
        </w:tc>
        <w:tc>
          <w:tcPr>
            <w:tcW w:w="2441" w:type="dxa"/>
          </w:tcPr>
          <w:p w14:paraId="6B63D0E0"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91.27%</w:t>
            </w:r>
          </w:p>
        </w:tc>
      </w:tr>
      <w:tr w:rsidR="008B772B" w:rsidRPr="00E80541" w14:paraId="27C44160" w14:textId="77777777" w:rsidTr="008B772B">
        <w:tc>
          <w:tcPr>
            <w:tcW w:w="1125" w:type="dxa"/>
          </w:tcPr>
          <w:p w14:paraId="12E7461B"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5</w:t>
            </w:r>
          </w:p>
        </w:tc>
        <w:tc>
          <w:tcPr>
            <w:tcW w:w="3192" w:type="dxa"/>
          </w:tcPr>
          <w:p w14:paraId="4D7926FD"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+/- 20,000</w:t>
            </w:r>
          </w:p>
        </w:tc>
        <w:tc>
          <w:tcPr>
            <w:tcW w:w="2441" w:type="dxa"/>
          </w:tcPr>
          <w:p w14:paraId="3BD9A60E"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92.17%</w:t>
            </w:r>
          </w:p>
        </w:tc>
      </w:tr>
      <w:tr w:rsidR="008B772B" w:rsidRPr="00E80541" w14:paraId="0191B767" w14:textId="77777777" w:rsidTr="008B772B">
        <w:tc>
          <w:tcPr>
            <w:tcW w:w="1125" w:type="dxa"/>
          </w:tcPr>
          <w:p w14:paraId="2F0CD4FF"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6</w:t>
            </w:r>
          </w:p>
        </w:tc>
        <w:tc>
          <w:tcPr>
            <w:tcW w:w="3192" w:type="dxa"/>
          </w:tcPr>
          <w:p w14:paraId="1A53FB4D"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+/- 25,000</w:t>
            </w:r>
          </w:p>
        </w:tc>
        <w:tc>
          <w:tcPr>
            <w:tcW w:w="2441" w:type="dxa"/>
          </w:tcPr>
          <w:p w14:paraId="22DC8973"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92.89%</w:t>
            </w:r>
          </w:p>
        </w:tc>
      </w:tr>
      <w:tr w:rsidR="008B772B" w:rsidRPr="00E80541" w14:paraId="6089C08C" w14:textId="77777777" w:rsidTr="008B772B">
        <w:tc>
          <w:tcPr>
            <w:tcW w:w="1125" w:type="dxa"/>
          </w:tcPr>
          <w:p w14:paraId="4E35ADDA"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7</w:t>
            </w:r>
          </w:p>
        </w:tc>
        <w:tc>
          <w:tcPr>
            <w:tcW w:w="3192" w:type="dxa"/>
          </w:tcPr>
          <w:p w14:paraId="7C5B7051"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+/- 35,000</w:t>
            </w:r>
          </w:p>
        </w:tc>
        <w:tc>
          <w:tcPr>
            <w:tcW w:w="2441" w:type="dxa"/>
          </w:tcPr>
          <w:p w14:paraId="5AF0BCD9"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93.86%</w:t>
            </w:r>
          </w:p>
        </w:tc>
      </w:tr>
      <w:tr w:rsidR="008B772B" w:rsidRPr="00E80541" w14:paraId="2F5980DE" w14:textId="77777777" w:rsidTr="008B772B">
        <w:tc>
          <w:tcPr>
            <w:tcW w:w="1125" w:type="dxa"/>
          </w:tcPr>
          <w:p w14:paraId="1FACB465"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8</w:t>
            </w:r>
          </w:p>
        </w:tc>
        <w:tc>
          <w:tcPr>
            <w:tcW w:w="3192" w:type="dxa"/>
          </w:tcPr>
          <w:p w14:paraId="3F9151FF"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+/- 45,000</w:t>
            </w:r>
          </w:p>
        </w:tc>
        <w:tc>
          <w:tcPr>
            <w:tcW w:w="2441" w:type="dxa"/>
          </w:tcPr>
          <w:p w14:paraId="45036C2B"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94.61%</w:t>
            </w:r>
          </w:p>
        </w:tc>
      </w:tr>
      <w:tr w:rsidR="008B772B" w:rsidRPr="00E80541" w14:paraId="40625790" w14:textId="77777777" w:rsidTr="008B772B">
        <w:tc>
          <w:tcPr>
            <w:tcW w:w="1125" w:type="dxa"/>
          </w:tcPr>
          <w:p w14:paraId="17B196EC"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9</w:t>
            </w:r>
          </w:p>
        </w:tc>
        <w:tc>
          <w:tcPr>
            <w:tcW w:w="3192" w:type="dxa"/>
          </w:tcPr>
          <w:p w14:paraId="12F7A026"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+/- 55,000</w:t>
            </w:r>
          </w:p>
        </w:tc>
        <w:tc>
          <w:tcPr>
            <w:tcW w:w="2441" w:type="dxa"/>
          </w:tcPr>
          <w:p w14:paraId="40C77F10"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95.05%</w:t>
            </w:r>
          </w:p>
        </w:tc>
      </w:tr>
      <w:tr w:rsidR="008B772B" w:rsidRPr="00E80541" w14:paraId="41BB876D" w14:textId="77777777" w:rsidTr="008B772B">
        <w:tc>
          <w:tcPr>
            <w:tcW w:w="1125" w:type="dxa"/>
          </w:tcPr>
          <w:p w14:paraId="17C6057C"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10</w:t>
            </w:r>
          </w:p>
        </w:tc>
        <w:tc>
          <w:tcPr>
            <w:tcW w:w="3192" w:type="dxa"/>
          </w:tcPr>
          <w:p w14:paraId="22CD152E"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All Income</w:t>
            </w:r>
          </w:p>
        </w:tc>
        <w:tc>
          <w:tcPr>
            <w:tcW w:w="2441" w:type="dxa"/>
          </w:tcPr>
          <w:p w14:paraId="30B242DB"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96.22%</w:t>
            </w:r>
          </w:p>
        </w:tc>
      </w:tr>
      <w:tr w:rsidR="008B772B" w:rsidRPr="00E80541" w14:paraId="5E81DD5F" w14:textId="77777777" w:rsidTr="008B772B">
        <w:tc>
          <w:tcPr>
            <w:tcW w:w="1125" w:type="dxa"/>
          </w:tcPr>
          <w:p w14:paraId="52473F75"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11</w:t>
            </w:r>
          </w:p>
        </w:tc>
        <w:tc>
          <w:tcPr>
            <w:tcW w:w="3192" w:type="dxa"/>
          </w:tcPr>
          <w:p w14:paraId="125A43B3"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All Ethnicities</w:t>
            </w:r>
          </w:p>
        </w:tc>
        <w:tc>
          <w:tcPr>
            <w:tcW w:w="2441" w:type="dxa"/>
          </w:tcPr>
          <w:p w14:paraId="2BE3D57D"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99.82%</w:t>
            </w:r>
          </w:p>
        </w:tc>
      </w:tr>
      <w:tr w:rsidR="008B772B" w:rsidRPr="00E80541" w14:paraId="61EACA71" w14:textId="77777777" w:rsidTr="008B772B">
        <w:tc>
          <w:tcPr>
            <w:tcW w:w="1125" w:type="dxa"/>
          </w:tcPr>
          <w:p w14:paraId="371671DC"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12</w:t>
            </w:r>
          </w:p>
        </w:tc>
        <w:tc>
          <w:tcPr>
            <w:tcW w:w="3192" w:type="dxa"/>
          </w:tcPr>
          <w:p w14:paraId="731AD16C"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All Races</w:t>
            </w:r>
          </w:p>
        </w:tc>
        <w:tc>
          <w:tcPr>
            <w:tcW w:w="2441" w:type="dxa"/>
          </w:tcPr>
          <w:p w14:paraId="66E10788"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100%</w:t>
            </w:r>
          </w:p>
        </w:tc>
      </w:tr>
    </w:tbl>
    <w:p w14:paraId="07652952" w14:textId="77777777" w:rsidR="008B772B" w:rsidRPr="00E80541" w:rsidRDefault="008B772B" w:rsidP="008346EC">
      <w:pPr>
        <w:suppressLineNumbers/>
        <w:rPr>
          <w:rFonts w:ascii="Times New Roman" w:hAnsi="Times New Roman"/>
          <w:sz w:val="24"/>
          <w:szCs w:val="24"/>
        </w:rPr>
      </w:pPr>
      <w:r w:rsidRPr="00E80541">
        <w:rPr>
          <w:rFonts w:ascii="Times New Roman" w:hAnsi="Times New Roman"/>
          <w:sz w:val="24"/>
          <w:szCs w:val="24"/>
        </w:rPr>
        <w:tab/>
      </w:r>
    </w:p>
    <w:p w14:paraId="4EEEE137" w14:textId="5DB7A9A2" w:rsidR="008B772B" w:rsidRPr="00E80541" w:rsidRDefault="008B772B" w:rsidP="008346EC">
      <w:pPr>
        <w:suppressLineNumbers/>
        <w:rPr>
          <w:rFonts w:ascii="Times New Roman" w:hAnsi="Times New Roman"/>
          <w:sz w:val="24"/>
          <w:szCs w:val="24"/>
        </w:rPr>
      </w:pPr>
      <w:r w:rsidRPr="00E80541">
        <w:rPr>
          <w:rFonts w:ascii="Times New Roman" w:hAnsi="Times New Roman"/>
          <w:sz w:val="24"/>
          <w:szCs w:val="24"/>
        </w:rPr>
        <w:br w:type="page"/>
      </w:r>
      <w:r w:rsidRPr="00E80541">
        <w:rPr>
          <w:rFonts w:ascii="Times New Roman" w:hAnsi="Times New Roman"/>
          <w:b/>
          <w:sz w:val="24"/>
          <w:szCs w:val="24"/>
        </w:rPr>
        <w:lastRenderedPageBreak/>
        <w:t>NSCH to NHANES</w:t>
      </w:r>
    </w:p>
    <w:tbl>
      <w:tblPr>
        <w:tblStyle w:val="TableGrid"/>
        <w:tblW w:w="0" w:type="auto"/>
        <w:tblLook w:val="04A0" w:firstRow="1" w:lastRow="0" w:firstColumn="1" w:lastColumn="0" w:noHBand="0" w:noVBand="1"/>
      </w:tblPr>
      <w:tblGrid>
        <w:gridCol w:w="1125"/>
        <w:gridCol w:w="3192"/>
        <w:gridCol w:w="2441"/>
      </w:tblGrid>
      <w:tr w:rsidR="008B772B" w:rsidRPr="00E80541" w14:paraId="1C189D0D" w14:textId="77777777" w:rsidTr="008B772B">
        <w:tc>
          <w:tcPr>
            <w:tcW w:w="1125" w:type="dxa"/>
          </w:tcPr>
          <w:p w14:paraId="3D42DE30" w14:textId="77777777" w:rsidR="008B772B" w:rsidRPr="00E80541" w:rsidRDefault="008B772B" w:rsidP="008346EC">
            <w:pPr>
              <w:jc w:val="center"/>
              <w:rPr>
                <w:rFonts w:ascii="Times New Roman" w:hAnsi="Times New Roman"/>
                <w:b/>
                <w:sz w:val="24"/>
                <w:szCs w:val="24"/>
              </w:rPr>
            </w:pPr>
            <w:r w:rsidRPr="00E80541">
              <w:rPr>
                <w:rFonts w:ascii="Times New Roman" w:hAnsi="Times New Roman"/>
                <w:b/>
                <w:sz w:val="24"/>
                <w:szCs w:val="24"/>
              </w:rPr>
              <w:t>Iteration</w:t>
            </w:r>
          </w:p>
        </w:tc>
        <w:tc>
          <w:tcPr>
            <w:tcW w:w="3192" w:type="dxa"/>
          </w:tcPr>
          <w:p w14:paraId="49529DCC" w14:textId="77777777" w:rsidR="008B772B" w:rsidRPr="00E80541" w:rsidRDefault="008B772B" w:rsidP="00790864">
            <w:pPr>
              <w:jc w:val="center"/>
              <w:rPr>
                <w:rFonts w:ascii="Times New Roman" w:hAnsi="Times New Roman"/>
                <w:b/>
                <w:sz w:val="24"/>
                <w:szCs w:val="24"/>
              </w:rPr>
            </w:pPr>
            <w:r w:rsidRPr="00E80541">
              <w:rPr>
                <w:rFonts w:ascii="Times New Roman" w:hAnsi="Times New Roman"/>
                <w:b/>
                <w:sz w:val="24"/>
                <w:szCs w:val="24"/>
              </w:rPr>
              <w:t>Matching Group</w:t>
            </w:r>
          </w:p>
        </w:tc>
        <w:tc>
          <w:tcPr>
            <w:tcW w:w="2441" w:type="dxa"/>
          </w:tcPr>
          <w:p w14:paraId="017C6418" w14:textId="77777777" w:rsidR="008B772B" w:rsidRPr="00E80541" w:rsidRDefault="008B772B" w:rsidP="00DF04D2">
            <w:pPr>
              <w:jc w:val="center"/>
              <w:rPr>
                <w:rFonts w:ascii="Times New Roman" w:hAnsi="Times New Roman"/>
                <w:b/>
                <w:sz w:val="24"/>
                <w:szCs w:val="24"/>
              </w:rPr>
            </w:pPr>
            <w:r w:rsidRPr="00E80541">
              <w:rPr>
                <w:rFonts w:ascii="Times New Roman" w:hAnsi="Times New Roman"/>
                <w:b/>
                <w:sz w:val="24"/>
                <w:szCs w:val="24"/>
              </w:rPr>
              <w:t>Cumulative % Matched</w:t>
            </w:r>
          </w:p>
        </w:tc>
      </w:tr>
      <w:tr w:rsidR="008B772B" w:rsidRPr="00E80541" w14:paraId="50FCAE1E" w14:textId="77777777" w:rsidTr="008B772B">
        <w:tc>
          <w:tcPr>
            <w:tcW w:w="1125" w:type="dxa"/>
          </w:tcPr>
          <w:p w14:paraId="774DB544"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0</w:t>
            </w:r>
          </w:p>
        </w:tc>
        <w:tc>
          <w:tcPr>
            <w:tcW w:w="3192" w:type="dxa"/>
          </w:tcPr>
          <w:p w14:paraId="7B2FEA39"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(Exact Match)</w:t>
            </w:r>
          </w:p>
        </w:tc>
        <w:tc>
          <w:tcPr>
            <w:tcW w:w="2441" w:type="dxa"/>
          </w:tcPr>
          <w:p w14:paraId="78398051"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38.00%</w:t>
            </w:r>
          </w:p>
        </w:tc>
      </w:tr>
      <w:tr w:rsidR="008B772B" w:rsidRPr="00E80541" w14:paraId="644DC413" w14:textId="77777777" w:rsidTr="008B772B">
        <w:tc>
          <w:tcPr>
            <w:tcW w:w="1125" w:type="dxa"/>
          </w:tcPr>
          <w:p w14:paraId="08B09722"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1</w:t>
            </w:r>
          </w:p>
        </w:tc>
        <w:tc>
          <w:tcPr>
            <w:tcW w:w="3192" w:type="dxa"/>
          </w:tcPr>
          <w:p w14:paraId="79A2ABD8"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Range 1</w:t>
            </w:r>
          </w:p>
        </w:tc>
        <w:tc>
          <w:tcPr>
            <w:tcW w:w="2441" w:type="dxa"/>
          </w:tcPr>
          <w:p w14:paraId="70A77C05"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57.77%</w:t>
            </w:r>
          </w:p>
        </w:tc>
      </w:tr>
      <w:tr w:rsidR="008B772B" w:rsidRPr="00E80541" w14:paraId="10C104DF" w14:textId="77777777" w:rsidTr="008B772B">
        <w:tc>
          <w:tcPr>
            <w:tcW w:w="1125" w:type="dxa"/>
          </w:tcPr>
          <w:p w14:paraId="1667FB46"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2</w:t>
            </w:r>
          </w:p>
        </w:tc>
        <w:tc>
          <w:tcPr>
            <w:tcW w:w="3192" w:type="dxa"/>
          </w:tcPr>
          <w:p w14:paraId="2E1F7543"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Range 2</w:t>
            </w:r>
          </w:p>
        </w:tc>
        <w:tc>
          <w:tcPr>
            <w:tcW w:w="2441" w:type="dxa"/>
          </w:tcPr>
          <w:p w14:paraId="07E25419"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60.47%</w:t>
            </w:r>
          </w:p>
        </w:tc>
      </w:tr>
      <w:tr w:rsidR="008B772B" w:rsidRPr="00E80541" w14:paraId="6471D1FF" w14:textId="77777777" w:rsidTr="008B772B">
        <w:tc>
          <w:tcPr>
            <w:tcW w:w="1125" w:type="dxa"/>
          </w:tcPr>
          <w:p w14:paraId="57E4A4EB"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3</w:t>
            </w:r>
          </w:p>
        </w:tc>
        <w:tc>
          <w:tcPr>
            <w:tcW w:w="3192" w:type="dxa"/>
          </w:tcPr>
          <w:p w14:paraId="7997B744"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Range 3</w:t>
            </w:r>
          </w:p>
        </w:tc>
        <w:tc>
          <w:tcPr>
            <w:tcW w:w="2441" w:type="dxa"/>
          </w:tcPr>
          <w:p w14:paraId="4C5E9B1F"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63.92%</w:t>
            </w:r>
          </w:p>
        </w:tc>
      </w:tr>
      <w:tr w:rsidR="008B772B" w:rsidRPr="00E80541" w14:paraId="0418A6FD" w14:textId="77777777" w:rsidTr="008B772B">
        <w:tc>
          <w:tcPr>
            <w:tcW w:w="1125" w:type="dxa"/>
          </w:tcPr>
          <w:p w14:paraId="7D920664"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4</w:t>
            </w:r>
          </w:p>
        </w:tc>
        <w:tc>
          <w:tcPr>
            <w:tcW w:w="3192" w:type="dxa"/>
          </w:tcPr>
          <w:p w14:paraId="660C139A"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Range 4</w:t>
            </w:r>
          </w:p>
        </w:tc>
        <w:tc>
          <w:tcPr>
            <w:tcW w:w="2441" w:type="dxa"/>
          </w:tcPr>
          <w:p w14:paraId="7858DCB9"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66.72%</w:t>
            </w:r>
          </w:p>
        </w:tc>
      </w:tr>
      <w:tr w:rsidR="008B772B" w:rsidRPr="00E80541" w14:paraId="27D2432C" w14:textId="77777777" w:rsidTr="008B772B">
        <w:tc>
          <w:tcPr>
            <w:tcW w:w="1125" w:type="dxa"/>
          </w:tcPr>
          <w:p w14:paraId="40CADC1A"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5</w:t>
            </w:r>
          </w:p>
        </w:tc>
        <w:tc>
          <w:tcPr>
            <w:tcW w:w="3192" w:type="dxa"/>
          </w:tcPr>
          <w:p w14:paraId="416AA105"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Range 5</w:t>
            </w:r>
          </w:p>
        </w:tc>
        <w:tc>
          <w:tcPr>
            <w:tcW w:w="2441" w:type="dxa"/>
          </w:tcPr>
          <w:p w14:paraId="32B012E9"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69.77%</w:t>
            </w:r>
          </w:p>
        </w:tc>
      </w:tr>
      <w:tr w:rsidR="008B772B" w:rsidRPr="00E80541" w14:paraId="053B3D38" w14:textId="77777777" w:rsidTr="008B772B">
        <w:tc>
          <w:tcPr>
            <w:tcW w:w="1125" w:type="dxa"/>
          </w:tcPr>
          <w:p w14:paraId="4867B03F"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6</w:t>
            </w:r>
          </w:p>
        </w:tc>
        <w:tc>
          <w:tcPr>
            <w:tcW w:w="3192" w:type="dxa"/>
          </w:tcPr>
          <w:p w14:paraId="4CE142BE"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Range 6</w:t>
            </w:r>
          </w:p>
        </w:tc>
        <w:tc>
          <w:tcPr>
            <w:tcW w:w="2441" w:type="dxa"/>
          </w:tcPr>
          <w:p w14:paraId="78CA5567"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71.93%</w:t>
            </w:r>
          </w:p>
        </w:tc>
      </w:tr>
      <w:tr w:rsidR="008B772B" w:rsidRPr="00E80541" w14:paraId="59D73503" w14:textId="77777777" w:rsidTr="008B772B">
        <w:tc>
          <w:tcPr>
            <w:tcW w:w="1125" w:type="dxa"/>
          </w:tcPr>
          <w:p w14:paraId="4CA836EE"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7</w:t>
            </w:r>
          </w:p>
        </w:tc>
        <w:tc>
          <w:tcPr>
            <w:tcW w:w="3192" w:type="dxa"/>
          </w:tcPr>
          <w:p w14:paraId="6C501B08"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Income Range 7</w:t>
            </w:r>
          </w:p>
        </w:tc>
        <w:tc>
          <w:tcPr>
            <w:tcW w:w="2441" w:type="dxa"/>
          </w:tcPr>
          <w:p w14:paraId="5829E230"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73.63%</w:t>
            </w:r>
          </w:p>
        </w:tc>
      </w:tr>
      <w:tr w:rsidR="008B772B" w:rsidRPr="00E80541" w14:paraId="6D49FA26" w14:textId="77777777" w:rsidTr="008B772B">
        <w:tc>
          <w:tcPr>
            <w:tcW w:w="1125" w:type="dxa"/>
          </w:tcPr>
          <w:p w14:paraId="30198B4F"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8</w:t>
            </w:r>
          </w:p>
        </w:tc>
        <w:tc>
          <w:tcPr>
            <w:tcW w:w="3192" w:type="dxa"/>
          </w:tcPr>
          <w:p w14:paraId="5F0219A8"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All Income</w:t>
            </w:r>
          </w:p>
        </w:tc>
        <w:tc>
          <w:tcPr>
            <w:tcW w:w="2441" w:type="dxa"/>
          </w:tcPr>
          <w:p w14:paraId="6E9F3891" w14:textId="77777777" w:rsidR="008B772B" w:rsidRPr="00E80541" w:rsidRDefault="008B772B" w:rsidP="00790864">
            <w:pPr>
              <w:jc w:val="center"/>
              <w:rPr>
                <w:rFonts w:ascii="Times New Roman" w:hAnsi="Times New Roman"/>
                <w:sz w:val="24"/>
                <w:szCs w:val="24"/>
              </w:rPr>
            </w:pPr>
            <w:r w:rsidRPr="00E80541">
              <w:rPr>
                <w:rFonts w:ascii="Times New Roman" w:hAnsi="Times New Roman"/>
                <w:sz w:val="24"/>
                <w:szCs w:val="24"/>
              </w:rPr>
              <w:t>88.84%</w:t>
            </w:r>
          </w:p>
        </w:tc>
      </w:tr>
      <w:tr w:rsidR="008B772B" w:rsidRPr="008B772B" w14:paraId="724359B6" w14:textId="77777777" w:rsidTr="008B772B">
        <w:tc>
          <w:tcPr>
            <w:tcW w:w="1125" w:type="dxa"/>
          </w:tcPr>
          <w:p w14:paraId="4A0E7E2A"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9</w:t>
            </w:r>
          </w:p>
        </w:tc>
        <w:tc>
          <w:tcPr>
            <w:tcW w:w="3192" w:type="dxa"/>
          </w:tcPr>
          <w:p w14:paraId="290ADC90" w14:textId="77777777" w:rsidR="008B772B" w:rsidRPr="00E80541" w:rsidRDefault="008B772B" w:rsidP="008346EC">
            <w:pPr>
              <w:jc w:val="center"/>
              <w:rPr>
                <w:rFonts w:ascii="Times New Roman" w:hAnsi="Times New Roman"/>
                <w:sz w:val="24"/>
                <w:szCs w:val="24"/>
              </w:rPr>
            </w:pPr>
            <w:r w:rsidRPr="00E80541">
              <w:rPr>
                <w:rFonts w:ascii="Times New Roman" w:hAnsi="Times New Roman"/>
                <w:sz w:val="24"/>
                <w:szCs w:val="24"/>
              </w:rPr>
              <w:t>All Ethnicities</w:t>
            </w:r>
          </w:p>
        </w:tc>
        <w:tc>
          <w:tcPr>
            <w:tcW w:w="2441" w:type="dxa"/>
          </w:tcPr>
          <w:p w14:paraId="20BC48D8" w14:textId="77777777" w:rsidR="008B772B" w:rsidRPr="00D66C70" w:rsidRDefault="008B772B" w:rsidP="008346EC">
            <w:pPr>
              <w:jc w:val="center"/>
              <w:rPr>
                <w:rFonts w:ascii="Times New Roman" w:hAnsi="Times New Roman"/>
                <w:sz w:val="24"/>
                <w:szCs w:val="24"/>
              </w:rPr>
            </w:pPr>
            <w:r w:rsidRPr="00E80541">
              <w:rPr>
                <w:rFonts w:ascii="Times New Roman" w:hAnsi="Times New Roman"/>
                <w:sz w:val="24"/>
                <w:szCs w:val="24"/>
              </w:rPr>
              <w:t>100%</w:t>
            </w:r>
          </w:p>
        </w:tc>
      </w:tr>
    </w:tbl>
    <w:p w14:paraId="1CD593C1" w14:textId="77777777" w:rsidR="008B772B" w:rsidRPr="00D66C70" w:rsidRDefault="008B772B" w:rsidP="008346EC">
      <w:pPr>
        <w:suppressLineNumbers/>
        <w:rPr>
          <w:rFonts w:ascii="Times New Roman" w:hAnsi="Times New Roman"/>
          <w:sz w:val="24"/>
          <w:szCs w:val="24"/>
        </w:rPr>
      </w:pPr>
    </w:p>
    <w:p w14:paraId="12FCA66C" w14:textId="77777777" w:rsidR="008B772B" w:rsidRPr="00D66C70" w:rsidRDefault="008B772B" w:rsidP="008346EC">
      <w:pPr>
        <w:suppressLineNumbers/>
        <w:spacing w:after="0"/>
        <w:rPr>
          <w:rFonts w:ascii="Times New Roman" w:hAnsi="Times New Roman"/>
          <w:sz w:val="24"/>
          <w:szCs w:val="24"/>
        </w:rPr>
      </w:pPr>
    </w:p>
    <w:p w14:paraId="146D3BD3" w14:textId="77777777" w:rsidR="008B772B" w:rsidRPr="00D66C70" w:rsidRDefault="008B772B" w:rsidP="00DF5A28">
      <w:pPr>
        <w:suppressLineNumbers/>
        <w:spacing w:after="0"/>
        <w:rPr>
          <w:rFonts w:ascii="Times New Roman" w:hAnsi="Times New Roman"/>
          <w:sz w:val="24"/>
          <w:szCs w:val="24"/>
        </w:rPr>
      </w:pPr>
    </w:p>
    <w:p w14:paraId="4181A279" w14:textId="75F3B613" w:rsidR="008B772B" w:rsidRPr="00D66C70" w:rsidRDefault="008B772B" w:rsidP="00DF5A28">
      <w:pPr>
        <w:suppressLineNumbers/>
        <w:spacing w:after="0"/>
        <w:rPr>
          <w:rFonts w:ascii="Times New Roman" w:hAnsi="Times New Roman"/>
          <w:sz w:val="24"/>
          <w:szCs w:val="24"/>
        </w:rPr>
      </w:pPr>
    </w:p>
    <w:sectPr w:rsidR="008B772B" w:rsidRPr="00D66C70" w:rsidSect="0031714B">
      <w:pgSz w:w="12240" w:h="15840"/>
      <w:pgMar w:top="1440" w:right="72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6E2DE" w14:textId="77777777" w:rsidR="00D66C70" w:rsidRDefault="00D66C70" w:rsidP="00C303B8">
      <w:pPr>
        <w:spacing w:after="0" w:line="240" w:lineRule="auto"/>
      </w:pPr>
      <w:r>
        <w:separator/>
      </w:r>
    </w:p>
  </w:endnote>
  <w:endnote w:type="continuationSeparator" w:id="0">
    <w:p w14:paraId="5F99FFEC" w14:textId="77777777" w:rsidR="00D66C70" w:rsidRDefault="00D66C70" w:rsidP="00C3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696246"/>
      <w:docPartObj>
        <w:docPartGallery w:val="Page Numbers (Bottom of Page)"/>
        <w:docPartUnique/>
      </w:docPartObj>
    </w:sdtPr>
    <w:sdtEndPr/>
    <w:sdtContent>
      <w:p w14:paraId="32442075" w14:textId="77777777" w:rsidR="00D66C70" w:rsidRDefault="00D66C70">
        <w:pPr>
          <w:pStyle w:val="Footer"/>
          <w:jc w:val="right"/>
        </w:pPr>
        <w:r>
          <w:fldChar w:fldCharType="begin"/>
        </w:r>
        <w:r>
          <w:instrText xml:space="preserve"> PAGE   \* MERGEFORMAT </w:instrText>
        </w:r>
        <w:r>
          <w:fldChar w:fldCharType="separate"/>
        </w:r>
        <w:r w:rsidR="009E5E61">
          <w:rPr>
            <w:noProof/>
          </w:rPr>
          <w:t>10</w:t>
        </w:r>
        <w:r>
          <w:rPr>
            <w:noProof/>
          </w:rPr>
          <w:fldChar w:fldCharType="end"/>
        </w:r>
      </w:p>
    </w:sdtContent>
  </w:sdt>
  <w:p w14:paraId="7A9DF1C8" w14:textId="77777777" w:rsidR="00D66C70" w:rsidRDefault="00D66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A1688" w14:textId="77777777" w:rsidR="00D66C70" w:rsidRDefault="00D66C70" w:rsidP="00C303B8">
      <w:pPr>
        <w:spacing w:after="0" w:line="240" w:lineRule="auto"/>
      </w:pPr>
      <w:r>
        <w:separator/>
      </w:r>
    </w:p>
  </w:footnote>
  <w:footnote w:type="continuationSeparator" w:id="0">
    <w:p w14:paraId="7E29158F" w14:textId="77777777" w:rsidR="00D66C70" w:rsidRDefault="00D66C70" w:rsidP="00C30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60F42"/>
    <w:multiLevelType w:val="hybridMultilevel"/>
    <w:tmpl w:val="31DAD9B0"/>
    <w:lvl w:ilvl="0" w:tplc="5A92EA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0a9sdftlpeazee5d51xxzzexr9vpd00deds&quot;&gt;YouthBMI2&lt;record-ids&gt;&lt;item&gt;7&lt;/item&gt;&lt;item&gt;12&lt;/item&gt;&lt;item&gt;32&lt;/item&gt;&lt;item&gt;35&lt;/item&gt;&lt;/record-ids&gt;&lt;/item&gt;&lt;/Libraries&gt;"/>
  </w:docVars>
  <w:rsids>
    <w:rsidRoot w:val="00E82755"/>
    <w:rsid w:val="00010134"/>
    <w:rsid w:val="0001355C"/>
    <w:rsid w:val="000239BB"/>
    <w:rsid w:val="000258D7"/>
    <w:rsid w:val="00027119"/>
    <w:rsid w:val="00030D8D"/>
    <w:rsid w:val="000340A1"/>
    <w:rsid w:val="000354D2"/>
    <w:rsid w:val="00040895"/>
    <w:rsid w:val="000413D6"/>
    <w:rsid w:val="00042B0D"/>
    <w:rsid w:val="00043B4B"/>
    <w:rsid w:val="00051C52"/>
    <w:rsid w:val="0005354F"/>
    <w:rsid w:val="00053744"/>
    <w:rsid w:val="00060321"/>
    <w:rsid w:val="00072779"/>
    <w:rsid w:val="00072807"/>
    <w:rsid w:val="000730C0"/>
    <w:rsid w:val="000900C1"/>
    <w:rsid w:val="000B725F"/>
    <w:rsid w:val="000C4F41"/>
    <w:rsid w:val="000C586E"/>
    <w:rsid w:val="000D04DD"/>
    <w:rsid w:val="000E2E10"/>
    <w:rsid w:val="000F132F"/>
    <w:rsid w:val="00101B9A"/>
    <w:rsid w:val="00101D9D"/>
    <w:rsid w:val="00115ED2"/>
    <w:rsid w:val="00127630"/>
    <w:rsid w:val="0013050C"/>
    <w:rsid w:val="001368A2"/>
    <w:rsid w:val="00145183"/>
    <w:rsid w:val="00146AD3"/>
    <w:rsid w:val="001516E9"/>
    <w:rsid w:val="00156F40"/>
    <w:rsid w:val="001817EA"/>
    <w:rsid w:val="001946CB"/>
    <w:rsid w:val="001A6DDE"/>
    <w:rsid w:val="001B5E61"/>
    <w:rsid w:val="001C7C7B"/>
    <w:rsid w:val="001D1176"/>
    <w:rsid w:val="001D2055"/>
    <w:rsid w:val="001E47B3"/>
    <w:rsid w:val="001F1F1F"/>
    <w:rsid w:val="00212B4C"/>
    <w:rsid w:val="00217EE1"/>
    <w:rsid w:val="00220636"/>
    <w:rsid w:val="00220B56"/>
    <w:rsid w:val="00233496"/>
    <w:rsid w:val="00244482"/>
    <w:rsid w:val="002509C4"/>
    <w:rsid w:val="00261851"/>
    <w:rsid w:val="002623AE"/>
    <w:rsid w:val="0026689C"/>
    <w:rsid w:val="0027706A"/>
    <w:rsid w:val="00277329"/>
    <w:rsid w:val="0028126A"/>
    <w:rsid w:val="00285565"/>
    <w:rsid w:val="00285DC7"/>
    <w:rsid w:val="002922B3"/>
    <w:rsid w:val="00292983"/>
    <w:rsid w:val="002954C3"/>
    <w:rsid w:val="002A7314"/>
    <w:rsid w:val="002C2464"/>
    <w:rsid w:val="002C254F"/>
    <w:rsid w:val="002C56C5"/>
    <w:rsid w:val="002D07D9"/>
    <w:rsid w:val="002D6C17"/>
    <w:rsid w:val="002D6F54"/>
    <w:rsid w:val="002E1ACD"/>
    <w:rsid w:val="00313865"/>
    <w:rsid w:val="00314183"/>
    <w:rsid w:val="0031714B"/>
    <w:rsid w:val="003228A8"/>
    <w:rsid w:val="00324C9E"/>
    <w:rsid w:val="00330208"/>
    <w:rsid w:val="00332197"/>
    <w:rsid w:val="00334DEE"/>
    <w:rsid w:val="00341C8F"/>
    <w:rsid w:val="003529C7"/>
    <w:rsid w:val="00355881"/>
    <w:rsid w:val="003568AC"/>
    <w:rsid w:val="00362171"/>
    <w:rsid w:val="0038055E"/>
    <w:rsid w:val="00381474"/>
    <w:rsid w:val="00384F6B"/>
    <w:rsid w:val="0038632D"/>
    <w:rsid w:val="003A26A5"/>
    <w:rsid w:val="003A26BD"/>
    <w:rsid w:val="003A2AFF"/>
    <w:rsid w:val="003A2ED0"/>
    <w:rsid w:val="003A441E"/>
    <w:rsid w:val="003B0481"/>
    <w:rsid w:val="003B0759"/>
    <w:rsid w:val="003B44C4"/>
    <w:rsid w:val="003D6565"/>
    <w:rsid w:val="003E1296"/>
    <w:rsid w:val="003E5A93"/>
    <w:rsid w:val="003E6882"/>
    <w:rsid w:val="003F1FC4"/>
    <w:rsid w:val="003F29AD"/>
    <w:rsid w:val="003F7955"/>
    <w:rsid w:val="004001A5"/>
    <w:rsid w:val="00407039"/>
    <w:rsid w:val="0040726F"/>
    <w:rsid w:val="00415DE2"/>
    <w:rsid w:val="004409F8"/>
    <w:rsid w:val="00442300"/>
    <w:rsid w:val="00454218"/>
    <w:rsid w:val="00454308"/>
    <w:rsid w:val="00463F44"/>
    <w:rsid w:val="00464C1E"/>
    <w:rsid w:val="004822CD"/>
    <w:rsid w:val="00484EAB"/>
    <w:rsid w:val="00486D97"/>
    <w:rsid w:val="004929A5"/>
    <w:rsid w:val="004B0315"/>
    <w:rsid w:val="004B23D2"/>
    <w:rsid w:val="004B3D64"/>
    <w:rsid w:val="004C6267"/>
    <w:rsid w:val="004E0448"/>
    <w:rsid w:val="004E51B4"/>
    <w:rsid w:val="004E5CE7"/>
    <w:rsid w:val="004E7668"/>
    <w:rsid w:val="004F1D79"/>
    <w:rsid w:val="004F33D6"/>
    <w:rsid w:val="00501DF3"/>
    <w:rsid w:val="005105D1"/>
    <w:rsid w:val="00512264"/>
    <w:rsid w:val="005208DF"/>
    <w:rsid w:val="00523E39"/>
    <w:rsid w:val="00524991"/>
    <w:rsid w:val="00525220"/>
    <w:rsid w:val="00527315"/>
    <w:rsid w:val="005300DC"/>
    <w:rsid w:val="005322EA"/>
    <w:rsid w:val="00532614"/>
    <w:rsid w:val="00533359"/>
    <w:rsid w:val="00535910"/>
    <w:rsid w:val="00552667"/>
    <w:rsid w:val="00555FED"/>
    <w:rsid w:val="005561A0"/>
    <w:rsid w:val="00561DA9"/>
    <w:rsid w:val="00562A90"/>
    <w:rsid w:val="00565B03"/>
    <w:rsid w:val="005672D7"/>
    <w:rsid w:val="00571810"/>
    <w:rsid w:val="00577376"/>
    <w:rsid w:val="005A0109"/>
    <w:rsid w:val="005A3C8A"/>
    <w:rsid w:val="005B47CA"/>
    <w:rsid w:val="005C0819"/>
    <w:rsid w:val="005C60D3"/>
    <w:rsid w:val="005D32F1"/>
    <w:rsid w:val="005E15D1"/>
    <w:rsid w:val="005E78D9"/>
    <w:rsid w:val="005E7D48"/>
    <w:rsid w:val="005F2D1B"/>
    <w:rsid w:val="005F626B"/>
    <w:rsid w:val="00604E74"/>
    <w:rsid w:val="00605FAA"/>
    <w:rsid w:val="00607AF8"/>
    <w:rsid w:val="00607F10"/>
    <w:rsid w:val="00612FF0"/>
    <w:rsid w:val="00625026"/>
    <w:rsid w:val="00627950"/>
    <w:rsid w:val="00634D17"/>
    <w:rsid w:val="00636B42"/>
    <w:rsid w:val="00647187"/>
    <w:rsid w:val="00651B35"/>
    <w:rsid w:val="006541EA"/>
    <w:rsid w:val="00655112"/>
    <w:rsid w:val="00656C4B"/>
    <w:rsid w:val="006642BE"/>
    <w:rsid w:val="00675B83"/>
    <w:rsid w:val="00681183"/>
    <w:rsid w:val="00682BE4"/>
    <w:rsid w:val="00686381"/>
    <w:rsid w:val="00693A55"/>
    <w:rsid w:val="006941F1"/>
    <w:rsid w:val="0069724A"/>
    <w:rsid w:val="006A03FD"/>
    <w:rsid w:val="006A575F"/>
    <w:rsid w:val="006A6B72"/>
    <w:rsid w:val="006B1940"/>
    <w:rsid w:val="006C078F"/>
    <w:rsid w:val="006C4602"/>
    <w:rsid w:val="006F693F"/>
    <w:rsid w:val="007127F6"/>
    <w:rsid w:val="00725A23"/>
    <w:rsid w:val="00730B39"/>
    <w:rsid w:val="00744503"/>
    <w:rsid w:val="0074718D"/>
    <w:rsid w:val="00765013"/>
    <w:rsid w:val="007657CD"/>
    <w:rsid w:val="00767554"/>
    <w:rsid w:val="00770090"/>
    <w:rsid w:val="00772EA8"/>
    <w:rsid w:val="00774122"/>
    <w:rsid w:val="00782D39"/>
    <w:rsid w:val="00785D76"/>
    <w:rsid w:val="00790864"/>
    <w:rsid w:val="00793824"/>
    <w:rsid w:val="007A09A4"/>
    <w:rsid w:val="007B1B56"/>
    <w:rsid w:val="007D3EA0"/>
    <w:rsid w:val="007E1838"/>
    <w:rsid w:val="007E1EC5"/>
    <w:rsid w:val="007F063D"/>
    <w:rsid w:val="007F293F"/>
    <w:rsid w:val="007F3EF2"/>
    <w:rsid w:val="007F7383"/>
    <w:rsid w:val="007F7CAF"/>
    <w:rsid w:val="00816F47"/>
    <w:rsid w:val="00830CBC"/>
    <w:rsid w:val="0083249B"/>
    <w:rsid w:val="008346EC"/>
    <w:rsid w:val="00834D60"/>
    <w:rsid w:val="00835504"/>
    <w:rsid w:val="00835F99"/>
    <w:rsid w:val="00842153"/>
    <w:rsid w:val="00851193"/>
    <w:rsid w:val="00855313"/>
    <w:rsid w:val="008635B1"/>
    <w:rsid w:val="0086642D"/>
    <w:rsid w:val="00872B5B"/>
    <w:rsid w:val="008849D0"/>
    <w:rsid w:val="0088796A"/>
    <w:rsid w:val="00892547"/>
    <w:rsid w:val="00896593"/>
    <w:rsid w:val="008A092F"/>
    <w:rsid w:val="008A36F6"/>
    <w:rsid w:val="008A71CF"/>
    <w:rsid w:val="008B1520"/>
    <w:rsid w:val="008B772B"/>
    <w:rsid w:val="008C77F5"/>
    <w:rsid w:val="008D0A09"/>
    <w:rsid w:val="008D0BD9"/>
    <w:rsid w:val="008D242B"/>
    <w:rsid w:val="008D2E63"/>
    <w:rsid w:val="008D2F00"/>
    <w:rsid w:val="008E1F76"/>
    <w:rsid w:val="00900187"/>
    <w:rsid w:val="00923529"/>
    <w:rsid w:val="009247FC"/>
    <w:rsid w:val="00924EF8"/>
    <w:rsid w:val="0093079B"/>
    <w:rsid w:val="00940F9C"/>
    <w:rsid w:val="00945B37"/>
    <w:rsid w:val="009509F0"/>
    <w:rsid w:val="00950BB4"/>
    <w:rsid w:val="00953C99"/>
    <w:rsid w:val="00954477"/>
    <w:rsid w:val="009564DB"/>
    <w:rsid w:val="00963ED6"/>
    <w:rsid w:val="00973661"/>
    <w:rsid w:val="009745BF"/>
    <w:rsid w:val="00977F60"/>
    <w:rsid w:val="009A1952"/>
    <w:rsid w:val="009A7D9E"/>
    <w:rsid w:val="009B4330"/>
    <w:rsid w:val="009B6803"/>
    <w:rsid w:val="009D56AB"/>
    <w:rsid w:val="009E3040"/>
    <w:rsid w:val="009E5E61"/>
    <w:rsid w:val="009F2F14"/>
    <w:rsid w:val="009F59BB"/>
    <w:rsid w:val="009F5ECC"/>
    <w:rsid w:val="009F66FE"/>
    <w:rsid w:val="00A00AF7"/>
    <w:rsid w:val="00A0157F"/>
    <w:rsid w:val="00A06C36"/>
    <w:rsid w:val="00A145AC"/>
    <w:rsid w:val="00A24534"/>
    <w:rsid w:val="00A27595"/>
    <w:rsid w:val="00A33C75"/>
    <w:rsid w:val="00A35D99"/>
    <w:rsid w:val="00A3656C"/>
    <w:rsid w:val="00A5057A"/>
    <w:rsid w:val="00A52A7C"/>
    <w:rsid w:val="00A54501"/>
    <w:rsid w:val="00A55E0C"/>
    <w:rsid w:val="00A56FFA"/>
    <w:rsid w:val="00A735A9"/>
    <w:rsid w:val="00A7394F"/>
    <w:rsid w:val="00A73E7B"/>
    <w:rsid w:val="00A75034"/>
    <w:rsid w:val="00A820E3"/>
    <w:rsid w:val="00A85848"/>
    <w:rsid w:val="00AA1378"/>
    <w:rsid w:val="00AA49D4"/>
    <w:rsid w:val="00AA6497"/>
    <w:rsid w:val="00AA7222"/>
    <w:rsid w:val="00AC40FF"/>
    <w:rsid w:val="00AD7E8B"/>
    <w:rsid w:val="00AE18AE"/>
    <w:rsid w:val="00AE6112"/>
    <w:rsid w:val="00AF43FF"/>
    <w:rsid w:val="00AF6A00"/>
    <w:rsid w:val="00B003F0"/>
    <w:rsid w:val="00B10052"/>
    <w:rsid w:val="00B13026"/>
    <w:rsid w:val="00B144B4"/>
    <w:rsid w:val="00B279BF"/>
    <w:rsid w:val="00B30987"/>
    <w:rsid w:val="00B30BCE"/>
    <w:rsid w:val="00B35E27"/>
    <w:rsid w:val="00B444B2"/>
    <w:rsid w:val="00B53CDC"/>
    <w:rsid w:val="00B5491D"/>
    <w:rsid w:val="00B66CDA"/>
    <w:rsid w:val="00B80C34"/>
    <w:rsid w:val="00B82CCB"/>
    <w:rsid w:val="00B8776C"/>
    <w:rsid w:val="00B9029C"/>
    <w:rsid w:val="00B90317"/>
    <w:rsid w:val="00B943D1"/>
    <w:rsid w:val="00B949B9"/>
    <w:rsid w:val="00BA3740"/>
    <w:rsid w:val="00BA3A17"/>
    <w:rsid w:val="00BB0873"/>
    <w:rsid w:val="00BB2448"/>
    <w:rsid w:val="00BB613F"/>
    <w:rsid w:val="00BC0E7A"/>
    <w:rsid w:val="00BC2A9A"/>
    <w:rsid w:val="00BC4478"/>
    <w:rsid w:val="00BC7591"/>
    <w:rsid w:val="00BD1FB7"/>
    <w:rsid w:val="00BD2464"/>
    <w:rsid w:val="00BD43C8"/>
    <w:rsid w:val="00BD7CDF"/>
    <w:rsid w:val="00BE050A"/>
    <w:rsid w:val="00BE1E89"/>
    <w:rsid w:val="00BF5CBB"/>
    <w:rsid w:val="00BF61F4"/>
    <w:rsid w:val="00C03737"/>
    <w:rsid w:val="00C04459"/>
    <w:rsid w:val="00C05D36"/>
    <w:rsid w:val="00C05E72"/>
    <w:rsid w:val="00C2109A"/>
    <w:rsid w:val="00C2575E"/>
    <w:rsid w:val="00C273AF"/>
    <w:rsid w:val="00C303B8"/>
    <w:rsid w:val="00C36640"/>
    <w:rsid w:val="00C376C4"/>
    <w:rsid w:val="00C40003"/>
    <w:rsid w:val="00C42377"/>
    <w:rsid w:val="00C46A67"/>
    <w:rsid w:val="00C5425D"/>
    <w:rsid w:val="00C62593"/>
    <w:rsid w:val="00C64CC1"/>
    <w:rsid w:val="00C70064"/>
    <w:rsid w:val="00C817B5"/>
    <w:rsid w:val="00C95B25"/>
    <w:rsid w:val="00CB1A5C"/>
    <w:rsid w:val="00CB541D"/>
    <w:rsid w:val="00CB799C"/>
    <w:rsid w:val="00CB79B9"/>
    <w:rsid w:val="00CD617C"/>
    <w:rsid w:val="00CD7F7B"/>
    <w:rsid w:val="00CE64EC"/>
    <w:rsid w:val="00D00DA1"/>
    <w:rsid w:val="00D03F7C"/>
    <w:rsid w:val="00D07A96"/>
    <w:rsid w:val="00D1352F"/>
    <w:rsid w:val="00D13731"/>
    <w:rsid w:val="00D2163F"/>
    <w:rsid w:val="00D34CCA"/>
    <w:rsid w:val="00D406CB"/>
    <w:rsid w:val="00D53270"/>
    <w:rsid w:val="00D62701"/>
    <w:rsid w:val="00D66C70"/>
    <w:rsid w:val="00D71B52"/>
    <w:rsid w:val="00D723F8"/>
    <w:rsid w:val="00D73AF2"/>
    <w:rsid w:val="00D77132"/>
    <w:rsid w:val="00D7771D"/>
    <w:rsid w:val="00D83372"/>
    <w:rsid w:val="00D86D0B"/>
    <w:rsid w:val="00D915A3"/>
    <w:rsid w:val="00D95420"/>
    <w:rsid w:val="00D95608"/>
    <w:rsid w:val="00DA1CD4"/>
    <w:rsid w:val="00DB1411"/>
    <w:rsid w:val="00DB799F"/>
    <w:rsid w:val="00DC0372"/>
    <w:rsid w:val="00DC0B49"/>
    <w:rsid w:val="00DC40A3"/>
    <w:rsid w:val="00DC455F"/>
    <w:rsid w:val="00DC5CAB"/>
    <w:rsid w:val="00DD0CA9"/>
    <w:rsid w:val="00DD32AD"/>
    <w:rsid w:val="00DD5AF8"/>
    <w:rsid w:val="00DD6FD7"/>
    <w:rsid w:val="00DD7234"/>
    <w:rsid w:val="00DE0645"/>
    <w:rsid w:val="00DE3138"/>
    <w:rsid w:val="00DF04D2"/>
    <w:rsid w:val="00DF1C00"/>
    <w:rsid w:val="00DF27DB"/>
    <w:rsid w:val="00DF5A28"/>
    <w:rsid w:val="00DF61D0"/>
    <w:rsid w:val="00E0497D"/>
    <w:rsid w:val="00E1114F"/>
    <w:rsid w:val="00E15611"/>
    <w:rsid w:val="00E217D0"/>
    <w:rsid w:val="00E2616E"/>
    <w:rsid w:val="00E27388"/>
    <w:rsid w:val="00E54773"/>
    <w:rsid w:val="00E6780D"/>
    <w:rsid w:val="00E70F38"/>
    <w:rsid w:val="00E77C83"/>
    <w:rsid w:val="00E80541"/>
    <w:rsid w:val="00E82755"/>
    <w:rsid w:val="00E83200"/>
    <w:rsid w:val="00E86D21"/>
    <w:rsid w:val="00E929E8"/>
    <w:rsid w:val="00EA4EF4"/>
    <w:rsid w:val="00EB5AF8"/>
    <w:rsid w:val="00EC5AF6"/>
    <w:rsid w:val="00ED01BB"/>
    <w:rsid w:val="00EE4753"/>
    <w:rsid w:val="00EF22B4"/>
    <w:rsid w:val="00EF4E09"/>
    <w:rsid w:val="00F075C2"/>
    <w:rsid w:val="00F11FC7"/>
    <w:rsid w:val="00F131C4"/>
    <w:rsid w:val="00F14D5B"/>
    <w:rsid w:val="00F20982"/>
    <w:rsid w:val="00F3274E"/>
    <w:rsid w:val="00F43F33"/>
    <w:rsid w:val="00F6040E"/>
    <w:rsid w:val="00F61DE7"/>
    <w:rsid w:val="00F6398D"/>
    <w:rsid w:val="00F708BD"/>
    <w:rsid w:val="00F72E6A"/>
    <w:rsid w:val="00F82E1E"/>
    <w:rsid w:val="00F90D2A"/>
    <w:rsid w:val="00F9310A"/>
    <w:rsid w:val="00FA5770"/>
    <w:rsid w:val="00FC3949"/>
    <w:rsid w:val="00FD10FC"/>
    <w:rsid w:val="00FD7A6A"/>
    <w:rsid w:val="00FE0C0A"/>
    <w:rsid w:val="00FE51C8"/>
    <w:rsid w:val="00FE5859"/>
    <w:rsid w:val="00FE6417"/>
    <w:rsid w:val="00FE6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A027D"/>
  <w15:docId w15:val="{0D88172E-B697-449D-9B9D-6A47F23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96"/>
    <w:rPr>
      <w:rFonts w:ascii="Tahoma" w:eastAsia="Calibri" w:hAnsi="Tahoma" w:cs="Tahoma"/>
      <w:sz w:val="16"/>
      <w:szCs w:val="16"/>
    </w:rPr>
  </w:style>
  <w:style w:type="character" w:styleId="LineNumber">
    <w:name w:val="line number"/>
    <w:basedOn w:val="DefaultParagraphFont"/>
    <w:uiPriority w:val="99"/>
    <w:semiHidden/>
    <w:unhideWhenUsed/>
    <w:rsid w:val="00C303B8"/>
  </w:style>
  <w:style w:type="paragraph" w:styleId="Header">
    <w:name w:val="header"/>
    <w:basedOn w:val="Normal"/>
    <w:link w:val="HeaderChar"/>
    <w:uiPriority w:val="99"/>
    <w:semiHidden/>
    <w:unhideWhenUsed/>
    <w:rsid w:val="00C303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3B8"/>
    <w:rPr>
      <w:rFonts w:ascii="Calibri" w:eastAsia="Calibri" w:hAnsi="Calibri" w:cs="Times New Roman"/>
    </w:rPr>
  </w:style>
  <w:style w:type="paragraph" w:styleId="Footer">
    <w:name w:val="footer"/>
    <w:basedOn w:val="Normal"/>
    <w:link w:val="FooterChar"/>
    <w:uiPriority w:val="99"/>
    <w:unhideWhenUsed/>
    <w:rsid w:val="00C3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3B8"/>
    <w:rPr>
      <w:rFonts w:ascii="Calibri" w:eastAsia="Calibri" w:hAnsi="Calibri" w:cs="Times New Roman"/>
    </w:rPr>
  </w:style>
  <w:style w:type="table" w:customStyle="1" w:styleId="LightList-Accent11">
    <w:name w:val="Light List - Accent 11"/>
    <w:basedOn w:val="TableNormal"/>
    <w:uiPriority w:val="61"/>
    <w:rsid w:val="003321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31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EA8"/>
    <w:rPr>
      <w:color w:val="0000FF" w:themeColor="hyperlink"/>
      <w:u w:val="single"/>
    </w:rPr>
  </w:style>
  <w:style w:type="character" w:styleId="CommentReference">
    <w:name w:val="annotation reference"/>
    <w:basedOn w:val="DefaultParagraphFont"/>
    <w:uiPriority w:val="99"/>
    <w:semiHidden/>
    <w:unhideWhenUsed/>
    <w:rsid w:val="005208DF"/>
    <w:rPr>
      <w:sz w:val="16"/>
      <w:szCs w:val="16"/>
    </w:rPr>
  </w:style>
  <w:style w:type="paragraph" w:styleId="CommentText">
    <w:name w:val="annotation text"/>
    <w:basedOn w:val="Normal"/>
    <w:link w:val="CommentTextChar"/>
    <w:uiPriority w:val="99"/>
    <w:semiHidden/>
    <w:unhideWhenUsed/>
    <w:rsid w:val="005208DF"/>
    <w:pPr>
      <w:spacing w:line="240" w:lineRule="auto"/>
    </w:pPr>
    <w:rPr>
      <w:sz w:val="20"/>
      <w:szCs w:val="20"/>
    </w:rPr>
  </w:style>
  <w:style w:type="character" w:customStyle="1" w:styleId="CommentTextChar">
    <w:name w:val="Comment Text Char"/>
    <w:basedOn w:val="DefaultParagraphFont"/>
    <w:link w:val="CommentText"/>
    <w:uiPriority w:val="99"/>
    <w:semiHidden/>
    <w:rsid w:val="005208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08DF"/>
    <w:rPr>
      <w:b/>
      <w:bCs/>
    </w:rPr>
  </w:style>
  <w:style w:type="character" w:customStyle="1" w:styleId="CommentSubjectChar">
    <w:name w:val="Comment Subject Char"/>
    <w:basedOn w:val="CommentTextChar"/>
    <w:link w:val="CommentSubject"/>
    <w:uiPriority w:val="99"/>
    <w:semiHidden/>
    <w:rsid w:val="005208DF"/>
    <w:rPr>
      <w:rFonts w:ascii="Calibri" w:eastAsia="Calibri" w:hAnsi="Calibri" w:cs="Times New Roman"/>
      <w:b/>
      <w:bCs/>
      <w:sz w:val="20"/>
      <w:szCs w:val="20"/>
    </w:rPr>
  </w:style>
  <w:style w:type="paragraph" w:customStyle="1" w:styleId="EndNoteBibliographyTitle">
    <w:name w:val="EndNote Bibliography Title"/>
    <w:basedOn w:val="Normal"/>
    <w:link w:val="EndNoteBibliographyTitleChar"/>
    <w:rsid w:val="00830CBC"/>
    <w:pPr>
      <w:spacing w:after="0"/>
      <w:jc w:val="center"/>
    </w:pPr>
    <w:rPr>
      <w:noProof/>
    </w:rPr>
  </w:style>
  <w:style w:type="character" w:customStyle="1" w:styleId="EndNoteBibliographyTitleChar">
    <w:name w:val="EndNote Bibliography Title Char"/>
    <w:basedOn w:val="DefaultParagraphFont"/>
    <w:link w:val="EndNoteBibliographyTitle"/>
    <w:rsid w:val="00830CBC"/>
    <w:rPr>
      <w:rFonts w:ascii="Calibri" w:eastAsia="Calibri" w:hAnsi="Calibri" w:cs="Times New Roman"/>
      <w:noProof/>
    </w:rPr>
  </w:style>
  <w:style w:type="paragraph" w:customStyle="1" w:styleId="EndNoteBibliography">
    <w:name w:val="EndNote Bibliography"/>
    <w:basedOn w:val="Normal"/>
    <w:link w:val="EndNoteBibliographyChar"/>
    <w:rsid w:val="00830CBC"/>
    <w:pPr>
      <w:spacing w:line="240" w:lineRule="auto"/>
    </w:pPr>
    <w:rPr>
      <w:noProof/>
    </w:rPr>
  </w:style>
  <w:style w:type="character" w:customStyle="1" w:styleId="EndNoteBibliographyChar">
    <w:name w:val="EndNote Bibliography Char"/>
    <w:basedOn w:val="DefaultParagraphFont"/>
    <w:link w:val="EndNoteBibliography"/>
    <w:rsid w:val="00830CBC"/>
    <w:rPr>
      <w:rFonts w:ascii="Calibri" w:eastAsia="Calibri" w:hAnsi="Calibri" w:cs="Times New Roman"/>
      <w:noProof/>
    </w:rPr>
  </w:style>
  <w:style w:type="paragraph" w:styleId="Revision">
    <w:name w:val="Revision"/>
    <w:hidden/>
    <w:uiPriority w:val="99"/>
    <w:semiHidden/>
    <w:rsid w:val="003B44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8978">
      <w:bodyDiv w:val="1"/>
      <w:marLeft w:val="0"/>
      <w:marRight w:val="0"/>
      <w:marTop w:val="0"/>
      <w:marBottom w:val="0"/>
      <w:divBdr>
        <w:top w:val="none" w:sz="0" w:space="0" w:color="auto"/>
        <w:left w:val="none" w:sz="0" w:space="0" w:color="auto"/>
        <w:bottom w:val="none" w:sz="0" w:space="0" w:color="auto"/>
        <w:right w:val="none" w:sz="0" w:space="0" w:color="auto"/>
      </w:divBdr>
    </w:div>
    <w:div w:id="149560761">
      <w:bodyDiv w:val="1"/>
      <w:marLeft w:val="0"/>
      <w:marRight w:val="0"/>
      <w:marTop w:val="0"/>
      <w:marBottom w:val="0"/>
      <w:divBdr>
        <w:top w:val="none" w:sz="0" w:space="0" w:color="auto"/>
        <w:left w:val="none" w:sz="0" w:space="0" w:color="auto"/>
        <w:bottom w:val="none" w:sz="0" w:space="0" w:color="auto"/>
        <w:right w:val="none" w:sz="0" w:space="0" w:color="auto"/>
      </w:divBdr>
    </w:div>
    <w:div w:id="298415736">
      <w:bodyDiv w:val="1"/>
      <w:marLeft w:val="0"/>
      <w:marRight w:val="0"/>
      <w:marTop w:val="0"/>
      <w:marBottom w:val="0"/>
      <w:divBdr>
        <w:top w:val="none" w:sz="0" w:space="0" w:color="auto"/>
        <w:left w:val="none" w:sz="0" w:space="0" w:color="auto"/>
        <w:bottom w:val="none" w:sz="0" w:space="0" w:color="auto"/>
        <w:right w:val="none" w:sz="0" w:space="0" w:color="auto"/>
      </w:divBdr>
    </w:div>
    <w:div w:id="304892087">
      <w:bodyDiv w:val="1"/>
      <w:marLeft w:val="0"/>
      <w:marRight w:val="0"/>
      <w:marTop w:val="0"/>
      <w:marBottom w:val="0"/>
      <w:divBdr>
        <w:top w:val="none" w:sz="0" w:space="0" w:color="auto"/>
        <w:left w:val="none" w:sz="0" w:space="0" w:color="auto"/>
        <w:bottom w:val="none" w:sz="0" w:space="0" w:color="auto"/>
        <w:right w:val="none" w:sz="0" w:space="0" w:color="auto"/>
      </w:divBdr>
    </w:div>
    <w:div w:id="376508312">
      <w:bodyDiv w:val="1"/>
      <w:marLeft w:val="0"/>
      <w:marRight w:val="0"/>
      <w:marTop w:val="0"/>
      <w:marBottom w:val="0"/>
      <w:divBdr>
        <w:top w:val="none" w:sz="0" w:space="0" w:color="auto"/>
        <w:left w:val="none" w:sz="0" w:space="0" w:color="auto"/>
        <w:bottom w:val="none" w:sz="0" w:space="0" w:color="auto"/>
        <w:right w:val="none" w:sz="0" w:space="0" w:color="auto"/>
      </w:divBdr>
    </w:div>
    <w:div w:id="407457105">
      <w:bodyDiv w:val="1"/>
      <w:marLeft w:val="0"/>
      <w:marRight w:val="0"/>
      <w:marTop w:val="0"/>
      <w:marBottom w:val="0"/>
      <w:divBdr>
        <w:top w:val="none" w:sz="0" w:space="0" w:color="auto"/>
        <w:left w:val="none" w:sz="0" w:space="0" w:color="auto"/>
        <w:bottom w:val="none" w:sz="0" w:space="0" w:color="auto"/>
        <w:right w:val="none" w:sz="0" w:space="0" w:color="auto"/>
      </w:divBdr>
    </w:div>
    <w:div w:id="477111593">
      <w:bodyDiv w:val="1"/>
      <w:marLeft w:val="0"/>
      <w:marRight w:val="0"/>
      <w:marTop w:val="0"/>
      <w:marBottom w:val="0"/>
      <w:divBdr>
        <w:top w:val="none" w:sz="0" w:space="0" w:color="auto"/>
        <w:left w:val="none" w:sz="0" w:space="0" w:color="auto"/>
        <w:bottom w:val="none" w:sz="0" w:space="0" w:color="auto"/>
        <w:right w:val="none" w:sz="0" w:space="0" w:color="auto"/>
      </w:divBdr>
    </w:div>
    <w:div w:id="687605807">
      <w:bodyDiv w:val="1"/>
      <w:marLeft w:val="0"/>
      <w:marRight w:val="0"/>
      <w:marTop w:val="0"/>
      <w:marBottom w:val="0"/>
      <w:divBdr>
        <w:top w:val="none" w:sz="0" w:space="0" w:color="auto"/>
        <w:left w:val="none" w:sz="0" w:space="0" w:color="auto"/>
        <w:bottom w:val="none" w:sz="0" w:space="0" w:color="auto"/>
        <w:right w:val="none" w:sz="0" w:space="0" w:color="auto"/>
      </w:divBdr>
    </w:div>
    <w:div w:id="828402743">
      <w:bodyDiv w:val="1"/>
      <w:marLeft w:val="0"/>
      <w:marRight w:val="0"/>
      <w:marTop w:val="0"/>
      <w:marBottom w:val="0"/>
      <w:divBdr>
        <w:top w:val="none" w:sz="0" w:space="0" w:color="auto"/>
        <w:left w:val="none" w:sz="0" w:space="0" w:color="auto"/>
        <w:bottom w:val="none" w:sz="0" w:space="0" w:color="auto"/>
        <w:right w:val="none" w:sz="0" w:space="0" w:color="auto"/>
      </w:divBdr>
    </w:div>
    <w:div w:id="876166754">
      <w:bodyDiv w:val="1"/>
      <w:marLeft w:val="0"/>
      <w:marRight w:val="0"/>
      <w:marTop w:val="0"/>
      <w:marBottom w:val="0"/>
      <w:divBdr>
        <w:top w:val="none" w:sz="0" w:space="0" w:color="auto"/>
        <w:left w:val="none" w:sz="0" w:space="0" w:color="auto"/>
        <w:bottom w:val="none" w:sz="0" w:space="0" w:color="auto"/>
        <w:right w:val="none" w:sz="0" w:space="0" w:color="auto"/>
      </w:divBdr>
    </w:div>
    <w:div w:id="889726686">
      <w:bodyDiv w:val="1"/>
      <w:marLeft w:val="0"/>
      <w:marRight w:val="0"/>
      <w:marTop w:val="0"/>
      <w:marBottom w:val="0"/>
      <w:divBdr>
        <w:top w:val="none" w:sz="0" w:space="0" w:color="auto"/>
        <w:left w:val="none" w:sz="0" w:space="0" w:color="auto"/>
        <w:bottom w:val="none" w:sz="0" w:space="0" w:color="auto"/>
        <w:right w:val="none" w:sz="0" w:space="0" w:color="auto"/>
      </w:divBdr>
    </w:div>
    <w:div w:id="892887155">
      <w:bodyDiv w:val="1"/>
      <w:marLeft w:val="0"/>
      <w:marRight w:val="0"/>
      <w:marTop w:val="0"/>
      <w:marBottom w:val="0"/>
      <w:divBdr>
        <w:top w:val="none" w:sz="0" w:space="0" w:color="auto"/>
        <w:left w:val="none" w:sz="0" w:space="0" w:color="auto"/>
        <w:bottom w:val="none" w:sz="0" w:space="0" w:color="auto"/>
        <w:right w:val="none" w:sz="0" w:space="0" w:color="auto"/>
      </w:divBdr>
    </w:div>
    <w:div w:id="1463304713">
      <w:bodyDiv w:val="1"/>
      <w:marLeft w:val="0"/>
      <w:marRight w:val="0"/>
      <w:marTop w:val="0"/>
      <w:marBottom w:val="0"/>
      <w:divBdr>
        <w:top w:val="none" w:sz="0" w:space="0" w:color="auto"/>
        <w:left w:val="none" w:sz="0" w:space="0" w:color="auto"/>
        <w:bottom w:val="none" w:sz="0" w:space="0" w:color="auto"/>
        <w:right w:val="none" w:sz="0" w:space="0" w:color="auto"/>
      </w:divBdr>
    </w:div>
    <w:div w:id="1524129375">
      <w:bodyDiv w:val="1"/>
      <w:marLeft w:val="0"/>
      <w:marRight w:val="0"/>
      <w:marTop w:val="0"/>
      <w:marBottom w:val="0"/>
      <w:divBdr>
        <w:top w:val="none" w:sz="0" w:space="0" w:color="auto"/>
        <w:left w:val="none" w:sz="0" w:space="0" w:color="auto"/>
        <w:bottom w:val="none" w:sz="0" w:space="0" w:color="auto"/>
        <w:right w:val="none" w:sz="0" w:space="0" w:color="auto"/>
      </w:divBdr>
    </w:div>
    <w:div w:id="1748917759">
      <w:bodyDiv w:val="1"/>
      <w:marLeft w:val="0"/>
      <w:marRight w:val="0"/>
      <w:marTop w:val="0"/>
      <w:marBottom w:val="0"/>
      <w:divBdr>
        <w:top w:val="none" w:sz="0" w:space="0" w:color="auto"/>
        <w:left w:val="none" w:sz="0" w:space="0" w:color="auto"/>
        <w:bottom w:val="none" w:sz="0" w:space="0" w:color="auto"/>
        <w:right w:val="none" w:sz="0" w:space="0" w:color="auto"/>
      </w:divBdr>
    </w:div>
    <w:div w:id="1809203041">
      <w:bodyDiv w:val="1"/>
      <w:marLeft w:val="0"/>
      <w:marRight w:val="0"/>
      <w:marTop w:val="0"/>
      <w:marBottom w:val="0"/>
      <w:divBdr>
        <w:top w:val="none" w:sz="0" w:space="0" w:color="auto"/>
        <w:left w:val="none" w:sz="0" w:space="0" w:color="auto"/>
        <w:bottom w:val="none" w:sz="0" w:space="0" w:color="auto"/>
        <w:right w:val="none" w:sz="0" w:space="0" w:color="auto"/>
      </w:divBdr>
    </w:div>
    <w:div w:id="1926650253">
      <w:bodyDiv w:val="1"/>
      <w:marLeft w:val="0"/>
      <w:marRight w:val="0"/>
      <w:marTop w:val="0"/>
      <w:marBottom w:val="0"/>
      <w:divBdr>
        <w:top w:val="none" w:sz="0" w:space="0" w:color="auto"/>
        <w:left w:val="none" w:sz="0" w:space="0" w:color="auto"/>
        <w:bottom w:val="none" w:sz="0" w:space="0" w:color="auto"/>
        <w:right w:val="none" w:sz="0" w:space="0" w:color="auto"/>
      </w:divBdr>
    </w:div>
    <w:div w:id="20402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image" Target="media/image1.png"/><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WARD\Dropbox\CHOICES\Statistical%20Matching\Dataset%20Comparisons\Dataset%20Comparison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ZWARD\Dropbox\CHOICES\Statistical%20Matching\Data%20Tables%20and%20Analysis\Analysis%20-%20Child%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WARD\Dropbox\CHOICES\Statistical%20Matching\Dataset%20Comparisons\Dataset%20Comparis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WARD\Dropbox\CHOICES\Statistical%20Matching\Data%20Tables%20and%20Analysis\Analysis%20-%20Child%20Pap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WARD\Dropbox\CHOICES\Statistical%20Matching\Data%20Tables%20and%20Analysis\Analysis%20-%20Child%20Pap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ZWARD\Dropbox\CHOICES\Statistical%20Matching\Data%20Tables%20and%20Analysis\Analysis%20-%20Child%20Pap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ZWARD\Dropbox\CHOICES\Statistical%20Matching\Data%20Tables%20and%20Analysis\Analysis%20-%20Child%20Pap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ZWARD\Dropbox\CHOICES\Statistical%20Matching\Data%20Tables%20and%20Analysis\Analysis%20-%20Child%20Pap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ZWARD\Dropbox\CHOICES\Statistical%20Matching\Data%20Tables%20and%20Analysis\Analysis%20-%20Child%20Pap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ZWARD\Dropbox\CHOICES\Statistical%20Matching\Data%20Tables%20and%20Analysis\Analysis%20-%20Child%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Males</a:t>
            </a:r>
          </a:p>
        </c:rich>
      </c:tx>
      <c:layout>
        <c:manualLayout>
          <c:xMode val="edge"/>
          <c:yMode val="edge"/>
          <c:x val="0.45096920200728102"/>
          <c:y val="1.14133536237398E-2"/>
        </c:manualLayout>
      </c:layout>
      <c:overlay val="0"/>
    </c:title>
    <c:autoTitleDeleted val="0"/>
    <c:plotArea>
      <c:layout>
        <c:manualLayout>
          <c:layoutTarget val="inner"/>
          <c:xMode val="edge"/>
          <c:yMode val="edge"/>
          <c:x val="0.107829156404156"/>
          <c:y val="0.10395677903777301"/>
          <c:w val="0.85480944076126097"/>
          <c:h val="0.72953467367844005"/>
        </c:manualLayout>
      </c:layout>
      <c:scatterChart>
        <c:scatterStyle val="lineMarker"/>
        <c:varyColors val="0"/>
        <c:ser>
          <c:idx val="0"/>
          <c:order val="0"/>
          <c:tx>
            <c:strRef>
              <c:f>'Kid Age Groups'!$AE$7</c:f>
              <c:strCache>
                <c:ptCount val="1"/>
                <c:pt idx="0">
                  <c:v>NHANES</c:v>
                </c:pt>
              </c:strCache>
            </c:strRef>
          </c:tx>
          <c:spPr>
            <a:ln>
              <a:solidFill>
                <a:schemeClr val="tx1"/>
              </a:solidFill>
            </a:ln>
          </c:spPr>
          <c:marker>
            <c:symbol val="none"/>
          </c:marker>
          <c:xVal>
            <c:numRef>
              <c:f>'Kid Age Groups'!$AD$8:$AD$23</c:f>
              <c:numCache>
                <c:formatCode>General</c:formatCode>
                <c:ptCount val="16"/>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numCache>
            </c:numRef>
          </c:xVal>
          <c:yVal>
            <c:numRef>
              <c:f>'Kid Age Groups'!$AE$8:$AE$23</c:f>
              <c:numCache>
                <c:formatCode>General</c:formatCode>
                <c:ptCount val="16"/>
                <c:pt idx="0">
                  <c:v>16.68769</c:v>
                </c:pt>
                <c:pt idx="1">
                  <c:v>16.381350000000001</c:v>
                </c:pt>
                <c:pt idx="2">
                  <c:v>16.25085</c:v>
                </c:pt>
                <c:pt idx="3">
                  <c:v>16.292470000000002</c:v>
                </c:pt>
                <c:pt idx="4">
                  <c:v>16.787960000000009</c:v>
                </c:pt>
                <c:pt idx="5">
                  <c:v>16.930820000000001</c:v>
                </c:pt>
                <c:pt idx="6">
                  <c:v>17.83418</c:v>
                </c:pt>
                <c:pt idx="7">
                  <c:v>18.628319999999999</c:v>
                </c:pt>
                <c:pt idx="8">
                  <c:v>19.484649999999981</c:v>
                </c:pt>
                <c:pt idx="9">
                  <c:v>20.241520000000001</c:v>
                </c:pt>
                <c:pt idx="10">
                  <c:v>21.308199999999999</c:v>
                </c:pt>
                <c:pt idx="11">
                  <c:v>21.461860000000001</c:v>
                </c:pt>
                <c:pt idx="12">
                  <c:v>22.232900000000001</c:v>
                </c:pt>
                <c:pt idx="13">
                  <c:v>23.01727</c:v>
                </c:pt>
                <c:pt idx="14">
                  <c:v>24.525040000000001</c:v>
                </c:pt>
                <c:pt idx="15">
                  <c:v>24.401109999999999</c:v>
                </c:pt>
              </c:numCache>
            </c:numRef>
          </c:yVal>
          <c:smooth val="0"/>
        </c:ser>
        <c:ser>
          <c:idx val="3"/>
          <c:order val="1"/>
          <c:tx>
            <c:strRef>
              <c:f>'Kid Age Groups'!$AH$7</c:f>
              <c:strCache>
                <c:ptCount val="1"/>
                <c:pt idx="0">
                  <c:v>NSCH</c:v>
                </c:pt>
              </c:strCache>
            </c:strRef>
          </c:tx>
          <c:spPr>
            <a:ln>
              <a:solidFill>
                <a:schemeClr val="tx1"/>
              </a:solidFill>
              <a:prstDash val="dash"/>
            </a:ln>
          </c:spPr>
          <c:marker>
            <c:symbol val="none"/>
          </c:marker>
          <c:xVal>
            <c:numRef>
              <c:f>'Kid Age Groups'!$AD$8:$AD$23</c:f>
              <c:numCache>
                <c:formatCode>General</c:formatCode>
                <c:ptCount val="16"/>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numCache>
            </c:numRef>
          </c:xVal>
          <c:yVal>
            <c:numRef>
              <c:f>'Kid Age Groups'!$AH$8:$AH$23</c:f>
              <c:numCache>
                <c:formatCode>General</c:formatCode>
                <c:ptCount val="16"/>
                <c:pt idx="0">
                  <c:v>20.016089999999991</c:v>
                </c:pt>
                <c:pt idx="1">
                  <c:v>19.13336</c:v>
                </c:pt>
                <c:pt idx="2">
                  <c:v>18.405290000000001</c:v>
                </c:pt>
                <c:pt idx="3">
                  <c:v>18.474620000000002</c:v>
                </c:pt>
                <c:pt idx="4">
                  <c:v>18.361070000000009</c:v>
                </c:pt>
                <c:pt idx="5">
                  <c:v>18.86903999999998</c:v>
                </c:pt>
                <c:pt idx="6">
                  <c:v>19.40438</c:v>
                </c:pt>
                <c:pt idx="7">
                  <c:v>20.09562</c:v>
                </c:pt>
                <c:pt idx="8">
                  <c:v>20.139299999999999</c:v>
                </c:pt>
                <c:pt idx="9">
                  <c:v>20.849309999999999</c:v>
                </c:pt>
                <c:pt idx="10">
                  <c:v>21.092860000000009</c:v>
                </c:pt>
                <c:pt idx="11">
                  <c:v>21.425039999999981</c:v>
                </c:pt>
                <c:pt idx="12">
                  <c:v>21.8081</c:v>
                </c:pt>
                <c:pt idx="13">
                  <c:v>22.66985</c:v>
                </c:pt>
                <c:pt idx="14">
                  <c:v>23.46191</c:v>
                </c:pt>
                <c:pt idx="15">
                  <c:v>23.487570000000002</c:v>
                </c:pt>
              </c:numCache>
            </c:numRef>
          </c:yVal>
          <c:smooth val="0"/>
        </c:ser>
        <c:dLbls>
          <c:showLegendKey val="0"/>
          <c:showVal val="0"/>
          <c:showCatName val="0"/>
          <c:showSerName val="0"/>
          <c:showPercent val="0"/>
          <c:showBubbleSize val="0"/>
        </c:dLbls>
        <c:axId val="202215872"/>
        <c:axId val="202216432"/>
      </c:scatterChart>
      <c:valAx>
        <c:axId val="202215872"/>
        <c:scaling>
          <c:orientation val="minMax"/>
          <c:max val="17"/>
          <c:min val="2"/>
        </c:scaling>
        <c:delete val="0"/>
        <c:axPos val="b"/>
        <c:title>
          <c:tx>
            <c:rich>
              <a:bodyPr/>
              <a:lstStyle/>
              <a:p>
                <a:pPr>
                  <a:defRPr/>
                </a:pPr>
                <a:r>
                  <a:rPr lang="en-US" sz="1200"/>
                  <a:t>Age</a:t>
                </a:r>
              </a:p>
            </c:rich>
          </c:tx>
          <c:layout>
            <c:manualLayout>
              <c:xMode val="edge"/>
              <c:yMode val="edge"/>
              <c:x val="0.48714768176363099"/>
              <c:y val="0.91249762221799502"/>
            </c:manualLayout>
          </c:layout>
          <c:overlay val="0"/>
        </c:title>
        <c:numFmt formatCode="General" sourceLinked="1"/>
        <c:majorTickMark val="out"/>
        <c:minorTickMark val="none"/>
        <c:tickLblPos val="nextTo"/>
        <c:txPr>
          <a:bodyPr/>
          <a:lstStyle/>
          <a:p>
            <a:pPr>
              <a:defRPr sz="1200"/>
            </a:pPr>
            <a:endParaRPr lang="en-US"/>
          </a:p>
        </c:txPr>
        <c:crossAx val="202216432"/>
        <c:crosses val="autoZero"/>
        <c:crossBetween val="midCat"/>
      </c:valAx>
      <c:valAx>
        <c:axId val="202216432"/>
        <c:scaling>
          <c:orientation val="minMax"/>
          <c:min val="15"/>
        </c:scaling>
        <c:delete val="0"/>
        <c:axPos val="l"/>
        <c:majorGridlines/>
        <c:title>
          <c:tx>
            <c:rich>
              <a:bodyPr/>
              <a:lstStyle/>
              <a:p>
                <a:pPr>
                  <a:defRPr sz="1200"/>
                </a:pPr>
                <a:r>
                  <a:rPr lang="en-US" sz="1200"/>
                  <a:t>Mean</a:t>
                </a:r>
                <a:r>
                  <a:rPr lang="en-US" sz="1200" baseline="0"/>
                  <a:t> BMI (kg/m</a:t>
                </a:r>
                <a:r>
                  <a:rPr lang="en-US" sz="1200" baseline="30000"/>
                  <a:t>2</a:t>
                </a:r>
                <a:r>
                  <a:rPr lang="en-US" sz="1200" baseline="0"/>
                  <a:t>)</a:t>
                </a:r>
                <a:endParaRPr lang="en-US" sz="1200" baseline="30000"/>
              </a:p>
            </c:rich>
          </c:tx>
          <c:layout/>
          <c:overlay val="0"/>
        </c:title>
        <c:numFmt formatCode="General" sourceLinked="1"/>
        <c:majorTickMark val="out"/>
        <c:minorTickMark val="none"/>
        <c:tickLblPos val="nextTo"/>
        <c:txPr>
          <a:bodyPr/>
          <a:lstStyle/>
          <a:p>
            <a:pPr>
              <a:defRPr sz="1200"/>
            </a:pPr>
            <a:endParaRPr lang="en-US"/>
          </a:p>
        </c:txPr>
        <c:crossAx val="202215872"/>
        <c:crosses val="autoZero"/>
        <c:crossBetween val="midCat"/>
      </c:valAx>
    </c:plotArea>
    <c:legend>
      <c:legendPos val="r"/>
      <c:layout>
        <c:manualLayout>
          <c:xMode val="edge"/>
          <c:yMode val="edge"/>
          <c:x val="0.75305585146592935"/>
          <c:y val="0.49196044157929691"/>
          <c:w val="0.18298805950955499"/>
          <c:h val="0.17116220208101299"/>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Females (14-17)</a:t>
            </a:r>
          </a:p>
        </c:rich>
      </c:tx>
      <c:layout/>
      <c:overlay val="0"/>
    </c:title>
    <c:autoTitleDeleted val="0"/>
    <c:plotArea>
      <c:layout/>
      <c:scatterChart>
        <c:scatterStyle val="smoothMarker"/>
        <c:varyColors val="0"/>
        <c:ser>
          <c:idx val="0"/>
          <c:order val="0"/>
          <c:tx>
            <c:strRef>
              <c:f>AppendixB!$BS$6</c:f>
              <c:strCache>
                <c:ptCount val="1"/>
                <c:pt idx="0">
                  <c:v>F-NHANES</c:v>
                </c:pt>
              </c:strCache>
            </c:strRef>
          </c:tx>
          <c:spPr>
            <a:ln>
              <a:solidFill>
                <a:srgbClr val="0070C0"/>
              </a:solidFill>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AppendixB!$BS$7:$BS$131</c:f>
              <c:numCache>
                <c:formatCode>General</c:formatCode>
                <c:ptCount val="125"/>
                <c:pt idx="0">
                  <c:v>0</c:v>
                </c:pt>
                <c:pt idx="1">
                  <c:v>0</c:v>
                </c:pt>
                <c:pt idx="2">
                  <c:v>0</c:v>
                </c:pt>
                <c:pt idx="3">
                  <c:v>0</c:v>
                </c:pt>
                <c:pt idx="4">
                  <c:v>0</c:v>
                </c:pt>
                <c:pt idx="5">
                  <c:v>0</c:v>
                </c:pt>
                <c:pt idx="6">
                  <c:v>0</c:v>
                </c:pt>
                <c:pt idx="7">
                  <c:v>2.03035893621669E-4</c:v>
                </c:pt>
                <c:pt idx="8">
                  <c:v>1.16821664347519E-2</c:v>
                </c:pt>
                <c:pt idx="9">
                  <c:v>7.3416055897136595E-2</c:v>
                </c:pt>
                <c:pt idx="10">
                  <c:v>0.194510987825982</c:v>
                </c:pt>
                <c:pt idx="11">
                  <c:v>0.24378918313693199</c:v>
                </c:pt>
                <c:pt idx="12">
                  <c:v>0.141718376597704</c:v>
                </c:pt>
                <c:pt idx="13">
                  <c:v>0.104762280612968</c:v>
                </c:pt>
                <c:pt idx="14">
                  <c:v>7.3741636289234497E-2</c:v>
                </c:pt>
                <c:pt idx="15">
                  <c:v>2.9478461909801801E-2</c:v>
                </c:pt>
                <c:pt idx="16">
                  <c:v>5.2087020811793103E-2</c:v>
                </c:pt>
                <c:pt idx="17">
                  <c:v>1.53695773917544E-2</c:v>
                </c:pt>
                <c:pt idx="18">
                  <c:v>2.1728665424825901E-2</c:v>
                </c:pt>
                <c:pt idx="19">
                  <c:v>1.5804219378478E-2</c:v>
                </c:pt>
                <c:pt idx="20">
                  <c:v>9.6221929340475406E-3</c:v>
                </c:pt>
                <c:pt idx="21">
                  <c:v>6.9889931054510903E-3</c:v>
                </c:pt>
                <c:pt idx="22">
                  <c:v>2.51130629142382E-3</c:v>
                </c:pt>
                <c:pt idx="23">
                  <c:v>7.9621147966890704E-4</c:v>
                </c:pt>
                <c:pt idx="24">
                  <c:v>5.30088308052568E-4</c:v>
                </c:pt>
                <c:pt idx="25">
                  <c:v>9.32455232659946E-4</c:v>
                </c:pt>
                <c:pt idx="26">
                  <c:v>0</c:v>
                </c:pt>
                <c:pt idx="27">
                  <c:v>0</c:v>
                </c:pt>
                <c:pt idx="28">
                  <c:v>0</c:v>
                </c:pt>
                <c:pt idx="29">
                  <c:v>0</c:v>
                </c:pt>
                <c:pt idx="30">
                  <c:v>0</c:v>
                </c:pt>
                <c:pt idx="31">
                  <c:v>3.2708504371303798E-4</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ser>
          <c:idx val="1"/>
          <c:order val="1"/>
          <c:tx>
            <c:strRef>
              <c:f>AppendixB!$BT$6</c:f>
              <c:strCache>
                <c:ptCount val="1"/>
                <c:pt idx="0">
                  <c:v>F-Model</c:v>
                </c:pt>
              </c:strCache>
            </c:strRef>
          </c:tx>
          <c:spPr>
            <a:ln>
              <a:solidFill>
                <a:srgbClr val="FF0000"/>
              </a:solidFill>
              <a:prstDash val="dash"/>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AppendixB!$BT$7:$BT$131</c:f>
              <c:numCache>
                <c:formatCode>General</c:formatCode>
                <c:ptCount val="125"/>
                <c:pt idx="0">
                  <c:v>0</c:v>
                </c:pt>
                <c:pt idx="1">
                  <c:v>0</c:v>
                </c:pt>
                <c:pt idx="2">
                  <c:v>0</c:v>
                </c:pt>
                <c:pt idx="3">
                  <c:v>0</c:v>
                </c:pt>
                <c:pt idx="4">
                  <c:v>0</c:v>
                </c:pt>
                <c:pt idx="5">
                  <c:v>0</c:v>
                </c:pt>
                <c:pt idx="6">
                  <c:v>0</c:v>
                </c:pt>
                <c:pt idx="7">
                  <c:v>3.0664823860777202E-4</c:v>
                </c:pt>
                <c:pt idx="8">
                  <c:v>1.24965274379363E-2</c:v>
                </c:pt>
                <c:pt idx="9">
                  <c:v>7.4625432896260099E-2</c:v>
                </c:pt>
                <c:pt idx="10">
                  <c:v>0.19837385232441701</c:v>
                </c:pt>
                <c:pt idx="11">
                  <c:v>0.24904434103377099</c:v>
                </c:pt>
                <c:pt idx="12">
                  <c:v>0.14166520843775701</c:v>
                </c:pt>
                <c:pt idx="13">
                  <c:v>9.2720002254075798E-2</c:v>
                </c:pt>
                <c:pt idx="14">
                  <c:v>6.8788982907579996E-2</c:v>
                </c:pt>
                <c:pt idx="15">
                  <c:v>3.2742651762084199E-2</c:v>
                </c:pt>
                <c:pt idx="16">
                  <c:v>4.8407663462517701E-2</c:v>
                </c:pt>
                <c:pt idx="17">
                  <c:v>2.2621628648908799E-2</c:v>
                </c:pt>
                <c:pt idx="18">
                  <c:v>1.9094172917278301E-2</c:v>
                </c:pt>
                <c:pt idx="19">
                  <c:v>2.04288478212084E-2</c:v>
                </c:pt>
                <c:pt idx="20">
                  <c:v>8.1979404864650496E-3</c:v>
                </c:pt>
                <c:pt idx="21">
                  <c:v>6.1646009247643399E-3</c:v>
                </c:pt>
                <c:pt idx="22">
                  <c:v>1.9398646170394301E-3</c:v>
                </c:pt>
                <c:pt idx="23">
                  <c:v>9.1833819244879701E-4</c:v>
                </c:pt>
                <c:pt idx="24">
                  <c:v>8.5121023113177196E-4</c:v>
                </c:pt>
                <c:pt idx="25">
                  <c:v>6.1208540574841897E-4</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dLbls>
          <c:showLegendKey val="0"/>
          <c:showVal val="0"/>
          <c:showCatName val="0"/>
          <c:showSerName val="0"/>
          <c:showPercent val="0"/>
          <c:showBubbleSize val="0"/>
        </c:dLbls>
        <c:axId val="202791808"/>
        <c:axId val="202792368"/>
      </c:scatterChart>
      <c:valAx>
        <c:axId val="202791808"/>
        <c:scaling>
          <c:orientation val="minMax"/>
          <c:max val="50"/>
          <c:min val="10"/>
        </c:scaling>
        <c:delete val="0"/>
        <c:axPos val="b"/>
        <c:title>
          <c:tx>
            <c:rich>
              <a:bodyPr/>
              <a:lstStyle/>
              <a:p>
                <a:pPr>
                  <a:defRPr sz="1000"/>
                </a:pPr>
                <a:r>
                  <a:rPr lang="en-US" sz="1000"/>
                  <a:t>BMI</a:t>
                </a:r>
              </a:p>
            </c:rich>
          </c:tx>
          <c:layout/>
          <c:overlay val="0"/>
        </c:title>
        <c:numFmt formatCode="General" sourceLinked="1"/>
        <c:majorTickMark val="out"/>
        <c:minorTickMark val="none"/>
        <c:tickLblPos val="nextTo"/>
        <c:txPr>
          <a:bodyPr/>
          <a:lstStyle/>
          <a:p>
            <a:pPr>
              <a:defRPr sz="1000"/>
            </a:pPr>
            <a:endParaRPr lang="en-US"/>
          </a:p>
        </c:txPr>
        <c:crossAx val="202792368"/>
        <c:crosses val="autoZero"/>
        <c:crossBetween val="midCat"/>
      </c:valAx>
      <c:valAx>
        <c:axId val="202792368"/>
        <c:scaling>
          <c:orientation val="minMax"/>
          <c:min val="0"/>
        </c:scaling>
        <c:delete val="0"/>
        <c:axPos val="l"/>
        <c:majorGridlines/>
        <c:title>
          <c:tx>
            <c:rich>
              <a:bodyPr rot="-5400000" vert="horz"/>
              <a:lstStyle/>
              <a:p>
                <a:pPr>
                  <a:defRPr sz="1000"/>
                </a:pPr>
                <a:r>
                  <a:rPr lang="en-US" sz="1000"/>
                  <a:t>Population Percentage</a:t>
                </a:r>
              </a:p>
            </c:rich>
          </c:tx>
          <c:layout/>
          <c:overlay val="0"/>
        </c:title>
        <c:numFmt formatCode="0%" sourceLinked="0"/>
        <c:majorTickMark val="out"/>
        <c:minorTickMark val="none"/>
        <c:tickLblPos val="nextTo"/>
        <c:txPr>
          <a:bodyPr/>
          <a:lstStyle/>
          <a:p>
            <a:pPr>
              <a:defRPr sz="1000"/>
            </a:pPr>
            <a:endParaRPr lang="en-US"/>
          </a:p>
        </c:txPr>
        <c:crossAx val="20279180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Female</a:t>
            </a:r>
            <a:r>
              <a:rPr lang="en-US" baseline="0"/>
              <a:t>s</a:t>
            </a:r>
            <a:endParaRPr lang="en-US"/>
          </a:p>
        </c:rich>
      </c:tx>
      <c:layout>
        <c:manualLayout>
          <c:xMode val="edge"/>
          <c:yMode val="edge"/>
          <c:x val="0.43383355246490102"/>
          <c:y val="3.8662284941040001E-3"/>
        </c:manualLayout>
      </c:layout>
      <c:overlay val="0"/>
    </c:title>
    <c:autoTitleDeleted val="0"/>
    <c:plotArea>
      <c:layout>
        <c:manualLayout>
          <c:layoutTarget val="inner"/>
          <c:xMode val="edge"/>
          <c:yMode val="edge"/>
          <c:x val="0.103893310689308"/>
          <c:y val="0.10564484581511201"/>
          <c:w val="0.86464905504838097"/>
          <c:h val="0.74447395699353602"/>
        </c:manualLayout>
      </c:layout>
      <c:scatterChart>
        <c:scatterStyle val="lineMarker"/>
        <c:varyColors val="0"/>
        <c:ser>
          <c:idx val="0"/>
          <c:order val="0"/>
          <c:tx>
            <c:strRef>
              <c:f>'Kid Age Groups'!$AM$7</c:f>
              <c:strCache>
                <c:ptCount val="1"/>
                <c:pt idx="0">
                  <c:v>NHANES</c:v>
                </c:pt>
              </c:strCache>
            </c:strRef>
          </c:tx>
          <c:spPr>
            <a:ln>
              <a:solidFill>
                <a:schemeClr val="tx1"/>
              </a:solidFill>
            </a:ln>
          </c:spPr>
          <c:marker>
            <c:symbol val="none"/>
          </c:marker>
          <c:xVal>
            <c:numRef>
              <c:f>'Kid Age Groups'!$AD$8:$AD$23</c:f>
              <c:numCache>
                <c:formatCode>General</c:formatCode>
                <c:ptCount val="16"/>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numCache>
            </c:numRef>
          </c:xVal>
          <c:yVal>
            <c:numRef>
              <c:f>'Kid Age Groups'!$AM$8:$AM$23</c:f>
              <c:numCache>
                <c:formatCode>General</c:formatCode>
                <c:ptCount val="16"/>
                <c:pt idx="0">
                  <c:v>16.525230000000001</c:v>
                </c:pt>
                <c:pt idx="1">
                  <c:v>16.087869999999999</c:v>
                </c:pt>
                <c:pt idx="2">
                  <c:v>16.04968999999998</c:v>
                </c:pt>
                <c:pt idx="3">
                  <c:v>16.34882</c:v>
                </c:pt>
                <c:pt idx="4">
                  <c:v>16.415839999999999</c:v>
                </c:pt>
                <c:pt idx="5">
                  <c:v>17.092610000000001</c:v>
                </c:pt>
                <c:pt idx="6">
                  <c:v>17.886890000000001</c:v>
                </c:pt>
                <c:pt idx="7">
                  <c:v>18.601949999999999</c:v>
                </c:pt>
                <c:pt idx="8">
                  <c:v>19.618259999999999</c:v>
                </c:pt>
                <c:pt idx="9">
                  <c:v>20.638639999999999</c:v>
                </c:pt>
                <c:pt idx="10">
                  <c:v>21.58615</c:v>
                </c:pt>
                <c:pt idx="11">
                  <c:v>22.309650000000001</c:v>
                </c:pt>
                <c:pt idx="12">
                  <c:v>23.385899999999999</c:v>
                </c:pt>
                <c:pt idx="13">
                  <c:v>23.427779999999981</c:v>
                </c:pt>
                <c:pt idx="14">
                  <c:v>23.350709999999999</c:v>
                </c:pt>
                <c:pt idx="15">
                  <c:v>24.159579999999991</c:v>
                </c:pt>
              </c:numCache>
            </c:numRef>
          </c:yVal>
          <c:smooth val="0"/>
        </c:ser>
        <c:ser>
          <c:idx val="3"/>
          <c:order val="1"/>
          <c:tx>
            <c:strRef>
              <c:f>'Kid Age Groups'!$AP$7</c:f>
              <c:strCache>
                <c:ptCount val="1"/>
                <c:pt idx="0">
                  <c:v>NSCH</c:v>
                </c:pt>
              </c:strCache>
            </c:strRef>
          </c:tx>
          <c:spPr>
            <a:ln>
              <a:solidFill>
                <a:schemeClr val="tx1"/>
              </a:solidFill>
              <a:prstDash val="dash"/>
            </a:ln>
          </c:spPr>
          <c:marker>
            <c:symbol val="none"/>
          </c:marker>
          <c:xVal>
            <c:numRef>
              <c:f>'Kid Age Groups'!$AD$8:$AD$23</c:f>
              <c:numCache>
                <c:formatCode>General</c:formatCode>
                <c:ptCount val="16"/>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numCache>
            </c:numRef>
          </c:xVal>
          <c:yVal>
            <c:numRef>
              <c:f>'Kid Age Groups'!$AP$8:$AP$23</c:f>
              <c:numCache>
                <c:formatCode>General</c:formatCode>
                <c:ptCount val="16"/>
                <c:pt idx="0">
                  <c:v>19.616350000000001</c:v>
                </c:pt>
                <c:pt idx="1">
                  <c:v>18.694130000000001</c:v>
                </c:pt>
                <c:pt idx="2">
                  <c:v>17.925709999999981</c:v>
                </c:pt>
                <c:pt idx="3">
                  <c:v>17.808769999999999</c:v>
                </c:pt>
                <c:pt idx="4">
                  <c:v>18.092500000000001</c:v>
                </c:pt>
                <c:pt idx="5">
                  <c:v>19.235140000000001</c:v>
                </c:pt>
                <c:pt idx="6">
                  <c:v>19.373799999999999</c:v>
                </c:pt>
                <c:pt idx="7">
                  <c:v>20.033750000000001</c:v>
                </c:pt>
                <c:pt idx="8">
                  <c:v>19.918320000000001</c:v>
                </c:pt>
                <c:pt idx="9">
                  <c:v>20.64423</c:v>
                </c:pt>
                <c:pt idx="10">
                  <c:v>20.568680000000001</c:v>
                </c:pt>
                <c:pt idx="11">
                  <c:v>21.258859999999999</c:v>
                </c:pt>
                <c:pt idx="12">
                  <c:v>21.689599999999992</c:v>
                </c:pt>
                <c:pt idx="13">
                  <c:v>22.01746</c:v>
                </c:pt>
                <c:pt idx="14">
                  <c:v>22.47157</c:v>
                </c:pt>
                <c:pt idx="15">
                  <c:v>22.72786</c:v>
                </c:pt>
              </c:numCache>
            </c:numRef>
          </c:yVal>
          <c:smooth val="0"/>
        </c:ser>
        <c:dLbls>
          <c:showLegendKey val="0"/>
          <c:showVal val="0"/>
          <c:showCatName val="0"/>
          <c:showSerName val="0"/>
          <c:showPercent val="0"/>
          <c:showBubbleSize val="0"/>
        </c:dLbls>
        <c:axId val="202219232"/>
        <c:axId val="202219792"/>
      </c:scatterChart>
      <c:valAx>
        <c:axId val="202219232"/>
        <c:scaling>
          <c:orientation val="minMax"/>
          <c:max val="17"/>
          <c:min val="2"/>
        </c:scaling>
        <c:delete val="0"/>
        <c:axPos val="b"/>
        <c:title>
          <c:tx>
            <c:rich>
              <a:bodyPr/>
              <a:lstStyle/>
              <a:p>
                <a:pPr>
                  <a:defRPr/>
                </a:pPr>
                <a:r>
                  <a:rPr lang="en-US" sz="1200"/>
                  <a:t>Age</a:t>
                </a:r>
              </a:p>
            </c:rich>
          </c:tx>
          <c:layout>
            <c:manualLayout>
              <c:xMode val="edge"/>
              <c:yMode val="edge"/>
              <c:x val="0.48926312135808397"/>
              <c:y val="0.92961515805111705"/>
            </c:manualLayout>
          </c:layout>
          <c:overlay val="0"/>
        </c:title>
        <c:numFmt formatCode="General" sourceLinked="1"/>
        <c:majorTickMark val="out"/>
        <c:minorTickMark val="none"/>
        <c:tickLblPos val="nextTo"/>
        <c:txPr>
          <a:bodyPr/>
          <a:lstStyle/>
          <a:p>
            <a:pPr>
              <a:defRPr sz="1200"/>
            </a:pPr>
            <a:endParaRPr lang="en-US"/>
          </a:p>
        </c:txPr>
        <c:crossAx val="202219792"/>
        <c:crosses val="autoZero"/>
        <c:crossBetween val="midCat"/>
      </c:valAx>
      <c:valAx>
        <c:axId val="202219792"/>
        <c:scaling>
          <c:orientation val="minMax"/>
          <c:min val="15"/>
        </c:scaling>
        <c:delete val="0"/>
        <c:axPos val="l"/>
        <c:majorGridlines/>
        <c:title>
          <c:tx>
            <c:rich>
              <a:bodyPr/>
              <a:lstStyle/>
              <a:p>
                <a:pPr>
                  <a:defRPr/>
                </a:pPr>
                <a:r>
                  <a:rPr lang="en-US" sz="1200" b="1" i="0" baseline="0">
                    <a:effectLst/>
                  </a:rPr>
                  <a:t>Mean BMI (kg/m</a:t>
                </a:r>
                <a:r>
                  <a:rPr lang="en-US" sz="1200" b="1" i="0" baseline="30000">
                    <a:effectLst/>
                  </a:rPr>
                  <a:t>2</a:t>
                </a:r>
                <a:r>
                  <a:rPr lang="en-US" sz="1200" b="1" i="0" baseline="0">
                    <a:effectLst/>
                  </a:rPr>
                  <a:t>)</a:t>
                </a:r>
                <a:endParaRPr lang="en-US" sz="1200">
                  <a:effectLst/>
                </a:endParaRPr>
              </a:p>
            </c:rich>
          </c:tx>
          <c:layout/>
          <c:overlay val="0"/>
        </c:title>
        <c:numFmt formatCode="General" sourceLinked="1"/>
        <c:majorTickMark val="out"/>
        <c:minorTickMark val="none"/>
        <c:tickLblPos val="nextTo"/>
        <c:txPr>
          <a:bodyPr/>
          <a:lstStyle/>
          <a:p>
            <a:pPr>
              <a:defRPr sz="1200"/>
            </a:pPr>
            <a:endParaRPr lang="en-US"/>
          </a:p>
        </c:txPr>
        <c:crossAx val="202219232"/>
        <c:crosses val="autoZero"/>
        <c:crossBetween val="midCat"/>
      </c:valAx>
    </c:plotArea>
    <c:legend>
      <c:legendPos val="r"/>
      <c:layout>
        <c:manualLayout>
          <c:xMode val="edge"/>
          <c:yMode val="edge"/>
          <c:x val="0.74380479531208454"/>
          <c:y val="0.44318113902816864"/>
          <c:w val="0.18897915844827501"/>
          <c:h val="0.19570421566919999"/>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Males (2-5)</a:t>
            </a:r>
          </a:p>
        </c:rich>
      </c:tx>
      <c:layout/>
      <c:overlay val="0"/>
    </c:title>
    <c:autoTitleDeleted val="0"/>
    <c:plotArea>
      <c:layout/>
      <c:scatterChart>
        <c:scatterStyle val="smoothMarker"/>
        <c:varyColors val="0"/>
        <c:ser>
          <c:idx val="0"/>
          <c:order val="0"/>
          <c:tx>
            <c:strRef>
              <c:f>AppendixB!$AY$6</c:f>
              <c:strCache>
                <c:ptCount val="1"/>
                <c:pt idx="0">
                  <c:v>M-NHANES</c:v>
                </c:pt>
              </c:strCache>
            </c:strRef>
          </c:tx>
          <c:spPr>
            <a:ln>
              <a:solidFill>
                <a:srgbClr val="0070C0"/>
              </a:solidFill>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AppendixB!$AY$7:$AY$131</c:f>
              <c:numCache>
                <c:formatCode>General</c:formatCode>
                <c:ptCount val="125"/>
                <c:pt idx="0">
                  <c:v>0</c:v>
                </c:pt>
                <c:pt idx="1">
                  <c:v>0</c:v>
                </c:pt>
                <c:pt idx="2">
                  <c:v>0</c:v>
                </c:pt>
                <c:pt idx="3">
                  <c:v>0</c:v>
                </c:pt>
                <c:pt idx="4">
                  <c:v>0</c:v>
                </c:pt>
                <c:pt idx="5">
                  <c:v>0</c:v>
                </c:pt>
                <c:pt idx="6">
                  <c:v>0</c:v>
                </c:pt>
                <c:pt idx="7">
                  <c:v>6.3973847400493E-2</c:v>
                </c:pt>
                <c:pt idx="8">
                  <c:v>0.47655543898484898</c:v>
                </c:pt>
                <c:pt idx="9">
                  <c:v>0.35111559045421697</c:v>
                </c:pt>
                <c:pt idx="10">
                  <c:v>7.1502612092039106E-2</c:v>
                </c:pt>
                <c:pt idx="11">
                  <c:v>1.7193235920960399E-2</c:v>
                </c:pt>
                <c:pt idx="12">
                  <c:v>1.40417150695649E-2</c:v>
                </c:pt>
                <c:pt idx="13">
                  <c:v>2.9579731334305999E-3</c:v>
                </c:pt>
                <c:pt idx="14">
                  <c:v>8.5381796039574198E-4</c:v>
                </c:pt>
                <c:pt idx="15">
                  <c:v>1.36194051018679E-3</c:v>
                </c:pt>
                <c:pt idx="16">
                  <c:v>0</c:v>
                </c:pt>
                <c:pt idx="17">
                  <c:v>4.4382847386315001E-4</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ser>
          <c:idx val="1"/>
          <c:order val="1"/>
          <c:tx>
            <c:strRef>
              <c:f>AppendixB!$AZ$6</c:f>
              <c:strCache>
                <c:ptCount val="1"/>
                <c:pt idx="0">
                  <c:v>M-Model</c:v>
                </c:pt>
              </c:strCache>
            </c:strRef>
          </c:tx>
          <c:spPr>
            <a:ln>
              <a:solidFill>
                <a:srgbClr val="FF0000"/>
              </a:solidFill>
              <a:prstDash val="dash"/>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AppendixB!$AZ$7:$AZ$131</c:f>
              <c:numCache>
                <c:formatCode>General</c:formatCode>
                <c:ptCount val="125"/>
                <c:pt idx="0">
                  <c:v>0</c:v>
                </c:pt>
                <c:pt idx="1">
                  <c:v>0</c:v>
                </c:pt>
                <c:pt idx="2">
                  <c:v>0</c:v>
                </c:pt>
                <c:pt idx="3">
                  <c:v>0</c:v>
                </c:pt>
                <c:pt idx="4">
                  <c:v>0</c:v>
                </c:pt>
                <c:pt idx="5">
                  <c:v>0</c:v>
                </c:pt>
                <c:pt idx="6">
                  <c:v>4.1273219355177901E-4</c:v>
                </c:pt>
                <c:pt idx="7">
                  <c:v>8.9451870276889195E-2</c:v>
                </c:pt>
                <c:pt idx="8">
                  <c:v>0.44084763493345502</c:v>
                </c:pt>
                <c:pt idx="9">
                  <c:v>0.34516521089576802</c:v>
                </c:pt>
                <c:pt idx="10">
                  <c:v>9.8511031033030105E-2</c:v>
                </c:pt>
                <c:pt idx="11">
                  <c:v>1.0661433372968701E-2</c:v>
                </c:pt>
                <c:pt idx="12">
                  <c:v>1.0716005539557901E-2</c:v>
                </c:pt>
                <c:pt idx="13">
                  <c:v>2.5027133655506299E-3</c:v>
                </c:pt>
                <c:pt idx="14">
                  <c:v>5.3527809861397802E-4</c:v>
                </c:pt>
                <c:pt idx="15">
                  <c:v>1.0720955669712999E-3</c:v>
                </c:pt>
                <c:pt idx="16">
                  <c:v>1.15754567958981E-4</c:v>
                </c:pt>
                <c:pt idx="17">
                  <c:v>8.2401556851241492E-6</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dLbls>
          <c:showLegendKey val="0"/>
          <c:showVal val="0"/>
          <c:showCatName val="0"/>
          <c:showSerName val="0"/>
          <c:showPercent val="0"/>
          <c:showBubbleSize val="0"/>
        </c:dLbls>
        <c:axId val="202222592"/>
        <c:axId val="202223152"/>
      </c:scatterChart>
      <c:valAx>
        <c:axId val="202222592"/>
        <c:scaling>
          <c:orientation val="minMax"/>
          <c:max val="50"/>
          <c:min val="10"/>
        </c:scaling>
        <c:delete val="0"/>
        <c:axPos val="b"/>
        <c:title>
          <c:tx>
            <c:rich>
              <a:bodyPr/>
              <a:lstStyle/>
              <a:p>
                <a:pPr>
                  <a:defRPr sz="1000"/>
                </a:pPr>
                <a:r>
                  <a:rPr lang="en-US" sz="1000"/>
                  <a:t>BMI</a:t>
                </a:r>
              </a:p>
            </c:rich>
          </c:tx>
          <c:layout/>
          <c:overlay val="0"/>
        </c:title>
        <c:numFmt formatCode="General" sourceLinked="1"/>
        <c:majorTickMark val="out"/>
        <c:minorTickMark val="none"/>
        <c:tickLblPos val="nextTo"/>
        <c:txPr>
          <a:bodyPr/>
          <a:lstStyle/>
          <a:p>
            <a:pPr>
              <a:defRPr sz="1000"/>
            </a:pPr>
            <a:endParaRPr lang="en-US"/>
          </a:p>
        </c:txPr>
        <c:crossAx val="202223152"/>
        <c:crosses val="autoZero"/>
        <c:crossBetween val="midCat"/>
      </c:valAx>
      <c:valAx>
        <c:axId val="202223152"/>
        <c:scaling>
          <c:orientation val="minMax"/>
          <c:min val="0"/>
        </c:scaling>
        <c:delete val="0"/>
        <c:axPos val="l"/>
        <c:majorGridlines/>
        <c:title>
          <c:tx>
            <c:rich>
              <a:bodyPr rot="-5400000" vert="horz"/>
              <a:lstStyle/>
              <a:p>
                <a:pPr>
                  <a:defRPr sz="1000"/>
                </a:pPr>
                <a:r>
                  <a:rPr lang="en-US" sz="1000"/>
                  <a:t>Population Percentage</a:t>
                </a:r>
              </a:p>
            </c:rich>
          </c:tx>
          <c:layout/>
          <c:overlay val="0"/>
        </c:title>
        <c:numFmt formatCode="0%" sourceLinked="0"/>
        <c:majorTickMark val="out"/>
        <c:minorTickMark val="none"/>
        <c:tickLblPos val="nextTo"/>
        <c:txPr>
          <a:bodyPr/>
          <a:lstStyle/>
          <a:p>
            <a:pPr>
              <a:defRPr sz="1000"/>
            </a:pPr>
            <a:endParaRPr lang="en-US"/>
          </a:p>
        </c:txPr>
        <c:crossAx val="202222592"/>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Females (2-5)</a:t>
            </a:r>
          </a:p>
        </c:rich>
      </c:tx>
      <c:layout/>
      <c:overlay val="0"/>
    </c:title>
    <c:autoTitleDeleted val="0"/>
    <c:plotArea>
      <c:layout/>
      <c:scatterChart>
        <c:scatterStyle val="smoothMarker"/>
        <c:varyColors val="0"/>
        <c:ser>
          <c:idx val="0"/>
          <c:order val="0"/>
          <c:tx>
            <c:strRef>
              <c:f>AppendixB!$BA$6</c:f>
              <c:strCache>
                <c:ptCount val="1"/>
                <c:pt idx="0">
                  <c:v>F-NHANES</c:v>
                </c:pt>
              </c:strCache>
            </c:strRef>
          </c:tx>
          <c:spPr>
            <a:ln>
              <a:solidFill>
                <a:srgbClr val="0070C0"/>
              </a:solidFill>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AppendixB!$BA$7:$BA$131</c:f>
              <c:numCache>
                <c:formatCode>General</c:formatCode>
                <c:ptCount val="125"/>
                <c:pt idx="0">
                  <c:v>0</c:v>
                </c:pt>
                <c:pt idx="1">
                  <c:v>0</c:v>
                </c:pt>
                <c:pt idx="2">
                  <c:v>0</c:v>
                </c:pt>
                <c:pt idx="3">
                  <c:v>0</c:v>
                </c:pt>
                <c:pt idx="4">
                  <c:v>0</c:v>
                </c:pt>
                <c:pt idx="5">
                  <c:v>0</c:v>
                </c:pt>
                <c:pt idx="6">
                  <c:v>6.5648424720688597E-4</c:v>
                </c:pt>
                <c:pt idx="7">
                  <c:v>6.9117194766934606E-2</c:v>
                </c:pt>
                <c:pt idx="8">
                  <c:v>0.52589016466754201</c:v>
                </c:pt>
                <c:pt idx="9">
                  <c:v>0.29195316503890301</c:v>
                </c:pt>
                <c:pt idx="10">
                  <c:v>8.1884543965249801E-2</c:v>
                </c:pt>
                <c:pt idx="11">
                  <c:v>1.49155546091513E-2</c:v>
                </c:pt>
                <c:pt idx="12">
                  <c:v>8.6212709125782494E-3</c:v>
                </c:pt>
                <c:pt idx="13">
                  <c:v>2.4164455035043898E-3</c:v>
                </c:pt>
                <c:pt idx="14">
                  <c:v>4.3219111986857496E-3</c:v>
                </c:pt>
                <c:pt idx="15">
                  <c:v>2.23265090244173E-4</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ser>
          <c:idx val="1"/>
          <c:order val="1"/>
          <c:tx>
            <c:strRef>
              <c:f>AppendixB!$BB$6</c:f>
              <c:strCache>
                <c:ptCount val="1"/>
                <c:pt idx="0">
                  <c:v>F-Model</c:v>
                </c:pt>
              </c:strCache>
            </c:strRef>
          </c:tx>
          <c:spPr>
            <a:ln>
              <a:solidFill>
                <a:srgbClr val="FF0000"/>
              </a:solidFill>
              <a:prstDash val="dash"/>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AppendixB!$BB$7:$BB$131</c:f>
              <c:numCache>
                <c:formatCode>General</c:formatCode>
                <c:ptCount val="125"/>
                <c:pt idx="0">
                  <c:v>0</c:v>
                </c:pt>
                <c:pt idx="1">
                  <c:v>0</c:v>
                </c:pt>
                <c:pt idx="2">
                  <c:v>0</c:v>
                </c:pt>
                <c:pt idx="3">
                  <c:v>0</c:v>
                </c:pt>
                <c:pt idx="4">
                  <c:v>0</c:v>
                </c:pt>
                <c:pt idx="5">
                  <c:v>0</c:v>
                </c:pt>
                <c:pt idx="6">
                  <c:v>2.8657463263979499E-4</c:v>
                </c:pt>
                <c:pt idx="7">
                  <c:v>0.105014623112168</c:v>
                </c:pt>
                <c:pt idx="8">
                  <c:v>0.472666680298029</c:v>
                </c:pt>
                <c:pt idx="9">
                  <c:v>0.29078312080470198</c:v>
                </c:pt>
                <c:pt idx="10">
                  <c:v>9.9535321192551401E-2</c:v>
                </c:pt>
                <c:pt idx="11">
                  <c:v>1.90860664714727E-2</c:v>
                </c:pt>
                <c:pt idx="12">
                  <c:v>5.9632047399721397E-3</c:v>
                </c:pt>
                <c:pt idx="13">
                  <c:v>2.47861142897432E-3</c:v>
                </c:pt>
                <c:pt idx="14">
                  <c:v>4.08394133790713E-3</c:v>
                </c:pt>
                <c:pt idx="15">
                  <c:v>1.01666364490716E-4</c:v>
                </c:pt>
                <c:pt idx="16">
                  <c:v>1.8961709258302801E-7</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dLbls>
          <c:showLegendKey val="0"/>
          <c:showVal val="0"/>
          <c:showCatName val="0"/>
          <c:showSerName val="0"/>
          <c:showPercent val="0"/>
          <c:showBubbleSize val="0"/>
        </c:dLbls>
        <c:axId val="202225952"/>
        <c:axId val="202226512"/>
      </c:scatterChart>
      <c:valAx>
        <c:axId val="202225952"/>
        <c:scaling>
          <c:orientation val="minMax"/>
          <c:max val="50"/>
          <c:min val="10"/>
        </c:scaling>
        <c:delete val="0"/>
        <c:axPos val="b"/>
        <c:title>
          <c:tx>
            <c:rich>
              <a:bodyPr/>
              <a:lstStyle/>
              <a:p>
                <a:pPr>
                  <a:defRPr sz="1000"/>
                </a:pPr>
                <a:r>
                  <a:rPr lang="en-US" sz="1000"/>
                  <a:t>BMI</a:t>
                </a:r>
              </a:p>
            </c:rich>
          </c:tx>
          <c:layout/>
          <c:overlay val="0"/>
        </c:title>
        <c:numFmt formatCode="General" sourceLinked="1"/>
        <c:majorTickMark val="out"/>
        <c:minorTickMark val="none"/>
        <c:tickLblPos val="nextTo"/>
        <c:txPr>
          <a:bodyPr/>
          <a:lstStyle/>
          <a:p>
            <a:pPr>
              <a:defRPr sz="1000"/>
            </a:pPr>
            <a:endParaRPr lang="en-US"/>
          </a:p>
        </c:txPr>
        <c:crossAx val="202226512"/>
        <c:crosses val="autoZero"/>
        <c:crossBetween val="midCat"/>
      </c:valAx>
      <c:valAx>
        <c:axId val="202226512"/>
        <c:scaling>
          <c:orientation val="minMax"/>
          <c:min val="0"/>
        </c:scaling>
        <c:delete val="0"/>
        <c:axPos val="l"/>
        <c:majorGridlines/>
        <c:title>
          <c:tx>
            <c:rich>
              <a:bodyPr rot="-5400000" vert="horz"/>
              <a:lstStyle/>
              <a:p>
                <a:pPr>
                  <a:defRPr sz="1000"/>
                </a:pPr>
                <a:r>
                  <a:rPr lang="en-US" sz="1000"/>
                  <a:t>Population Percentage</a:t>
                </a:r>
              </a:p>
            </c:rich>
          </c:tx>
          <c:layout/>
          <c:overlay val="0"/>
        </c:title>
        <c:numFmt formatCode="0%" sourceLinked="0"/>
        <c:majorTickMark val="out"/>
        <c:minorTickMark val="none"/>
        <c:tickLblPos val="nextTo"/>
        <c:txPr>
          <a:bodyPr/>
          <a:lstStyle/>
          <a:p>
            <a:pPr>
              <a:defRPr sz="1000"/>
            </a:pPr>
            <a:endParaRPr lang="en-US"/>
          </a:p>
        </c:txPr>
        <c:crossAx val="202225952"/>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Males (6-9)</a:t>
            </a:r>
          </a:p>
        </c:rich>
      </c:tx>
      <c:layout/>
      <c:overlay val="0"/>
    </c:title>
    <c:autoTitleDeleted val="0"/>
    <c:plotArea>
      <c:layout/>
      <c:scatterChart>
        <c:scatterStyle val="smoothMarker"/>
        <c:varyColors val="0"/>
        <c:ser>
          <c:idx val="0"/>
          <c:order val="0"/>
          <c:tx>
            <c:strRef>
              <c:f>AppendixB!$BE$6</c:f>
              <c:strCache>
                <c:ptCount val="1"/>
                <c:pt idx="0">
                  <c:v>M-NHANES</c:v>
                </c:pt>
              </c:strCache>
            </c:strRef>
          </c:tx>
          <c:spPr>
            <a:ln>
              <a:solidFill>
                <a:srgbClr val="0070C0"/>
              </a:solidFill>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AppendixB!$BE$7:$BE$131</c:f>
              <c:numCache>
                <c:formatCode>General</c:formatCode>
                <c:ptCount val="125"/>
                <c:pt idx="0">
                  <c:v>0</c:v>
                </c:pt>
                <c:pt idx="1">
                  <c:v>0</c:v>
                </c:pt>
                <c:pt idx="2">
                  <c:v>0</c:v>
                </c:pt>
                <c:pt idx="3">
                  <c:v>0</c:v>
                </c:pt>
                <c:pt idx="4">
                  <c:v>0</c:v>
                </c:pt>
                <c:pt idx="5">
                  <c:v>0</c:v>
                </c:pt>
                <c:pt idx="6">
                  <c:v>6.0773529264601504E-4</c:v>
                </c:pt>
                <c:pt idx="7">
                  <c:v>8.7914993086555496E-2</c:v>
                </c:pt>
                <c:pt idx="8">
                  <c:v>0.36312306451808701</c:v>
                </c:pt>
                <c:pt idx="9">
                  <c:v>0.26331923582411998</c:v>
                </c:pt>
                <c:pt idx="10">
                  <c:v>0.104452645946366</c:v>
                </c:pt>
                <c:pt idx="11">
                  <c:v>8.4720950464976102E-2</c:v>
                </c:pt>
                <c:pt idx="12">
                  <c:v>3.7989427979229599E-2</c:v>
                </c:pt>
                <c:pt idx="13">
                  <c:v>2.58179583483811E-2</c:v>
                </c:pt>
                <c:pt idx="14">
                  <c:v>1.69831677360146E-2</c:v>
                </c:pt>
                <c:pt idx="15">
                  <c:v>7.8898817504523492E-3</c:v>
                </c:pt>
                <c:pt idx="16">
                  <c:v>4.3167992513912798E-3</c:v>
                </c:pt>
                <c:pt idx="17">
                  <c:v>1.6346899809098799E-3</c:v>
                </c:pt>
                <c:pt idx="18">
                  <c:v>8.64389178967362E-4</c:v>
                </c:pt>
                <c:pt idx="19">
                  <c:v>0</c:v>
                </c:pt>
                <c:pt idx="20">
                  <c:v>0</c:v>
                </c:pt>
                <c:pt idx="21">
                  <c:v>0</c:v>
                </c:pt>
                <c:pt idx="22">
                  <c:v>3.65060641903114E-4</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ser>
          <c:idx val="1"/>
          <c:order val="1"/>
          <c:tx>
            <c:strRef>
              <c:f>AppendixB!$BF$6</c:f>
              <c:strCache>
                <c:ptCount val="1"/>
                <c:pt idx="0">
                  <c:v>M-Model</c:v>
                </c:pt>
              </c:strCache>
            </c:strRef>
          </c:tx>
          <c:spPr>
            <a:ln>
              <a:solidFill>
                <a:srgbClr val="FF0000"/>
              </a:solidFill>
              <a:prstDash val="dash"/>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AppendixB!$BF$7:$BF$131</c:f>
              <c:numCache>
                <c:formatCode>General</c:formatCode>
                <c:ptCount val="125"/>
                <c:pt idx="0">
                  <c:v>0</c:v>
                </c:pt>
                <c:pt idx="1">
                  <c:v>0</c:v>
                </c:pt>
                <c:pt idx="2">
                  <c:v>0</c:v>
                </c:pt>
                <c:pt idx="3">
                  <c:v>0</c:v>
                </c:pt>
                <c:pt idx="4">
                  <c:v>0</c:v>
                </c:pt>
                <c:pt idx="5">
                  <c:v>0</c:v>
                </c:pt>
                <c:pt idx="6">
                  <c:v>1.0307087969594899E-3</c:v>
                </c:pt>
                <c:pt idx="7">
                  <c:v>0.102531419228583</c:v>
                </c:pt>
                <c:pt idx="8">
                  <c:v>0.33546151008238601</c:v>
                </c:pt>
                <c:pt idx="9">
                  <c:v>0.25202030840789003</c:v>
                </c:pt>
                <c:pt idx="10">
                  <c:v>0.13212005719839501</c:v>
                </c:pt>
                <c:pt idx="11">
                  <c:v>8.5366564009178303E-2</c:v>
                </c:pt>
                <c:pt idx="12">
                  <c:v>3.76036178145608E-2</c:v>
                </c:pt>
                <c:pt idx="13">
                  <c:v>2.2345992314500102E-2</c:v>
                </c:pt>
                <c:pt idx="14">
                  <c:v>1.6906723188676701E-2</c:v>
                </c:pt>
                <c:pt idx="15">
                  <c:v>7.2692381363347299E-3</c:v>
                </c:pt>
                <c:pt idx="16">
                  <c:v>4.7357054574350696E-3</c:v>
                </c:pt>
                <c:pt idx="17">
                  <c:v>1.22137415690549E-3</c:v>
                </c:pt>
                <c:pt idx="18">
                  <c:v>1.2615206162834799E-3</c:v>
                </c:pt>
                <c:pt idx="19">
                  <c:v>1.0127581142149701E-4</c:v>
                </c:pt>
                <c:pt idx="20">
                  <c:v>0</c:v>
                </c:pt>
                <c:pt idx="21">
                  <c:v>1.0006292745390301E-5</c:v>
                </c:pt>
                <c:pt idx="22">
                  <c:v>1.3978487744092901E-5</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dLbls>
          <c:showLegendKey val="0"/>
          <c:showVal val="0"/>
          <c:showCatName val="0"/>
          <c:showSerName val="0"/>
          <c:showPercent val="0"/>
          <c:showBubbleSize val="0"/>
        </c:dLbls>
        <c:axId val="202229312"/>
        <c:axId val="202229872"/>
      </c:scatterChart>
      <c:valAx>
        <c:axId val="202229312"/>
        <c:scaling>
          <c:orientation val="minMax"/>
          <c:max val="50"/>
          <c:min val="10"/>
        </c:scaling>
        <c:delete val="0"/>
        <c:axPos val="b"/>
        <c:title>
          <c:tx>
            <c:rich>
              <a:bodyPr/>
              <a:lstStyle/>
              <a:p>
                <a:pPr>
                  <a:defRPr sz="1000"/>
                </a:pPr>
                <a:r>
                  <a:rPr lang="en-US" sz="1000"/>
                  <a:t>BMI</a:t>
                </a:r>
              </a:p>
            </c:rich>
          </c:tx>
          <c:layout/>
          <c:overlay val="0"/>
        </c:title>
        <c:numFmt formatCode="General" sourceLinked="1"/>
        <c:majorTickMark val="out"/>
        <c:minorTickMark val="none"/>
        <c:tickLblPos val="nextTo"/>
        <c:txPr>
          <a:bodyPr/>
          <a:lstStyle/>
          <a:p>
            <a:pPr>
              <a:defRPr sz="1000"/>
            </a:pPr>
            <a:endParaRPr lang="en-US"/>
          </a:p>
        </c:txPr>
        <c:crossAx val="202229872"/>
        <c:crosses val="autoZero"/>
        <c:crossBetween val="midCat"/>
      </c:valAx>
      <c:valAx>
        <c:axId val="202229872"/>
        <c:scaling>
          <c:orientation val="minMax"/>
          <c:min val="0"/>
        </c:scaling>
        <c:delete val="0"/>
        <c:axPos val="l"/>
        <c:majorGridlines/>
        <c:title>
          <c:tx>
            <c:rich>
              <a:bodyPr rot="-5400000" vert="horz"/>
              <a:lstStyle/>
              <a:p>
                <a:pPr>
                  <a:defRPr sz="1000"/>
                </a:pPr>
                <a:r>
                  <a:rPr lang="en-US" sz="1000"/>
                  <a:t>Population Percentage</a:t>
                </a:r>
              </a:p>
            </c:rich>
          </c:tx>
          <c:layout/>
          <c:overlay val="0"/>
        </c:title>
        <c:numFmt formatCode="0%" sourceLinked="0"/>
        <c:majorTickMark val="out"/>
        <c:minorTickMark val="none"/>
        <c:tickLblPos val="nextTo"/>
        <c:txPr>
          <a:bodyPr/>
          <a:lstStyle/>
          <a:p>
            <a:pPr>
              <a:defRPr sz="1000"/>
            </a:pPr>
            <a:endParaRPr lang="en-US"/>
          </a:p>
        </c:txPr>
        <c:crossAx val="202229312"/>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Females (6-9)</a:t>
            </a:r>
          </a:p>
        </c:rich>
      </c:tx>
      <c:layout/>
      <c:overlay val="0"/>
    </c:title>
    <c:autoTitleDeleted val="0"/>
    <c:plotArea>
      <c:layout/>
      <c:scatterChart>
        <c:scatterStyle val="smoothMarker"/>
        <c:varyColors val="0"/>
        <c:ser>
          <c:idx val="0"/>
          <c:order val="0"/>
          <c:tx>
            <c:strRef>
              <c:f>AppendixB!$BG$6</c:f>
              <c:strCache>
                <c:ptCount val="1"/>
                <c:pt idx="0">
                  <c:v>F-NHANES</c:v>
                </c:pt>
              </c:strCache>
            </c:strRef>
          </c:tx>
          <c:spPr>
            <a:ln>
              <a:solidFill>
                <a:srgbClr val="0070C0"/>
              </a:solidFill>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AppendixB!$BG$7:$BG$131</c:f>
              <c:numCache>
                <c:formatCode>General</c:formatCode>
                <c:ptCount val="125"/>
                <c:pt idx="0">
                  <c:v>0</c:v>
                </c:pt>
                <c:pt idx="1">
                  <c:v>0</c:v>
                </c:pt>
                <c:pt idx="2">
                  <c:v>0</c:v>
                </c:pt>
                <c:pt idx="3">
                  <c:v>0</c:v>
                </c:pt>
                <c:pt idx="4">
                  <c:v>0</c:v>
                </c:pt>
                <c:pt idx="5">
                  <c:v>0</c:v>
                </c:pt>
                <c:pt idx="6">
                  <c:v>6.3277267869003601E-4</c:v>
                </c:pt>
                <c:pt idx="7">
                  <c:v>9.3757902680399394E-2</c:v>
                </c:pt>
                <c:pt idx="8">
                  <c:v>0.37967105050387501</c:v>
                </c:pt>
                <c:pt idx="9">
                  <c:v>0.223847948375624</c:v>
                </c:pt>
                <c:pt idx="10">
                  <c:v>0.118162908729499</c:v>
                </c:pt>
                <c:pt idx="11">
                  <c:v>7.2819720530021295E-2</c:v>
                </c:pt>
                <c:pt idx="12">
                  <c:v>5.1597443512780297E-2</c:v>
                </c:pt>
                <c:pt idx="13">
                  <c:v>3.6521059914054597E-2</c:v>
                </c:pt>
                <c:pt idx="14">
                  <c:v>9.1461439968680801E-3</c:v>
                </c:pt>
                <c:pt idx="15">
                  <c:v>6.3706900762101597E-3</c:v>
                </c:pt>
                <c:pt idx="16">
                  <c:v>3.6129356785500298E-3</c:v>
                </c:pt>
                <c:pt idx="17">
                  <c:v>3.8594233234273698E-3</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ser>
          <c:idx val="1"/>
          <c:order val="1"/>
          <c:tx>
            <c:strRef>
              <c:f>AppendixB!$BH$6</c:f>
              <c:strCache>
                <c:ptCount val="1"/>
                <c:pt idx="0">
                  <c:v>F-Model</c:v>
                </c:pt>
              </c:strCache>
            </c:strRef>
          </c:tx>
          <c:spPr>
            <a:ln>
              <a:solidFill>
                <a:srgbClr val="FF0000"/>
              </a:solidFill>
              <a:prstDash val="dash"/>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AppendixB!$BH$7:$BH$131</c:f>
              <c:numCache>
                <c:formatCode>General</c:formatCode>
                <c:ptCount val="125"/>
                <c:pt idx="0">
                  <c:v>0</c:v>
                </c:pt>
                <c:pt idx="1">
                  <c:v>0</c:v>
                </c:pt>
                <c:pt idx="2">
                  <c:v>0</c:v>
                </c:pt>
                <c:pt idx="3">
                  <c:v>0</c:v>
                </c:pt>
                <c:pt idx="4">
                  <c:v>0</c:v>
                </c:pt>
                <c:pt idx="5">
                  <c:v>0</c:v>
                </c:pt>
                <c:pt idx="6">
                  <c:v>2.4690467902688501E-4</c:v>
                </c:pt>
                <c:pt idx="7">
                  <c:v>9.4928836461441998E-2</c:v>
                </c:pt>
                <c:pt idx="8">
                  <c:v>0.37526138465269099</c:v>
                </c:pt>
                <c:pt idx="9">
                  <c:v>0.216498837460363</c:v>
                </c:pt>
                <c:pt idx="10">
                  <c:v>0.11925761791124199</c:v>
                </c:pt>
                <c:pt idx="11">
                  <c:v>6.9629261321739494E-2</c:v>
                </c:pt>
                <c:pt idx="12">
                  <c:v>5.4311545861989302E-2</c:v>
                </c:pt>
                <c:pt idx="13">
                  <c:v>4.3418734878281899E-2</c:v>
                </c:pt>
                <c:pt idx="14">
                  <c:v>1.1668852414766799E-2</c:v>
                </c:pt>
                <c:pt idx="15">
                  <c:v>1.06401001223247E-2</c:v>
                </c:pt>
                <c:pt idx="16">
                  <c:v>2.04212465295472E-3</c:v>
                </c:pt>
                <c:pt idx="17">
                  <c:v>2.0633107672401998E-3</c:v>
                </c:pt>
                <c:pt idx="18">
                  <c:v>3.24888159380921E-5</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dLbls>
          <c:showLegendKey val="0"/>
          <c:showVal val="0"/>
          <c:showCatName val="0"/>
          <c:showSerName val="0"/>
          <c:showPercent val="0"/>
          <c:showBubbleSize val="0"/>
        </c:dLbls>
        <c:axId val="202436096"/>
        <c:axId val="202436656"/>
      </c:scatterChart>
      <c:valAx>
        <c:axId val="202436096"/>
        <c:scaling>
          <c:orientation val="minMax"/>
          <c:max val="50"/>
          <c:min val="10"/>
        </c:scaling>
        <c:delete val="0"/>
        <c:axPos val="b"/>
        <c:title>
          <c:tx>
            <c:rich>
              <a:bodyPr/>
              <a:lstStyle/>
              <a:p>
                <a:pPr>
                  <a:defRPr sz="1000"/>
                </a:pPr>
                <a:r>
                  <a:rPr lang="en-US" sz="1000"/>
                  <a:t>BMI</a:t>
                </a:r>
              </a:p>
            </c:rich>
          </c:tx>
          <c:layout/>
          <c:overlay val="0"/>
        </c:title>
        <c:numFmt formatCode="General" sourceLinked="1"/>
        <c:majorTickMark val="out"/>
        <c:minorTickMark val="none"/>
        <c:tickLblPos val="nextTo"/>
        <c:txPr>
          <a:bodyPr/>
          <a:lstStyle/>
          <a:p>
            <a:pPr>
              <a:defRPr sz="1000"/>
            </a:pPr>
            <a:endParaRPr lang="en-US"/>
          </a:p>
        </c:txPr>
        <c:crossAx val="202436656"/>
        <c:crosses val="autoZero"/>
        <c:crossBetween val="midCat"/>
      </c:valAx>
      <c:valAx>
        <c:axId val="202436656"/>
        <c:scaling>
          <c:orientation val="minMax"/>
          <c:min val="0"/>
        </c:scaling>
        <c:delete val="0"/>
        <c:axPos val="l"/>
        <c:majorGridlines/>
        <c:title>
          <c:tx>
            <c:rich>
              <a:bodyPr rot="-5400000" vert="horz"/>
              <a:lstStyle/>
              <a:p>
                <a:pPr>
                  <a:defRPr sz="1000"/>
                </a:pPr>
                <a:r>
                  <a:rPr lang="en-US" sz="1000"/>
                  <a:t>Population Percentage</a:t>
                </a:r>
              </a:p>
            </c:rich>
          </c:tx>
          <c:layout/>
          <c:overlay val="0"/>
        </c:title>
        <c:numFmt formatCode="0%" sourceLinked="0"/>
        <c:majorTickMark val="out"/>
        <c:minorTickMark val="none"/>
        <c:tickLblPos val="nextTo"/>
        <c:txPr>
          <a:bodyPr/>
          <a:lstStyle/>
          <a:p>
            <a:pPr>
              <a:defRPr sz="1000"/>
            </a:pPr>
            <a:endParaRPr lang="en-US"/>
          </a:p>
        </c:txPr>
        <c:crossAx val="202436096"/>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Males (10-13)</a:t>
            </a:r>
          </a:p>
        </c:rich>
      </c:tx>
      <c:layout/>
      <c:overlay val="0"/>
    </c:title>
    <c:autoTitleDeleted val="0"/>
    <c:plotArea>
      <c:layout/>
      <c:scatterChart>
        <c:scatterStyle val="smoothMarker"/>
        <c:varyColors val="0"/>
        <c:ser>
          <c:idx val="0"/>
          <c:order val="0"/>
          <c:tx>
            <c:strRef>
              <c:f>AppendixB!$BK$6</c:f>
              <c:strCache>
                <c:ptCount val="1"/>
                <c:pt idx="0">
                  <c:v>M-NHANES</c:v>
                </c:pt>
              </c:strCache>
            </c:strRef>
          </c:tx>
          <c:spPr>
            <a:ln>
              <a:solidFill>
                <a:srgbClr val="0070C0"/>
              </a:solidFill>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AppendixB!$BK$7:$BK$131</c:f>
              <c:numCache>
                <c:formatCode>General</c:formatCode>
                <c:ptCount val="125"/>
                <c:pt idx="0">
                  <c:v>0</c:v>
                </c:pt>
                <c:pt idx="1">
                  <c:v>0</c:v>
                </c:pt>
                <c:pt idx="2">
                  <c:v>0</c:v>
                </c:pt>
                <c:pt idx="3">
                  <c:v>0</c:v>
                </c:pt>
                <c:pt idx="4">
                  <c:v>0</c:v>
                </c:pt>
                <c:pt idx="5">
                  <c:v>0</c:v>
                </c:pt>
                <c:pt idx="6">
                  <c:v>0</c:v>
                </c:pt>
                <c:pt idx="7">
                  <c:v>1.4203971763532899E-2</c:v>
                </c:pt>
                <c:pt idx="8">
                  <c:v>0.13350128903341399</c:v>
                </c:pt>
                <c:pt idx="9">
                  <c:v>0.24782973448596801</c:v>
                </c:pt>
                <c:pt idx="10">
                  <c:v>0.18028125012134799</c:v>
                </c:pt>
                <c:pt idx="11">
                  <c:v>0.13206067058667501</c:v>
                </c:pt>
                <c:pt idx="12">
                  <c:v>9.6102822592960296E-2</c:v>
                </c:pt>
                <c:pt idx="13">
                  <c:v>7.5252461434809695E-2</c:v>
                </c:pt>
                <c:pt idx="14">
                  <c:v>4.71158114965664E-2</c:v>
                </c:pt>
                <c:pt idx="15">
                  <c:v>2.69011609888067E-2</c:v>
                </c:pt>
                <c:pt idx="16">
                  <c:v>1.58559926924835E-2</c:v>
                </c:pt>
                <c:pt idx="17">
                  <c:v>1.4788749823549699E-2</c:v>
                </c:pt>
                <c:pt idx="18">
                  <c:v>9.6906660802019706E-3</c:v>
                </c:pt>
                <c:pt idx="19">
                  <c:v>2.59199158286561E-3</c:v>
                </c:pt>
                <c:pt idx="20">
                  <c:v>2.4608746351605401E-3</c:v>
                </c:pt>
                <c:pt idx="21">
                  <c:v>0</c:v>
                </c:pt>
                <c:pt idx="22">
                  <c:v>3.1342954644175702E-4</c:v>
                </c:pt>
                <c:pt idx="23">
                  <c:v>2.1357021766010801E-4</c:v>
                </c:pt>
                <c:pt idx="24">
                  <c:v>0</c:v>
                </c:pt>
                <c:pt idx="25">
                  <c:v>5.42029257788457E-4</c:v>
                </c:pt>
                <c:pt idx="26">
                  <c:v>0</c:v>
                </c:pt>
                <c:pt idx="27">
                  <c:v>0</c:v>
                </c:pt>
                <c:pt idx="28">
                  <c:v>2.9352365976720302E-4</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ser>
          <c:idx val="1"/>
          <c:order val="1"/>
          <c:tx>
            <c:strRef>
              <c:f>AppendixB!$BL$6</c:f>
              <c:strCache>
                <c:ptCount val="1"/>
                <c:pt idx="0">
                  <c:v>M-Model</c:v>
                </c:pt>
              </c:strCache>
            </c:strRef>
          </c:tx>
          <c:spPr>
            <a:ln>
              <a:solidFill>
                <a:srgbClr val="FF0000"/>
              </a:solidFill>
              <a:prstDash val="dash"/>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AppendixB!$BL$7:$BL$131</c:f>
              <c:numCache>
                <c:formatCode>General</c:formatCode>
                <c:ptCount val="125"/>
                <c:pt idx="0">
                  <c:v>0</c:v>
                </c:pt>
                <c:pt idx="1">
                  <c:v>0</c:v>
                </c:pt>
                <c:pt idx="2">
                  <c:v>0</c:v>
                </c:pt>
                <c:pt idx="3">
                  <c:v>0</c:v>
                </c:pt>
                <c:pt idx="4">
                  <c:v>0</c:v>
                </c:pt>
                <c:pt idx="5">
                  <c:v>0</c:v>
                </c:pt>
                <c:pt idx="6">
                  <c:v>0</c:v>
                </c:pt>
                <c:pt idx="7">
                  <c:v>9.1617386786581895E-3</c:v>
                </c:pt>
                <c:pt idx="8">
                  <c:v>0.109481345944443</c:v>
                </c:pt>
                <c:pt idx="9">
                  <c:v>0.23930514896195401</c:v>
                </c:pt>
                <c:pt idx="10">
                  <c:v>0.195267088648299</c:v>
                </c:pt>
                <c:pt idx="11">
                  <c:v>0.14946989582026299</c:v>
                </c:pt>
                <c:pt idx="12">
                  <c:v>9.3663402918899005E-2</c:v>
                </c:pt>
                <c:pt idx="13">
                  <c:v>8.5899840417046902E-2</c:v>
                </c:pt>
                <c:pt idx="14">
                  <c:v>5.50536850673609E-2</c:v>
                </c:pt>
                <c:pt idx="15">
                  <c:v>2.48854073337542E-2</c:v>
                </c:pt>
                <c:pt idx="16">
                  <c:v>1.26464099510153E-2</c:v>
                </c:pt>
                <c:pt idx="17">
                  <c:v>1.3756138836538799E-2</c:v>
                </c:pt>
                <c:pt idx="18">
                  <c:v>7.4101975461677797E-3</c:v>
                </c:pt>
                <c:pt idx="19">
                  <c:v>8.1401807934267101E-4</c:v>
                </c:pt>
                <c:pt idx="20">
                  <c:v>1.99353219307075E-3</c:v>
                </c:pt>
                <c:pt idx="21">
                  <c:v>4.1230535261771402E-4</c:v>
                </c:pt>
                <c:pt idx="22">
                  <c:v>9.9545462856842802E-5</c:v>
                </c:pt>
                <c:pt idx="23">
                  <c:v>6.0125762212037699E-5</c:v>
                </c:pt>
                <c:pt idx="24">
                  <c:v>7.7427051170531092E-6</c:v>
                </c:pt>
                <c:pt idx="25">
                  <c:v>6.1243032038271804E-4</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dLbls>
          <c:showLegendKey val="0"/>
          <c:showVal val="0"/>
          <c:showCatName val="0"/>
          <c:showSerName val="0"/>
          <c:showPercent val="0"/>
          <c:showBubbleSize val="0"/>
        </c:dLbls>
        <c:axId val="202439456"/>
        <c:axId val="202440016"/>
      </c:scatterChart>
      <c:valAx>
        <c:axId val="202439456"/>
        <c:scaling>
          <c:orientation val="minMax"/>
          <c:max val="50"/>
          <c:min val="10"/>
        </c:scaling>
        <c:delete val="0"/>
        <c:axPos val="b"/>
        <c:title>
          <c:tx>
            <c:rich>
              <a:bodyPr/>
              <a:lstStyle/>
              <a:p>
                <a:pPr>
                  <a:defRPr sz="1000"/>
                </a:pPr>
                <a:r>
                  <a:rPr lang="en-US" sz="1000"/>
                  <a:t>BMI</a:t>
                </a:r>
              </a:p>
            </c:rich>
          </c:tx>
          <c:layout/>
          <c:overlay val="0"/>
        </c:title>
        <c:numFmt formatCode="General" sourceLinked="1"/>
        <c:majorTickMark val="out"/>
        <c:minorTickMark val="none"/>
        <c:tickLblPos val="nextTo"/>
        <c:txPr>
          <a:bodyPr/>
          <a:lstStyle/>
          <a:p>
            <a:pPr>
              <a:defRPr sz="1000"/>
            </a:pPr>
            <a:endParaRPr lang="en-US"/>
          </a:p>
        </c:txPr>
        <c:crossAx val="202440016"/>
        <c:crosses val="autoZero"/>
        <c:crossBetween val="midCat"/>
      </c:valAx>
      <c:valAx>
        <c:axId val="202440016"/>
        <c:scaling>
          <c:orientation val="minMax"/>
          <c:min val="0"/>
        </c:scaling>
        <c:delete val="0"/>
        <c:axPos val="l"/>
        <c:majorGridlines/>
        <c:title>
          <c:tx>
            <c:rich>
              <a:bodyPr rot="-5400000" vert="horz"/>
              <a:lstStyle/>
              <a:p>
                <a:pPr>
                  <a:defRPr sz="1000"/>
                </a:pPr>
                <a:r>
                  <a:rPr lang="en-US" sz="1000"/>
                  <a:t>Population Percentage</a:t>
                </a:r>
              </a:p>
            </c:rich>
          </c:tx>
          <c:layout/>
          <c:overlay val="0"/>
        </c:title>
        <c:numFmt formatCode="0%" sourceLinked="0"/>
        <c:majorTickMark val="out"/>
        <c:minorTickMark val="none"/>
        <c:tickLblPos val="nextTo"/>
        <c:txPr>
          <a:bodyPr/>
          <a:lstStyle/>
          <a:p>
            <a:pPr>
              <a:defRPr sz="1000"/>
            </a:pPr>
            <a:endParaRPr lang="en-US"/>
          </a:p>
        </c:txPr>
        <c:crossAx val="202439456"/>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Females (10-13)</a:t>
            </a:r>
          </a:p>
        </c:rich>
      </c:tx>
      <c:layout/>
      <c:overlay val="0"/>
    </c:title>
    <c:autoTitleDeleted val="0"/>
    <c:plotArea>
      <c:layout/>
      <c:scatterChart>
        <c:scatterStyle val="smoothMarker"/>
        <c:varyColors val="0"/>
        <c:ser>
          <c:idx val="0"/>
          <c:order val="0"/>
          <c:tx>
            <c:strRef>
              <c:f>AppendixB!$BM$6</c:f>
              <c:strCache>
                <c:ptCount val="1"/>
                <c:pt idx="0">
                  <c:v>F-NHANES</c:v>
                </c:pt>
              </c:strCache>
            </c:strRef>
          </c:tx>
          <c:spPr>
            <a:ln>
              <a:solidFill>
                <a:srgbClr val="0070C0"/>
              </a:solidFill>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AppendixB!$BM$7:$BM$131</c:f>
              <c:numCache>
                <c:formatCode>General</c:formatCode>
                <c:ptCount val="125"/>
                <c:pt idx="0">
                  <c:v>0</c:v>
                </c:pt>
                <c:pt idx="1">
                  <c:v>0</c:v>
                </c:pt>
                <c:pt idx="2">
                  <c:v>0</c:v>
                </c:pt>
                <c:pt idx="3">
                  <c:v>0</c:v>
                </c:pt>
                <c:pt idx="4">
                  <c:v>0</c:v>
                </c:pt>
                <c:pt idx="5">
                  <c:v>0</c:v>
                </c:pt>
                <c:pt idx="6">
                  <c:v>0</c:v>
                </c:pt>
                <c:pt idx="7">
                  <c:v>2.68221861570874E-2</c:v>
                </c:pt>
                <c:pt idx="8">
                  <c:v>0.120308685285899</c:v>
                </c:pt>
                <c:pt idx="9">
                  <c:v>0.193311193918696</c:v>
                </c:pt>
                <c:pt idx="10">
                  <c:v>0.18750332481868301</c:v>
                </c:pt>
                <c:pt idx="11">
                  <c:v>0.13884023303139501</c:v>
                </c:pt>
                <c:pt idx="12">
                  <c:v>0.118601566704362</c:v>
                </c:pt>
                <c:pt idx="13">
                  <c:v>5.1298181730941403E-2</c:v>
                </c:pt>
                <c:pt idx="14">
                  <c:v>5.7519314311443998E-2</c:v>
                </c:pt>
                <c:pt idx="15">
                  <c:v>4.5719140147370899E-2</c:v>
                </c:pt>
                <c:pt idx="16">
                  <c:v>2.21776622263226E-2</c:v>
                </c:pt>
                <c:pt idx="17">
                  <c:v>2.3584338411574299E-2</c:v>
                </c:pt>
                <c:pt idx="18">
                  <c:v>5.1272859138249399E-3</c:v>
                </c:pt>
                <c:pt idx="19">
                  <c:v>2.3667659599473402E-3</c:v>
                </c:pt>
                <c:pt idx="20">
                  <c:v>3.9033082300557998E-3</c:v>
                </c:pt>
                <c:pt idx="21">
                  <c:v>1.2056542310525701E-3</c:v>
                </c:pt>
                <c:pt idx="22">
                  <c:v>4.5931181434177799E-4</c:v>
                </c:pt>
                <c:pt idx="23">
                  <c:v>0</c:v>
                </c:pt>
                <c:pt idx="24">
                  <c:v>2.6368683782951302E-4</c:v>
                </c:pt>
                <c:pt idx="25">
                  <c:v>6.5796844738608205E-4</c:v>
                </c:pt>
                <c:pt idx="26">
                  <c:v>3.3019182178739602E-4</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ser>
          <c:idx val="1"/>
          <c:order val="1"/>
          <c:tx>
            <c:strRef>
              <c:f>AppendixB!$BN$6</c:f>
              <c:strCache>
                <c:ptCount val="1"/>
                <c:pt idx="0">
                  <c:v>F-Model</c:v>
                </c:pt>
              </c:strCache>
            </c:strRef>
          </c:tx>
          <c:spPr>
            <a:ln>
              <a:solidFill>
                <a:srgbClr val="FF0000"/>
              </a:solidFill>
              <a:prstDash val="dash"/>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AppendixB!$BN$7:$BN$131</c:f>
              <c:numCache>
                <c:formatCode>General</c:formatCode>
                <c:ptCount val="125"/>
                <c:pt idx="0">
                  <c:v>0</c:v>
                </c:pt>
                <c:pt idx="1">
                  <c:v>0</c:v>
                </c:pt>
                <c:pt idx="2">
                  <c:v>0</c:v>
                </c:pt>
                <c:pt idx="3">
                  <c:v>0</c:v>
                </c:pt>
                <c:pt idx="4">
                  <c:v>0</c:v>
                </c:pt>
                <c:pt idx="5">
                  <c:v>0</c:v>
                </c:pt>
                <c:pt idx="6">
                  <c:v>1.78212467219722E-4</c:v>
                </c:pt>
                <c:pt idx="7">
                  <c:v>2.33663176906358E-2</c:v>
                </c:pt>
                <c:pt idx="8">
                  <c:v>9.7555841266925805E-2</c:v>
                </c:pt>
                <c:pt idx="9">
                  <c:v>0.20580358873888999</c:v>
                </c:pt>
                <c:pt idx="10">
                  <c:v>0.19188503178538999</c:v>
                </c:pt>
                <c:pt idx="11">
                  <c:v>0.14575096172488</c:v>
                </c:pt>
                <c:pt idx="12">
                  <c:v>0.107116151876001</c:v>
                </c:pt>
                <c:pt idx="13">
                  <c:v>5.3081039989387797E-2</c:v>
                </c:pt>
                <c:pt idx="14">
                  <c:v>5.9386281772635101E-2</c:v>
                </c:pt>
                <c:pt idx="15">
                  <c:v>5.1832583340986199E-2</c:v>
                </c:pt>
                <c:pt idx="16">
                  <c:v>3.1001163253436301E-2</c:v>
                </c:pt>
                <c:pt idx="17">
                  <c:v>2.0381271619677399E-2</c:v>
                </c:pt>
                <c:pt idx="18">
                  <c:v>5.29828777257368E-3</c:v>
                </c:pt>
                <c:pt idx="19">
                  <c:v>2.1243660778971201E-3</c:v>
                </c:pt>
                <c:pt idx="20">
                  <c:v>3.63641697533712E-3</c:v>
                </c:pt>
                <c:pt idx="21">
                  <c:v>7.1353863736089995E-4</c:v>
                </c:pt>
                <c:pt idx="22">
                  <c:v>3.3813430475204697E-4</c:v>
                </c:pt>
                <c:pt idx="23">
                  <c:v>4.0305711166421804E-6</c:v>
                </c:pt>
                <c:pt idx="24">
                  <c:v>6.3774859437870699E-7</c:v>
                </c:pt>
                <c:pt idx="25">
                  <c:v>5.4614238630223998E-4</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dLbls>
          <c:showLegendKey val="0"/>
          <c:showVal val="0"/>
          <c:showCatName val="0"/>
          <c:showSerName val="0"/>
          <c:showPercent val="0"/>
          <c:showBubbleSize val="0"/>
        </c:dLbls>
        <c:axId val="202785088"/>
        <c:axId val="202785648"/>
      </c:scatterChart>
      <c:valAx>
        <c:axId val="202785088"/>
        <c:scaling>
          <c:orientation val="minMax"/>
          <c:max val="50"/>
          <c:min val="10"/>
        </c:scaling>
        <c:delete val="0"/>
        <c:axPos val="b"/>
        <c:title>
          <c:tx>
            <c:rich>
              <a:bodyPr/>
              <a:lstStyle/>
              <a:p>
                <a:pPr>
                  <a:defRPr sz="1000"/>
                </a:pPr>
                <a:r>
                  <a:rPr lang="en-US" sz="1000"/>
                  <a:t>BMI</a:t>
                </a:r>
              </a:p>
            </c:rich>
          </c:tx>
          <c:layout/>
          <c:overlay val="0"/>
        </c:title>
        <c:numFmt formatCode="General" sourceLinked="1"/>
        <c:majorTickMark val="out"/>
        <c:minorTickMark val="none"/>
        <c:tickLblPos val="nextTo"/>
        <c:txPr>
          <a:bodyPr/>
          <a:lstStyle/>
          <a:p>
            <a:pPr>
              <a:defRPr sz="1000"/>
            </a:pPr>
            <a:endParaRPr lang="en-US"/>
          </a:p>
        </c:txPr>
        <c:crossAx val="202785648"/>
        <c:crosses val="autoZero"/>
        <c:crossBetween val="midCat"/>
      </c:valAx>
      <c:valAx>
        <c:axId val="202785648"/>
        <c:scaling>
          <c:orientation val="minMax"/>
          <c:min val="0"/>
        </c:scaling>
        <c:delete val="0"/>
        <c:axPos val="l"/>
        <c:majorGridlines/>
        <c:title>
          <c:tx>
            <c:rich>
              <a:bodyPr rot="-5400000" vert="horz"/>
              <a:lstStyle/>
              <a:p>
                <a:pPr>
                  <a:defRPr sz="1000"/>
                </a:pPr>
                <a:r>
                  <a:rPr lang="en-US" sz="1000"/>
                  <a:t>Population Percentage</a:t>
                </a:r>
              </a:p>
            </c:rich>
          </c:tx>
          <c:layout/>
          <c:overlay val="0"/>
        </c:title>
        <c:numFmt formatCode="0%" sourceLinked="0"/>
        <c:majorTickMark val="out"/>
        <c:minorTickMark val="none"/>
        <c:tickLblPos val="nextTo"/>
        <c:txPr>
          <a:bodyPr/>
          <a:lstStyle/>
          <a:p>
            <a:pPr>
              <a:defRPr sz="1000"/>
            </a:pPr>
            <a:endParaRPr lang="en-US"/>
          </a:p>
        </c:txPr>
        <c:crossAx val="202785088"/>
        <c:crosses val="autoZero"/>
        <c:crossBetween val="midCat"/>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Males (14-17)</a:t>
            </a:r>
          </a:p>
        </c:rich>
      </c:tx>
      <c:layout/>
      <c:overlay val="0"/>
    </c:title>
    <c:autoTitleDeleted val="0"/>
    <c:plotArea>
      <c:layout/>
      <c:scatterChart>
        <c:scatterStyle val="smoothMarker"/>
        <c:varyColors val="0"/>
        <c:ser>
          <c:idx val="0"/>
          <c:order val="0"/>
          <c:tx>
            <c:strRef>
              <c:f>AppendixB!$BQ$6</c:f>
              <c:strCache>
                <c:ptCount val="1"/>
                <c:pt idx="0">
                  <c:v>M-NHANES</c:v>
                </c:pt>
              </c:strCache>
            </c:strRef>
          </c:tx>
          <c:spPr>
            <a:ln>
              <a:solidFill>
                <a:srgbClr val="0070C0"/>
              </a:solidFill>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AppendixB!$BQ$7:$BQ$131</c:f>
              <c:numCache>
                <c:formatCode>General</c:formatCode>
                <c:ptCount val="125"/>
                <c:pt idx="0">
                  <c:v>0</c:v>
                </c:pt>
                <c:pt idx="1">
                  <c:v>0</c:v>
                </c:pt>
                <c:pt idx="2">
                  <c:v>0</c:v>
                </c:pt>
                <c:pt idx="3">
                  <c:v>0</c:v>
                </c:pt>
                <c:pt idx="4">
                  <c:v>0</c:v>
                </c:pt>
                <c:pt idx="5">
                  <c:v>0</c:v>
                </c:pt>
                <c:pt idx="6">
                  <c:v>0</c:v>
                </c:pt>
                <c:pt idx="7">
                  <c:v>1.5724037484043799E-4</c:v>
                </c:pt>
                <c:pt idx="8">
                  <c:v>1.71182703271122E-2</c:v>
                </c:pt>
                <c:pt idx="9">
                  <c:v>0.103898514155505</c:v>
                </c:pt>
                <c:pt idx="10">
                  <c:v>0.19918886155094401</c:v>
                </c:pt>
                <c:pt idx="11">
                  <c:v>0.19840270779477301</c:v>
                </c:pt>
                <c:pt idx="12">
                  <c:v>0.157000326857304</c:v>
                </c:pt>
                <c:pt idx="13">
                  <c:v>8.9435074219480507E-2</c:v>
                </c:pt>
                <c:pt idx="14">
                  <c:v>6.4517741156403199E-2</c:v>
                </c:pt>
                <c:pt idx="15">
                  <c:v>4.7561082354559601E-2</c:v>
                </c:pt>
                <c:pt idx="16">
                  <c:v>4.0671230835480597E-2</c:v>
                </c:pt>
                <c:pt idx="17">
                  <c:v>2.32246626997916E-2</c:v>
                </c:pt>
                <c:pt idx="18">
                  <c:v>1.67419331022833E-2</c:v>
                </c:pt>
                <c:pt idx="19">
                  <c:v>1.44310964861455E-2</c:v>
                </c:pt>
                <c:pt idx="20">
                  <c:v>8.6945569252440107E-3</c:v>
                </c:pt>
                <c:pt idx="21">
                  <c:v>7.2895456430909196E-3</c:v>
                </c:pt>
                <c:pt idx="22">
                  <c:v>4.28377350437359E-3</c:v>
                </c:pt>
                <c:pt idx="23">
                  <c:v>5.34636846975134E-3</c:v>
                </c:pt>
                <c:pt idx="24">
                  <c:v>1.50663114320071E-3</c:v>
                </c:pt>
                <c:pt idx="25">
                  <c:v>0</c:v>
                </c:pt>
                <c:pt idx="26">
                  <c:v>0</c:v>
                </c:pt>
                <c:pt idx="27">
                  <c:v>2.5228999653392802E-4</c:v>
                </c:pt>
                <c:pt idx="28">
                  <c:v>0</c:v>
                </c:pt>
                <c:pt idx="29">
                  <c:v>0</c:v>
                </c:pt>
                <c:pt idx="30">
                  <c:v>0</c:v>
                </c:pt>
                <c:pt idx="31">
                  <c:v>2.78092403182773E-4</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ser>
          <c:idx val="1"/>
          <c:order val="1"/>
          <c:tx>
            <c:strRef>
              <c:f>AppendixB!$BR$6</c:f>
              <c:strCache>
                <c:ptCount val="1"/>
                <c:pt idx="0">
                  <c:v>M-Model</c:v>
                </c:pt>
              </c:strCache>
            </c:strRef>
          </c:tx>
          <c:spPr>
            <a:ln>
              <a:solidFill>
                <a:srgbClr val="FF0000"/>
              </a:solidFill>
              <a:prstDash val="dash"/>
            </a:ln>
          </c:spPr>
          <c:marker>
            <c:symbol val="none"/>
          </c:marker>
          <c:xVal>
            <c:numRef>
              <c:f>AppendixB!$AX$7:$AX$131</c:f>
              <c:numCache>
                <c:formatCode>General</c:formatCode>
                <c:ptCount val="12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102</c:v>
                </c:pt>
                <c:pt idx="52">
                  <c:v>104</c:v>
                </c:pt>
                <c:pt idx="53">
                  <c:v>106</c:v>
                </c:pt>
                <c:pt idx="54">
                  <c:v>108</c:v>
                </c:pt>
                <c:pt idx="55">
                  <c:v>110</c:v>
                </c:pt>
                <c:pt idx="56">
                  <c:v>112</c:v>
                </c:pt>
                <c:pt idx="57">
                  <c:v>114</c:v>
                </c:pt>
                <c:pt idx="58">
                  <c:v>116</c:v>
                </c:pt>
                <c:pt idx="59">
                  <c:v>118</c:v>
                </c:pt>
                <c:pt idx="60">
                  <c:v>120</c:v>
                </c:pt>
                <c:pt idx="61">
                  <c:v>122</c:v>
                </c:pt>
                <c:pt idx="62">
                  <c:v>124</c:v>
                </c:pt>
                <c:pt idx="63">
                  <c:v>126</c:v>
                </c:pt>
                <c:pt idx="64">
                  <c:v>128</c:v>
                </c:pt>
                <c:pt idx="65">
                  <c:v>130</c:v>
                </c:pt>
                <c:pt idx="66">
                  <c:v>132</c:v>
                </c:pt>
                <c:pt idx="67">
                  <c:v>134</c:v>
                </c:pt>
                <c:pt idx="68">
                  <c:v>136</c:v>
                </c:pt>
                <c:pt idx="69">
                  <c:v>138</c:v>
                </c:pt>
                <c:pt idx="70">
                  <c:v>140</c:v>
                </c:pt>
                <c:pt idx="71">
                  <c:v>142</c:v>
                </c:pt>
                <c:pt idx="72">
                  <c:v>144</c:v>
                </c:pt>
                <c:pt idx="73">
                  <c:v>146</c:v>
                </c:pt>
                <c:pt idx="74">
                  <c:v>148</c:v>
                </c:pt>
                <c:pt idx="75">
                  <c:v>150</c:v>
                </c:pt>
                <c:pt idx="76">
                  <c:v>152</c:v>
                </c:pt>
                <c:pt idx="77">
                  <c:v>154</c:v>
                </c:pt>
                <c:pt idx="78">
                  <c:v>156</c:v>
                </c:pt>
                <c:pt idx="79">
                  <c:v>158</c:v>
                </c:pt>
                <c:pt idx="80">
                  <c:v>160</c:v>
                </c:pt>
                <c:pt idx="81">
                  <c:v>162</c:v>
                </c:pt>
                <c:pt idx="82">
                  <c:v>164</c:v>
                </c:pt>
                <c:pt idx="83">
                  <c:v>166</c:v>
                </c:pt>
                <c:pt idx="84">
                  <c:v>168</c:v>
                </c:pt>
                <c:pt idx="85">
                  <c:v>170</c:v>
                </c:pt>
                <c:pt idx="86">
                  <c:v>172</c:v>
                </c:pt>
                <c:pt idx="87">
                  <c:v>174</c:v>
                </c:pt>
                <c:pt idx="88">
                  <c:v>176</c:v>
                </c:pt>
                <c:pt idx="89">
                  <c:v>178</c:v>
                </c:pt>
                <c:pt idx="90">
                  <c:v>180</c:v>
                </c:pt>
                <c:pt idx="91">
                  <c:v>182</c:v>
                </c:pt>
                <c:pt idx="92">
                  <c:v>184</c:v>
                </c:pt>
                <c:pt idx="93">
                  <c:v>186</c:v>
                </c:pt>
                <c:pt idx="94">
                  <c:v>188</c:v>
                </c:pt>
                <c:pt idx="95">
                  <c:v>190</c:v>
                </c:pt>
                <c:pt idx="96">
                  <c:v>192</c:v>
                </c:pt>
                <c:pt idx="97">
                  <c:v>194</c:v>
                </c:pt>
                <c:pt idx="98">
                  <c:v>196</c:v>
                </c:pt>
                <c:pt idx="99">
                  <c:v>198</c:v>
                </c:pt>
                <c:pt idx="100">
                  <c:v>200</c:v>
                </c:pt>
                <c:pt idx="101">
                  <c:v>202</c:v>
                </c:pt>
                <c:pt idx="102">
                  <c:v>204</c:v>
                </c:pt>
                <c:pt idx="103">
                  <c:v>206</c:v>
                </c:pt>
                <c:pt idx="104">
                  <c:v>208</c:v>
                </c:pt>
                <c:pt idx="105">
                  <c:v>210</c:v>
                </c:pt>
                <c:pt idx="106">
                  <c:v>212</c:v>
                </c:pt>
                <c:pt idx="107">
                  <c:v>214</c:v>
                </c:pt>
                <c:pt idx="108">
                  <c:v>216</c:v>
                </c:pt>
                <c:pt idx="109">
                  <c:v>218</c:v>
                </c:pt>
                <c:pt idx="110">
                  <c:v>220</c:v>
                </c:pt>
                <c:pt idx="111">
                  <c:v>222</c:v>
                </c:pt>
                <c:pt idx="112">
                  <c:v>224</c:v>
                </c:pt>
                <c:pt idx="113">
                  <c:v>226</c:v>
                </c:pt>
                <c:pt idx="114">
                  <c:v>228</c:v>
                </c:pt>
                <c:pt idx="115">
                  <c:v>230</c:v>
                </c:pt>
                <c:pt idx="116">
                  <c:v>232</c:v>
                </c:pt>
                <c:pt idx="117">
                  <c:v>234</c:v>
                </c:pt>
                <c:pt idx="118">
                  <c:v>236</c:v>
                </c:pt>
                <c:pt idx="119">
                  <c:v>238</c:v>
                </c:pt>
                <c:pt idx="120">
                  <c:v>240</c:v>
                </c:pt>
                <c:pt idx="121">
                  <c:v>242</c:v>
                </c:pt>
                <c:pt idx="122">
                  <c:v>244</c:v>
                </c:pt>
                <c:pt idx="123">
                  <c:v>246</c:v>
                </c:pt>
                <c:pt idx="124">
                  <c:v>248</c:v>
                </c:pt>
              </c:numCache>
            </c:numRef>
          </c:xVal>
          <c:yVal>
            <c:numRef>
              <c:f>AppendixB!$BR$7:$BR$131</c:f>
              <c:numCache>
                <c:formatCode>General</c:formatCode>
                <c:ptCount val="125"/>
                <c:pt idx="0">
                  <c:v>0</c:v>
                </c:pt>
                <c:pt idx="1">
                  <c:v>0</c:v>
                </c:pt>
                <c:pt idx="2">
                  <c:v>0</c:v>
                </c:pt>
                <c:pt idx="3">
                  <c:v>0</c:v>
                </c:pt>
                <c:pt idx="4">
                  <c:v>0</c:v>
                </c:pt>
                <c:pt idx="5">
                  <c:v>0</c:v>
                </c:pt>
                <c:pt idx="6">
                  <c:v>0</c:v>
                </c:pt>
                <c:pt idx="7">
                  <c:v>4.5045924601082498E-5</c:v>
                </c:pt>
                <c:pt idx="8">
                  <c:v>1.2855741643922501E-2</c:v>
                </c:pt>
                <c:pt idx="9">
                  <c:v>8.9174588685521999E-2</c:v>
                </c:pt>
                <c:pt idx="10">
                  <c:v>0.181991622675482</c:v>
                </c:pt>
                <c:pt idx="11">
                  <c:v>0.19592511850192099</c:v>
                </c:pt>
                <c:pt idx="12">
                  <c:v>0.16026476046548599</c:v>
                </c:pt>
                <c:pt idx="13">
                  <c:v>0.12723090292776501</c:v>
                </c:pt>
                <c:pt idx="14">
                  <c:v>7.3527544950752102E-2</c:v>
                </c:pt>
                <c:pt idx="15">
                  <c:v>4.4411090793619698E-2</c:v>
                </c:pt>
                <c:pt idx="16">
                  <c:v>4.2348647683415098E-2</c:v>
                </c:pt>
                <c:pt idx="17">
                  <c:v>2.40412721811963E-2</c:v>
                </c:pt>
                <c:pt idx="18">
                  <c:v>1.17037225586852E-2</c:v>
                </c:pt>
                <c:pt idx="19">
                  <c:v>1.1134654864634601E-2</c:v>
                </c:pt>
                <c:pt idx="20">
                  <c:v>6.5564764684443704E-3</c:v>
                </c:pt>
                <c:pt idx="21">
                  <c:v>6.76573866911201E-3</c:v>
                </c:pt>
                <c:pt idx="22">
                  <c:v>5.1209771051045098E-3</c:v>
                </c:pt>
                <c:pt idx="23">
                  <c:v>5.2582454293955702E-3</c:v>
                </c:pt>
                <c:pt idx="24">
                  <c:v>9.5991835168629503E-4</c:v>
                </c:pt>
                <c:pt idx="25">
                  <c:v>6.8393011925504997E-4</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numCache>
            </c:numRef>
          </c:yVal>
          <c:smooth val="1"/>
        </c:ser>
        <c:dLbls>
          <c:showLegendKey val="0"/>
          <c:showVal val="0"/>
          <c:showCatName val="0"/>
          <c:showSerName val="0"/>
          <c:showPercent val="0"/>
          <c:showBubbleSize val="0"/>
        </c:dLbls>
        <c:axId val="202788448"/>
        <c:axId val="202789008"/>
      </c:scatterChart>
      <c:valAx>
        <c:axId val="202788448"/>
        <c:scaling>
          <c:orientation val="minMax"/>
          <c:max val="50"/>
          <c:min val="10"/>
        </c:scaling>
        <c:delete val="0"/>
        <c:axPos val="b"/>
        <c:title>
          <c:tx>
            <c:rich>
              <a:bodyPr/>
              <a:lstStyle/>
              <a:p>
                <a:pPr>
                  <a:defRPr sz="1000"/>
                </a:pPr>
                <a:r>
                  <a:rPr lang="en-US" sz="1000"/>
                  <a:t>BMI</a:t>
                </a:r>
              </a:p>
            </c:rich>
          </c:tx>
          <c:layout/>
          <c:overlay val="0"/>
        </c:title>
        <c:numFmt formatCode="General" sourceLinked="1"/>
        <c:majorTickMark val="out"/>
        <c:minorTickMark val="none"/>
        <c:tickLblPos val="nextTo"/>
        <c:txPr>
          <a:bodyPr/>
          <a:lstStyle/>
          <a:p>
            <a:pPr>
              <a:defRPr sz="1000"/>
            </a:pPr>
            <a:endParaRPr lang="en-US"/>
          </a:p>
        </c:txPr>
        <c:crossAx val="202789008"/>
        <c:crosses val="autoZero"/>
        <c:crossBetween val="midCat"/>
      </c:valAx>
      <c:valAx>
        <c:axId val="202789008"/>
        <c:scaling>
          <c:orientation val="minMax"/>
          <c:min val="0"/>
        </c:scaling>
        <c:delete val="0"/>
        <c:axPos val="l"/>
        <c:majorGridlines/>
        <c:title>
          <c:tx>
            <c:rich>
              <a:bodyPr rot="-5400000" vert="horz"/>
              <a:lstStyle/>
              <a:p>
                <a:pPr>
                  <a:defRPr sz="1000"/>
                </a:pPr>
                <a:r>
                  <a:rPr lang="en-US" sz="1000"/>
                  <a:t>Population Percentage</a:t>
                </a:r>
              </a:p>
            </c:rich>
          </c:tx>
          <c:layout/>
          <c:overlay val="0"/>
        </c:title>
        <c:numFmt formatCode="0%" sourceLinked="0"/>
        <c:majorTickMark val="out"/>
        <c:minorTickMark val="none"/>
        <c:tickLblPos val="nextTo"/>
        <c:txPr>
          <a:bodyPr/>
          <a:lstStyle/>
          <a:p>
            <a:pPr>
              <a:defRPr sz="1000"/>
            </a:pPr>
            <a:endParaRPr lang="en-US"/>
          </a:p>
        </c:txPr>
        <c:crossAx val="20278844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830D-5BED-4BF2-8C60-B22D5771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Long, Michael W.</cp:lastModifiedBy>
  <cp:revision>4</cp:revision>
  <cp:lastPrinted>2014-08-28T17:38:00Z</cp:lastPrinted>
  <dcterms:created xsi:type="dcterms:W3CDTF">2016-06-14T20:57:00Z</dcterms:created>
  <dcterms:modified xsi:type="dcterms:W3CDTF">2016-06-14T20:58:00Z</dcterms:modified>
</cp:coreProperties>
</file>