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11FA" w14:textId="02D19867" w:rsidR="007E3E7D" w:rsidRDefault="007E3E7D" w:rsidP="00034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Detailed Methods</w:t>
      </w:r>
    </w:p>
    <w:p w14:paraId="3DD04BD5" w14:textId="7AFA0EDB" w:rsidR="007E3E7D" w:rsidRDefault="007E3E7D" w:rsidP="00034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8EEA7" w14:textId="6498619F" w:rsidR="007E3E7D" w:rsidRDefault="007E3E7D" w:rsidP="00E36920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identifying mastectomy procedures </w:t>
      </w:r>
      <w:r w:rsidR="00982D35">
        <w:rPr>
          <w:rFonts w:ascii="Times New Roman" w:hAnsi="Times New Roman" w:cs="Times New Roman"/>
          <w:sz w:val="24"/>
          <w:szCs w:val="24"/>
        </w:rPr>
        <w:t xml:space="preserve">during </w:t>
      </w:r>
      <w:r w:rsidR="00982D35" w:rsidRPr="005C68D6">
        <w:rPr>
          <w:rFonts w:ascii="Times New Roman" w:hAnsi="Times New Roman" w:cs="Times New Roman"/>
          <w:sz w:val="24"/>
          <w:szCs w:val="24"/>
        </w:rPr>
        <w:t xml:space="preserve">an inpatient </w:t>
      </w:r>
      <w:r w:rsidR="00982D35">
        <w:rPr>
          <w:rFonts w:ascii="Times New Roman" w:hAnsi="Times New Roman" w:cs="Times New Roman"/>
          <w:sz w:val="24"/>
          <w:szCs w:val="24"/>
        </w:rPr>
        <w:t xml:space="preserve">hospitalization </w:t>
      </w:r>
      <w:r w:rsidR="00982D35" w:rsidRPr="005C68D6">
        <w:rPr>
          <w:rFonts w:ascii="Times New Roman" w:hAnsi="Times New Roman" w:cs="Times New Roman"/>
          <w:sz w:val="24"/>
          <w:szCs w:val="24"/>
        </w:rPr>
        <w:t xml:space="preserve">or </w:t>
      </w:r>
      <w:r w:rsidR="00982D35">
        <w:rPr>
          <w:rFonts w:ascii="Times New Roman" w:hAnsi="Times New Roman" w:cs="Times New Roman"/>
          <w:sz w:val="24"/>
          <w:szCs w:val="24"/>
        </w:rPr>
        <w:t xml:space="preserve">as an </w:t>
      </w:r>
      <w:r w:rsidR="00982D35" w:rsidRPr="005C68D6">
        <w:rPr>
          <w:rFonts w:ascii="Times New Roman" w:hAnsi="Times New Roman" w:cs="Times New Roman"/>
          <w:sz w:val="24"/>
          <w:szCs w:val="24"/>
        </w:rPr>
        <w:t>outpatient in a hospital or ambulatory surgical center</w:t>
      </w:r>
      <w:r w:rsidR="00982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based on CPT and/or ICD-9-CM procedure codes, we implemented further measures to ensure that procedures were performed and to avoid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overcounting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procedures. W</w:t>
      </w:r>
      <w:r w:rsidRPr="005C68D6">
        <w:rPr>
          <w:rFonts w:ascii="Times New Roman" w:hAnsi="Times New Roman" w:cs="Times New Roman"/>
          <w:sz w:val="24"/>
          <w:szCs w:val="24"/>
        </w:rPr>
        <w:t>e grouped mastectomy procedures coded in a 7-day window as a single procedure. For mastectomy procedures without m</w:t>
      </w:r>
      <w:bookmarkStart w:id="0" w:name="_GoBack"/>
      <w:bookmarkEnd w:id="0"/>
      <w:r w:rsidRPr="005C68D6">
        <w:rPr>
          <w:rFonts w:ascii="Times New Roman" w:hAnsi="Times New Roman" w:cs="Times New Roman"/>
          <w:sz w:val="24"/>
          <w:szCs w:val="24"/>
        </w:rPr>
        <w:t xml:space="preserve">atching surgery dates on both provider (i.e., surgeon) and facility claims, Uniform Billing revenue codes for operating room services, pathology, breast reconstruction, and/or anesthesiology claims were used to identify the most likely surgery date </w:t>
      </w:r>
      <w:r w:rsidRPr="005C68D6">
        <w:rPr>
          <w:rFonts w:ascii="Times New Roman" w:hAnsi="Times New Roman" w:cs="Times New Roman"/>
          <w:color w:val="000000" w:themeColor="text1"/>
          <w:sz w:val="24"/>
          <w:szCs w:val="24"/>
        </w:rPr>
        <w:t>(Appendix Table 1). We excluded procedures coded only by a provider in an outpatient surgery encounter, unless a facility claim was present with within +/- 1 day of the provider surgery date with additional evidence to verify the mastectomy (e.g., lack of coding for breast conserving surgery, operating room revenue codes).</w:t>
      </w:r>
    </w:p>
    <w:p w14:paraId="5094592E" w14:textId="77777777" w:rsidR="00E36920" w:rsidRDefault="00E36920" w:rsidP="00E36920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595E6" w14:textId="23609817" w:rsidR="000A1650" w:rsidRDefault="000A1650" w:rsidP="00E3692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C68D6">
        <w:rPr>
          <w:rFonts w:ascii="Times New Roman" w:hAnsi="Times New Roman" w:cs="Times New Roman"/>
          <w:sz w:val="24"/>
          <w:szCs w:val="24"/>
        </w:rPr>
        <w:t xml:space="preserve">Comorbidities were identified in the year before surgery, requiring coding in ≥ 1 inpatient facility hospitalization (including the mastectomy admission) and/or ≥ 2 provider or outpatient facility (excluding diagnostic) claims spaced at least 30 days </w:t>
      </w:r>
      <w:r w:rsidRPr="005C68D6">
        <w:rPr>
          <w:rFonts w:ascii="Times New Roman" w:hAnsi="Times New Roman" w:cs="Times New Roman"/>
          <w:color w:val="000000" w:themeColor="text1"/>
          <w:sz w:val="24"/>
          <w:szCs w:val="24"/>
        </w:rPr>
        <w:t>apart</w:t>
      </w:r>
      <w:r w:rsidRPr="005C68D6">
        <w:rPr>
          <w:rFonts w:ascii="Times New Roman" w:hAnsi="Times New Roman" w:cs="Times New Roman"/>
          <w:sz w:val="24"/>
          <w:szCs w:val="24"/>
        </w:rPr>
        <w:t>. Only one outpatient claim was required to identify obesity, weight loss, drug abuse, alcohol abuse, and smoking, including diagnostic claims, since diagnostic workup is not required for those conditions.</w:t>
      </w:r>
      <w:r w:rsidR="00496887">
        <w:rPr>
          <w:rFonts w:ascii="Times New Roman" w:hAnsi="Times New Roman" w:cs="Times New Roman"/>
          <w:sz w:val="24"/>
          <w:szCs w:val="24"/>
        </w:rPr>
        <w:t xml:space="preserve"> The readmission score was calculated as per the Healthcare Cost and Utilization Project website (</w:t>
      </w:r>
      <w:hyperlink r:id="rId4" w:history="1">
        <w:r w:rsidR="00496887" w:rsidRPr="00423925">
          <w:rPr>
            <w:rStyle w:val="Hyperlink"/>
            <w:rFonts w:ascii="Times New Roman" w:hAnsi="Times New Roman" w:cs="Times New Roman"/>
            <w:sz w:val="24"/>
            <w:szCs w:val="24"/>
          </w:rPr>
          <w:t>https://www.hcup-us.ahrq.gov/toolssoftware/comorbidity/comindex2012-2015.txt</w:t>
        </w:r>
      </w:hyperlink>
      <w:r w:rsidR="0049688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B6171C" w14:textId="4BA1442B" w:rsidR="00E36920" w:rsidRDefault="00E36920" w:rsidP="0049688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C10BE7" w14:textId="7AC2E433" w:rsidR="00E36920" w:rsidRPr="00E36920" w:rsidRDefault="00E36920" w:rsidP="004968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36920">
        <w:rPr>
          <w:rFonts w:ascii="Times New Roman" w:hAnsi="Times New Roman" w:cs="Times New Roman"/>
          <w:b/>
          <w:sz w:val="24"/>
          <w:szCs w:val="24"/>
        </w:rPr>
        <w:t>Calculation of Number Needed to Treat (NNT):</w:t>
      </w:r>
    </w:p>
    <w:p w14:paraId="47EF7278" w14:textId="34EBECF2" w:rsidR="00496887" w:rsidRPr="00496887" w:rsidRDefault="00496887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887">
        <w:rPr>
          <w:rFonts w:ascii="Times New Roman" w:hAnsi="Times New Roman" w:cs="Times New Roman"/>
          <w:sz w:val="24"/>
          <w:szCs w:val="24"/>
        </w:rPr>
        <w:t xml:space="preserve">The number needed to treat (NNT) </w:t>
      </w:r>
      <w:r w:rsidR="00595C59">
        <w:rPr>
          <w:rFonts w:ascii="Times New Roman" w:hAnsi="Times New Roman" w:cs="Times New Roman"/>
          <w:sz w:val="24"/>
          <w:szCs w:val="24"/>
        </w:rPr>
        <w:t xml:space="preserve">with an anti-MSSA antibiotic </w:t>
      </w:r>
      <w:r w:rsidRPr="00496887">
        <w:rPr>
          <w:rFonts w:ascii="Times New Roman" w:hAnsi="Times New Roman" w:cs="Times New Roman"/>
          <w:sz w:val="24"/>
          <w:szCs w:val="24"/>
        </w:rPr>
        <w:t>was calculated as follows:</w:t>
      </w:r>
    </w:p>
    <w:p w14:paraId="1789CB9B" w14:textId="77777777" w:rsidR="00E36920" w:rsidRDefault="00E36920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B4245" w14:textId="6AD20EAC" w:rsidR="00496887" w:rsidRPr="00496887" w:rsidRDefault="00496887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887">
        <w:rPr>
          <w:rFonts w:ascii="Times New Roman" w:hAnsi="Times New Roman" w:cs="Times New Roman"/>
          <w:sz w:val="24"/>
          <w:szCs w:val="24"/>
        </w:rPr>
        <w:t>Absolute risk reduction (ARR) = (Control event rate) − (Experimental event rate)</w:t>
      </w:r>
    </w:p>
    <w:p w14:paraId="799D53DC" w14:textId="77777777" w:rsidR="00E36920" w:rsidRDefault="00E36920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A08BD" w14:textId="1C54BB2C" w:rsidR="00496887" w:rsidRPr="00496887" w:rsidRDefault="00496887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887">
        <w:rPr>
          <w:rFonts w:ascii="Times New Roman" w:hAnsi="Times New Roman" w:cs="Times New Roman"/>
          <w:sz w:val="24"/>
          <w:szCs w:val="24"/>
        </w:rPr>
        <w:t>ARR = (SSI rate in group with no post-discharge antibiotic) − (SSI rate in group with anti-MSSA post-discharge antibiotic)</w:t>
      </w:r>
    </w:p>
    <w:p w14:paraId="3616E9A6" w14:textId="77777777" w:rsidR="00E36920" w:rsidRDefault="00E36920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E12EE" w14:textId="4AEED9E8" w:rsidR="00496887" w:rsidRPr="00496887" w:rsidRDefault="00496887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887">
        <w:rPr>
          <w:rFonts w:ascii="Times New Roman" w:hAnsi="Times New Roman" w:cs="Times New Roman"/>
          <w:sz w:val="24"/>
          <w:szCs w:val="24"/>
        </w:rPr>
        <w:t>NNT = 1/ARR</w:t>
      </w:r>
    </w:p>
    <w:p w14:paraId="7907705F" w14:textId="242D6FDA" w:rsidR="00E36920" w:rsidRDefault="00E36920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20">
        <w:rPr>
          <w:rFonts w:ascii="Times New Roman" w:hAnsi="Times New Roman" w:cs="Times New Roman"/>
          <w:sz w:val="24"/>
          <w:szCs w:val="24"/>
        </w:rPr>
        <w:t xml:space="preserve">Thus,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36920">
        <w:rPr>
          <w:rFonts w:ascii="Times New Roman" w:hAnsi="Times New Roman" w:cs="Times New Roman"/>
          <w:bCs/>
          <w:sz w:val="24"/>
          <w:szCs w:val="24"/>
        </w:rPr>
        <w:t xml:space="preserve">or the </w:t>
      </w:r>
      <w:proofErr w:type="spellStart"/>
      <w:r w:rsidRPr="00E369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6920">
        <w:rPr>
          <w:rFonts w:ascii="Times New Roman" w:hAnsi="Times New Roman" w:cs="Times New Roman"/>
          <w:sz w:val="24"/>
          <w:szCs w:val="24"/>
        </w:rPr>
        <w:t xml:space="preserve"> women with mastectomy </w:t>
      </w:r>
      <w:proofErr w:type="gramStart"/>
      <w:r>
        <w:rPr>
          <w:rFonts w:ascii="Times New Roman" w:hAnsi="Times New Roman" w:cs="Times New Roman"/>
          <w:sz w:val="24"/>
          <w:szCs w:val="24"/>
        </w:rPr>
        <w:t>only</w:t>
      </w:r>
      <w:r w:rsidR="00652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D6EE0BA" w14:textId="306643AF" w:rsidR="00E36920" w:rsidRPr="00E36920" w:rsidRDefault="00E36920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20">
        <w:rPr>
          <w:rFonts w:ascii="Times New Roman" w:hAnsi="Times New Roman" w:cs="Times New Roman"/>
          <w:sz w:val="24"/>
          <w:szCs w:val="24"/>
        </w:rPr>
        <w:t>ARR = 0.0</w:t>
      </w:r>
      <w:r w:rsidR="00595C59">
        <w:rPr>
          <w:rFonts w:ascii="Times New Roman" w:hAnsi="Times New Roman" w:cs="Times New Roman"/>
          <w:sz w:val="24"/>
          <w:szCs w:val="24"/>
        </w:rPr>
        <w:t>3</w:t>
      </w:r>
      <w:r w:rsidR="00652447">
        <w:rPr>
          <w:rFonts w:ascii="Times New Roman" w:hAnsi="Times New Roman" w:cs="Times New Roman"/>
          <w:sz w:val="24"/>
          <w:szCs w:val="24"/>
        </w:rPr>
        <w:t>5793</w:t>
      </w:r>
      <w:r w:rsidRPr="00E36920">
        <w:rPr>
          <w:rFonts w:ascii="Times New Roman" w:hAnsi="Times New Roman" w:cs="Times New Roman"/>
          <w:sz w:val="24"/>
          <w:szCs w:val="24"/>
        </w:rPr>
        <w:t xml:space="preserve"> − </w:t>
      </w:r>
      <w:r w:rsidRPr="00652447">
        <w:rPr>
          <w:rFonts w:ascii="Times New Roman" w:hAnsi="Times New Roman" w:cs="Times New Roman"/>
          <w:sz w:val="24"/>
          <w:szCs w:val="24"/>
        </w:rPr>
        <w:t>0.0</w:t>
      </w:r>
      <w:r w:rsidR="00595C59" w:rsidRPr="00652447">
        <w:rPr>
          <w:rFonts w:ascii="Times New Roman" w:hAnsi="Times New Roman" w:cs="Times New Roman"/>
          <w:sz w:val="24"/>
          <w:szCs w:val="24"/>
        </w:rPr>
        <w:t>2</w:t>
      </w:r>
      <w:r w:rsidR="00652447" w:rsidRPr="00652447">
        <w:rPr>
          <w:rFonts w:ascii="Times New Roman" w:hAnsi="Times New Roman" w:cs="Times New Roman"/>
          <w:sz w:val="24"/>
          <w:szCs w:val="24"/>
        </w:rPr>
        <w:t>6455</w:t>
      </w:r>
      <w:r w:rsidRPr="00652447">
        <w:rPr>
          <w:rFonts w:ascii="Times New Roman" w:hAnsi="Times New Roman" w:cs="Times New Roman"/>
          <w:sz w:val="24"/>
          <w:szCs w:val="24"/>
        </w:rPr>
        <w:t xml:space="preserve"> = 0.0</w:t>
      </w:r>
      <w:r w:rsidR="00595C59" w:rsidRPr="00652447">
        <w:rPr>
          <w:rFonts w:ascii="Times New Roman" w:hAnsi="Times New Roman" w:cs="Times New Roman"/>
          <w:sz w:val="24"/>
          <w:szCs w:val="24"/>
        </w:rPr>
        <w:t>09</w:t>
      </w:r>
      <w:r w:rsidR="00652447" w:rsidRPr="00652447">
        <w:rPr>
          <w:rFonts w:ascii="Times New Roman" w:hAnsi="Times New Roman" w:cs="Times New Roman"/>
          <w:sz w:val="24"/>
          <w:szCs w:val="24"/>
        </w:rPr>
        <w:t>33836</w:t>
      </w:r>
      <w:r w:rsidRPr="00652447">
        <w:rPr>
          <w:rFonts w:ascii="Times New Roman" w:hAnsi="Times New Roman" w:cs="Times New Roman"/>
          <w:sz w:val="24"/>
          <w:szCs w:val="24"/>
        </w:rPr>
        <w:t xml:space="preserve"> and the NNT = 1/0.0</w:t>
      </w:r>
      <w:r w:rsidR="00595C59" w:rsidRPr="00652447">
        <w:rPr>
          <w:rFonts w:ascii="Times New Roman" w:hAnsi="Times New Roman" w:cs="Times New Roman"/>
          <w:sz w:val="24"/>
          <w:szCs w:val="24"/>
        </w:rPr>
        <w:t>09</w:t>
      </w:r>
      <w:r w:rsidR="00652447" w:rsidRPr="00652447">
        <w:rPr>
          <w:rFonts w:ascii="Times New Roman" w:hAnsi="Times New Roman" w:cs="Times New Roman"/>
          <w:sz w:val="24"/>
          <w:szCs w:val="24"/>
        </w:rPr>
        <w:t>338</w:t>
      </w:r>
      <w:r w:rsidRPr="00652447">
        <w:rPr>
          <w:rFonts w:ascii="Times New Roman" w:hAnsi="Times New Roman" w:cs="Times New Roman"/>
          <w:sz w:val="24"/>
          <w:szCs w:val="24"/>
        </w:rPr>
        <w:t xml:space="preserve"> = </w:t>
      </w:r>
      <w:r w:rsidR="00595C59">
        <w:rPr>
          <w:rFonts w:ascii="Times New Roman" w:hAnsi="Times New Roman" w:cs="Times New Roman"/>
          <w:sz w:val="24"/>
          <w:szCs w:val="24"/>
        </w:rPr>
        <w:t>107</w:t>
      </w:r>
      <w:r w:rsidR="000A5708">
        <w:rPr>
          <w:rFonts w:ascii="Times New Roman" w:hAnsi="Times New Roman" w:cs="Times New Roman"/>
          <w:sz w:val="24"/>
          <w:szCs w:val="24"/>
        </w:rPr>
        <w:t xml:space="preserve">.09 </w:t>
      </w:r>
    </w:p>
    <w:p w14:paraId="2825316C" w14:textId="77777777" w:rsidR="00E36920" w:rsidRDefault="00E36920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8517D" w14:textId="4D757351" w:rsidR="00E36920" w:rsidRDefault="00E36920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36920">
        <w:rPr>
          <w:rFonts w:ascii="Times New Roman" w:hAnsi="Times New Roman" w:cs="Times New Roman"/>
          <w:sz w:val="24"/>
          <w:szCs w:val="24"/>
        </w:rPr>
        <w:t>or the women with mastectomy plus immediate reconstruction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950DD8" w14:textId="5ABCA30E" w:rsidR="00496887" w:rsidRPr="00E36920" w:rsidRDefault="00496887" w:rsidP="00E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20">
        <w:rPr>
          <w:rFonts w:ascii="Times New Roman" w:hAnsi="Times New Roman" w:cs="Times New Roman"/>
          <w:sz w:val="24"/>
          <w:szCs w:val="24"/>
        </w:rPr>
        <w:t>ARR = 0.09</w:t>
      </w:r>
      <w:r w:rsidR="00652447">
        <w:rPr>
          <w:rFonts w:ascii="Times New Roman" w:hAnsi="Times New Roman" w:cs="Times New Roman"/>
          <w:sz w:val="24"/>
          <w:szCs w:val="24"/>
        </w:rPr>
        <w:t>8</w:t>
      </w:r>
      <w:r w:rsidRPr="00E36920">
        <w:rPr>
          <w:rFonts w:ascii="Times New Roman" w:hAnsi="Times New Roman" w:cs="Times New Roman"/>
          <w:sz w:val="24"/>
          <w:szCs w:val="24"/>
        </w:rPr>
        <w:t>9</w:t>
      </w:r>
      <w:r w:rsidR="00652447">
        <w:rPr>
          <w:rFonts w:ascii="Times New Roman" w:hAnsi="Times New Roman" w:cs="Times New Roman"/>
          <w:sz w:val="24"/>
          <w:szCs w:val="24"/>
        </w:rPr>
        <w:t>87</w:t>
      </w:r>
      <w:r w:rsidRPr="00E36920">
        <w:rPr>
          <w:rFonts w:ascii="Times New Roman" w:hAnsi="Times New Roman" w:cs="Times New Roman"/>
          <w:sz w:val="24"/>
          <w:szCs w:val="24"/>
        </w:rPr>
        <w:t xml:space="preserve"> − 0.078</w:t>
      </w:r>
      <w:r w:rsidR="00652447">
        <w:rPr>
          <w:rFonts w:ascii="Times New Roman" w:hAnsi="Times New Roman" w:cs="Times New Roman"/>
          <w:sz w:val="24"/>
          <w:szCs w:val="24"/>
        </w:rPr>
        <w:t>354</w:t>
      </w:r>
      <w:r w:rsidRPr="00E36920">
        <w:rPr>
          <w:rFonts w:ascii="Times New Roman" w:hAnsi="Times New Roman" w:cs="Times New Roman"/>
          <w:sz w:val="24"/>
          <w:szCs w:val="24"/>
        </w:rPr>
        <w:t xml:space="preserve"> = 0.02</w:t>
      </w:r>
      <w:r w:rsidR="00652447">
        <w:rPr>
          <w:rFonts w:ascii="Times New Roman" w:hAnsi="Times New Roman" w:cs="Times New Roman"/>
          <w:sz w:val="24"/>
          <w:szCs w:val="24"/>
        </w:rPr>
        <w:t>0633</w:t>
      </w:r>
      <w:r w:rsidR="000A5708">
        <w:rPr>
          <w:rFonts w:ascii="Times New Roman" w:hAnsi="Times New Roman" w:cs="Times New Roman"/>
          <w:sz w:val="24"/>
          <w:szCs w:val="24"/>
        </w:rPr>
        <w:t xml:space="preserve"> and the NNT = 1/0.020633 = 48</w:t>
      </w:r>
      <w:r w:rsidRPr="00E36920">
        <w:rPr>
          <w:rFonts w:ascii="Times New Roman" w:hAnsi="Times New Roman" w:cs="Times New Roman"/>
          <w:sz w:val="24"/>
          <w:szCs w:val="24"/>
        </w:rPr>
        <w:t>.</w:t>
      </w:r>
      <w:r w:rsidR="000A5708">
        <w:rPr>
          <w:rFonts w:ascii="Times New Roman" w:hAnsi="Times New Roman" w:cs="Times New Roman"/>
          <w:sz w:val="24"/>
          <w:szCs w:val="24"/>
        </w:rPr>
        <w:t>47</w:t>
      </w:r>
    </w:p>
    <w:p w14:paraId="6A352DE0" w14:textId="482A6CAD" w:rsidR="007E3E7D" w:rsidRDefault="007E3E7D" w:rsidP="00E369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8090F" w14:textId="16A5A6B9" w:rsidR="00E36920" w:rsidRPr="00E36920" w:rsidRDefault="00E36920" w:rsidP="00E369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36920" w:rsidRPr="00E36920" w:rsidSect="007E3E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56B578" w14:textId="7D3944F8" w:rsidR="00034D16" w:rsidRPr="00034D16" w:rsidRDefault="00034D16" w:rsidP="00034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4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Table 1. Codes </w:t>
      </w:r>
      <w:r>
        <w:rPr>
          <w:rFonts w:ascii="Times New Roman" w:hAnsi="Times New Roman" w:cs="Times New Roman"/>
          <w:b/>
          <w:bCs/>
          <w:sz w:val="24"/>
          <w:szCs w:val="24"/>
        </w:rPr>
        <w:t>Used to Define the Mastectomy</w:t>
      </w:r>
      <w:r w:rsidRPr="008F340F">
        <w:rPr>
          <w:rFonts w:ascii="Times New Roman" w:hAnsi="Times New Roman" w:cs="Times New Roman"/>
          <w:b/>
          <w:bCs/>
          <w:sz w:val="24"/>
          <w:szCs w:val="24"/>
        </w:rPr>
        <w:t xml:space="preserve"> Cohort, Operative Factors, and Patient Comorbidities</w:t>
      </w:r>
    </w:p>
    <w:tbl>
      <w:tblPr>
        <w:tblStyle w:val="TableGrid"/>
        <w:tblW w:w="4876" w:type="pct"/>
        <w:tblLook w:val="04A0" w:firstRow="1" w:lastRow="0" w:firstColumn="1" w:lastColumn="0" w:noHBand="0" w:noVBand="1"/>
      </w:tblPr>
      <w:tblGrid>
        <w:gridCol w:w="2692"/>
        <w:gridCol w:w="2448"/>
        <w:gridCol w:w="2437"/>
        <w:gridCol w:w="2458"/>
        <w:gridCol w:w="2594"/>
      </w:tblGrid>
      <w:tr w:rsidR="00642150" w:rsidRPr="008F340F" w14:paraId="3B01092C" w14:textId="77777777" w:rsidTr="00C87752">
        <w:trPr>
          <w:tblHeader/>
        </w:trPr>
        <w:tc>
          <w:tcPr>
            <w:tcW w:w="1066" w:type="pct"/>
          </w:tcPr>
          <w:p w14:paraId="02B9B54B" w14:textId="77777777" w:rsidR="00642150" w:rsidRPr="008F340F" w:rsidRDefault="00642150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969" w:type="pct"/>
          </w:tcPr>
          <w:p w14:paraId="296CB919" w14:textId="77777777" w:rsidR="00642150" w:rsidRPr="008F340F" w:rsidRDefault="00642150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ICD-9-CM Procedure Codes</w:t>
            </w:r>
          </w:p>
        </w:tc>
        <w:tc>
          <w:tcPr>
            <w:tcW w:w="965" w:type="pct"/>
          </w:tcPr>
          <w:p w14:paraId="4B05CD26" w14:textId="77777777" w:rsidR="00642150" w:rsidRPr="008F340F" w:rsidRDefault="00642150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CPT Codes</w:t>
            </w:r>
          </w:p>
        </w:tc>
        <w:tc>
          <w:tcPr>
            <w:tcW w:w="973" w:type="pct"/>
          </w:tcPr>
          <w:p w14:paraId="389C1AC0" w14:textId="77777777" w:rsidR="00642150" w:rsidRPr="008F340F" w:rsidRDefault="00642150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ICD-9-CM Diagnosis Codes</w:t>
            </w:r>
          </w:p>
        </w:tc>
        <w:tc>
          <w:tcPr>
            <w:tcW w:w="1027" w:type="pct"/>
          </w:tcPr>
          <w:p w14:paraId="57BAF976" w14:textId="77777777" w:rsidR="00642150" w:rsidRPr="008F340F" w:rsidRDefault="00642150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Codes</w:t>
            </w:r>
          </w:p>
        </w:tc>
      </w:tr>
      <w:tr w:rsidR="00642150" w:rsidRPr="008F340F" w14:paraId="577EB68D" w14:textId="77777777" w:rsidTr="00C87752">
        <w:tc>
          <w:tcPr>
            <w:tcW w:w="1066" w:type="pct"/>
          </w:tcPr>
          <w:p w14:paraId="31C9A6A4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Mastectomy</w:t>
            </w:r>
          </w:p>
        </w:tc>
        <w:tc>
          <w:tcPr>
            <w:tcW w:w="969" w:type="pct"/>
          </w:tcPr>
          <w:p w14:paraId="200AAA43" w14:textId="77777777" w:rsidR="00642150" w:rsidRPr="008F340F" w:rsidRDefault="0011566D" w:rsidP="006421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85.33-85.48</w:t>
            </w:r>
          </w:p>
        </w:tc>
        <w:tc>
          <w:tcPr>
            <w:tcW w:w="965" w:type="pct"/>
          </w:tcPr>
          <w:p w14:paraId="54328728" w14:textId="77777777" w:rsidR="00642150" w:rsidRPr="008F340F" w:rsidRDefault="0011566D" w:rsidP="0064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19303-19307</w:t>
            </w:r>
          </w:p>
        </w:tc>
        <w:tc>
          <w:tcPr>
            <w:tcW w:w="973" w:type="pct"/>
          </w:tcPr>
          <w:p w14:paraId="3177F9ED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62BBBE41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0E2D6254" w14:textId="77777777" w:rsidTr="009F7FE2">
        <w:tc>
          <w:tcPr>
            <w:tcW w:w="5000" w:type="pct"/>
            <w:gridSpan w:val="5"/>
          </w:tcPr>
          <w:p w14:paraId="332E317D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sz w:val="24"/>
                <w:szCs w:val="24"/>
              </w:rPr>
              <w:t>Conf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irmatory codes for mastectomy and surgery dates</w:t>
            </w:r>
          </w:p>
        </w:tc>
      </w:tr>
      <w:tr w:rsidR="00642150" w:rsidRPr="008F340F" w14:paraId="69496AF2" w14:textId="77777777" w:rsidTr="00C87752">
        <w:tc>
          <w:tcPr>
            <w:tcW w:w="1066" w:type="pct"/>
          </w:tcPr>
          <w:p w14:paraId="7E21E2CA" w14:textId="77777777" w:rsidR="00642150" w:rsidRPr="008F340F" w:rsidRDefault="00642150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Anesthesiology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</w:p>
        </w:tc>
        <w:tc>
          <w:tcPr>
            <w:tcW w:w="969" w:type="pct"/>
          </w:tcPr>
          <w:p w14:paraId="75065B03" w14:textId="77777777" w:rsidR="00642150" w:rsidRPr="008F340F" w:rsidRDefault="00642150" w:rsidP="009F7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0FDE7735" w14:textId="77777777" w:rsidR="00642150" w:rsidRPr="00DA6A0E" w:rsidRDefault="00DA6A0E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00400</w:t>
            </w:r>
            <w:r w:rsidR="0052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A6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00402</w:t>
            </w:r>
            <w:r w:rsidR="0052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A6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00404</w:t>
            </w:r>
            <w:r w:rsidR="0052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A6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00406</w:t>
            </w:r>
          </w:p>
        </w:tc>
        <w:tc>
          <w:tcPr>
            <w:tcW w:w="973" w:type="pct"/>
          </w:tcPr>
          <w:p w14:paraId="648FDC22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7DFCE0CF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6" w:rsidRPr="008F340F" w14:paraId="354A6DA4" w14:textId="77777777" w:rsidTr="00C87752">
        <w:tc>
          <w:tcPr>
            <w:tcW w:w="1066" w:type="pct"/>
          </w:tcPr>
          <w:p w14:paraId="4098A898" w14:textId="1B764846" w:rsidR="00A52816" w:rsidRPr="008F340F" w:rsidRDefault="00A742FF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Breast-Conserving Surgery</w:t>
            </w:r>
          </w:p>
        </w:tc>
        <w:tc>
          <w:tcPr>
            <w:tcW w:w="969" w:type="pct"/>
          </w:tcPr>
          <w:p w14:paraId="3B88B186" w14:textId="77777777" w:rsidR="00A52816" w:rsidRPr="00524C9B" w:rsidRDefault="00524C9B" w:rsidP="009F7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85.20-85.23</w:t>
            </w:r>
          </w:p>
        </w:tc>
        <w:tc>
          <w:tcPr>
            <w:tcW w:w="965" w:type="pct"/>
          </w:tcPr>
          <w:p w14:paraId="060F4783" w14:textId="7182D70A" w:rsidR="00A52816" w:rsidRPr="00524C9B" w:rsidRDefault="00524C9B" w:rsidP="0052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19120</w:t>
            </w:r>
            <w:r w:rsidR="007B6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2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19126, 19160, 19162, 19301, 19302 </w:t>
            </w:r>
          </w:p>
        </w:tc>
        <w:tc>
          <w:tcPr>
            <w:tcW w:w="973" w:type="pct"/>
          </w:tcPr>
          <w:p w14:paraId="13371A4D" w14:textId="77777777" w:rsidR="00A52816" w:rsidRPr="008F340F" w:rsidRDefault="00A52816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43F8A7CE" w14:textId="77777777" w:rsidR="00A52816" w:rsidRPr="008F340F" w:rsidRDefault="00A52816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67BC28AE" w14:textId="77777777" w:rsidTr="00C87752">
        <w:tc>
          <w:tcPr>
            <w:tcW w:w="1066" w:type="pct"/>
          </w:tcPr>
          <w:p w14:paraId="035D0453" w14:textId="77777777" w:rsidR="00642150" w:rsidRPr="008F340F" w:rsidRDefault="00642150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oom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</w:p>
        </w:tc>
        <w:tc>
          <w:tcPr>
            <w:tcW w:w="969" w:type="pct"/>
          </w:tcPr>
          <w:p w14:paraId="227B8C2B" w14:textId="77777777" w:rsidR="00642150" w:rsidRPr="008F340F" w:rsidRDefault="00642150" w:rsidP="009F7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78BD00F2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05DA2E04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1E240AB9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UB-04: 0201, 0360, 0361, 0369, 0370, 0379, 0490, 0499, 0963, 0964, 0975</w:t>
            </w:r>
          </w:p>
        </w:tc>
      </w:tr>
      <w:tr w:rsidR="00642150" w:rsidRPr="008F340F" w14:paraId="717086D2" w14:textId="77777777" w:rsidTr="00C87752">
        <w:tc>
          <w:tcPr>
            <w:tcW w:w="1066" w:type="pct"/>
          </w:tcPr>
          <w:p w14:paraId="3871945F" w14:textId="77777777" w:rsidR="00642150" w:rsidRPr="008F340F" w:rsidRDefault="00A52816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969" w:type="pct"/>
          </w:tcPr>
          <w:p w14:paraId="7855CF55" w14:textId="77777777" w:rsidR="00642150" w:rsidRPr="008F340F" w:rsidRDefault="00642150" w:rsidP="009F7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0EFFF362" w14:textId="77777777" w:rsidR="00642150" w:rsidRPr="00524C9B" w:rsidRDefault="00524C9B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88305, 88307, 88309</w:t>
            </w:r>
          </w:p>
        </w:tc>
        <w:tc>
          <w:tcPr>
            <w:tcW w:w="973" w:type="pct"/>
          </w:tcPr>
          <w:p w14:paraId="0C28A1B0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0DCFA16D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3016FBB3" w14:textId="77777777" w:rsidTr="009F7FE2">
        <w:tc>
          <w:tcPr>
            <w:tcW w:w="5000" w:type="pct"/>
            <w:gridSpan w:val="5"/>
          </w:tcPr>
          <w:p w14:paraId="04F11749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sz w:val="24"/>
                <w:szCs w:val="24"/>
              </w:rPr>
              <w:t>Operative factors</w:t>
            </w:r>
          </w:p>
        </w:tc>
      </w:tr>
      <w:tr w:rsidR="00C87752" w:rsidRPr="008F340F" w14:paraId="1777688F" w14:textId="77777777" w:rsidTr="00C87752">
        <w:tc>
          <w:tcPr>
            <w:tcW w:w="1066" w:type="pct"/>
          </w:tcPr>
          <w:p w14:paraId="7CC2D3FF" w14:textId="77777777" w:rsidR="00C87752" w:rsidRPr="00DA6A0E" w:rsidRDefault="00DA6A0E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0E">
              <w:rPr>
                <w:rFonts w:ascii="Times New Roman" w:hAnsi="Times New Roman" w:cs="Times New Roman"/>
                <w:sz w:val="24"/>
                <w:szCs w:val="24"/>
              </w:rPr>
              <w:t>Flap reconstruction</w:t>
            </w:r>
          </w:p>
        </w:tc>
        <w:tc>
          <w:tcPr>
            <w:tcW w:w="969" w:type="pct"/>
          </w:tcPr>
          <w:p w14:paraId="7705D2A6" w14:textId="4B2275BE" w:rsidR="00FC3412" w:rsidRPr="00FC3412" w:rsidRDefault="00FC3412" w:rsidP="00F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.71-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76 </w:t>
            </w:r>
          </w:p>
          <w:p w14:paraId="594BD2E6" w14:textId="354044DD" w:rsidR="00C87752" w:rsidRPr="00FC3412" w:rsidRDefault="00C87752" w:rsidP="00FC3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14:paraId="4CE6A5BC" w14:textId="52F07EA8" w:rsidR="00C87752" w:rsidRPr="00FC3412" w:rsidRDefault="00AB2096" w:rsidP="0000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19361, </w:t>
            </w:r>
            <w:r w:rsidR="00FC3412"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19364, 19367-19369</w:t>
            </w:r>
          </w:p>
        </w:tc>
        <w:tc>
          <w:tcPr>
            <w:tcW w:w="973" w:type="pct"/>
          </w:tcPr>
          <w:p w14:paraId="4770F184" w14:textId="77777777" w:rsidR="00C87752" w:rsidRPr="008F340F" w:rsidRDefault="00C87752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52EE3516" w14:textId="5971A71B" w:rsidR="00C87752" w:rsidRPr="008F340F" w:rsidRDefault="00001582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HCPCS: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S2066-S2068</w:t>
            </w:r>
          </w:p>
        </w:tc>
      </w:tr>
      <w:tr w:rsidR="00DA6A0E" w:rsidRPr="008F340F" w14:paraId="318F669A" w14:textId="77777777" w:rsidTr="00C87752">
        <w:tc>
          <w:tcPr>
            <w:tcW w:w="1066" w:type="pct"/>
          </w:tcPr>
          <w:p w14:paraId="5AF2E813" w14:textId="77777777" w:rsidR="00DA6A0E" w:rsidRPr="00DA6A0E" w:rsidRDefault="00DA6A0E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0E">
              <w:rPr>
                <w:rFonts w:ascii="Times New Roman" w:hAnsi="Times New Roman" w:cs="Times New Roman"/>
                <w:sz w:val="24"/>
                <w:szCs w:val="24"/>
              </w:rPr>
              <w:t>Implant reconstruction</w:t>
            </w:r>
          </w:p>
        </w:tc>
        <w:tc>
          <w:tcPr>
            <w:tcW w:w="969" w:type="pct"/>
          </w:tcPr>
          <w:p w14:paraId="33BE0E99" w14:textId="09E1BB78" w:rsidR="00DA6A0E" w:rsidRPr="00FC3412" w:rsidRDefault="00FC3412" w:rsidP="00FC3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33, 85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35, 85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53, 85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54, 85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965" w:type="pct"/>
          </w:tcPr>
          <w:p w14:paraId="1D42DA6D" w14:textId="5A0054CE" w:rsidR="00DA6A0E" w:rsidRPr="00FC3412" w:rsidRDefault="00FC3412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19325, 19340, 19342, 19357</w:t>
            </w:r>
          </w:p>
        </w:tc>
        <w:tc>
          <w:tcPr>
            <w:tcW w:w="973" w:type="pct"/>
          </w:tcPr>
          <w:p w14:paraId="28C24F15" w14:textId="77777777" w:rsidR="00DA6A0E" w:rsidRPr="008F340F" w:rsidRDefault="00DA6A0E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4160970B" w14:textId="77777777" w:rsidR="00DA6A0E" w:rsidRPr="008F340F" w:rsidRDefault="00DA6A0E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9E6" w:rsidRPr="008F340F" w14:paraId="31889F65" w14:textId="77777777" w:rsidTr="00C87752">
        <w:tc>
          <w:tcPr>
            <w:tcW w:w="1066" w:type="pct"/>
          </w:tcPr>
          <w:p w14:paraId="655FE11C" w14:textId="77777777" w:rsidR="00A059E6" w:rsidRPr="00DA6A0E" w:rsidRDefault="003179AF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entral venous catheter 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insertion</w:t>
            </w:r>
          </w:p>
        </w:tc>
        <w:tc>
          <w:tcPr>
            <w:tcW w:w="969" w:type="pct"/>
          </w:tcPr>
          <w:p w14:paraId="5C57AD50" w14:textId="70AA80EB" w:rsidR="00FC3412" w:rsidRPr="00FC3412" w:rsidRDefault="00FC3412" w:rsidP="00F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93, 86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06, 86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07 </w:t>
            </w:r>
          </w:p>
          <w:p w14:paraId="2A4BCDBC" w14:textId="51335632" w:rsidR="00A059E6" w:rsidRPr="00FC3412" w:rsidRDefault="00A059E6" w:rsidP="00FC3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14:paraId="3920619D" w14:textId="7BD79B53" w:rsidR="00A059E6" w:rsidRPr="00FC3412" w:rsidRDefault="00FC3412" w:rsidP="0000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36556, 36558, 36561</w:t>
            </w:r>
            <w:r w:rsidR="00001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36566, 36569, 36</w:t>
            </w:r>
            <w:r w:rsidR="00001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571-</w:t>
            </w:r>
            <w:r w:rsidRPr="00FC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36585</w:t>
            </w:r>
          </w:p>
        </w:tc>
        <w:tc>
          <w:tcPr>
            <w:tcW w:w="973" w:type="pct"/>
          </w:tcPr>
          <w:p w14:paraId="2A4DA658" w14:textId="77777777" w:rsidR="00A059E6" w:rsidRPr="008F340F" w:rsidRDefault="00A059E6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7FF33D6E" w14:textId="77777777" w:rsidR="00A059E6" w:rsidRPr="008F340F" w:rsidRDefault="00A059E6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B8" w:rsidRPr="008F340F" w14:paraId="49046D28" w14:textId="77777777" w:rsidTr="00C87752">
        <w:tc>
          <w:tcPr>
            <w:tcW w:w="1066" w:type="pct"/>
          </w:tcPr>
          <w:p w14:paraId="6157B809" w14:textId="4AF556D9" w:rsidR="00AF44B8" w:rsidRPr="0059026E" w:rsidRDefault="00AF44B8" w:rsidP="00847D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Concurrent lymph node procedure</w:t>
            </w:r>
          </w:p>
        </w:tc>
        <w:tc>
          <w:tcPr>
            <w:tcW w:w="969" w:type="pct"/>
          </w:tcPr>
          <w:p w14:paraId="16801FAB" w14:textId="4E9CA34E" w:rsidR="00FC3412" w:rsidRPr="00E855B7" w:rsidRDefault="00FC3412" w:rsidP="00F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="00E855B7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855B7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  <w:r w:rsidR="00E855B7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  <w:r w:rsidR="00E855B7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85</w:t>
            </w:r>
            <w:r w:rsidR="00DB01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  <w:r w:rsid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  <w:r w:rsid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48 </w:t>
            </w:r>
          </w:p>
          <w:p w14:paraId="7D3C2302" w14:textId="6A31B509" w:rsidR="00AF44B8" w:rsidRPr="00E855B7" w:rsidRDefault="00FC3412" w:rsidP="00FC3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965" w:type="pct"/>
          </w:tcPr>
          <w:p w14:paraId="0717F998" w14:textId="3982111F" w:rsidR="00AF44B8" w:rsidRPr="00E855B7" w:rsidRDefault="00E855B7" w:rsidP="00E8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19305-19307, 38500,</w:t>
            </w:r>
            <w:r w:rsidR="00FC3412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38525,</w:t>
            </w:r>
            <w:r w:rsidR="00FC3412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38740, 38745,</w:t>
            </w:r>
            <w:r w:rsidR="00FC3412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38792</w:t>
            </w:r>
            <w:r w:rsidR="00FC3412" w:rsidRPr="00E8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73" w:type="pct"/>
          </w:tcPr>
          <w:p w14:paraId="3DCEE50E" w14:textId="77777777" w:rsidR="00AF44B8" w:rsidRPr="008F340F" w:rsidRDefault="00AF44B8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453623B3" w14:textId="77777777" w:rsidR="00AF44B8" w:rsidRPr="008F340F" w:rsidRDefault="00AF44B8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B8" w:rsidRPr="008F340F" w14:paraId="46C85328" w14:textId="77777777" w:rsidTr="00C87752">
        <w:tc>
          <w:tcPr>
            <w:tcW w:w="1066" w:type="pct"/>
          </w:tcPr>
          <w:p w14:paraId="49DC7D49" w14:textId="77777777" w:rsidR="00AF44B8" w:rsidRPr="0059026E" w:rsidRDefault="00AF44B8" w:rsidP="009F7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 radical mastectomy</w:t>
            </w:r>
          </w:p>
        </w:tc>
        <w:tc>
          <w:tcPr>
            <w:tcW w:w="969" w:type="pct"/>
          </w:tcPr>
          <w:p w14:paraId="2ABF269F" w14:textId="22053E6B" w:rsidR="00AF44B8" w:rsidRPr="00F20358" w:rsidRDefault="00E855B7" w:rsidP="00F2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  <w:r w:rsidR="00F20358" w:rsidRPr="00F20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.43-85.48</w:t>
            </w:r>
          </w:p>
        </w:tc>
        <w:tc>
          <w:tcPr>
            <w:tcW w:w="965" w:type="pct"/>
          </w:tcPr>
          <w:p w14:paraId="02397815" w14:textId="6440FBBB" w:rsidR="00AF44B8" w:rsidRPr="00F20358" w:rsidRDefault="00F20358" w:rsidP="00F2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19305-19307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88309</w:t>
            </w:r>
          </w:p>
        </w:tc>
        <w:tc>
          <w:tcPr>
            <w:tcW w:w="973" w:type="pct"/>
          </w:tcPr>
          <w:p w14:paraId="71C07AB1" w14:textId="77777777" w:rsidR="00AF44B8" w:rsidRPr="008F340F" w:rsidRDefault="00AF44B8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002FD9EF" w14:textId="77777777" w:rsidR="00AF44B8" w:rsidRPr="008F340F" w:rsidRDefault="00AF44B8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150" w:rsidRPr="008F340F" w14:paraId="2AEF4AF3" w14:textId="77777777" w:rsidTr="00C87752">
        <w:tc>
          <w:tcPr>
            <w:tcW w:w="1066" w:type="pct"/>
          </w:tcPr>
          <w:p w14:paraId="0E2AFB41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Hemorrhage</w:t>
            </w:r>
          </w:p>
        </w:tc>
        <w:tc>
          <w:tcPr>
            <w:tcW w:w="969" w:type="pct"/>
          </w:tcPr>
          <w:p w14:paraId="21F5A6AF" w14:textId="2F7AF2EA" w:rsidR="00642150" w:rsidRPr="008F340F" w:rsidRDefault="00BE28C3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1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5" w:type="pct"/>
          </w:tcPr>
          <w:p w14:paraId="680858A5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233DA050" w14:textId="1DA9B29C" w:rsidR="00642150" w:rsidRPr="008F340F" w:rsidRDefault="00BE28C3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998.11</w:t>
            </w:r>
          </w:p>
        </w:tc>
        <w:tc>
          <w:tcPr>
            <w:tcW w:w="1027" w:type="pct"/>
          </w:tcPr>
          <w:p w14:paraId="0E3BE5E5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69A941AE" w14:textId="77777777" w:rsidTr="00C87752">
        <w:tc>
          <w:tcPr>
            <w:tcW w:w="1066" w:type="pct"/>
          </w:tcPr>
          <w:p w14:paraId="391B0E11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Hematoma</w:t>
            </w:r>
          </w:p>
        </w:tc>
        <w:tc>
          <w:tcPr>
            <w:tcW w:w="969" w:type="pct"/>
          </w:tcPr>
          <w:p w14:paraId="5DF76815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7760D986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5985D919" w14:textId="1235CCB0" w:rsidR="00642150" w:rsidRPr="008F340F" w:rsidRDefault="00BE28C3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998.12</w:t>
            </w:r>
          </w:p>
        </w:tc>
        <w:tc>
          <w:tcPr>
            <w:tcW w:w="1027" w:type="pct"/>
          </w:tcPr>
          <w:p w14:paraId="7EE671D0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70BEABA7" w14:textId="77777777" w:rsidTr="00C87752">
        <w:tc>
          <w:tcPr>
            <w:tcW w:w="1066" w:type="pct"/>
          </w:tcPr>
          <w:p w14:paraId="1D4999A3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Dehiscence/necrosis</w:t>
            </w:r>
          </w:p>
        </w:tc>
        <w:tc>
          <w:tcPr>
            <w:tcW w:w="969" w:type="pct"/>
          </w:tcPr>
          <w:p w14:paraId="2B97CB7F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79669356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6F2F4007" w14:textId="565AB86C" w:rsidR="00642150" w:rsidRPr="00BE28C3" w:rsidRDefault="00BE28C3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875.0, 875.1, 879.0, 879.1, 998.32, 998.83</w:t>
            </w:r>
          </w:p>
        </w:tc>
        <w:tc>
          <w:tcPr>
            <w:tcW w:w="1027" w:type="pct"/>
          </w:tcPr>
          <w:p w14:paraId="02B83B11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79158471" w14:textId="77777777" w:rsidTr="009F7FE2">
        <w:tc>
          <w:tcPr>
            <w:tcW w:w="5000" w:type="pct"/>
            <w:gridSpan w:val="5"/>
          </w:tcPr>
          <w:p w14:paraId="5DCC1384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C">
              <w:rPr>
                <w:rFonts w:ascii="Times New Roman" w:hAnsi="Times New Roman" w:cs="Times New Roman"/>
                <w:b/>
                <w:sz w:val="24"/>
                <w:szCs w:val="24"/>
              </w:rPr>
              <w:t>Patient comorbidities</w:t>
            </w:r>
          </w:p>
        </w:tc>
      </w:tr>
      <w:tr w:rsidR="00642150" w:rsidRPr="008F340F" w14:paraId="70D5CB1C" w14:textId="77777777" w:rsidTr="00C87752">
        <w:tc>
          <w:tcPr>
            <w:tcW w:w="1066" w:type="pct"/>
          </w:tcPr>
          <w:p w14:paraId="4986ECEB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Anemia</w:t>
            </w:r>
          </w:p>
        </w:tc>
        <w:tc>
          <w:tcPr>
            <w:tcW w:w="969" w:type="pct"/>
          </w:tcPr>
          <w:p w14:paraId="583BD59A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0A7E53CF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2B61DE0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280.0-285.9</w:t>
            </w:r>
          </w:p>
        </w:tc>
        <w:tc>
          <w:tcPr>
            <w:tcW w:w="1027" w:type="pct"/>
          </w:tcPr>
          <w:p w14:paraId="648F845D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2C72A9C6" w14:textId="77777777" w:rsidTr="00C87752">
        <w:tc>
          <w:tcPr>
            <w:tcW w:w="1066" w:type="pct"/>
          </w:tcPr>
          <w:p w14:paraId="54DDDD84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Diabetes</w:t>
            </w:r>
          </w:p>
        </w:tc>
        <w:tc>
          <w:tcPr>
            <w:tcW w:w="969" w:type="pct"/>
          </w:tcPr>
          <w:p w14:paraId="5E8803F7" w14:textId="5A1A3F76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230D13F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47C3C086" w14:textId="3B25C24B" w:rsidR="00642150" w:rsidRPr="008F340F" w:rsidRDefault="005F5132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249.00-250.93, 648.0x, 775.1</w:t>
            </w:r>
          </w:p>
        </w:tc>
        <w:tc>
          <w:tcPr>
            <w:tcW w:w="1027" w:type="pct"/>
          </w:tcPr>
          <w:p w14:paraId="3BBDADB2" w14:textId="77777777" w:rsidR="00642150" w:rsidRPr="00B348E7" w:rsidRDefault="00642150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E7">
              <w:rPr>
                <w:rFonts w:ascii="Times New Roman" w:hAnsi="Times New Roman" w:cs="Times New Roman"/>
                <w:sz w:val="24"/>
                <w:szCs w:val="24"/>
              </w:rPr>
              <w:t xml:space="preserve">Prescription drugs: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acarbose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acetohexamide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albiglutide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alogliptin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bromocriptine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canagliflozin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6BD5768" w14:textId="77777777" w:rsidR="00642150" w:rsidRPr="00B348E7" w:rsidRDefault="00642150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chlorpropamide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dapagliflozin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dulaglutide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empagliflozin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exenatide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8CF3780" w14:textId="77777777" w:rsidR="00642150" w:rsidRPr="00B348E7" w:rsidRDefault="00642150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gliclazide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glimepiride, glipizide, glucagon hydrochloride, glyburide, insulin,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linagliptin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20911A1F" w14:textId="77777777" w:rsidR="00642150" w:rsidRPr="00303F22" w:rsidRDefault="00642150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</w:pPr>
            <w:r w:rsidRPr="00303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liraglutide, metformin, miglitol, nateglinide, pioglitazone, pramlintide acetate,</w:t>
            </w:r>
          </w:p>
          <w:p w14:paraId="79A3CAF6" w14:textId="77777777" w:rsidR="00642150" w:rsidRPr="00B348E7" w:rsidRDefault="00642150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repaglinide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rosiglitazone,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saxagliptin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sitagliptin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tolazamide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2F28205" w14:textId="1EA783C1" w:rsidR="00642150" w:rsidRPr="00B348E7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tolbutamide</w:t>
            </w:r>
            <w:proofErr w:type="spellEnd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troglitazone</w:t>
            </w:r>
            <w:proofErr w:type="spellEnd"/>
          </w:p>
        </w:tc>
      </w:tr>
      <w:tr w:rsidR="003A52BB" w:rsidRPr="008F340F" w14:paraId="55DCE3BE" w14:textId="77777777" w:rsidTr="00C87752">
        <w:tc>
          <w:tcPr>
            <w:tcW w:w="1066" w:type="pct"/>
          </w:tcPr>
          <w:p w14:paraId="45E7CE00" w14:textId="3C01730D" w:rsidR="003A52BB" w:rsidRPr="008F340F" w:rsidRDefault="005E1A98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Carcinoma </w:t>
            </w:r>
            <w:r w:rsidRPr="00A742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 situ</w:t>
            </w:r>
          </w:p>
        </w:tc>
        <w:tc>
          <w:tcPr>
            <w:tcW w:w="969" w:type="pct"/>
          </w:tcPr>
          <w:p w14:paraId="68D6A1E6" w14:textId="77777777" w:rsidR="003A52BB" w:rsidRDefault="003A52BB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0D0DF4D6" w14:textId="77777777" w:rsidR="003A52BB" w:rsidRPr="008F340F" w:rsidRDefault="003A52BB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6B766804" w14:textId="1A10A049" w:rsidR="003A52BB" w:rsidRPr="008175EF" w:rsidRDefault="00AB2096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</w:t>
            </w:r>
            <w:r w:rsidR="008175EF"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7" w:type="pct"/>
          </w:tcPr>
          <w:p w14:paraId="38815D16" w14:textId="77777777" w:rsidR="003A52BB" w:rsidRPr="00B348E7" w:rsidRDefault="003A52BB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B" w:rsidRPr="008F340F" w14:paraId="391D5430" w14:textId="77777777" w:rsidTr="00C87752">
        <w:tc>
          <w:tcPr>
            <w:tcW w:w="1066" w:type="pct"/>
          </w:tcPr>
          <w:p w14:paraId="1619C632" w14:textId="3113CAE8" w:rsidR="003A52BB" w:rsidRDefault="003A52BB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Invasive </w:t>
            </w:r>
            <w:r w:rsidR="00AB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breast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969" w:type="pct"/>
          </w:tcPr>
          <w:p w14:paraId="75D51B4A" w14:textId="77777777" w:rsidR="003A52BB" w:rsidRDefault="003A52BB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0B84EFC1" w14:textId="77777777" w:rsidR="003A52BB" w:rsidRPr="008F340F" w:rsidRDefault="003A52BB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05EE7AFC" w14:textId="11CA0394" w:rsidR="003A52BB" w:rsidRPr="008175EF" w:rsidRDefault="00AB2096" w:rsidP="00AB2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0080"/>
                <w:sz w:val="24"/>
                <w:szCs w:val="24"/>
                <w:shd w:val="clear" w:color="auto" w:fill="FFFFFF"/>
              </w:rPr>
            </w:pPr>
            <w:r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</w:t>
            </w:r>
            <w:r w:rsidR="008175EF"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0-174</w:t>
            </w:r>
            <w:r w:rsidR="008175EF"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17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27" w:type="pct"/>
          </w:tcPr>
          <w:p w14:paraId="28F0CE0B" w14:textId="77777777" w:rsidR="003A52BB" w:rsidRPr="00B348E7" w:rsidRDefault="003A52BB" w:rsidP="009F7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21D3C6C0" w14:textId="77777777" w:rsidTr="00C87752">
        <w:tc>
          <w:tcPr>
            <w:tcW w:w="1066" w:type="pct"/>
          </w:tcPr>
          <w:p w14:paraId="35338743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Malnutrition</w:t>
            </w:r>
          </w:p>
        </w:tc>
        <w:tc>
          <w:tcPr>
            <w:tcW w:w="969" w:type="pct"/>
          </w:tcPr>
          <w:p w14:paraId="14D8D64E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5DA23451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32BDFA4B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262, 263.0-263.9</w:t>
            </w:r>
          </w:p>
        </w:tc>
        <w:tc>
          <w:tcPr>
            <w:tcW w:w="1027" w:type="pct"/>
          </w:tcPr>
          <w:p w14:paraId="3D37D42E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9AF" w:rsidRPr="008F340F" w14:paraId="635EA0AA" w14:textId="77777777" w:rsidTr="00C87752">
        <w:tc>
          <w:tcPr>
            <w:tcW w:w="1066" w:type="pct"/>
          </w:tcPr>
          <w:p w14:paraId="547C65A7" w14:textId="77777777" w:rsidR="003179AF" w:rsidRPr="008F340F" w:rsidRDefault="00AF44B8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Neoadjuvant chemotherapy</w:t>
            </w:r>
          </w:p>
        </w:tc>
        <w:tc>
          <w:tcPr>
            <w:tcW w:w="969" w:type="pct"/>
          </w:tcPr>
          <w:p w14:paraId="43549075" w14:textId="54ECA4B0" w:rsidR="003179AF" w:rsidRPr="008F340F" w:rsidRDefault="008175EF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99.25</w:t>
            </w:r>
          </w:p>
        </w:tc>
        <w:tc>
          <w:tcPr>
            <w:tcW w:w="965" w:type="pct"/>
          </w:tcPr>
          <w:p w14:paraId="1E36BBB6" w14:textId="781E904F" w:rsidR="003179AF" w:rsidRPr="004D4EBC" w:rsidRDefault="00F20358" w:rsidP="004D4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96401</w:t>
            </w:r>
            <w:r w:rsidR="004D4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D4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96405</w:t>
            </w:r>
            <w:r w:rsidR="004D4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D4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96549</w:t>
            </w:r>
          </w:p>
        </w:tc>
        <w:tc>
          <w:tcPr>
            <w:tcW w:w="973" w:type="pct"/>
          </w:tcPr>
          <w:p w14:paraId="34CBFB7A" w14:textId="18D9F9DC" w:rsidR="003179AF" w:rsidRPr="008175EF" w:rsidRDefault="003179AF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2DFE38B0" w14:textId="77777777" w:rsidR="003179AF" w:rsidRDefault="00AB2096" w:rsidP="009F7F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096">
              <w:rPr>
                <w:rFonts w:ascii="Times New Roman" w:hAnsi="Times New Roman" w:cs="Times New Roman"/>
                <w:sz w:val="24"/>
                <w:szCs w:val="24"/>
              </w:rPr>
              <w:t xml:space="preserve">UB-04: </w:t>
            </w:r>
            <w:r w:rsidRPr="00AB2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0331, 0332, 0335</w:t>
            </w:r>
          </w:p>
          <w:p w14:paraId="107B404E" w14:textId="59ECD377" w:rsidR="004D4EBC" w:rsidRPr="00AB2096" w:rsidRDefault="004D4EBC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HCPCS: J9000-J9999, Q0083-Q0085</w:t>
            </w:r>
          </w:p>
        </w:tc>
      </w:tr>
      <w:tr w:rsidR="00642150" w:rsidRPr="008F340F" w14:paraId="6ED560F0" w14:textId="77777777" w:rsidTr="00C87752">
        <w:tc>
          <w:tcPr>
            <w:tcW w:w="1066" w:type="pct"/>
          </w:tcPr>
          <w:p w14:paraId="404679AB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Obesity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obesity proxies (e.g., sleep apnea)</w:t>
            </w:r>
          </w:p>
        </w:tc>
        <w:tc>
          <w:tcPr>
            <w:tcW w:w="969" w:type="pct"/>
          </w:tcPr>
          <w:p w14:paraId="6AB65BC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70EBC625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201D6604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112.3, 256.4, 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278.00, 278.01, 278.03, 649.1x,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780.51, 780.53, 780.57, 793.91,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 V85.3, V85.4</w:t>
            </w:r>
          </w:p>
        </w:tc>
        <w:tc>
          <w:tcPr>
            <w:tcW w:w="1027" w:type="pct"/>
          </w:tcPr>
          <w:p w14:paraId="22DF6293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03BEA63D" w14:textId="77777777" w:rsidTr="00C87752">
        <w:tc>
          <w:tcPr>
            <w:tcW w:w="1066" w:type="pct"/>
          </w:tcPr>
          <w:p w14:paraId="0AF4D898" w14:textId="77777777" w:rsidR="00642150" w:rsidRPr="008F340F" w:rsidRDefault="00642150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969" w:type="pct"/>
          </w:tcPr>
          <w:p w14:paraId="6E25E701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3F1BFC83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2FB2FDD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305.1, 649.00-649.04, V15.82</w:t>
            </w:r>
          </w:p>
        </w:tc>
        <w:tc>
          <w:tcPr>
            <w:tcW w:w="1027" w:type="pct"/>
          </w:tcPr>
          <w:p w14:paraId="00C0E931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Prescription drugs: nicotine,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arenicline</w:t>
            </w:r>
            <w:proofErr w:type="spellEnd"/>
          </w:p>
        </w:tc>
      </w:tr>
      <w:tr w:rsidR="00642150" w:rsidRPr="008F340F" w14:paraId="06C1493B" w14:textId="77777777" w:rsidTr="00C87752">
        <w:tc>
          <w:tcPr>
            <w:tcW w:w="1066" w:type="pct"/>
          </w:tcPr>
          <w:p w14:paraId="43FC36CC" w14:textId="77777777" w:rsidR="00642150" w:rsidRPr="008F340F" w:rsidRDefault="00642150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Smoking prox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 (e.g. lung cancer)</w:t>
            </w:r>
          </w:p>
        </w:tc>
        <w:tc>
          <w:tcPr>
            <w:tcW w:w="969" w:type="pct"/>
          </w:tcPr>
          <w:p w14:paraId="3DCEFDC5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48EA37FF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5C730BC6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162.2-162.9, 231.1, 410.00-413.9, 414.8, 414.9, 430-438, 491.20, 491.21, 496 </w:t>
            </w:r>
          </w:p>
        </w:tc>
        <w:tc>
          <w:tcPr>
            <w:tcW w:w="1027" w:type="pct"/>
          </w:tcPr>
          <w:p w14:paraId="4497987A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48F18358" w14:textId="77777777" w:rsidTr="00C87752">
        <w:tc>
          <w:tcPr>
            <w:tcW w:w="1066" w:type="pct"/>
          </w:tcPr>
          <w:p w14:paraId="402305CB" w14:textId="77777777" w:rsidR="00642150" w:rsidRPr="008F340F" w:rsidRDefault="00642150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Staphylococcus aureus </w:t>
            </w:r>
            <w:r w:rsidRPr="003E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infection</w:t>
            </w:r>
          </w:p>
        </w:tc>
        <w:tc>
          <w:tcPr>
            <w:tcW w:w="969" w:type="pct"/>
          </w:tcPr>
          <w:p w14:paraId="1AA220C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58D03893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471747C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038.11, 041.11, 041.12, 482.41</w:t>
            </w:r>
          </w:p>
        </w:tc>
        <w:tc>
          <w:tcPr>
            <w:tcW w:w="1027" w:type="pct"/>
          </w:tcPr>
          <w:p w14:paraId="6329781B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0" w:rsidRPr="008F340F" w14:paraId="1E328967" w14:textId="77777777" w:rsidTr="00C87752">
        <w:tc>
          <w:tcPr>
            <w:tcW w:w="1066" w:type="pct"/>
          </w:tcPr>
          <w:p w14:paraId="74489125" w14:textId="77777777" w:rsidR="00642150" w:rsidRPr="008F340F" w:rsidRDefault="00642150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Ulcer colitis / Crohn’s disease</w:t>
            </w:r>
          </w:p>
        </w:tc>
        <w:tc>
          <w:tcPr>
            <w:tcW w:w="969" w:type="pct"/>
          </w:tcPr>
          <w:p w14:paraId="1EF531E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3F882F54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668C7D22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555.0-556.9</w:t>
            </w:r>
          </w:p>
        </w:tc>
        <w:tc>
          <w:tcPr>
            <w:tcW w:w="1027" w:type="pct"/>
          </w:tcPr>
          <w:p w14:paraId="36A97677" w14:textId="77777777" w:rsidR="00642150" w:rsidRPr="008F340F" w:rsidRDefault="00642150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DE38D" w14:textId="77777777" w:rsidR="00F46847" w:rsidRDefault="00F46847"/>
    <w:p w14:paraId="71C6C3E4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61086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49B58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D1660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B83E2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50812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A29D9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55462D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529DF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E65E4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582A2" w14:textId="77777777" w:rsidR="00A742FF" w:rsidRDefault="00A742FF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42C0F" w14:textId="77777777" w:rsidR="00A742FF" w:rsidRDefault="00A742FF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F555D" w14:textId="6158F2F8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4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Table 2: </w:t>
      </w:r>
      <w:r w:rsidR="00EF2E1F">
        <w:rPr>
          <w:rFonts w:ascii="Times New Roman" w:hAnsi="Times New Roman" w:cs="Times New Roman"/>
          <w:b/>
          <w:sz w:val="24"/>
          <w:szCs w:val="24"/>
        </w:rPr>
        <w:t xml:space="preserve">Infection </w:t>
      </w:r>
      <w:r>
        <w:rPr>
          <w:rFonts w:ascii="Times New Roman" w:hAnsi="Times New Roman" w:cs="Times New Roman"/>
          <w:b/>
          <w:sz w:val="24"/>
          <w:szCs w:val="24"/>
        </w:rPr>
        <w:t>Diagnoses Used for Mastectomy</w:t>
      </w:r>
      <w:r w:rsidRPr="008F340F">
        <w:rPr>
          <w:rFonts w:ascii="Times New Roman" w:hAnsi="Times New Roman" w:cs="Times New Roman"/>
          <w:b/>
          <w:sz w:val="24"/>
          <w:szCs w:val="24"/>
        </w:rPr>
        <w:t xml:space="preserve"> Admission Exclusions</w:t>
      </w:r>
      <w:r w:rsidR="00170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AB304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4732"/>
        <w:gridCol w:w="4732"/>
      </w:tblGrid>
      <w:tr w:rsidR="009F7FE2" w:rsidRPr="008F340F" w14:paraId="7A9E34A6" w14:textId="77777777" w:rsidTr="00A742FF">
        <w:tc>
          <w:tcPr>
            <w:tcW w:w="1346" w:type="pct"/>
          </w:tcPr>
          <w:p w14:paraId="34D27F50" w14:textId="77777777" w:rsidR="009F7FE2" w:rsidRPr="008F340F" w:rsidRDefault="009F7FE2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827" w:type="pct"/>
          </w:tcPr>
          <w:p w14:paraId="0A6AF842" w14:textId="77777777" w:rsidR="009F7FE2" w:rsidRPr="008F340F" w:rsidRDefault="009F7FE2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sz w:val="24"/>
                <w:szCs w:val="24"/>
              </w:rPr>
              <w:t>ICD-9-CM Diagnosis Code</w:t>
            </w:r>
          </w:p>
        </w:tc>
        <w:tc>
          <w:tcPr>
            <w:tcW w:w="1827" w:type="pct"/>
          </w:tcPr>
          <w:p w14:paraId="44C2A76F" w14:textId="77777777" w:rsidR="009F7FE2" w:rsidRPr="008F340F" w:rsidRDefault="009F7FE2" w:rsidP="009F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sz w:val="24"/>
                <w:szCs w:val="24"/>
              </w:rPr>
              <w:t>Timeframe</w:t>
            </w:r>
          </w:p>
        </w:tc>
      </w:tr>
      <w:tr w:rsidR="009F7FE2" w:rsidRPr="008F340F" w14:paraId="467BD0AC" w14:textId="77777777" w:rsidTr="00A742FF">
        <w:tc>
          <w:tcPr>
            <w:tcW w:w="1346" w:type="pct"/>
          </w:tcPr>
          <w:p w14:paraId="3A5E096B" w14:textId="49CB27B8" w:rsidR="009F7FE2" w:rsidRPr="008F340F" w:rsidRDefault="009F7FE2" w:rsidP="009F7F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27" w:type="pct"/>
          </w:tcPr>
          <w:p w14:paraId="449C1A13" w14:textId="00E286F4" w:rsidR="009F7FE2" w:rsidRPr="008F340F" w:rsidRDefault="009F7FE2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14:paraId="33A11A54" w14:textId="0D5FF1D2" w:rsidR="009F7FE2" w:rsidRPr="008F340F" w:rsidRDefault="009F7FE2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4D" w:rsidRPr="008F340F" w14:paraId="37C390EE" w14:textId="77777777" w:rsidTr="0035766C">
        <w:tc>
          <w:tcPr>
            <w:tcW w:w="1346" w:type="pct"/>
          </w:tcPr>
          <w:p w14:paraId="3816B700" w14:textId="79766185" w:rsidR="00A74C4D" w:rsidRPr="008F340F" w:rsidRDefault="00A742FF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4C4D" w:rsidRPr="00A74C4D">
              <w:rPr>
                <w:rFonts w:ascii="Times New Roman" w:hAnsi="Times New Roman" w:cs="Times New Roman"/>
                <w:sz w:val="24"/>
                <w:szCs w:val="24"/>
              </w:rPr>
              <w:t>urgical site infection (SSI)</w:t>
            </w:r>
          </w:p>
        </w:tc>
        <w:tc>
          <w:tcPr>
            <w:tcW w:w="1827" w:type="pct"/>
          </w:tcPr>
          <w:p w14:paraId="5A774C72" w14:textId="71A0464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D">
              <w:rPr>
                <w:rFonts w:ascii="Times New Roman" w:hAnsi="Times New Roman" w:cs="Times New Roman"/>
                <w:sz w:val="24"/>
                <w:szCs w:val="24"/>
              </w:rPr>
              <w:t xml:space="preserve"> 996.69, 998.5x</w:t>
            </w:r>
          </w:p>
        </w:tc>
        <w:tc>
          <w:tcPr>
            <w:tcW w:w="1827" w:type="pct"/>
          </w:tcPr>
          <w:p w14:paraId="2DBC9C43" w14:textId="726EFCDD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30 days prior to admission through 2 days post-discharge</w:t>
            </w:r>
          </w:p>
        </w:tc>
      </w:tr>
      <w:tr w:rsidR="00A74C4D" w:rsidRPr="008F340F" w14:paraId="0507EFF2" w14:textId="77777777" w:rsidTr="0035766C">
        <w:tc>
          <w:tcPr>
            <w:tcW w:w="1346" w:type="pct"/>
          </w:tcPr>
          <w:p w14:paraId="649BC516" w14:textId="2CB5119F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D">
              <w:rPr>
                <w:rFonts w:ascii="Times New Roman" w:hAnsi="Times New Roman" w:cs="Times New Roman"/>
                <w:sz w:val="24"/>
                <w:szCs w:val="24"/>
              </w:rPr>
              <w:t>Other site SSI</w:t>
            </w:r>
          </w:p>
        </w:tc>
        <w:tc>
          <w:tcPr>
            <w:tcW w:w="1827" w:type="pct"/>
          </w:tcPr>
          <w:p w14:paraId="46E4D9E6" w14:textId="3971D61B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D">
              <w:rPr>
                <w:rFonts w:ascii="Times New Roman" w:hAnsi="Times New Roman" w:cs="Times New Roman"/>
                <w:sz w:val="24"/>
                <w:szCs w:val="24"/>
              </w:rPr>
              <w:t>324.x, 478.21-478.24, 478.29, 536.41, 730.0x–730.2x, 730.8x, 730.9x, 996.60–996.68</w:t>
            </w:r>
          </w:p>
        </w:tc>
        <w:tc>
          <w:tcPr>
            <w:tcW w:w="1827" w:type="pct"/>
          </w:tcPr>
          <w:p w14:paraId="54881E86" w14:textId="26E79163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30 days prior to admission through 2 days post-discharge</w:t>
            </w:r>
          </w:p>
        </w:tc>
      </w:tr>
      <w:tr w:rsidR="00A74C4D" w:rsidRPr="008F340F" w14:paraId="68242CE8" w14:textId="77777777" w:rsidTr="00A742FF">
        <w:tc>
          <w:tcPr>
            <w:tcW w:w="1346" w:type="pct"/>
          </w:tcPr>
          <w:p w14:paraId="17012D41" w14:textId="2DA27F81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Cellulitis/skin and soft tissue infection</w:t>
            </w:r>
          </w:p>
        </w:tc>
        <w:tc>
          <w:tcPr>
            <w:tcW w:w="1827" w:type="pct"/>
          </w:tcPr>
          <w:p w14:paraId="2331D721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681.x, 682.x, 683, 684, 685.0, 686.x, 728.0, 728.86, 958.3, 997.62 </w:t>
            </w:r>
          </w:p>
        </w:tc>
        <w:tc>
          <w:tcPr>
            <w:tcW w:w="1827" w:type="pct"/>
          </w:tcPr>
          <w:p w14:paraId="4A16CF86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14 days prior to admission through 2 days post-discharge</w:t>
            </w:r>
          </w:p>
        </w:tc>
      </w:tr>
      <w:tr w:rsidR="00A74C4D" w:rsidRPr="008F340F" w14:paraId="09F00F5F" w14:textId="77777777" w:rsidTr="00A742FF">
        <w:tc>
          <w:tcPr>
            <w:tcW w:w="1346" w:type="pct"/>
          </w:tcPr>
          <w:p w14:paraId="4EDBA955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1827" w:type="pct"/>
          </w:tcPr>
          <w:p w14:paraId="5BFBEEAE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481, 482.xx, 483.x, 485, 486, 510.0, 510.9, 513.0, 997.31, 997.32</w:t>
            </w:r>
          </w:p>
        </w:tc>
        <w:tc>
          <w:tcPr>
            <w:tcW w:w="1827" w:type="pct"/>
          </w:tcPr>
          <w:p w14:paraId="6B006A04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30 days prior to admission through 2 days post-discharge</w:t>
            </w:r>
          </w:p>
        </w:tc>
      </w:tr>
      <w:tr w:rsidR="00A74C4D" w:rsidRPr="008F340F" w14:paraId="25BDD28B" w14:textId="77777777" w:rsidTr="00A742FF">
        <w:tc>
          <w:tcPr>
            <w:tcW w:w="1346" w:type="pct"/>
          </w:tcPr>
          <w:p w14:paraId="598A62FC" w14:textId="4D882BEE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Urinary tract,  pyelonephritis, genitourinary infection</w:t>
            </w:r>
          </w:p>
        </w:tc>
        <w:tc>
          <w:tcPr>
            <w:tcW w:w="1827" w:type="pct"/>
          </w:tcPr>
          <w:p w14:paraId="2D045595" w14:textId="7C0A2E63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590.0x, 590.1x, 590.2, 590.80, 590.9, 595.0, 598.0x, 599.0, 616.3, 616.4</w:t>
            </w:r>
          </w:p>
        </w:tc>
        <w:tc>
          <w:tcPr>
            <w:tcW w:w="1827" w:type="pct"/>
          </w:tcPr>
          <w:p w14:paraId="1A540E85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14 days prior to admission through 2 days post-discharge</w:t>
            </w:r>
          </w:p>
        </w:tc>
      </w:tr>
      <w:tr w:rsidR="00A74C4D" w:rsidRPr="008F340F" w14:paraId="6A5C1EE6" w14:textId="77777777" w:rsidTr="00A742FF">
        <w:tc>
          <w:tcPr>
            <w:tcW w:w="1346" w:type="pct"/>
          </w:tcPr>
          <w:p w14:paraId="7E42EA3F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Gastrointestinal infection</w:t>
            </w:r>
          </w:p>
        </w:tc>
        <w:tc>
          <w:tcPr>
            <w:tcW w:w="1827" w:type="pct"/>
          </w:tcPr>
          <w:p w14:paraId="6821653A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566, 567.1, 567.2x, 567.3x, 567.9, 569.5, 572.0</w:t>
            </w:r>
          </w:p>
        </w:tc>
        <w:tc>
          <w:tcPr>
            <w:tcW w:w="1827" w:type="pct"/>
          </w:tcPr>
          <w:p w14:paraId="6435431A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30 days prior to admission through 2 days post-discharge</w:t>
            </w:r>
          </w:p>
        </w:tc>
      </w:tr>
      <w:tr w:rsidR="00A74C4D" w:rsidRPr="008F340F" w14:paraId="425A9ECE" w14:textId="77777777" w:rsidTr="00A742FF">
        <w:tc>
          <w:tcPr>
            <w:tcW w:w="1346" w:type="pct"/>
          </w:tcPr>
          <w:p w14:paraId="6B1A5151" w14:textId="69A04655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ticemia/sep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sis/sterile site infection</w:t>
            </w:r>
          </w:p>
        </w:tc>
        <w:tc>
          <w:tcPr>
            <w:tcW w:w="1827" w:type="pct"/>
          </w:tcPr>
          <w:p w14:paraId="6BAE829D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038.x, 320.x, 711.0x, 711.9x, 785.52, 790.7, 995.91, 995.92, 999.3x </w:t>
            </w:r>
          </w:p>
        </w:tc>
        <w:tc>
          <w:tcPr>
            <w:tcW w:w="1827" w:type="pct"/>
          </w:tcPr>
          <w:p w14:paraId="20D5BA59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30 days prior to admission through 2 days post-discharge</w:t>
            </w:r>
          </w:p>
        </w:tc>
      </w:tr>
      <w:tr w:rsidR="00A74C4D" w:rsidRPr="008F340F" w14:paraId="137F7275" w14:textId="77777777" w:rsidTr="00A742FF">
        <w:tc>
          <w:tcPr>
            <w:tcW w:w="1346" w:type="pct"/>
          </w:tcPr>
          <w:p w14:paraId="298B20B3" w14:textId="4E02554C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Upper respiratory infection</w:t>
            </w:r>
          </w:p>
        </w:tc>
        <w:tc>
          <w:tcPr>
            <w:tcW w:w="1827" w:type="pct"/>
          </w:tcPr>
          <w:p w14:paraId="59724107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380.1x, 382.0x, 382.4, 382.9, 383.0x, 383.9, 461.x, 463, 466.0, 475, 491.1, 522.5, 528.3 </w:t>
            </w:r>
          </w:p>
        </w:tc>
        <w:tc>
          <w:tcPr>
            <w:tcW w:w="1827" w:type="pct"/>
          </w:tcPr>
          <w:p w14:paraId="0F3586C2" w14:textId="77777777" w:rsidR="00A74C4D" w:rsidRPr="008F340F" w:rsidRDefault="00A74C4D" w:rsidP="00A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14 days prior to admission through 2 days post-discharge</w:t>
            </w:r>
          </w:p>
        </w:tc>
      </w:tr>
    </w:tbl>
    <w:p w14:paraId="1B56ABE7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D75A3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6DB50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85186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C43C5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A097FC" w14:textId="77777777" w:rsidR="008B00BA" w:rsidRDefault="008B00BA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379F5" w14:textId="77777777" w:rsidR="008B00BA" w:rsidRDefault="008B00BA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A9CEC" w14:textId="77777777" w:rsidR="008B00BA" w:rsidRDefault="008B00BA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2D962" w14:textId="77777777" w:rsidR="008B00BA" w:rsidRDefault="008B00BA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A61AA" w14:textId="77777777" w:rsidR="008B00BA" w:rsidRDefault="008B00BA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871F3" w14:textId="77777777" w:rsidR="00A742FF" w:rsidRDefault="00A742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E18129" w14:textId="3E9E0496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D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Table 3. Antibiotics Prescribed Post-Discharge as Prophylaxis after Mastectomy </w:t>
      </w:r>
      <w:proofErr w:type="spellStart"/>
      <w:r w:rsidRPr="00034D16">
        <w:rPr>
          <w:rFonts w:ascii="Times New Roman" w:hAnsi="Times New Roman" w:cs="Times New Roman"/>
          <w:b/>
          <w:bCs/>
          <w:sz w:val="24"/>
          <w:szCs w:val="24"/>
        </w:rPr>
        <w:t>Discharge</w:t>
      </w:r>
      <w:r w:rsidR="00962F04" w:rsidRPr="00962F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proofErr w:type="spellEnd"/>
    </w:p>
    <w:p w14:paraId="0D24E9E6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145" w:type="dxa"/>
        <w:tblLayout w:type="fixed"/>
        <w:tblLook w:val="04A0" w:firstRow="1" w:lastRow="0" w:firstColumn="1" w:lastColumn="0" w:noHBand="0" w:noVBand="1"/>
      </w:tblPr>
      <w:tblGrid>
        <w:gridCol w:w="3505"/>
        <w:gridCol w:w="2520"/>
        <w:gridCol w:w="3060"/>
        <w:gridCol w:w="3060"/>
      </w:tblGrid>
      <w:tr w:rsidR="00B87099" w:rsidRPr="008F340F" w14:paraId="2320D75F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486" w14:textId="77777777" w:rsidR="00B87099" w:rsidRPr="008F340F" w:rsidRDefault="00B87099" w:rsidP="00B87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Antibiotic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CD1" w14:textId="13F10ED3" w:rsidR="00B87099" w:rsidRPr="008F340F" w:rsidRDefault="00B87099" w:rsidP="00B87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Antibiotic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ategory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3F5" w14:textId="3833CB0F" w:rsidR="00B87099" w:rsidRPr="008F340F" w:rsidRDefault="00B87099" w:rsidP="00B87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umber (%) of Mastectomy Only with Post-Discharge Prescription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C98" w14:textId="76BDA882" w:rsidR="00B87099" w:rsidRPr="008F340F" w:rsidRDefault="00B87099" w:rsidP="00B87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umber (%) of Mastectomy with Immediate Reconstruction with Post-Discharge Prescription</w:t>
            </w:r>
          </w:p>
        </w:tc>
      </w:tr>
      <w:tr w:rsidR="00B87099" w:rsidRPr="008F340F" w14:paraId="09DD952F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ACC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24C" w14:textId="02D7874C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E8F" w14:textId="3601BDB1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(5.94%)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D72" w14:textId="614AB70D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 (3.01%)</w:t>
            </w:r>
          </w:p>
        </w:tc>
      </w:tr>
      <w:tr w:rsidR="00B87099" w:rsidRPr="008F340F" w14:paraId="1E7FB56E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F25C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756F" w14:textId="216E1340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FA2" w14:textId="7BD6EE76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(0.10%)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E23" w14:textId="3BA2A20A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(0.04%)</w:t>
            </w:r>
          </w:p>
        </w:tc>
      </w:tr>
      <w:tr w:rsidR="00B87099" w:rsidRPr="008F340F" w14:paraId="1F87AFDB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100F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3C9" w14:textId="67BCFA04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A4D" w14:textId="7F8729C9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(0.00%)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2AD" w14:textId="52CDDB04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(0.00%)</w:t>
            </w:r>
          </w:p>
        </w:tc>
      </w:tr>
      <w:tr w:rsidR="00B87099" w:rsidRPr="008F340F" w14:paraId="1CDC4BFD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1736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Cefadroxil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445D" w14:textId="75028499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221" w14:textId="7F5B0D36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(6.08%)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424" w14:textId="5325D45B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2,029 (10.59%)</w:t>
            </w:r>
          </w:p>
        </w:tc>
      </w:tr>
      <w:tr w:rsidR="00B87099" w:rsidRPr="008F340F" w14:paraId="10CA9FD8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F15E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Cefdinir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6F6D" w14:textId="09ADD3B2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E36" w14:textId="6316C0EF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(0.28%)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EFE" w14:textId="43E6AF4E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(0.13%)</w:t>
            </w:r>
          </w:p>
        </w:tc>
      </w:tr>
      <w:tr w:rsidR="00B87099" w:rsidRPr="008F340F" w14:paraId="145D3581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DE89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Cefixime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0909" w14:textId="65DB8F94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0AF" w14:textId="7AF47573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(0.00%)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AE3" w14:textId="4805966F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(0.01%)</w:t>
            </w:r>
          </w:p>
        </w:tc>
      </w:tr>
      <w:tr w:rsidR="00B87099" w:rsidRPr="008F340F" w14:paraId="673D130F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4524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Cefpodoxime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6786" w14:textId="66EDD0FD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6D6" w14:textId="0F4ABACF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(0.00%)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34D" w14:textId="6A663988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(0.02%)</w:t>
            </w:r>
          </w:p>
        </w:tc>
      </w:tr>
      <w:tr w:rsidR="00B87099" w:rsidRPr="008F340F" w14:paraId="61281188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1BCA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Cefprozil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D919" w14:textId="0F088D8E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584" w14:textId="40ED5EC2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(0.07%)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6DA" w14:textId="72D73DCA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(0.11%)</w:t>
            </w:r>
          </w:p>
        </w:tc>
      </w:tr>
      <w:tr w:rsidR="00B87099" w:rsidRPr="008F340F" w14:paraId="71A419E4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7C53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Cefuroxime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67E5" w14:textId="0FD21B71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70D" w14:textId="6D58FDDC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(0.63%)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409" w14:textId="7D12B75F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(0.97%)</w:t>
            </w:r>
          </w:p>
        </w:tc>
      </w:tr>
      <w:tr w:rsidR="00B87099" w:rsidRPr="008F340F" w14:paraId="2C87CED2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025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Cephalexin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E013" w14:textId="4B5DA30A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D67" w14:textId="0A0FC268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1,624 (56.76%)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A34" w14:textId="0D994F9B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11,092 (57.89%)</w:t>
            </w:r>
          </w:p>
        </w:tc>
      </w:tr>
      <w:tr w:rsidR="00B92FF1" w:rsidRPr="008F340F" w14:paraId="2D33049D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443" w14:textId="76CA6806" w:rsidR="00B92FF1" w:rsidRPr="008F340F" w:rsidRDefault="00B92FF1" w:rsidP="00B9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Dicloxacillin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404" w14:textId="4E05B26D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anti-MSSA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9F2" w14:textId="4B9AF05D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(0.31%)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9B8" w14:textId="120407CA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(0.10%)</w:t>
            </w:r>
          </w:p>
        </w:tc>
      </w:tr>
      <w:tr w:rsidR="00B87099" w:rsidRPr="008F340F" w14:paraId="66E04095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4F53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08E8" w14:textId="7919FE23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anti-MRSA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E4D" w14:textId="6F9E37B2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(5.98%)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988" w14:textId="7346B624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1,565 (8.17%)</w:t>
            </w:r>
          </w:p>
        </w:tc>
      </w:tr>
      <w:tr w:rsidR="00B87099" w:rsidRPr="008F340F" w14:paraId="465EF445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BADF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Doxycycline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A9F7" w14:textId="224BDD27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anti-MRSA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69A" w14:textId="54925CD0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(3.40%)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856" w14:textId="41A517EF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 (3.52%)</w:t>
            </w:r>
          </w:p>
        </w:tc>
      </w:tr>
      <w:tr w:rsidR="00B87099" w:rsidRPr="008F340F" w14:paraId="30AEFA9A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947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FB5E" w14:textId="05AA9F31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anti-MRSA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4E7" w14:textId="1B5AF1D8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(0.14%)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64A" w14:textId="4B21E586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(0.01%)</w:t>
            </w:r>
          </w:p>
        </w:tc>
      </w:tr>
      <w:tr w:rsidR="00B87099" w:rsidRPr="008F340F" w14:paraId="786E7607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A0C4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Minocycline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493C" w14:textId="78581492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anti-MRSA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9570" w14:textId="0AFCA2EB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(0.70%)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7F4" w14:textId="396C33BB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(1.16%)</w:t>
            </w:r>
          </w:p>
        </w:tc>
      </w:tr>
      <w:tr w:rsidR="00B92FF1" w:rsidRPr="008F340F" w14:paraId="34972C1D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091" w14:textId="3C2EC0EC" w:rsidR="00B92FF1" w:rsidRPr="008F340F" w:rsidRDefault="00B92FF1" w:rsidP="00B9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Trimethoprim/Sulfamethoxazole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830" w14:textId="68ABF58C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anti-MRSA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74A" w14:textId="27F7F791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(7.38%)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128" w14:textId="6EE14B3E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1,321 (6.89%)</w:t>
            </w:r>
          </w:p>
        </w:tc>
      </w:tr>
      <w:tr w:rsidR="00B92FF1" w:rsidRPr="008F340F" w14:paraId="1603CDE4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22A5" w14:textId="50789C89" w:rsidR="00B92FF1" w:rsidRPr="008F340F" w:rsidRDefault="00B92FF1" w:rsidP="00B9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2B9" w14:textId="3E1A1600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uinolone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ACC" w14:textId="09CADCDD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(7.97%)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3B1" w14:textId="4687BC1D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 (4.15%)</w:t>
            </w:r>
          </w:p>
        </w:tc>
      </w:tr>
      <w:tr w:rsidR="00B92FF1" w:rsidRPr="008F340F" w14:paraId="616C2DA7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373" w14:textId="10A9181B" w:rsidR="00B92FF1" w:rsidRPr="008F340F" w:rsidRDefault="00B92FF1" w:rsidP="00B9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4610" w14:textId="420E8A64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uinolone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1FF" w14:textId="42DFFC37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(3.84%)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9D7" w14:textId="25DB9450" w:rsidR="00B92FF1" w:rsidRDefault="00B92FF1" w:rsidP="00B92F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 (3.04%)</w:t>
            </w:r>
          </w:p>
        </w:tc>
      </w:tr>
      <w:tr w:rsidR="00B87099" w:rsidRPr="008F340F" w14:paraId="14D9A501" w14:textId="77777777" w:rsidTr="00B87099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EAD2" w14:textId="77777777" w:rsidR="00B87099" w:rsidRPr="008F340F" w:rsidRDefault="00B87099" w:rsidP="00B8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Moxifloxacin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52EE" w14:textId="1D66969C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uinolone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BF5" w14:textId="1902D4BC" w:rsidR="00B87099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(0.42%)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9BC" w14:textId="0AC4B921" w:rsidR="00B87099" w:rsidRPr="008F340F" w:rsidRDefault="00B87099" w:rsidP="00B87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(0.19%)</w:t>
            </w:r>
          </w:p>
        </w:tc>
      </w:tr>
    </w:tbl>
    <w:p w14:paraId="5534C0C2" w14:textId="3217C88D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759234" w14:textId="3A8656FA" w:rsidR="00034D16" w:rsidRPr="00962F04" w:rsidRDefault="00962F04" w:rsidP="009F7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2F0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could have prescriptions for more than one antibiotic; therefore the totals by antibiotic category are larger than the numbers in Table 1.</w:t>
      </w:r>
    </w:p>
    <w:p w14:paraId="55A15309" w14:textId="28FB6D4B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C94BC" w14:textId="2202DCDF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0120E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3A904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7F6CA" w14:textId="602CDDF8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D1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Table 4. Diagnosis and Procedure Codes Used to Define Surgical Site Infection</w:t>
      </w:r>
      <w:r w:rsidR="00FB0376">
        <w:rPr>
          <w:rFonts w:ascii="Times New Roman" w:hAnsi="Times New Roman" w:cs="Times New Roman"/>
          <w:b/>
          <w:bCs/>
          <w:sz w:val="24"/>
          <w:szCs w:val="24"/>
        </w:rPr>
        <w:t xml:space="preserve"> after Mastectomy Discharge</w:t>
      </w:r>
    </w:p>
    <w:p w14:paraId="2E937249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7FE2" w:rsidRPr="008F340F" w14:paraId="174E5641" w14:textId="77777777" w:rsidTr="009F7FE2">
        <w:tc>
          <w:tcPr>
            <w:tcW w:w="2337" w:type="dxa"/>
          </w:tcPr>
          <w:p w14:paraId="69941842" w14:textId="77777777" w:rsidR="009F7FE2" w:rsidRPr="008F340F" w:rsidRDefault="009F7FE2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2337" w:type="dxa"/>
          </w:tcPr>
          <w:p w14:paraId="71738F97" w14:textId="39FEF06A" w:rsidR="009F7FE2" w:rsidRPr="008F340F" w:rsidRDefault="009F7FE2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ICD-9-CM Diagnosis </w:t>
            </w:r>
            <w:proofErr w:type="spellStart"/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Codes</w:t>
            </w:r>
            <w:r w:rsidR="0051289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7958781B" w14:textId="77777777" w:rsidR="009F7FE2" w:rsidRPr="008F340F" w:rsidRDefault="009F7FE2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ICD-9-CM Procedure Codes</w:t>
            </w:r>
          </w:p>
        </w:tc>
        <w:tc>
          <w:tcPr>
            <w:tcW w:w="2338" w:type="dxa"/>
          </w:tcPr>
          <w:p w14:paraId="5204A582" w14:textId="77777777" w:rsidR="009F7FE2" w:rsidRPr="008F340F" w:rsidRDefault="009F7FE2" w:rsidP="009F7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CPT Codes</w:t>
            </w:r>
          </w:p>
        </w:tc>
      </w:tr>
      <w:tr w:rsidR="009F7FE2" w:rsidRPr="008F340F" w14:paraId="731DC288" w14:textId="77777777" w:rsidTr="009F7FE2">
        <w:tc>
          <w:tcPr>
            <w:tcW w:w="2337" w:type="dxa"/>
          </w:tcPr>
          <w:p w14:paraId="334FAFEA" w14:textId="77777777" w:rsidR="009F7FE2" w:rsidRPr="008F340F" w:rsidRDefault="009F7FE2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urgical 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nfection</w:t>
            </w:r>
          </w:p>
        </w:tc>
        <w:tc>
          <w:tcPr>
            <w:tcW w:w="2337" w:type="dxa"/>
          </w:tcPr>
          <w:p w14:paraId="131C759C" w14:textId="77777777" w:rsidR="009F7FE2" w:rsidRPr="008F340F" w:rsidRDefault="009F7FE2" w:rsidP="009F7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998.51, 998.59</w:t>
            </w:r>
          </w:p>
        </w:tc>
        <w:tc>
          <w:tcPr>
            <w:tcW w:w="2338" w:type="dxa"/>
          </w:tcPr>
          <w:p w14:paraId="45D88DBB" w14:textId="77777777" w:rsidR="009F7FE2" w:rsidRPr="008F340F" w:rsidRDefault="009F7FE2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FC21148" w14:textId="77777777" w:rsidR="009F7FE2" w:rsidRPr="008F340F" w:rsidRDefault="009F7FE2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FE2" w:rsidRPr="008F340F" w14:paraId="0FF7AB58" w14:textId="77777777" w:rsidTr="009F7FE2">
        <w:tc>
          <w:tcPr>
            <w:tcW w:w="2337" w:type="dxa"/>
          </w:tcPr>
          <w:p w14:paraId="57BCD144" w14:textId="6F6F8EA7" w:rsidR="009F7FE2" w:rsidRPr="008F340F" w:rsidRDefault="009F7FE2" w:rsidP="004C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Cellulitis + procedure to indicate wound </w:t>
            </w:r>
            <w:proofErr w:type="spellStart"/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opened</w:t>
            </w:r>
            <w:r w:rsidR="004C5382" w:rsidRPr="004C5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337" w:type="dxa"/>
          </w:tcPr>
          <w:p w14:paraId="01B51345" w14:textId="504A0B08" w:rsidR="009F7FE2" w:rsidRPr="0024252A" w:rsidRDefault="009F7FE2" w:rsidP="00C42E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C42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24252A">
              <w:rPr>
                <w:rFonts w:ascii="Times New Roman" w:hAnsi="Times New Roman" w:cs="Times New Roman"/>
                <w:sz w:val="24"/>
                <w:szCs w:val="24"/>
              </w:rPr>
              <w:t>682.3</w:t>
            </w:r>
            <w:r w:rsidR="004C5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="0024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C42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3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252A">
              <w:rPr>
                <w:rFonts w:ascii="Times New Roman" w:hAnsi="Times New Roman" w:cs="Times New Roman"/>
                <w:sz w:val="24"/>
                <w:szCs w:val="24"/>
              </w:rPr>
              <w:t>, 683</w:t>
            </w:r>
            <w:r w:rsidR="004C53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338" w:type="dxa"/>
          </w:tcPr>
          <w:p w14:paraId="1AB0F152" w14:textId="77777777" w:rsidR="009F7FE2" w:rsidRPr="008F340F" w:rsidRDefault="00587B3D" w:rsidP="00587B3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9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0, 54</w:t>
            </w:r>
            <w:r w:rsidR="00E9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9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44, 83</w:t>
            </w:r>
            <w:r w:rsidR="00E9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45, 83</w:t>
            </w:r>
            <w:r w:rsidR="00E9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 xml:space="preserve">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9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0, 85</w:t>
            </w:r>
            <w:r w:rsidR="00CF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94, 85</w:t>
            </w:r>
            <w:r w:rsidR="00CF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  <w:r w:rsidR="00CF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04, 86</w:t>
            </w:r>
            <w:r w:rsidR="00CF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09, 86</w:t>
            </w:r>
            <w:r w:rsidR="00CF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8" w:type="dxa"/>
          </w:tcPr>
          <w:p w14:paraId="11269390" w14:textId="650739E7" w:rsidR="009F7FE2" w:rsidRPr="00AE4AFC" w:rsidRDefault="00AE4AFC" w:rsidP="00347ED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10060, 10061, 10140, 10180, 11000, 11001,</w:t>
            </w:r>
            <w:r w:rsidR="004B22B1" w:rsidRP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03F1" w:rsidRP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11005,</w:t>
            </w:r>
            <w:r w:rsidR="00210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22B1" w:rsidRP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11008,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11040, 11041, 11042, 11043, 11044, 11045, 11046, 11047,</w:t>
            </w:r>
            <w:r w:rsidR="004B22B1" w:rsidRP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7ED1" w:rsidRPr="00347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11971,</w:t>
            </w:r>
            <w:r w:rsidR="004B22B1" w:rsidRP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19020, </w:t>
            </w:r>
            <w:r w:rsidR="00347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22B1" w:rsidRP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19328</w:t>
            </w:r>
            <w:r w:rsid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20000, 20005, </w:t>
            </w:r>
            <w:r w:rsidR="00347ED1" w:rsidRP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38300, 38305,</w:t>
            </w:r>
            <w:r w:rsidR="00347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97597, 97598, 97602</w:t>
            </w:r>
            <w:r w:rsidR="004B2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E4AFC" w:rsidRPr="008F340F" w14:paraId="1EF11852" w14:textId="77777777" w:rsidTr="009F7FE2">
        <w:tc>
          <w:tcPr>
            <w:tcW w:w="2337" w:type="dxa"/>
          </w:tcPr>
          <w:p w14:paraId="2B751301" w14:textId="77777777" w:rsidR="00AE4AFC" w:rsidRPr="008F340F" w:rsidRDefault="00DF782C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Inflammatory disease of breast</w:t>
            </w:r>
          </w:p>
        </w:tc>
        <w:tc>
          <w:tcPr>
            <w:tcW w:w="2337" w:type="dxa"/>
          </w:tcPr>
          <w:p w14:paraId="4566E481" w14:textId="77777777" w:rsidR="00AE4AFC" w:rsidRPr="008F340F" w:rsidRDefault="00AE4AFC" w:rsidP="009F7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DF7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14:paraId="17590C39" w14:textId="77777777" w:rsidR="00AE4AFC" w:rsidRPr="008F340F" w:rsidRDefault="00AE4AFC" w:rsidP="009F7FE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14:paraId="4E3694A3" w14:textId="77777777" w:rsidR="00AE4AFC" w:rsidRPr="008F340F" w:rsidRDefault="00AE4AFC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4AFC" w:rsidRPr="008F340F" w14:paraId="26D9BB68" w14:textId="77777777" w:rsidTr="009F7FE2">
        <w:tc>
          <w:tcPr>
            <w:tcW w:w="2337" w:type="dxa"/>
          </w:tcPr>
          <w:p w14:paraId="223EB2DF" w14:textId="77777777" w:rsidR="00AE4AFC" w:rsidRPr="008F340F" w:rsidRDefault="00E954CF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 and inflammatory reaction due to other internal prosthetic device, implant and graft</w:t>
            </w:r>
          </w:p>
        </w:tc>
        <w:tc>
          <w:tcPr>
            <w:tcW w:w="2337" w:type="dxa"/>
          </w:tcPr>
          <w:p w14:paraId="5A60C783" w14:textId="77777777" w:rsidR="00AE4AFC" w:rsidRPr="008F340F" w:rsidRDefault="00AE4AFC" w:rsidP="009F7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="00E9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38" w:type="dxa"/>
          </w:tcPr>
          <w:p w14:paraId="4DD2D6C3" w14:textId="77777777" w:rsidR="00AE4AFC" w:rsidRPr="008F340F" w:rsidRDefault="00AE4AFC" w:rsidP="009F7FE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14:paraId="2C85DF71" w14:textId="77777777" w:rsidR="00AE4AFC" w:rsidRPr="008F340F" w:rsidRDefault="00AE4AFC" w:rsidP="009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9F757F5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F6A72" w14:textId="7DCD7A3A" w:rsidR="009F7FE2" w:rsidRDefault="0051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vertAlign w:val="superscript"/>
        </w:rPr>
        <w:t>a</w:t>
      </w:r>
      <w:proofErr w:type="gramEnd"/>
      <w:r>
        <w:rPr>
          <w:vertAlign w:val="superscript"/>
        </w:rPr>
        <w:t xml:space="preserve"> </w:t>
      </w:r>
      <w:r w:rsidRPr="0039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Diagnostic claims, including laboratory and radiology, durable medical equipment, and other specialized claims (e.g., ambulance) were not used to identify SSI to minimize capture of diagnostic workup as an outcome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DEE9453" w14:textId="70FDB1E9" w:rsidR="004C5382" w:rsidRPr="004C5382" w:rsidRDefault="0024252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2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b</w:t>
      </w:r>
      <w:r w:rsidR="004C5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Cellulitis</w:t>
      </w:r>
      <w:proofErr w:type="spellEnd"/>
      <w:proofErr w:type="gramEnd"/>
      <w:r w:rsidR="004C5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was only considered an SSI if a procedure was coded on the same claim line.</w:t>
      </w:r>
    </w:p>
    <w:p w14:paraId="4ED70D9D" w14:textId="74BD2272" w:rsidR="0024252A" w:rsidRPr="00512895" w:rsidRDefault="004C5382"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c</w:t>
      </w:r>
      <w:r w:rsidR="002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Required</w:t>
      </w:r>
      <w:proofErr w:type="spellEnd"/>
      <w:proofErr w:type="gramEnd"/>
      <w:r w:rsidR="002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coding for lymph node procedure during index mastectomy admission to be counted as an SSI (682.3 – cellulitis/abscess of axilla, 683 – acute lymphadenitis).</w:t>
      </w:r>
    </w:p>
    <w:p w14:paraId="15736AAA" w14:textId="77777777" w:rsidR="009368A2" w:rsidRDefault="009368A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FA7AB" w14:textId="77777777" w:rsidR="009368A2" w:rsidRDefault="009368A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00F88" w14:textId="77777777" w:rsidR="009368A2" w:rsidRDefault="009368A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5D8FA" w14:textId="77777777" w:rsidR="00034D16" w:rsidRDefault="00034D16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0A807" w14:textId="5CC7DC4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D16">
        <w:rPr>
          <w:rFonts w:ascii="Times New Roman" w:hAnsi="Times New Roman" w:cs="Times New Roman"/>
          <w:b/>
          <w:bCs/>
          <w:sz w:val="24"/>
          <w:szCs w:val="24"/>
        </w:rPr>
        <w:t>Appendix Table 5. Results of Bivariate Analyses for Association of Patient and Operative Factors with Receipt of Prophylactic Post-Discharge Antibiotics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7AE34B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89" w:type="dxa"/>
        <w:jc w:val="center"/>
        <w:tblLook w:val="04A0" w:firstRow="1" w:lastRow="0" w:firstColumn="1" w:lastColumn="0" w:noHBand="0" w:noVBand="1"/>
      </w:tblPr>
      <w:tblGrid>
        <w:gridCol w:w="4590"/>
        <w:gridCol w:w="1890"/>
        <w:gridCol w:w="1890"/>
        <w:gridCol w:w="900"/>
        <w:gridCol w:w="1980"/>
        <w:gridCol w:w="1980"/>
        <w:gridCol w:w="1559"/>
      </w:tblGrid>
      <w:tr w:rsidR="009F7FE2" w:rsidRPr="0059026E" w14:paraId="31DDD818" w14:textId="77777777" w:rsidTr="00AE4720">
        <w:trPr>
          <w:trHeight w:val="66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8A6B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DA00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Mastectomy-only  (n=13,975)</w:t>
            </w:r>
          </w:p>
        </w:tc>
        <w:tc>
          <w:tcPr>
            <w:tcW w:w="5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1580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Mastectomy with immediate reconstruction (n=24,818)</w:t>
            </w:r>
          </w:p>
        </w:tc>
      </w:tr>
      <w:tr w:rsidR="009F7FE2" w:rsidRPr="0059026E" w14:paraId="6DB63225" w14:textId="77777777" w:rsidTr="00AE4720">
        <w:trPr>
          <w:trHeight w:val="630"/>
          <w:jc w:val="center"/>
        </w:trPr>
        <w:tc>
          <w:tcPr>
            <w:tcW w:w="4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EFA8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B8D3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Receiving Prescriptio</w:t>
            </w:r>
            <w:r w:rsidR="00E5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for Antibiotic (%) n=2,688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6AB8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Without Prescrip</w:t>
            </w:r>
            <w:r w:rsidR="00E5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tion for Antibiotic (%) n=11,287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D642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6B67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Receiving Prescrip</w:t>
            </w:r>
            <w:r w:rsidR="00E5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tion for Antibiotic (%) n=17,807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4EEC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Without Prescri</w:t>
            </w:r>
            <w:r w:rsidR="0046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ption for Antibiotic (%) n=7,011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7AFD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9F7FE2" w:rsidRPr="0059026E" w14:paraId="5F27ADFC" w14:textId="77777777" w:rsidTr="00AE4720">
        <w:trPr>
          <w:trHeight w:val="690"/>
          <w:jc w:val="center"/>
        </w:trPr>
        <w:tc>
          <w:tcPr>
            <w:tcW w:w="4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EA769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92543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74513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1AA31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8AEDCB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D17657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5A92C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FE2" w:rsidRPr="0059026E" w14:paraId="41F0AF4F" w14:textId="77777777" w:rsidTr="00AE4720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94CF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Patient factors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9122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B8737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F15DB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65A56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45EAD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C69F" w14:textId="77777777" w:rsidR="009F7FE2" w:rsidRPr="0059026E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36394583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329B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in years (median, IQR)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3409" w14:textId="56D8983E" w:rsidR="009F7FE2" w:rsidRPr="00425F3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(47, 60)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FAEF" w14:textId="4E55667A" w:rsidR="009F7FE2" w:rsidRPr="00425F3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(48, 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8F78" w14:textId="3D493C00" w:rsidR="009F7FE2" w:rsidRPr="00425F3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D71E" w14:textId="3D8F9222" w:rsidR="009F7FE2" w:rsidRPr="00425F3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(43, 56)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82A7" w14:textId="47E5FCCA" w:rsidR="009F7FE2" w:rsidRPr="00425F3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(44, 56)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F198" w14:textId="5D1FB470" w:rsidR="009F7FE2" w:rsidRPr="00425F3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64A95A94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C7EA4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residence, region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416E" w14:textId="245A0B79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E95C" w14:textId="2D76F22E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4471" w14:textId="77777777" w:rsidR="009F7FE2" w:rsidRPr="0046590F" w:rsidRDefault="0046590F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6A9C" w14:textId="4735A4A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A80E" w14:textId="6FFA819E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0292" w14:textId="7777777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31150AF7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BACE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Northeast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3EE9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(13.0%)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54D4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1,310 (11.6%)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F6E0" w14:textId="784B7A43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A925" w14:textId="7777777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3,550 (19.9%)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CC00" w14:textId="7777777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1,078 (15.4%)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1ADA" w14:textId="029E63E4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1802039A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2839E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Central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0EBA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(24.2%)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D69B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2,771 (24.6%)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B47A" w14:textId="116AC592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80B1" w14:textId="7777777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4,080 (22.9%)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CE02" w14:textId="7777777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1,665 (23.8%)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F60C" w14:textId="482A3E2B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1AAE421E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EB3C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30CA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  <w:r w:rsidR="009616B3"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(42.9%)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5A6FA" w14:textId="77777777" w:rsidR="009F7FE2" w:rsidRPr="0046590F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4,846</w:t>
            </w:r>
            <w:r w:rsidR="009F7FE2"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(42.9%)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8662" w14:textId="179FD715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34F8" w14:textId="77777777" w:rsidR="009F7FE2" w:rsidRPr="003F6CF3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6,775</w:t>
            </w:r>
            <w:r w:rsidR="009F7FE2"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(38.1%)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DFFE" w14:textId="77777777" w:rsidR="009F7FE2" w:rsidRPr="003F6CF3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3,090</w:t>
            </w:r>
            <w:r w:rsidR="009F7FE2"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(44.1%)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DB34" w14:textId="6A0B03D6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17F14E16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45C7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A4B4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 (20.0%)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7D2F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2,360 (20.9%)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4E36" w14:textId="439F2652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5B29" w14:textId="77777777" w:rsidR="009F7FE2" w:rsidRPr="003F6CF3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3,402</w:t>
            </w:r>
            <w:r w:rsidR="009F7FE2"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(19.1%)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232B" w14:textId="77777777" w:rsidR="009F7FE2" w:rsidRPr="003F6CF3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1,178</w:t>
            </w:r>
            <w:r w:rsidR="009F7FE2"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(16.8%)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D20E" w14:textId="4B8E021D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3B49748C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6428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residence (non-MSA)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14EA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(16.8%)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52AB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2,124 (18.8%)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0EC2" w14:textId="77777777" w:rsidR="009F7FE2" w:rsidRPr="0046590F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21DD" w14:textId="7777777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1,645 (9.2%)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9D8A8" w14:textId="77777777" w:rsidR="009F7FE2" w:rsidRPr="003F6CF3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 (10.8</w:t>
            </w:r>
            <w:r w:rsidR="009F7FE2"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4F71" w14:textId="77777777" w:rsidR="009F7FE2" w:rsidRPr="003F6CF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15CA66D5" w14:textId="77777777" w:rsidTr="00FC2A2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F82D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Patient factors- comorbidities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59D9B" w14:textId="77777777" w:rsidR="009F7FE2" w:rsidRPr="00AE198B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C132E" w14:textId="77777777" w:rsidR="009F7FE2" w:rsidRPr="00AE198B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8BDAD" w14:textId="77777777" w:rsidR="009F7FE2" w:rsidRPr="00AE198B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17A54" w14:textId="77777777" w:rsidR="009F7FE2" w:rsidRPr="00AE198B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EB23F" w14:textId="77777777" w:rsidR="009F7FE2" w:rsidRPr="00AE198B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8EA8A" w14:textId="77777777" w:rsidR="009F7FE2" w:rsidRPr="00AE198B" w:rsidRDefault="009F7FE2" w:rsidP="009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00C6" w:rsidRPr="0059026E" w14:paraId="76309A87" w14:textId="77777777" w:rsidTr="00FB2F20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2C71D" w14:textId="41A523F4" w:rsidR="003400C6" w:rsidRPr="0059026E" w:rsidRDefault="003400C6" w:rsidP="003400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Readmission score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(median, IQR)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7F2C" w14:textId="19983ADC" w:rsidR="003400C6" w:rsidRPr="00952DB5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 (12,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49A71" w14:textId="28993BCF" w:rsidR="003400C6" w:rsidRPr="00952DB5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 (3, 21)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5CAA0" w14:textId="6A19A7E3" w:rsidR="003400C6" w:rsidRPr="00AE198B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7B336A" w14:textId="21C1BF9B" w:rsidR="003400C6" w:rsidRPr="003400C6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(15, 21)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705ACC" w14:textId="20E05BF3" w:rsidR="003400C6" w:rsidRPr="003400C6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(15, 21)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83685" w14:textId="1546B354" w:rsidR="003400C6" w:rsidRPr="00000303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0.499</w:t>
            </w:r>
          </w:p>
        </w:tc>
      </w:tr>
      <w:tr w:rsidR="009F7FE2" w:rsidRPr="0059026E" w14:paraId="0335A2EB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7C3C9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B7A8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865D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(0.0%)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91EC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F968" w14:textId="77777777" w:rsidR="009F7FE2" w:rsidRPr="0000030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(0.0%)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C91E" w14:textId="77777777" w:rsidR="009F7FE2" w:rsidRPr="0000030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(0.0%)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88E5" w14:textId="77777777" w:rsidR="009F7FE2" w:rsidRPr="00000303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0.885</w:t>
            </w:r>
          </w:p>
        </w:tc>
      </w:tr>
      <w:tr w:rsidR="009F7FE2" w:rsidRPr="0059026E" w14:paraId="78C5ED09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D03D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 abuse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76DA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(0.3%)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846A2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(0.7%)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B2F4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2F74" w14:textId="77777777" w:rsidR="009F7FE2" w:rsidRPr="0000030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(0.5%)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55DF" w14:textId="77777777" w:rsidR="009F7FE2" w:rsidRPr="0000030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(0.5%)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038F4" w14:textId="77777777" w:rsidR="009F7FE2" w:rsidRPr="00000303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0.694</w:t>
            </w:r>
          </w:p>
        </w:tc>
      </w:tr>
      <w:tr w:rsidR="009F7FE2" w:rsidRPr="0059026E" w14:paraId="2CDF0374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70F9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Anemia prior 30 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E04A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(5.9%)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5CF0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(5.7%)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25CD" w14:textId="77777777" w:rsidR="009F7FE2" w:rsidRPr="008A44C8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EEF4E" w14:textId="77777777" w:rsidR="009F7FE2" w:rsidRPr="00000303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</w:t>
            </w:r>
            <w:r w:rsidR="009F7FE2"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(5.2%)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F73C4" w14:textId="77777777" w:rsidR="009F7FE2" w:rsidRPr="00000303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  <w:r w:rsidR="009F7FE2"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(6.8%)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D423" w14:textId="77777777" w:rsidR="009F7FE2" w:rsidRPr="00000303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1A95920A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5096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blood loss anemia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3CFF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(0.2%)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C672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(0.2%)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0305" w14:textId="77777777" w:rsidR="009F7FE2" w:rsidRPr="00AE198B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971A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(0.2%)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FBACF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(0.3%)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5312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9F7FE2" w:rsidRPr="0059026E" w14:paraId="0C27B37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46F5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kidney disease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F2BD6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(0.9%)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9885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(0.7%)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EFBE" w14:textId="77777777" w:rsidR="009F7FE2" w:rsidRPr="00AE198B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4C86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(0.3%)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9E4D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(0.3%)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BFD9" w14:textId="77777777" w:rsidR="009F7FE2" w:rsidRPr="00D448C5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0.674</w:t>
            </w:r>
          </w:p>
        </w:tc>
      </w:tr>
      <w:tr w:rsidR="009F7FE2" w:rsidRPr="0059026E" w14:paraId="324E2429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8DBA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pulmonary disease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01B2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(6.3%)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2DD6F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 (6.3%)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C803" w14:textId="77777777" w:rsidR="009F7FE2" w:rsidRPr="00AE198B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6E903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1,045 (5.9%)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14B1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(6.1%)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CD20" w14:textId="77777777" w:rsidR="009F7FE2" w:rsidRPr="00D448C5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0.427</w:t>
            </w:r>
          </w:p>
        </w:tc>
      </w:tr>
      <w:tr w:rsidR="009F7FE2" w:rsidRPr="0059026E" w14:paraId="7F39D0CD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0312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Coagulopathy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C2FF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(0.7%)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9B6A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(0.8%)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FDEC4" w14:textId="77777777" w:rsidR="009F7FE2" w:rsidRPr="00AE198B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D3F4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(0.7%)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D0DCF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(0.8%)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93B2" w14:textId="77777777" w:rsidR="009F7FE2" w:rsidRPr="00D448C5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0.582</w:t>
            </w:r>
          </w:p>
        </w:tc>
      </w:tr>
      <w:tr w:rsidR="009F7FE2" w:rsidRPr="0059026E" w14:paraId="0E1C3E58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5111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Congestive heart failure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D81C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(0.7%)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8954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(0.9%)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4F94" w14:textId="77777777" w:rsidR="009F7FE2" w:rsidRPr="00AE198B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C88B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(0.2%)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45ED" w14:textId="77777777" w:rsidR="009F7FE2" w:rsidRPr="00D448C5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(0.3%)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46F3C" w14:textId="77777777" w:rsidR="009F7FE2" w:rsidRPr="00D448C5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</w:tr>
      <w:tr w:rsidR="009F7FE2" w:rsidRPr="0059026E" w14:paraId="5662E8CB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7F05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Deficiency anemias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E6D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(4.4%)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20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(4.1%)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6550A" w14:textId="77777777" w:rsidR="009F7FE2" w:rsidRPr="00B65EDC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40B1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(3.6%)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9AE4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(4.0%)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1FCE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0.118</w:t>
            </w:r>
          </w:p>
        </w:tc>
      </w:tr>
      <w:tr w:rsidR="009F7FE2" w:rsidRPr="0059026E" w14:paraId="19E4A31B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98E1C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A44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(5.4%)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5AE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 (5.1%)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60F2" w14:textId="77777777" w:rsidR="009F7FE2" w:rsidRPr="00B65EDC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0.578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E23B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1,165 (6.5%)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E055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(7.3%)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BCB8" w14:textId="77777777" w:rsidR="009F7FE2" w:rsidRPr="00B65EDC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9F7FE2" w:rsidRPr="0059026E" w14:paraId="78714FB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087D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A0C4" w14:textId="77777777" w:rsidR="009F7FE2" w:rsidRPr="00B65EDC" w:rsidRDefault="0046590F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 (14.7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54B2" w14:textId="77777777" w:rsidR="009F7FE2" w:rsidRPr="00B65EDC" w:rsidRDefault="0046590F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1,494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142C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46590F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97D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1,120 (6.3%)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650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(6.5%)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A248" w14:textId="77777777" w:rsidR="009F7FE2" w:rsidRPr="00B65EDC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0.560</w:t>
            </w:r>
          </w:p>
        </w:tc>
      </w:tr>
      <w:tr w:rsidR="009F7FE2" w:rsidRPr="0059026E" w14:paraId="4CE41CD4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B013C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abuse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33BC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(0.5%)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A471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(0.5%)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4150" w14:textId="77777777" w:rsidR="009F7FE2" w:rsidRPr="00B65EDC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981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(0.3%)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984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(0.3%)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0A12E" w14:textId="77777777" w:rsidR="009F7FE2" w:rsidRPr="00B65EDC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0.391</w:t>
            </w:r>
          </w:p>
        </w:tc>
      </w:tr>
      <w:tr w:rsidR="009F7FE2" w:rsidRPr="0059026E" w14:paraId="1E1306DD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D6EB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Elevated triglycerides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D069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(0.7%)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1A39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(0.6%)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BA87" w14:textId="77777777" w:rsidR="009F7FE2" w:rsidRPr="00B65EDC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17AE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(0.4%)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A9B0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(0.5%)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A093" w14:textId="77777777" w:rsidR="009F7FE2" w:rsidRPr="00B65EDC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0.206</w:t>
            </w:r>
          </w:p>
        </w:tc>
      </w:tr>
      <w:tr w:rsidR="009F7FE2" w:rsidRPr="0059026E" w14:paraId="7B73E67D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0F7F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Fluid and electrolyte disorders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525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(3.9%)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310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(3.0%)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5D10" w14:textId="77777777" w:rsidR="009F7FE2" w:rsidRPr="00B65EDC" w:rsidRDefault="00AE198B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A1D41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(1.9%)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3CC7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(1.9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6301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0.819</w:t>
            </w:r>
          </w:p>
        </w:tc>
      </w:tr>
      <w:tr w:rsidR="009F7FE2" w:rsidRPr="0059026E" w14:paraId="69CC8F3C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5467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CB29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 (26.0%)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B24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3,048 (27.0%)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1DAC2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083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3,220 (18.1%)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1E140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1,435 (20.5%)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21C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01B3372F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E1DD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Hypothyroidism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B8CB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(7.8%)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37F7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A7B7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FF0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1,522 (8.6%)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B0C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 (9.0%)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4252" w14:textId="77777777" w:rsidR="009F7FE2" w:rsidRPr="00B65EDC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0.225</w:t>
            </w:r>
          </w:p>
        </w:tc>
      </w:tr>
      <w:tr w:rsidR="009F7FE2" w:rsidRPr="0059026E" w14:paraId="33099404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AF0F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Inpatient admission prior 30 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BA0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(1.9%)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83E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(1.0%)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9F4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BA9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(0.4%)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0DFE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(0.6%)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E7AC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9F7FE2" w:rsidRPr="0059026E" w14:paraId="4843F27F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31D3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disease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335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(0.8%)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23B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(0.8%)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0942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335F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(0.5%)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3C59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(0.4%)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EB76" w14:textId="77777777" w:rsidR="009F7FE2" w:rsidRPr="00B65EDC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0.847</w:t>
            </w:r>
          </w:p>
        </w:tc>
      </w:tr>
      <w:tr w:rsidR="009F7FE2" w:rsidRPr="0059026E" w14:paraId="239114C6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C9E0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Lymphoma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8B1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(0.3%)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B161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(0.4%)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818B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B140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(0.4%)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B28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(0.5%)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D9DF1" w14:textId="77777777" w:rsidR="009F7FE2" w:rsidRPr="00B65EDC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0.483</w:t>
            </w:r>
          </w:p>
        </w:tc>
      </w:tr>
      <w:tr w:rsidR="009F7FE2" w:rsidRPr="0059026E" w14:paraId="46088C53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AAD4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Malnutrition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31A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(0.4%)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94B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(0.4%)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B0B5" w14:textId="77777777" w:rsidR="009F7FE2" w:rsidRPr="00B65EDC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1D82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(0.2%)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7C0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(0.2%)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BCCB1" w14:textId="77777777" w:rsidR="009F7FE2" w:rsidRPr="00B65EDC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0.530</w:t>
            </w:r>
          </w:p>
        </w:tc>
      </w:tr>
      <w:tr w:rsidR="009F7FE2" w:rsidRPr="0059026E" w14:paraId="06B59FB1" w14:textId="77777777" w:rsidTr="00B65EDC">
        <w:trPr>
          <w:trHeight w:val="448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26E4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Neoadjuvant chemotherapy prior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D16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(23.0%)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DDF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2,300 (20.4%)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2C1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44C8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7D5E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2,396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(13.5%)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35EC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 (12.3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701B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</w:tr>
      <w:tr w:rsidR="009F7FE2" w:rsidRPr="0059026E" w14:paraId="33F8F23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01A7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Obesity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078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(14.1%)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6D30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1,518 (13.5%)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0C22" w14:textId="77777777" w:rsidR="009F7FE2" w:rsidRPr="00B65EDC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395D" w14:textId="77777777" w:rsidR="009F7FE2" w:rsidRPr="00B65EDC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1,628 (9.1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636D" w14:textId="77777777" w:rsidR="009F7FE2" w:rsidRPr="00B65EDC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(10.3%)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20BF" w14:textId="77777777" w:rsidR="009F7FE2" w:rsidRPr="00B65EDC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9F7FE2" w:rsidRPr="0059026E" w14:paraId="6F602F11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FB1E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neurological disorders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AC61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(1.0%)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D018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(1.7%)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1EDC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CBD71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(1.1%)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C8E8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(1.5%)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182D" w14:textId="77777777" w:rsidR="009F7FE2" w:rsidRPr="00B65EDC" w:rsidRDefault="00D448C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9F7FE2" w:rsidRPr="0059026E" w14:paraId="5D90EFF8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8C45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Paralysis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1EE3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(0.2%)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D2E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(0.2%)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3CC9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ECC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(0.0%)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18A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(0.1%)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015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0.413</w:t>
            </w:r>
          </w:p>
        </w:tc>
      </w:tr>
      <w:tr w:rsidR="009F7FE2" w:rsidRPr="0059026E" w14:paraId="54AA694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F1FC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Peripheral vascular disease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11C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(0.5%)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140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(0.7%)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3F78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A50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(0.2%)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ACD7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(0.3%)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2D58" w14:textId="77777777" w:rsidR="009F7FE2" w:rsidRPr="00B65EDC" w:rsidRDefault="0023772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0.500</w:t>
            </w:r>
          </w:p>
        </w:tc>
      </w:tr>
      <w:tr w:rsidR="009F7FE2" w:rsidRPr="0059026E" w14:paraId="55CD7025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A5D3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Psychoses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A66D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(3.8%)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3CF9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(3.2%)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ECA2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C3F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(3.5%)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AEA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(3.0%)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0EE" w14:textId="77777777" w:rsidR="009F7FE2" w:rsidRPr="00B65EDC" w:rsidRDefault="0023772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</w:tr>
      <w:tr w:rsidR="009F7FE2" w:rsidRPr="0059026E" w14:paraId="0413793D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126F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Pulmonary circulation disease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01B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(0.5%)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B28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(0.6%)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FE4D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0.497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AE7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(0.2%)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9A3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(0.4%)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1668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6A27DC" w:rsidRPr="0059026E" w14:paraId="686D443A" w14:textId="77777777" w:rsidTr="00B65EDC">
        <w:trPr>
          <w:trHeight w:val="331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5D0E" w14:textId="45375BE4" w:rsidR="006A27DC" w:rsidRPr="0059026E" w:rsidRDefault="006A27DC" w:rsidP="006A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Rheumatoid arthritis/ collagen vascular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4C48A" w14:textId="6654559D" w:rsidR="006A27DC" w:rsidRPr="00B65EDC" w:rsidRDefault="006A27DC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(2.1%)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4D5E5" w14:textId="4C65628B" w:rsidR="006A27DC" w:rsidRPr="00B65EDC" w:rsidRDefault="006A27DC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(2.2%)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BEA461" w14:textId="688247A9" w:rsidR="006A27DC" w:rsidRPr="00B65EDC" w:rsidRDefault="006A27DC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5168D" w14:textId="6903FE13" w:rsidR="006A27DC" w:rsidRPr="00B65EDC" w:rsidRDefault="006A27DC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(1.7%)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2ED59E" w14:textId="59371D61" w:rsidR="006A27DC" w:rsidRPr="00B65EDC" w:rsidRDefault="006A27DC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(1.6%)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C609A8" w14:textId="326F0375" w:rsidR="006A27DC" w:rsidRPr="00B65EDC" w:rsidRDefault="006A27DC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0.474</w:t>
            </w:r>
          </w:p>
        </w:tc>
      </w:tr>
      <w:tr w:rsidR="009F7FE2" w:rsidRPr="0059026E" w14:paraId="029B648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48E0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911F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(15.2%)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FA45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1,618 (14.3%)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0291F" w14:textId="77777777" w:rsidR="009F7FE2" w:rsidRPr="008A44C8" w:rsidRDefault="00AF2C81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4E13" w14:textId="77777777" w:rsidR="009F7FE2" w:rsidRPr="002003B0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2,165</w:t>
            </w:r>
            <w:r w:rsidR="009F7FE2"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(12.2%)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F124" w14:textId="77777777" w:rsidR="009F7FE2" w:rsidRPr="002003B0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  <w:r w:rsidR="009F7FE2"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(12.9%)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BB6F" w14:textId="77777777" w:rsidR="009F7FE2" w:rsidRPr="002003B0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0.106</w:t>
            </w:r>
          </w:p>
        </w:tc>
      </w:tr>
      <w:tr w:rsidR="009F7FE2" w:rsidRPr="0059026E" w14:paraId="6971425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2771" w14:textId="77777777" w:rsidR="009F7FE2" w:rsidRPr="0059026E" w:rsidRDefault="003179AF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Smoking prox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E296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(3.1%)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5860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(3.1%)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4A71" w14:textId="77777777" w:rsidR="009F7FE2" w:rsidRPr="008A44C8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BCB8" w14:textId="77777777" w:rsidR="009F7FE2" w:rsidRPr="002003B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(1.3%)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DFB9" w14:textId="77777777" w:rsidR="009F7FE2" w:rsidRPr="002003B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(1.7%)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7FDF" w14:textId="77777777" w:rsidR="009F7FE2" w:rsidRPr="002003B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9F7FE2" w:rsidRPr="0059026E" w14:paraId="44C88B14" w14:textId="77777777" w:rsidTr="00B65EDC">
        <w:trPr>
          <w:trHeight w:val="315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DFAA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Staphylococcus aureus 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infection 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461D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(0.7%)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99B5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(0.2%)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800F" w14:textId="77777777" w:rsidR="009F7FE2" w:rsidRPr="008A44C8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87FA" w14:textId="77777777" w:rsidR="009F7FE2" w:rsidRPr="002003B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(0.2%)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7B6E" w14:textId="77777777" w:rsidR="009F7FE2" w:rsidRPr="002003B0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(0.3%)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FD50" w14:textId="77777777" w:rsidR="009F7FE2" w:rsidRPr="002003B0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</w:tr>
      <w:tr w:rsidR="009F7FE2" w:rsidRPr="0059026E" w14:paraId="314925A4" w14:textId="77777777" w:rsidTr="006A27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4DC3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prior year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02755" w14:textId="77777777" w:rsidR="009F7FE2" w:rsidRPr="00AF2C81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19429" w14:textId="77777777" w:rsidR="009F7FE2" w:rsidRPr="00AF2C81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DD025" w14:textId="77777777" w:rsidR="009F7FE2" w:rsidRPr="00AF2C81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700F9" w14:textId="77777777" w:rsidR="009F7FE2" w:rsidRPr="00AF2C81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D08A7" w14:textId="77777777" w:rsidR="009F7FE2" w:rsidRPr="00AF2C81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1D15A" w14:textId="77777777" w:rsidR="009F7FE2" w:rsidRPr="00AF2C81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F7FE2" w:rsidRPr="0059026E" w14:paraId="56F0AC53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C40A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Ulcer colitis /Crohn's disease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AE11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(0.6%)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945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(0.7%)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E452" w14:textId="77777777" w:rsidR="009F7FE2" w:rsidRPr="00B65EDC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CF2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(0.9%)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F72F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(0.8%)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7A54" w14:textId="77777777" w:rsidR="009F7FE2" w:rsidRPr="00B65EDC" w:rsidRDefault="002003B0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0.480</w:t>
            </w:r>
          </w:p>
        </w:tc>
      </w:tr>
      <w:tr w:rsidR="009F7FE2" w:rsidRPr="0059026E" w14:paraId="68A68DD4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D4C0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Valvular disease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1B97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(2.1%)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03C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(2.0%)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41A8" w14:textId="77777777" w:rsidR="009F7FE2" w:rsidRPr="00B65EDC" w:rsidRDefault="00D44AC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A080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(2.2%)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F1981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(1.9%)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3CE2" w14:textId="77777777" w:rsidR="009F7FE2" w:rsidRPr="00B65EDC" w:rsidRDefault="0023772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</w:tr>
      <w:tr w:rsidR="009F7FE2" w:rsidRPr="0059026E" w14:paraId="5BC6944D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F527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loss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ABA9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(1.2%)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7213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(1.3%)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0A2A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96C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(0.7%)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CF2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(0.8%)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8907" w14:textId="77777777" w:rsidR="009F7FE2" w:rsidRPr="00B65EDC" w:rsidRDefault="0023772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0.347</w:t>
            </w:r>
          </w:p>
        </w:tc>
      </w:tr>
      <w:tr w:rsidR="009F7FE2" w:rsidRPr="0059026E" w14:paraId="3250C5FA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481A" w14:textId="77777777" w:rsidR="009F7FE2" w:rsidRPr="0059026E" w:rsidRDefault="009F7FE2" w:rsidP="009F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Operative factors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107F" w14:textId="21F3E2B6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A623" w14:textId="244D213B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69ED" w14:textId="3E00A85B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8170" w14:textId="3A476F52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8573" w14:textId="61866278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45A6" w14:textId="7B7C92F2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004BDDE4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60F0" w14:textId="77777777" w:rsidR="009F7FE2" w:rsidRPr="0059026E" w:rsidRDefault="009F7FE2" w:rsidP="009F7FE2">
            <w:pPr>
              <w:spacing w:after="0" w:line="240" w:lineRule="auto"/>
              <w:ind w:leftChars="100"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entral venous catheter 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insertion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during the mastectomy admission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BE9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(4.8%)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73C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 (6.5%)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949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DD6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(3.1%)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EC33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(3.7%)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4A8E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9F7FE2" w:rsidRPr="0059026E" w14:paraId="4386594D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C1F0F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Implant reconstruction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7B3D" w14:textId="751E49B1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8D88" w14:textId="25FE0E34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60FD" w14:textId="1E73A0F5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A7CB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16,221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(91.1%)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0770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5,534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(78.9%)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34B9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6929653B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AC60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Inpatient mastectomy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AAB4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1,125 (41.9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8E5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4,108 (36.4%)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5602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3942" w14:textId="77777777" w:rsidR="009F7FE2" w:rsidRPr="00B65EDC" w:rsidRDefault="0023772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11,331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(63.6%)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6B1A" w14:textId="77777777" w:rsidR="009F7FE2" w:rsidRPr="00B65EDC" w:rsidRDefault="00237725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4,951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(70.6%)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7AE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2B8C3F7A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7CF2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Length of stay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3B10" w14:textId="54F29618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A510" w14:textId="7974EE4F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1EE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06FD" w14:textId="15E73381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02FC" w14:textId="61AF976E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46A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3E2D56FF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0310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 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4B30" w14:textId="77777777" w:rsidR="009F7FE2" w:rsidRPr="00B65EDC" w:rsidRDefault="0046590F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2,196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(81.7%)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4A21" w14:textId="77777777" w:rsidR="009F7FE2" w:rsidRPr="00B65EDC" w:rsidRDefault="0046590F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9,714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(86.1%)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97B9" w14:textId="28514050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75D6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10,603 (59.5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58694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3,403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(48.5%)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8D4EC" w14:textId="501CFF60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55BC7ACD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58D0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1E2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(16.0%)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4519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1,428 (12.7%)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4FF8" w14:textId="037DD634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8F38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5,822 (32.7%)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450A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2,475 (35.3%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677A" w14:textId="0D8F3195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34005E5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EF40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4+ 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4FD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(2.3%)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43B8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(1.3%)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EED8" w14:textId="496DC671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797D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1,382 (7.8%)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852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1,133 (16.2%)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A4B4" w14:textId="1362C86D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2EB9A698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0380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Modified radical mastectomy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F035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1,304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(48.5%)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0F9F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5,797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(51.4%)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35F5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BC0C2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5,661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(31.8%)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BAA2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2,293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(32.7%)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7865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0.164</w:t>
            </w:r>
          </w:p>
        </w:tc>
      </w:tr>
      <w:tr w:rsidR="009F7FE2" w:rsidRPr="0059026E" w14:paraId="749F827E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CEEA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 for mastectomy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BB9A" w14:textId="4FAFBC3D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7DF8E" w14:textId="23D5444F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37E8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99A4" w14:textId="47AA3D80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2B07" w14:textId="6906372E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8E86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9F7FE2" w:rsidRPr="0059026E" w14:paraId="693705EE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177B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9F55" w14:textId="77777777" w:rsidR="009F7FE2" w:rsidRPr="00B65EDC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2,264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(84.2%)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2498" w14:textId="77777777" w:rsidR="009F7FE2" w:rsidRPr="00B65EDC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9,750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(86.4%)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B537" w14:textId="2E7FDE31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A8DE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13,591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(76.3%)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14BC" w14:textId="77777777" w:rsidR="009F7FE2" w:rsidRPr="00B65EDC" w:rsidRDefault="000003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5,267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(75.1%)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B19BB" w14:textId="7A7BC8A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66DDDA76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63FB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A34C" w14:textId="77777777" w:rsidR="009F7FE2" w:rsidRPr="00B65EDC" w:rsidRDefault="008A44C8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(9.8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720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1,142 (10.1%)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3597" w14:textId="79CD9A1D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A5A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2,909 (16.3%)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535C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1,157 (16.5%)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B9C7" w14:textId="5F9E36A8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2E5690B1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D288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Prophylactic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9A4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(6.0%)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4F38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(3.5%)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2E99D" w14:textId="53A3A911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16D0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1,307 (7.3%)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D6E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(8.4%)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E4E9" w14:textId="4899C971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4487EF6F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AC2B" w14:textId="77777777" w:rsidR="009F7FE2" w:rsidRPr="0059026E" w:rsidRDefault="009F7FE2" w:rsidP="009F7FE2">
            <w:pPr>
              <w:spacing w:after="0" w:line="240" w:lineRule="auto"/>
              <w:ind w:leftChars="100"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urgical complication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during surgical admission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CD9C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(3.3%)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80F0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(2.1%)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9318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0189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(2.8%)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9C4B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(3.1%)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B392" w14:textId="77777777" w:rsidR="009F7FE2" w:rsidRPr="00B65EDC" w:rsidRDefault="003F6CF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0.185</w:t>
            </w:r>
          </w:p>
        </w:tc>
      </w:tr>
      <w:tr w:rsidR="009F7FE2" w:rsidRPr="0059026E" w14:paraId="60EBFCEE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57DB" w14:textId="77777777" w:rsidR="009F7FE2" w:rsidRPr="0059026E" w:rsidRDefault="009F7FE2" w:rsidP="009F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surgery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C40ED" w14:textId="4ED1CCD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B22B" w14:textId="61AC374F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EEF1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6CCA" w14:textId="26D2BE6C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6809" w14:textId="7DDFFE36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F544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F7FE2" w:rsidRPr="0059026E" w14:paraId="44148E1A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31E63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935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(21.3%)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DF5C7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2,404 (21.3%)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A9B39" w14:textId="15285AAD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C1EE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2,768 (15.5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9BAC6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1,288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(18.4%)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2CC1" w14:textId="482B5878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491D4F51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C58CE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C895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 (19.5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A544" w14:textId="77777777" w:rsidR="009F7FE2" w:rsidRPr="00B65EDC" w:rsidRDefault="009616B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2,173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F0D5" w14:textId="41EDC138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D54D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3,130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(17.6%)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AE1C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1,269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(18.1%)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386C" w14:textId="591A6213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204D852E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8A63A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C3B5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(21.2%)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B8E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2,378 (21.1%)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7D1C1" w14:textId="64315FD9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6D6C4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3,639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(20.4%)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0E92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1,527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(21.8%)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CA10" w14:textId="5536E5B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7290947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067C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A10C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 (16.3%)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0AFF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1,888 (16.7%)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B6F9" w14:textId="36178E2C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3C3D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3,240 (18.2%)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9219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1,195 (17.0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D427" w14:textId="40B60F04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7D76458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7656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9F93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(15.1%)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BE8A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1,720 (15.2%)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A2F4" w14:textId="236AEEE9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336FE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3,477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(19.5%)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18BA3" w14:textId="77777777" w:rsidR="009F7FE2" w:rsidRPr="00B65EDC" w:rsidRDefault="00F17D1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1,199</w:t>
            </w:r>
            <w:r w:rsidR="009F7FE2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(17.1%)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AC20" w14:textId="585C2E0B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FE2" w:rsidRPr="0059026E" w14:paraId="51DE0D60" w14:textId="77777777" w:rsidTr="00B65EDC">
        <w:trPr>
          <w:trHeight w:val="330"/>
          <w:jc w:val="center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545B2" w14:textId="77777777" w:rsidR="009F7FE2" w:rsidRPr="0059026E" w:rsidRDefault="009F7FE2" w:rsidP="009F7FE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A3CB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(6.6%)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6C53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(6.4%)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943B" w14:textId="635F4E2F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5A73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1,553 (8.7%)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BE66" w14:textId="77777777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(7.6%)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39FB" w14:textId="5A475A62" w:rsidR="009F7FE2" w:rsidRPr="00B65EDC" w:rsidRDefault="009F7FE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DFD424" w14:textId="77777777" w:rsidR="006A27DC" w:rsidRDefault="006A27DC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493C0" w14:textId="77CD165D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D1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Table 6. Results of Bivariate Analyses for Association of Patient and Operative Factors with Surgical Site Infection</w:t>
      </w:r>
    </w:p>
    <w:p w14:paraId="171519B3" w14:textId="77777777" w:rsidR="009F7FE2" w:rsidRDefault="009F7FE2" w:rsidP="009F7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79F8D" w14:textId="77777777" w:rsidR="00714B03" w:rsidRDefault="00714B03" w:rsidP="00714B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90" w:type="dxa"/>
        <w:jc w:val="center"/>
        <w:tblLook w:val="04A0" w:firstRow="1" w:lastRow="0" w:firstColumn="1" w:lastColumn="0" w:noHBand="0" w:noVBand="1"/>
      </w:tblPr>
      <w:tblGrid>
        <w:gridCol w:w="4680"/>
        <w:gridCol w:w="1800"/>
        <w:gridCol w:w="2070"/>
        <w:gridCol w:w="900"/>
        <w:gridCol w:w="1743"/>
        <w:gridCol w:w="2217"/>
        <w:gridCol w:w="980"/>
      </w:tblGrid>
      <w:tr w:rsidR="00714B03" w:rsidRPr="0059026E" w14:paraId="1C2897F2" w14:textId="77777777" w:rsidTr="00714B03">
        <w:trPr>
          <w:trHeight w:val="63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E8E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53842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Mastectomy-only  (n=13,975)</w:t>
            </w:r>
          </w:p>
        </w:tc>
        <w:tc>
          <w:tcPr>
            <w:tcW w:w="4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F812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Mastectomy with immediate reconstruction (n=24,818)</w:t>
            </w:r>
          </w:p>
        </w:tc>
      </w:tr>
      <w:tr w:rsidR="00714B03" w:rsidRPr="0059026E" w14:paraId="113531C1" w14:textId="77777777" w:rsidTr="00714B03">
        <w:trPr>
          <w:trHeight w:val="510"/>
          <w:jc w:val="center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DB61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087A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with SSI (%)         n=490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3445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without SSI (%) n=13,485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0FF5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227E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with SSI (%)        n=2,173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F240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 Without SSI (%) n=22,645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36BF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714B03" w:rsidRPr="0059026E" w14:paraId="62E8C312" w14:textId="77777777" w:rsidTr="00714B03">
        <w:trPr>
          <w:trHeight w:val="450"/>
          <w:jc w:val="center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26FF6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E08B4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0E784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E6BD3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B5252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1F75E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BBBA59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4B03" w:rsidRPr="0059026E" w14:paraId="7FE8C7AB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0621B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Post-discharge prophylactic antibiotic use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0741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(17.6%)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328E4" w14:textId="77777777" w:rsidR="00714B03" w:rsidRPr="00B65EDC" w:rsidRDefault="00DB680A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2,602</w:t>
            </w:r>
            <w:r w:rsidR="00714B03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4A10C" w14:textId="77777777" w:rsidR="00714B03" w:rsidRPr="00B65EDC" w:rsidRDefault="00DB680A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0.336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32A9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1,479 (68.1%)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6C066" w14:textId="77777777" w:rsidR="00714B03" w:rsidRPr="00B65EDC" w:rsidRDefault="00437AD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16,328</w:t>
            </w:r>
            <w:r w:rsidR="00714B03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(72.1%)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FCA1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5B138499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0D9F1" w14:textId="77777777" w:rsidR="00714B03" w:rsidRPr="00CF60F0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Antibiotic category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5BEE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9814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16737" w14:textId="77777777" w:rsidR="00714B03" w:rsidRPr="00B65EDC" w:rsidRDefault="00DB680A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1B4C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1CDD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2F2A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42FB5A4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2C790" w14:textId="23883169" w:rsidR="00714B03" w:rsidRPr="00CF60F0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Methicillin-resistant </w:t>
            </w:r>
            <w:r w:rsidR="00B6401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S</w:t>
            </w:r>
            <w:r w:rsidRPr="0089658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taphylococcus aureus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E9AF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(3.5%)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B72F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(3.3%)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6059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00FA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(14.5%)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51ED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3,168 (14.0%)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CAED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28904993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074FD" w14:textId="77777777" w:rsidR="00510E8F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Methicillin-susceptible </w:t>
            </w:r>
            <w:r w:rsidR="00B6401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S</w:t>
            </w:r>
            <w:r w:rsidRPr="0089658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taphylococcus </w:t>
            </w:r>
          </w:p>
          <w:p w14:paraId="3FC2FAE2" w14:textId="13A9D874" w:rsidR="00714B03" w:rsidRPr="00CF60F0" w:rsidRDefault="00510E8F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</w:t>
            </w:r>
            <w:r w:rsidR="00AE4720" w:rsidRPr="0089658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A</w:t>
            </w:r>
            <w:r w:rsidR="00714B03" w:rsidRPr="0089658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ureus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F869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(10.2%)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A5A0A" w14:textId="77777777" w:rsidR="00714B03" w:rsidRPr="00B65EDC" w:rsidRDefault="00DB680A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1,840 (13.6</w:t>
            </w:r>
            <w:r w:rsidR="00714B03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D2B0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81C2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1,015 (46.7%)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E07D9" w14:textId="77777777" w:rsidR="00714B03" w:rsidRPr="00B65EDC" w:rsidRDefault="00437AD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11,939</w:t>
            </w:r>
            <w:r w:rsidR="00714B03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(52.7%)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FE27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1459B765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34B6B" w14:textId="77777777" w:rsidR="00714B03" w:rsidRPr="00CF60F0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CF6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Quinolones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1187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(3.9%)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584B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(2.4%)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0824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6B1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(6.9%)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FFDC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1,221 (5.4%)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FD3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220516D4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D48B3" w14:textId="77777777" w:rsidR="00714B03" w:rsidRPr="00CF60F0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N</w:t>
            </w:r>
            <w:r w:rsidRPr="00CF6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 antibiotic use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ADEE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(82.5%)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648FD" w14:textId="77777777" w:rsidR="00714B03" w:rsidRPr="00B65EDC" w:rsidRDefault="00DB680A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10,883</w:t>
            </w:r>
            <w:r w:rsidR="00714B03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(80.7%)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B028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CCF2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(31.9%)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50541" w14:textId="77777777" w:rsidR="00714B03" w:rsidRPr="00B65EDC" w:rsidRDefault="00437AD2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6,317</w:t>
            </w:r>
            <w:r w:rsidR="00714B03"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(27.9%)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77DE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777C7CA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80AF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Patient factors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7FD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DCE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397B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079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24D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5FC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4C602949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F113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in years (median, IQR)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B6102" w14:textId="7E633E5C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(49, 61)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745A" w14:textId="405C4AAE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(48, 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6662" w14:textId="2FA9C769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6E3B" w14:textId="1F53C49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(44, 57)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A2D9" w14:textId="6BA9863B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(43, 56)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661BB" w14:textId="618F7A2C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6E33D52F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B402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residence, region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6614" w14:textId="584EC3D2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CD55" w14:textId="60BB4753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F4F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A5B0" w14:textId="0BAC148C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E1160" w14:textId="639CE6B8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71C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0.174</w:t>
            </w:r>
          </w:p>
        </w:tc>
      </w:tr>
      <w:tr w:rsidR="00714B03" w:rsidRPr="0059026E" w14:paraId="22487250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54C0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Northeast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1A2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(12.0%)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F9D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1,600 (11.9%)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DB35" w14:textId="154C12F6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6C0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 (17.3%)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1DA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4,253 (18.8%)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9D53" w14:textId="22803359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678A7DA8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35E3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Central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229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(25.7%)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3F5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3,295 (24.4%)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EA4E" w14:textId="2B3E97DA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910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(24.3%)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439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5,217 (23.0%)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B81A" w14:textId="1B545AB8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48EE04FF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896C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C39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(40.4%)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12A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5,800 (43.0%)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783F" w14:textId="0E28F420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FD5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(40.7%)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3D7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8,981 (39.7%)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79D7" w14:textId="542A3AB4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2F509EEE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86F2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E9B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(21.8%)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492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2,790 (20.7%)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588B" w14:textId="731AE560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B98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 (17.8%)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E1C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4,194 (18.5%)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888F" w14:textId="69DE99D8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6DAFCA0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E727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residence (non-MSA)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9A31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(22.4%)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FCE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2,465 (18.3%)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CE9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23D1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(11.5%)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703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2,155 (9.5%)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F34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714B03" w:rsidRPr="0059026E" w14:paraId="021A4010" w14:textId="77777777" w:rsidTr="00A07EEE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4337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Patient factors- comorbidities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D5259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CF11A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A6B4E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68A7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295ED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E74FA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00C6" w:rsidRPr="0059026E" w14:paraId="445A0616" w14:textId="77777777" w:rsidTr="006D6316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7DD5A" w14:textId="447E9A8A" w:rsidR="003400C6" w:rsidRPr="0059026E" w:rsidRDefault="003400C6" w:rsidP="003400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Readmission score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(median, IQR)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3BEE3" w14:textId="31316305" w:rsidR="003400C6" w:rsidRPr="00952DB5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 (12,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F165B" w14:textId="6F0BC27F" w:rsidR="003400C6" w:rsidRPr="00952DB5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 (4, 21)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97FB1" w14:textId="1BC0EAFB" w:rsidR="003400C6" w:rsidRPr="0059026E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D492F3" w14:textId="1114FA80" w:rsidR="003400C6" w:rsidRPr="003400C6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(15, 21)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165277" w14:textId="6CDACB93" w:rsidR="003400C6" w:rsidRPr="003400C6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(15, 21)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65F11" w14:textId="53036E28" w:rsidR="003400C6" w:rsidRPr="0059026E" w:rsidRDefault="003400C6" w:rsidP="0034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2362A848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63DA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8B52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B391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(0.0%)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6F03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7572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(0.1%)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6877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(0.0%)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4CBC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0.250</w:t>
            </w:r>
          </w:p>
        </w:tc>
      </w:tr>
      <w:tr w:rsidR="00714B03" w:rsidRPr="0059026E" w14:paraId="425F99F4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E9FC9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 abuse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9C63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(0.4%)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6EE9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(0.6%)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BE87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0.598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31CF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(0.6%)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BA46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(0.5%)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F4BB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0.716</w:t>
            </w:r>
          </w:p>
        </w:tc>
      </w:tr>
      <w:tr w:rsidR="00714B03" w:rsidRPr="0059026E" w14:paraId="3BD7C3C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EE52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Anemia prior 30 days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A0F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(7.6%)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3A7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 (5.7%)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C929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B7B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(6.0%)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D42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1,266 (5.6%)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71C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0.398</w:t>
            </w:r>
          </w:p>
        </w:tc>
      </w:tr>
      <w:tr w:rsidR="00714B03" w:rsidRPr="0059026E" w14:paraId="13445A1A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4CA8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blood loss anemia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BF0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(0.2%)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E60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(0.2%)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97D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6E3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(0.3%)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527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(0.2%)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C64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0.346</w:t>
            </w:r>
          </w:p>
        </w:tc>
      </w:tr>
      <w:tr w:rsidR="00714B03" w:rsidRPr="0059026E" w14:paraId="565AC59D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55DC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kidney disease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BE8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003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(0.7%)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CFD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413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(0.3%)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C9D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(0.3%)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AFD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</w:tr>
      <w:tr w:rsidR="00714B03" w:rsidRPr="0059026E" w14:paraId="24F85375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F132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pulmonary disease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113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(9.2%)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1CC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(6.2%)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030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BE2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(8.2%)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576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1,298 (5.7%)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BD1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5E320FE7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6E25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Coagulopathy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611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70D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(0.8%)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DED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C0B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(0.7%)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078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(0.7%)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6D7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0.875</w:t>
            </w:r>
          </w:p>
        </w:tc>
      </w:tr>
      <w:tr w:rsidR="00714B03" w:rsidRPr="0059026E" w14:paraId="4BE84EA1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F34D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Congestive heart failure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976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40B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(0.9%)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188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ED2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(0.4%)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8DF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(0.2%)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26C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0.247</w:t>
            </w:r>
          </w:p>
        </w:tc>
      </w:tr>
      <w:tr w:rsidR="00714B03" w:rsidRPr="0059026E" w14:paraId="75EB4EA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D4D42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Deficiency anemias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9D7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(4.5%)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AD4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(4.2%)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94E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2313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(4.2%)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2B7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 (3.7%)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C40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</w:tr>
      <w:tr w:rsidR="00714B03" w:rsidRPr="0059026E" w14:paraId="104417EB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32E9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F12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(8.8%)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581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(5.1%)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3C4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0B5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(8.5%)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72F3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1,495 (6.6%)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366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5ABF042C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52D0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B12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(25.9%)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F285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1,763 (13.1%)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53E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2EB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(9.9%)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3D2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1,360 (6.0%)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D15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4DE05048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03F1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abuse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2D5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(1.0%)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C0E9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(0.5%)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823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077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(0.3%)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7D7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(0.3%)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7BB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0.712</w:t>
            </w:r>
          </w:p>
        </w:tc>
      </w:tr>
      <w:tr w:rsidR="00714B03" w:rsidRPr="0059026E" w14:paraId="709548F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BF89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Elevated triglycerides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BB6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D64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(0.6%)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36C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69D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(0.5%)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DB6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(0.4%)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37B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0.367</w:t>
            </w:r>
          </w:p>
        </w:tc>
      </w:tr>
      <w:tr w:rsidR="00714B03" w:rsidRPr="0059026E" w14:paraId="49B00573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EB59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Fluid and electrolyte disorders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710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(4.1%)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D0A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(3.2%)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2A6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0.249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75F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(2.1%)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B34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(1.9%)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C05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0.507</w:t>
            </w:r>
          </w:p>
        </w:tc>
      </w:tr>
      <w:tr w:rsidR="00714B03" w:rsidRPr="0059026E" w14:paraId="0F726D82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F4EF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145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(37.1%)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460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3,565 (26.4%)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0EF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834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 (25.1%)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1B9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4,110 (18.2%)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8A6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5254D6DE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FD0C5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Hypothyroidism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E66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(12.0%)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49F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1,059 (7.9%)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AAA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904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(9.4%)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A65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1,950 (8.6%)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9B8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0.193</w:t>
            </w:r>
          </w:p>
        </w:tc>
      </w:tr>
      <w:tr w:rsidR="00714B03" w:rsidRPr="0059026E" w14:paraId="09B592F8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DA3E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Inpatient admission prior 30 days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83CF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8B4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(1.1%)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CBF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5EA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(0.3%)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098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(0.4%)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9BD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0.464</w:t>
            </w:r>
          </w:p>
        </w:tc>
      </w:tr>
      <w:tr w:rsidR="00714B03" w:rsidRPr="0059026E" w14:paraId="285D4F4B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F91B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disease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3F7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F2E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(0.8%)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20E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04E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(0.7%)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DFB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(0.4%)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31C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</w:tr>
      <w:tr w:rsidR="00714B03" w:rsidRPr="0059026E" w14:paraId="78077C6F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C119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Lymphoma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8F3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D34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(0.4%)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C5B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306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(0.4%)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ED69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(0.4%)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91D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0.981</w:t>
            </w:r>
          </w:p>
        </w:tc>
      </w:tr>
      <w:tr w:rsidR="00714B03" w:rsidRPr="0059026E" w14:paraId="7455F17B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B485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Malnutrition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387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(0.8%)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36F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(0.3%)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965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B9A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(0.2%)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6BD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(0.2%)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12B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0.899</w:t>
            </w:r>
          </w:p>
        </w:tc>
      </w:tr>
      <w:tr w:rsidR="00714B03" w:rsidRPr="0059026E" w14:paraId="2BB55D41" w14:textId="77777777" w:rsidTr="00B65EDC">
        <w:trPr>
          <w:trHeight w:val="403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EC14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Neoadjuvant chemotherapy prior 60 days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806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(20.8%)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9A22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2,817 (20.9%)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643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C52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(11.4%)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B4E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3,009 (13.3%)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B0D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714B03" w:rsidRPr="0059026E" w14:paraId="1C537353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4EEB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Obesity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721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(20.4%)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218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1,796 (13.3%)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6E6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DD3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(16.0%)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080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2,004 (8.9%)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E33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4CFC9EDE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EF6C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neurological disorders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EBE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(1.6%)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1B4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(1.5%)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DA5B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7AC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(1.7%)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2FB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 (1.2%)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F45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</w:tr>
      <w:tr w:rsidR="00714B03" w:rsidRPr="0059026E" w14:paraId="1E948A50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8384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Paralysis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22C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(0.6%)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7B7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(0.2%)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676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D3F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(0.1%)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031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(0.1%)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864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0.398</w:t>
            </w:r>
          </w:p>
        </w:tc>
      </w:tr>
      <w:tr w:rsidR="00714B03" w:rsidRPr="0059026E" w14:paraId="6AB542A8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EDF6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Peripheral vascular disease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DA7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213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(0.6%)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D28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A06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(0.4%)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DE8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(0.2%)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704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</w:tr>
      <w:tr w:rsidR="00714B03" w:rsidRPr="0059026E" w14:paraId="4A712151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0717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Psychoses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D1F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(7.8%)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33E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(3.1%)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D78C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916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(5.3%)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38B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 (3.2%)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9AD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5E3A934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F9E3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Pulmonary circulation disease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750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(1.0%)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2EE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(0.6%)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8DC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314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(0.5%)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97A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(0.3%)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CF7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0.091</w:t>
            </w:r>
          </w:p>
        </w:tc>
      </w:tr>
      <w:tr w:rsidR="00714B03" w:rsidRPr="0059026E" w14:paraId="5FAA119C" w14:textId="77777777" w:rsidTr="00B65EDC">
        <w:trPr>
          <w:trHeight w:val="315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CC5C" w14:textId="1D9FD9A1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Rheumatoid arthritis /collagen </w:t>
            </w:r>
            <w:r w:rsidR="00FC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vascular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966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(3.5%)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A57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(2.1%)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C11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916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(2.3%)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5E94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 (1.6%)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CA0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714B03" w:rsidRPr="0059026E" w14:paraId="4C372E0B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2FD00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Smoking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D98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(18.6%)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7C9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1,936 (14.4%)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978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EF3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(16.0%)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CA0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2,722 (12.0%)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6AB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24EAEB52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2DBD" w14:textId="77777777" w:rsidR="00714B03" w:rsidRPr="0059026E" w:rsidRDefault="003179AF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Smoking prox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B26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(6.1%)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23D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(3.0%)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62B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343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(2.5%)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C48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(1.3%)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187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6ECED726" w14:textId="77777777" w:rsidTr="00B65EDC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6AF3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Staphylococcus aureus 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infection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D50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(1.6%)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44D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(0.3%)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90B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C267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(0.3%)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F38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(0.2%)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B97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</w:tr>
      <w:tr w:rsidR="00714B03" w:rsidRPr="0059026E" w14:paraId="20FCE680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C85D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 year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35F7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3381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BC9F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FA2A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FE96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A4DF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08805A4C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8F26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Ulcer colitis /Crohn's disease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65B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(0.4%)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1CA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(0.7%)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0FE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292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(1.0%)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5A6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(0.9%)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A81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0.541</w:t>
            </w:r>
          </w:p>
        </w:tc>
      </w:tr>
      <w:tr w:rsidR="00714B03" w:rsidRPr="0059026E" w14:paraId="6DE9C08B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CF74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Valvular disease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77A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(2.0%)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D5D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(2.0%)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FA4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D60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(2.5%)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7D6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 (2.1%)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589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0.168</w:t>
            </w:r>
          </w:p>
        </w:tc>
      </w:tr>
      <w:tr w:rsidR="00714B03" w:rsidRPr="0059026E" w14:paraId="2D2E5240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81F8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loss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C91C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(2.7%)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EBA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(1.2%)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1124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7B7C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(0.8%)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93A2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(0.7%)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659C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0.834</w:t>
            </w:r>
          </w:p>
        </w:tc>
      </w:tr>
      <w:tr w:rsidR="00714B03" w:rsidRPr="0059026E" w14:paraId="656A0EAC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34DE" w14:textId="77777777" w:rsidR="00714B03" w:rsidRPr="0059026E" w:rsidRDefault="00714B03" w:rsidP="0011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Operative factors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1DC3" w14:textId="45A5DF9B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D9801" w14:textId="07800671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5A38" w14:textId="5583DB51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F9DA" w14:textId="3E818A18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DC10" w14:textId="0A9B8221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30AC" w14:textId="0ADBE370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40BAF672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FF2E" w14:textId="77777777" w:rsidR="00714B03" w:rsidRPr="0059026E" w:rsidRDefault="00714B03" w:rsidP="0011566D">
            <w:pPr>
              <w:spacing w:after="0" w:line="240" w:lineRule="auto"/>
              <w:ind w:leftChars="100"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entral venous catheter 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insertion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during the mastectomy admission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4DF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(9.2%)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F1A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(6.0%)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481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866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(4.2%)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1A8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 (3.2%)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9A1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</w:tr>
      <w:tr w:rsidR="00714B03" w:rsidRPr="0059026E" w14:paraId="0F7AD395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37F9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Implant reconstruction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2D03" w14:textId="30B1030D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B8F6" w14:textId="11CEC884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48C49" w14:textId="44EF2BAC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9AF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1,933 (89.0%)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FCC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19,822 (87.5%)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37B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</w:tr>
      <w:tr w:rsidR="00714B03" w:rsidRPr="0059026E" w14:paraId="0CF1E50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3BC04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Inpatient mastectomy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CAD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(45.1%)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1E13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5,012 (37.2%)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B0D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1921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1,440 (66.3%)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D0B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14,842 (65.5%)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FDF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0.496</w:t>
            </w:r>
          </w:p>
        </w:tc>
      </w:tr>
      <w:tr w:rsidR="00714B03" w:rsidRPr="0059026E" w14:paraId="5935A4EE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BD273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Length of stay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5342" w14:textId="266B3669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B769" w14:textId="7A131436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05F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D83A" w14:textId="48FB530D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20CF" w14:textId="6CAE083D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62D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714B03" w:rsidRPr="0059026E" w14:paraId="4C3BF9CE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26D5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 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BA8E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(75.7%)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B91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11,539 (85.6%)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A471" w14:textId="6B7F094A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562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1,185 (54.5%)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B42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12,821 (56.6%)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95BA" w14:textId="039442EA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0CF89BA7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352B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days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8A9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(21.4%)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7FC6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1,753 (13.0%)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9C42" w14:textId="69D7B531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54D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 (33.9%)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6CCF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7,561 (33.4%)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1DBB" w14:textId="134EFCC2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50A76B0A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0DF1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4+ days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99D5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(2.9%)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84ED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(1.4%)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D5E60" w14:textId="58435DCA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6064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(11.6%)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BC29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2,263 (10.0%)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56F3" w14:textId="2B71FAE1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0F287F82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23267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Modified radical mastectomy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761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(51.8%)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3B7B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6,847 (50.8%)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C7D8B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F3A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 (35.4%)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CD7A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7,184 (31.7%)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799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714B03" w:rsidRPr="0059026E" w14:paraId="0C2A9AB7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0560D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 for mastectomy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F090" w14:textId="4EB2642D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94DC" w14:textId="2CB9F568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9FE0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3A0D" w14:textId="75084F33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F138" w14:textId="5AD34F1D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CBC8" w14:textId="77777777" w:rsidR="00714B03" w:rsidRPr="00B65EDC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0.960</w:t>
            </w:r>
          </w:p>
        </w:tc>
      </w:tr>
      <w:tr w:rsidR="00714B03" w:rsidRPr="0059026E" w14:paraId="2A5CD66E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16E6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16D24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(85.7%)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D405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11,594 (86.0%)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AAC5" w14:textId="778EE17A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1112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1,647 (75.8%)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C0A5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17,211 (76.0%)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635E" w14:textId="3F6CEC46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4C668A1C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062A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48AF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(10.4%)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29BB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1,353 (10.0%)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C1B3" w14:textId="50B10315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D6E8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(16.4%)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44E5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3,709 (16.4%)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CB07" w14:textId="31D02BAC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2BAB8C6E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215A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Prophylactic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309F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(3.9%)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FCB5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(4.0%)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8764" w14:textId="1A2846AB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BE6C9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(7.8%)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196BF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1,725 (7.6%)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DC2C" w14:textId="162BD82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241BD14C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28F5" w14:textId="77777777" w:rsidR="00714B03" w:rsidRPr="0059026E" w:rsidRDefault="00714B03" w:rsidP="0011566D">
            <w:pPr>
              <w:spacing w:after="0" w:line="240" w:lineRule="auto"/>
              <w:ind w:leftChars="100"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urgical complication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during surgical admission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2668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(3.3%)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30BC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(2.3%)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64AD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2C84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(3.4%)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AC4D4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(2.8%)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E30A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</w:tr>
      <w:tr w:rsidR="00714B03" w:rsidRPr="0059026E" w14:paraId="487DD84C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92234" w14:textId="77777777" w:rsidR="00714B03" w:rsidRPr="0059026E" w:rsidRDefault="00714B03" w:rsidP="0011566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surgery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1DAC" w14:textId="2B101554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4831" w14:textId="230F0418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718B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B0FF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F5C3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0C7C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0.177</w:t>
            </w:r>
          </w:p>
        </w:tc>
      </w:tr>
      <w:tr w:rsidR="00714B03" w:rsidRPr="0059026E" w14:paraId="37369300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C0FD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7A89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(22.5%)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89E54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2,866 (21.3%)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DE13" w14:textId="121CD8A0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456A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(18.1%)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A410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3,663 (16.2%)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C843" w14:textId="77AF25AC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12E9D6DA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269D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370B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(17.1%)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6AF3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2,614 (19.4%)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FD0D4" w14:textId="1545367E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4C14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 (17.6%)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66DF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4,017 (17.7%)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370D" w14:textId="1B482EC2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4E8CC4B0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4169A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EEA1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(19.2%)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8AC7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2,853 (21.2%)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CA8A" w14:textId="3B3677AF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C63A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 (19.7%)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A4D0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4,739 (20.9%)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0C89B" w14:textId="339A38AF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B03" w:rsidRPr="0059026E" w14:paraId="6FE17D46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80BD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7C3F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(18.2%)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4F76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2,238 (16.6%)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1BC9" w14:textId="3E7D6FAF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D785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 (18.2%)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D992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4,039 (17.8%)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657C2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4B03" w:rsidRPr="0059026E" w14:paraId="27D21464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FD16E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2B20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(14.3%)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D2D03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2,055 (15.2%)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A361" w14:textId="6D326BCE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BFEB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 (18.8%)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61A1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4,268 (18.9%)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D2D5D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4B03" w:rsidRPr="0059026E" w14:paraId="1B19DD69" w14:textId="77777777" w:rsidTr="00B65EDC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4FE5E" w14:textId="77777777" w:rsidR="00714B03" w:rsidRPr="0059026E" w:rsidRDefault="00714B03" w:rsidP="0011566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4546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(8.8%)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6233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 (6.4%)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11B36" w14:textId="425EB8DE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DDAE7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(7.7%)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3CC85" w14:textId="77777777" w:rsidR="00714B03" w:rsidRPr="0059026E" w:rsidRDefault="00714B03" w:rsidP="00B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1,919 (8.5%)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0D38" w14:textId="77777777" w:rsidR="00714B03" w:rsidRPr="0059026E" w:rsidRDefault="00714B03" w:rsidP="0011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A4FC43C" w14:textId="77777777" w:rsidR="009F7FE2" w:rsidRDefault="009F7FE2"/>
    <w:sectPr w:rsidR="009F7FE2" w:rsidSect="006421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50"/>
    <w:rsid w:val="00000303"/>
    <w:rsid w:val="00001582"/>
    <w:rsid w:val="000244C1"/>
    <w:rsid w:val="0003217C"/>
    <w:rsid w:val="00034D16"/>
    <w:rsid w:val="0003562D"/>
    <w:rsid w:val="00094C70"/>
    <w:rsid w:val="000A1650"/>
    <w:rsid w:val="000A5708"/>
    <w:rsid w:val="000B69C5"/>
    <w:rsid w:val="000D2CFA"/>
    <w:rsid w:val="0011566D"/>
    <w:rsid w:val="00122BA3"/>
    <w:rsid w:val="00170B37"/>
    <w:rsid w:val="0019176F"/>
    <w:rsid w:val="001B45E6"/>
    <w:rsid w:val="002003B0"/>
    <w:rsid w:val="002103F1"/>
    <w:rsid w:val="00237725"/>
    <w:rsid w:val="0024252A"/>
    <w:rsid w:val="002E303C"/>
    <w:rsid w:val="003179AF"/>
    <w:rsid w:val="00337DFA"/>
    <w:rsid w:val="003400C6"/>
    <w:rsid w:val="00347E4B"/>
    <w:rsid w:val="00347ED1"/>
    <w:rsid w:val="0035766C"/>
    <w:rsid w:val="003A52BB"/>
    <w:rsid w:val="003F6CF3"/>
    <w:rsid w:val="00413760"/>
    <w:rsid w:val="00425F30"/>
    <w:rsid w:val="00437AD2"/>
    <w:rsid w:val="004653C3"/>
    <w:rsid w:val="0046590F"/>
    <w:rsid w:val="00471805"/>
    <w:rsid w:val="0049051C"/>
    <w:rsid w:val="00496887"/>
    <w:rsid w:val="004B22B1"/>
    <w:rsid w:val="004C5382"/>
    <w:rsid w:val="004D13FB"/>
    <w:rsid w:val="004D4EBC"/>
    <w:rsid w:val="00502477"/>
    <w:rsid w:val="00510E8F"/>
    <w:rsid w:val="00512895"/>
    <w:rsid w:val="00524C9B"/>
    <w:rsid w:val="00531096"/>
    <w:rsid w:val="0058656F"/>
    <w:rsid w:val="00587B3D"/>
    <w:rsid w:val="00595C59"/>
    <w:rsid w:val="005B175B"/>
    <w:rsid w:val="005D55B4"/>
    <w:rsid w:val="005E054B"/>
    <w:rsid w:val="005E1A98"/>
    <w:rsid w:val="005F5132"/>
    <w:rsid w:val="006308D8"/>
    <w:rsid w:val="00642150"/>
    <w:rsid w:val="00652447"/>
    <w:rsid w:val="00652987"/>
    <w:rsid w:val="006A27DC"/>
    <w:rsid w:val="006C64A2"/>
    <w:rsid w:val="00703EBF"/>
    <w:rsid w:val="00714B03"/>
    <w:rsid w:val="0072069B"/>
    <w:rsid w:val="00727348"/>
    <w:rsid w:val="0073541B"/>
    <w:rsid w:val="007426FE"/>
    <w:rsid w:val="007526D1"/>
    <w:rsid w:val="00755674"/>
    <w:rsid w:val="007B6649"/>
    <w:rsid w:val="007E3E7D"/>
    <w:rsid w:val="008175EF"/>
    <w:rsid w:val="0083158F"/>
    <w:rsid w:val="0083543A"/>
    <w:rsid w:val="00847D82"/>
    <w:rsid w:val="008A44C8"/>
    <w:rsid w:val="008B00BA"/>
    <w:rsid w:val="009355EF"/>
    <w:rsid w:val="009368A2"/>
    <w:rsid w:val="00952DB5"/>
    <w:rsid w:val="009616B3"/>
    <w:rsid w:val="00962F04"/>
    <w:rsid w:val="00964D62"/>
    <w:rsid w:val="00982D35"/>
    <w:rsid w:val="009F7FE2"/>
    <w:rsid w:val="00A059E6"/>
    <w:rsid w:val="00A07EEE"/>
    <w:rsid w:val="00A42171"/>
    <w:rsid w:val="00A52816"/>
    <w:rsid w:val="00A54F30"/>
    <w:rsid w:val="00A64A96"/>
    <w:rsid w:val="00A742FF"/>
    <w:rsid w:val="00A74C4D"/>
    <w:rsid w:val="00A77DF5"/>
    <w:rsid w:val="00A86F7B"/>
    <w:rsid w:val="00AA4909"/>
    <w:rsid w:val="00AB2096"/>
    <w:rsid w:val="00AC50B8"/>
    <w:rsid w:val="00AC5CB2"/>
    <w:rsid w:val="00AD3761"/>
    <w:rsid w:val="00AE198B"/>
    <w:rsid w:val="00AE4720"/>
    <w:rsid w:val="00AE4AFC"/>
    <w:rsid w:val="00AF0671"/>
    <w:rsid w:val="00AF2C81"/>
    <w:rsid w:val="00AF44B8"/>
    <w:rsid w:val="00B04E8A"/>
    <w:rsid w:val="00B6401C"/>
    <w:rsid w:val="00B65EDC"/>
    <w:rsid w:val="00B761A1"/>
    <w:rsid w:val="00B82540"/>
    <w:rsid w:val="00B87099"/>
    <w:rsid w:val="00B92FF1"/>
    <w:rsid w:val="00BE28C3"/>
    <w:rsid w:val="00BF6D07"/>
    <w:rsid w:val="00C42EBE"/>
    <w:rsid w:val="00C87752"/>
    <w:rsid w:val="00C97A6B"/>
    <w:rsid w:val="00CF5F97"/>
    <w:rsid w:val="00D448C5"/>
    <w:rsid w:val="00D44AC3"/>
    <w:rsid w:val="00D6535F"/>
    <w:rsid w:val="00DA6A0E"/>
    <w:rsid w:val="00DB01B2"/>
    <w:rsid w:val="00DB680A"/>
    <w:rsid w:val="00DF782C"/>
    <w:rsid w:val="00E15748"/>
    <w:rsid w:val="00E36920"/>
    <w:rsid w:val="00E46E34"/>
    <w:rsid w:val="00E50BB6"/>
    <w:rsid w:val="00E54FC9"/>
    <w:rsid w:val="00E76917"/>
    <w:rsid w:val="00E8190C"/>
    <w:rsid w:val="00E855B7"/>
    <w:rsid w:val="00E954CF"/>
    <w:rsid w:val="00EF2E1F"/>
    <w:rsid w:val="00F068CA"/>
    <w:rsid w:val="00F17D13"/>
    <w:rsid w:val="00F20358"/>
    <w:rsid w:val="00F46847"/>
    <w:rsid w:val="00F624DA"/>
    <w:rsid w:val="00FA13ED"/>
    <w:rsid w:val="00FA3AD7"/>
    <w:rsid w:val="00FB0376"/>
    <w:rsid w:val="00FC2A2C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2F28"/>
  <w15:chartTrackingRefBased/>
  <w15:docId w15:val="{72B28592-5D9E-41B5-BCDE-6EE1D909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50"/>
    <w:pPr>
      <w:ind w:left="720"/>
      <w:contextualSpacing/>
    </w:pPr>
  </w:style>
  <w:style w:type="table" w:styleId="TableGrid">
    <w:name w:val="Table Grid"/>
    <w:basedOn w:val="TableNormal"/>
    <w:uiPriority w:val="39"/>
    <w:rsid w:val="0064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3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A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cup-us.ahrq.gov/toolssoftware/comorbidity/comindex2012-2015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Peacock, Kate</dc:creator>
  <cp:keywords/>
  <dc:description/>
  <cp:lastModifiedBy>Olsen, Margaret</cp:lastModifiedBy>
  <cp:revision>7</cp:revision>
  <dcterms:created xsi:type="dcterms:W3CDTF">2021-08-13T21:30:00Z</dcterms:created>
  <dcterms:modified xsi:type="dcterms:W3CDTF">2021-08-16T22:41:00Z</dcterms:modified>
</cp:coreProperties>
</file>