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DC214" w14:textId="4F87589B" w:rsidR="00614496" w:rsidRPr="00614496" w:rsidRDefault="00614496" w:rsidP="00E00FE1">
      <w:pPr>
        <w:suppressLineNumbers/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Leonard, et al, Supplemental Material </w:t>
      </w:r>
    </w:p>
    <w:p w14:paraId="5245359F" w14:textId="77777777" w:rsidR="00F027F0" w:rsidRDefault="00F027F0" w:rsidP="00E00FE1">
      <w:pPr>
        <w:suppressLineNumbers/>
        <w:spacing w:after="0" w:line="480" w:lineRule="auto"/>
        <w:rPr>
          <w:rFonts w:ascii="Arial" w:hAnsi="Arial" w:cs="Arial"/>
          <w:b/>
          <w:bCs/>
          <w:u w:val="single"/>
        </w:rPr>
      </w:pPr>
    </w:p>
    <w:p w14:paraId="3D4C2278" w14:textId="2606144B" w:rsidR="00E00FE1" w:rsidRPr="003642C4" w:rsidRDefault="00E00FE1" w:rsidP="00E00FE1">
      <w:pPr>
        <w:suppressLineNumbers/>
        <w:spacing w:after="0" w:line="480" w:lineRule="auto"/>
        <w:rPr>
          <w:rFonts w:ascii="Arial" w:hAnsi="Arial" w:cs="Arial"/>
          <w:b/>
          <w:bCs/>
        </w:rPr>
      </w:pPr>
      <w:r w:rsidRPr="0014621C">
        <w:rPr>
          <w:rFonts w:ascii="Arial" w:hAnsi="Arial" w:cs="Arial"/>
          <w:b/>
          <w:bCs/>
          <w:u w:val="single"/>
        </w:rPr>
        <w:t>Supplementary Table 1.</w:t>
      </w:r>
      <w:r>
        <w:rPr>
          <w:rFonts w:ascii="Arial" w:hAnsi="Arial" w:cs="Arial"/>
          <w:b/>
          <w:bCs/>
        </w:rPr>
        <w:t xml:space="preserve"> </w:t>
      </w:r>
      <w:r w:rsidRPr="003642C4">
        <w:rPr>
          <w:rFonts w:ascii="Arial" w:hAnsi="Arial" w:cs="Arial"/>
        </w:rPr>
        <w:t>P</w:t>
      </w:r>
      <w:r>
        <w:rPr>
          <w:rFonts w:ascii="Arial" w:hAnsi="Arial" w:cs="Arial"/>
        </w:rPr>
        <w:t>roportion</w:t>
      </w:r>
      <w:r w:rsidRPr="003642C4">
        <w:rPr>
          <w:rFonts w:ascii="Arial" w:hAnsi="Arial" w:cs="Arial"/>
        </w:rPr>
        <w:t xml:space="preserve"> of individuals seropositive to malaria antigens by malaria species and antigen</w:t>
      </w:r>
      <w:r>
        <w:rPr>
          <w:rFonts w:ascii="Arial" w:hAnsi="Arial" w:cs="Arial"/>
        </w:rPr>
        <w:t xml:space="preserve"> in northern Ethiopia</w:t>
      </w:r>
      <w:r w:rsidRPr="003642C4">
        <w:rPr>
          <w:rFonts w:ascii="Arial" w:hAnsi="Arial" w:cs="Arial"/>
        </w:rPr>
        <w:t>, 2015.</w:t>
      </w:r>
    </w:p>
    <w:tbl>
      <w:tblPr>
        <w:tblStyle w:val="TableGrid"/>
        <w:tblW w:w="10737" w:type="dxa"/>
        <w:tblInd w:w="-365" w:type="dxa"/>
        <w:tblLook w:val="04A0" w:firstRow="1" w:lastRow="0" w:firstColumn="1" w:lastColumn="0" w:noHBand="0" w:noVBand="1"/>
      </w:tblPr>
      <w:tblGrid>
        <w:gridCol w:w="1525"/>
        <w:gridCol w:w="1647"/>
        <w:gridCol w:w="1513"/>
        <w:gridCol w:w="1513"/>
        <w:gridCol w:w="1513"/>
        <w:gridCol w:w="1513"/>
        <w:gridCol w:w="1513"/>
      </w:tblGrid>
      <w:tr w:rsidR="00E00FE1" w:rsidRPr="003642C4" w14:paraId="3C076F2D" w14:textId="77777777" w:rsidTr="004E3FB7">
        <w:tc>
          <w:tcPr>
            <w:tcW w:w="1525" w:type="dxa"/>
            <w:vAlign w:val="bottom"/>
          </w:tcPr>
          <w:p w14:paraId="72F7841D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  <w:b/>
                <w:bCs/>
              </w:rPr>
            </w:pPr>
            <w:r w:rsidRPr="003642C4">
              <w:rPr>
                <w:rFonts w:ascii="Arial" w:hAnsi="Arial" w:cs="Arial"/>
                <w:b/>
                <w:bCs/>
              </w:rPr>
              <w:t>Plasmodium species</w:t>
            </w:r>
          </w:p>
        </w:tc>
        <w:tc>
          <w:tcPr>
            <w:tcW w:w="1647" w:type="dxa"/>
            <w:vAlign w:val="bottom"/>
          </w:tcPr>
          <w:p w14:paraId="1C944612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  <w:b/>
                <w:bCs/>
              </w:rPr>
            </w:pPr>
            <w:r w:rsidRPr="003642C4">
              <w:rPr>
                <w:rFonts w:ascii="Arial" w:hAnsi="Arial" w:cs="Arial"/>
                <w:b/>
                <w:bCs/>
              </w:rPr>
              <w:t>Antigen</w:t>
            </w:r>
          </w:p>
        </w:tc>
        <w:tc>
          <w:tcPr>
            <w:tcW w:w="1513" w:type="dxa"/>
            <w:vAlign w:val="bottom"/>
          </w:tcPr>
          <w:p w14:paraId="7F50EBFD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  <w:b/>
                <w:bCs/>
              </w:rPr>
            </w:pPr>
            <w:r w:rsidRPr="003642C4">
              <w:rPr>
                <w:rFonts w:ascii="Arial" w:hAnsi="Arial" w:cs="Arial"/>
                <w:b/>
                <w:bCs/>
              </w:rPr>
              <w:t>% seropositive (95% CI), under 5 years old</w:t>
            </w:r>
            <w:r>
              <w:rPr>
                <w:rFonts w:ascii="Arial" w:hAnsi="Arial" w:cs="Arial"/>
                <w:b/>
                <w:bCs/>
              </w:rPr>
              <w:t xml:space="preserve"> (n= 1,032) </w:t>
            </w:r>
          </w:p>
        </w:tc>
        <w:tc>
          <w:tcPr>
            <w:tcW w:w="1513" w:type="dxa"/>
          </w:tcPr>
          <w:p w14:paraId="5E7A45BD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  <w:b/>
                <w:bCs/>
              </w:rPr>
            </w:pPr>
            <w:r w:rsidRPr="003642C4">
              <w:rPr>
                <w:rFonts w:ascii="Arial" w:hAnsi="Arial" w:cs="Arial"/>
                <w:b/>
                <w:bCs/>
              </w:rPr>
              <w:t xml:space="preserve">% seropositive (95% CI), </w:t>
            </w:r>
            <w:r>
              <w:rPr>
                <w:rFonts w:ascii="Arial" w:hAnsi="Arial" w:cs="Arial"/>
                <w:b/>
                <w:bCs/>
              </w:rPr>
              <w:t xml:space="preserve">5-14 </w:t>
            </w:r>
            <w:r w:rsidRPr="003642C4">
              <w:rPr>
                <w:rFonts w:ascii="Arial" w:hAnsi="Arial" w:cs="Arial"/>
                <w:b/>
                <w:bCs/>
              </w:rPr>
              <w:t>years old</w:t>
            </w:r>
            <w:r>
              <w:rPr>
                <w:rFonts w:ascii="Arial" w:hAnsi="Arial" w:cs="Arial"/>
                <w:b/>
                <w:bCs/>
              </w:rPr>
              <w:t xml:space="preserve"> (n= 419)</w:t>
            </w:r>
          </w:p>
        </w:tc>
        <w:tc>
          <w:tcPr>
            <w:tcW w:w="1513" w:type="dxa"/>
          </w:tcPr>
          <w:p w14:paraId="13D2552E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  <w:b/>
                <w:bCs/>
              </w:rPr>
            </w:pPr>
            <w:r w:rsidRPr="003642C4">
              <w:rPr>
                <w:rFonts w:ascii="Arial" w:hAnsi="Arial" w:cs="Arial"/>
                <w:b/>
                <w:bCs/>
              </w:rPr>
              <w:t xml:space="preserve">% seropositive (95% CI), </w:t>
            </w:r>
            <w:r>
              <w:rPr>
                <w:rFonts w:ascii="Arial" w:hAnsi="Arial" w:cs="Arial"/>
                <w:b/>
                <w:bCs/>
              </w:rPr>
              <w:t>15- 24</w:t>
            </w:r>
            <w:r w:rsidRPr="003642C4">
              <w:rPr>
                <w:rFonts w:ascii="Arial" w:hAnsi="Arial" w:cs="Arial"/>
                <w:b/>
                <w:bCs/>
              </w:rPr>
              <w:t xml:space="preserve"> years old</w:t>
            </w:r>
            <w:r>
              <w:rPr>
                <w:rFonts w:ascii="Arial" w:hAnsi="Arial" w:cs="Arial"/>
                <w:b/>
                <w:bCs/>
              </w:rPr>
              <w:t xml:space="preserve"> (n= 267)</w:t>
            </w:r>
          </w:p>
        </w:tc>
        <w:tc>
          <w:tcPr>
            <w:tcW w:w="1513" w:type="dxa"/>
          </w:tcPr>
          <w:p w14:paraId="071A804F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  <w:b/>
                <w:bCs/>
              </w:rPr>
            </w:pPr>
            <w:r w:rsidRPr="003642C4">
              <w:rPr>
                <w:rFonts w:ascii="Arial" w:hAnsi="Arial" w:cs="Arial"/>
                <w:b/>
                <w:bCs/>
              </w:rPr>
              <w:t xml:space="preserve">% seropositive (95% CI), </w:t>
            </w:r>
            <w:r>
              <w:rPr>
                <w:rFonts w:ascii="Arial" w:hAnsi="Arial" w:cs="Arial"/>
                <w:b/>
                <w:bCs/>
              </w:rPr>
              <w:t>≥ 25</w:t>
            </w:r>
            <w:r w:rsidRPr="003642C4">
              <w:rPr>
                <w:rFonts w:ascii="Arial" w:hAnsi="Arial" w:cs="Arial"/>
                <w:b/>
                <w:bCs/>
              </w:rPr>
              <w:t xml:space="preserve"> years old</w:t>
            </w:r>
            <w:r>
              <w:rPr>
                <w:rFonts w:ascii="Arial" w:hAnsi="Arial" w:cs="Arial"/>
                <w:b/>
                <w:bCs/>
              </w:rPr>
              <w:t xml:space="preserve"> (n= 561)</w:t>
            </w:r>
          </w:p>
        </w:tc>
        <w:tc>
          <w:tcPr>
            <w:tcW w:w="1513" w:type="dxa"/>
            <w:vAlign w:val="bottom"/>
          </w:tcPr>
          <w:p w14:paraId="1EB90BD3" w14:textId="4AA9364F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  <w:b/>
                <w:bCs/>
              </w:rPr>
            </w:pPr>
            <w:r w:rsidRPr="003642C4">
              <w:rPr>
                <w:rFonts w:ascii="Arial" w:hAnsi="Arial" w:cs="Arial"/>
                <w:b/>
                <w:bCs/>
              </w:rPr>
              <w:t>% seropositive (95% CI), all ages</w:t>
            </w:r>
            <w:r>
              <w:rPr>
                <w:rFonts w:ascii="Arial" w:hAnsi="Arial" w:cs="Arial"/>
                <w:b/>
                <w:bCs/>
              </w:rPr>
              <w:t xml:space="preserve"> (n= 2,279)</w:t>
            </w:r>
          </w:p>
        </w:tc>
      </w:tr>
      <w:tr w:rsidR="00E00FE1" w:rsidRPr="003642C4" w14:paraId="3815971C" w14:textId="77777777" w:rsidTr="004E3FB7">
        <w:tc>
          <w:tcPr>
            <w:tcW w:w="1525" w:type="dxa"/>
          </w:tcPr>
          <w:p w14:paraId="0440DCCE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  <w:i/>
                <w:iCs/>
              </w:rPr>
            </w:pPr>
            <w:r w:rsidRPr="003642C4">
              <w:rPr>
                <w:rFonts w:ascii="Arial" w:hAnsi="Arial" w:cs="Arial"/>
                <w:i/>
                <w:iCs/>
              </w:rPr>
              <w:t>P. falciparum</w:t>
            </w:r>
          </w:p>
        </w:tc>
        <w:tc>
          <w:tcPr>
            <w:tcW w:w="1647" w:type="dxa"/>
          </w:tcPr>
          <w:p w14:paraId="47637AF1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Pf</w:t>
            </w:r>
            <w:r w:rsidRPr="003642C4">
              <w:rPr>
                <w:rFonts w:ascii="Arial" w:hAnsi="Arial" w:cs="Arial"/>
              </w:rPr>
              <w:t>CSP</w:t>
            </w:r>
            <w:proofErr w:type="spellEnd"/>
          </w:p>
        </w:tc>
        <w:tc>
          <w:tcPr>
            <w:tcW w:w="1513" w:type="dxa"/>
          </w:tcPr>
          <w:p w14:paraId="4E703A8E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3.4 (2.3- 4.5)</w:t>
            </w:r>
          </w:p>
        </w:tc>
        <w:tc>
          <w:tcPr>
            <w:tcW w:w="1513" w:type="dxa"/>
          </w:tcPr>
          <w:p w14:paraId="42832C9B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 (5.5- 10.7)</w:t>
            </w:r>
          </w:p>
        </w:tc>
        <w:tc>
          <w:tcPr>
            <w:tcW w:w="1513" w:type="dxa"/>
          </w:tcPr>
          <w:p w14:paraId="3D531A0A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 (8.1- 15.9)</w:t>
            </w:r>
          </w:p>
        </w:tc>
        <w:tc>
          <w:tcPr>
            <w:tcW w:w="1513" w:type="dxa"/>
          </w:tcPr>
          <w:p w14:paraId="381AC268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18.2 (15.0- 21.4)</w:t>
            </w:r>
          </w:p>
        </w:tc>
        <w:tc>
          <w:tcPr>
            <w:tcW w:w="1513" w:type="dxa"/>
          </w:tcPr>
          <w:p w14:paraId="75A0E246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8.9 (7.7- 10.1)</w:t>
            </w:r>
          </w:p>
        </w:tc>
      </w:tr>
      <w:tr w:rsidR="00E00FE1" w:rsidRPr="003642C4" w14:paraId="165788BA" w14:textId="77777777" w:rsidTr="004E3FB7">
        <w:tc>
          <w:tcPr>
            <w:tcW w:w="1525" w:type="dxa"/>
          </w:tcPr>
          <w:p w14:paraId="2F52D46E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647" w:type="dxa"/>
          </w:tcPr>
          <w:p w14:paraId="17AC4FD6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Pf</w:t>
            </w:r>
            <w:r w:rsidRPr="003642C4">
              <w:rPr>
                <w:rFonts w:ascii="Arial" w:hAnsi="Arial" w:cs="Arial"/>
              </w:rPr>
              <w:t>Etramp5Ag1</w:t>
            </w:r>
          </w:p>
        </w:tc>
        <w:tc>
          <w:tcPr>
            <w:tcW w:w="1513" w:type="dxa"/>
          </w:tcPr>
          <w:p w14:paraId="487F9058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6.5 (5.0- 8.0)</w:t>
            </w:r>
          </w:p>
        </w:tc>
        <w:tc>
          <w:tcPr>
            <w:tcW w:w="1513" w:type="dxa"/>
          </w:tcPr>
          <w:p w14:paraId="60D1645F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 (8.0- 14.0)</w:t>
            </w:r>
          </w:p>
        </w:tc>
        <w:tc>
          <w:tcPr>
            <w:tcW w:w="1513" w:type="dxa"/>
          </w:tcPr>
          <w:p w14:paraId="5C0479A2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 (10.7- 19.3)</w:t>
            </w:r>
          </w:p>
        </w:tc>
        <w:tc>
          <w:tcPr>
            <w:tcW w:w="1513" w:type="dxa"/>
          </w:tcPr>
          <w:p w14:paraId="32BB35FC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21.4 (18.0- 24.8)</w:t>
            </w:r>
          </w:p>
        </w:tc>
        <w:tc>
          <w:tcPr>
            <w:tcW w:w="1513" w:type="dxa"/>
          </w:tcPr>
          <w:p w14:paraId="5312E13B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12.0 (10.7-13.3)</w:t>
            </w:r>
          </w:p>
        </w:tc>
      </w:tr>
      <w:tr w:rsidR="00E00FE1" w:rsidRPr="003642C4" w14:paraId="28810D15" w14:textId="77777777" w:rsidTr="004E3FB7">
        <w:tc>
          <w:tcPr>
            <w:tcW w:w="1525" w:type="dxa"/>
          </w:tcPr>
          <w:p w14:paraId="3724F773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647" w:type="dxa"/>
          </w:tcPr>
          <w:p w14:paraId="2035D33E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Pf</w:t>
            </w:r>
            <w:r w:rsidRPr="003642C4">
              <w:rPr>
                <w:rFonts w:ascii="Arial" w:hAnsi="Arial" w:cs="Arial"/>
              </w:rPr>
              <w:t>GLURP-R0</w:t>
            </w:r>
          </w:p>
        </w:tc>
        <w:tc>
          <w:tcPr>
            <w:tcW w:w="1513" w:type="dxa"/>
          </w:tcPr>
          <w:p w14:paraId="4BF5AA8B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2.5 (1.6- 3.5)</w:t>
            </w:r>
          </w:p>
        </w:tc>
        <w:tc>
          <w:tcPr>
            <w:tcW w:w="1513" w:type="dxa"/>
          </w:tcPr>
          <w:p w14:paraId="2A9C791A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5.5 (3.3- 7.7)</w:t>
            </w:r>
          </w:p>
        </w:tc>
        <w:tc>
          <w:tcPr>
            <w:tcW w:w="1513" w:type="dxa"/>
          </w:tcPr>
          <w:p w14:paraId="4FDEB5C8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15.7 (11.4- 20.1)</w:t>
            </w:r>
          </w:p>
        </w:tc>
        <w:tc>
          <w:tcPr>
            <w:tcW w:w="1513" w:type="dxa"/>
          </w:tcPr>
          <w:p w14:paraId="2DF0A39B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 (17.2- 23.8)</w:t>
            </w:r>
          </w:p>
        </w:tc>
        <w:tc>
          <w:tcPr>
            <w:tcW w:w="1513" w:type="dxa"/>
          </w:tcPr>
          <w:p w14:paraId="03C14502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9.0 (7.9- 10.2)</w:t>
            </w:r>
          </w:p>
        </w:tc>
      </w:tr>
      <w:tr w:rsidR="00E00FE1" w:rsidRPr="003642C4" w14:paraId="69A59D22" w14:textId="77777777" w:rsidTr="004E3FB7">
        <w:tc>
          <w:tcPr>
            <w:tcW w:w="1525" w:type="dxa"/>
          </w:tcPr>
          <w:p w14:paraId="79DFB0AC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647" w:type="dxa"/>
          </w:tcPr>
          <w:p w14:paraId="1589B2B8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Pf</w:t>
            </w:r>
            <w:r w:rsidRPr="003642C4">
              <w:rPr>
                <w:rFonts w:ascii="Arial" w:hAnsi="Arial" w:cs="Arial"/>
              </w:rPr>
              <w:t>LSA-1</w:t>
            </w:r>
          </w:p>
        </w:tc>
        <w:tc>
          <w:tcPr>
            <w:tcW w:w="1513" w:type="dxa"/>
          </w:tcPr>
          <w:p w14:paraId="5E99F69D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0.58 (0.12- 1.1)</w:t>
            </w:r>
          </w:p>
        </w:tc>
        <w:tc>
          <w:tcPr>
            <w:tcW w:w="1513" w:type="dxa"/>
          </w:tcPr>
          <w:p w14:paraId="5396C099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 (0.3- 3.1)</w:t>
            </w:r>
          </w:p>
        </w:tc>
        <w:tc>
          <w:tcPr>
            <w:tcW w:w="1513" w:type="dxa"/>
          </w:tcPr>
          <w:p w14:paraId="59678612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 (2.6- 7.9)</w:t>
            </w:r>
          </w:p>
        </w:tc>
        <w:tc>
          <w:tcPr>
            <w:tcW w:w="1513" w:type="dxa"/>
          </w:tcPr>
          <w:p w14:paraId="738F4E3B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5.7 (3.8- 7.6)</w:t>
            </w:r>
          </w:p>
        </w:tc>
        <w:tc>
          <w:tcPr>
            <w:tcW w:w="1513" w:type="dxa"/>
          </w:tcPr>
          <w:p w14:paraId="5BB92AA3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 xml:space="preserve">2.5 (1.9- 3.2) </w:t>
            </w:r>
          </w:p>
        </w:tc>
      </w:tr>
      <w:tr w:rsidR="00E00FE1" w:rsidRPr="003642C4" w14:paraId="63E8580C" w14:textId="77777777" w:rsidTr="004E3FB7">
        <w:tc>
          <w:tcPr>
            <w:tcW w:w="1525" w:type="dxa"/>
          </w:tcPr>
          <w:p w14:paraId="118A0D1A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647" w:type="dxa"/>
          </w:tcPr>
          <w:p w14:paraId="78255990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Pf</w:t>
            </w:r>
            <w:r w:rsidRPr="003642C4">
              <w:rPr>
                <w:rFonts w:ascii="Arial" w:hAnsi="Arial" w:cs="Arial"/>
              </w:rPr>
              <w:t>SEA-1</w:t>
            </w:r>
          </w:p>
        </w:tc>
        <w:tc>
          <w:tcPr>
            <w:tcW w:w="1513" w:type="dxa"/>
          </w:tcPr>
          <w:p w14:paraId="4BE9CF37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10.3 (8.4- 12.1)</w:t>
            </w:r>
          </w:p>
        </w:tc>
        <w:tc>
          <w:tcPr>
            <w:tcW w:w="1513" w:type="dxa"/>
          </w:tcPr>
          <w:p w14:paraId="63BF4C04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22.2 (18.2- 26.2)</w:t>
            </w:r>
          </w:p>
        </w:tc>
        <w:tc>
          <w:tcPr>
            <w:tcW w:w="1513" w:type="dxa"/>
          </w:tcPr>
          <w:p w14:paraId="3CD429E4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23.2 (18.2- 28.3)</w:t>
            </w:r>
          </w:p>
        </w:tc>
        <w:tc>
          <w:tcPr>
            <w:tcW w:w="1513" w:type="dxa"/>
          </w:tcPr>
          <w:p w14:paraId="3257F402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30.8 (27.0- 34.7)</w:t>
            </w:r>
          </w:p>
        </w:tc>
        <w:tc>
          <w:tcPr>
            <w:tcW w:w="1513" w:type="dxa"/>
          </w:tcPr>
          <w:p w14:paraId="7338C4F1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19.4 (17.4- 20.7)</w:t>
            </w:r>
          </w:p>
        </w:tc>
      </w:tr>
      <w:tr w:rsidR="00E00FE1" w:rsidRPr="003642C4" w14:paraId="5CC51ABE" w14:textId="77777777" w:rsidTr="004E3FB7">
        <w:tc>
          <w:tcPr>
            <w:tcW w:w="1525" w:type="dxa"/>
          </w:tcPr>
          <w:p w14:paraId="63869FFF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647" w:type="dxa"/>
            <w:shd w:val="clear" w:color="auto" w:fill="auto"/>
          </w:tcPr>
          <w:p w14:paraId="3EB4D919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Pf</w:t>
            </w:r>
            <w:r w:rsidRPr="003642C4">
              <w:rPr>
                <w:rFonts w:ascii="Arial" w:hAnsi="Arial" w:cs="Arial"/>
              </w:rPr>
              <w:t>AMA-1</w:t>
            </w:r>
          </w:p>
        </w:tc>
        <w:tc>
          <w:tcPr>
            <w:tcW w:w="1513" w:type="dxa"/>
          </w:tcPr>
          <w:p w14:paraId="3AF9574B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10.0 (8.0- 11.6)</w:t>
            </w:r>
          </w:p>
        </w:tc>
        <w:tc>
          <w:tcPr>
            <w:tcW w:w="1513" w:type="dxa"/>
          </w:tcPr>
          <w:p w14:paraId="0A96AF77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 (18.0- 25.9)</w:t>
            </w:r>
          </w:p>
        </w:tc>
        <w:tc>
          <w:tcPr>
            <w:tcW w:w="1513" w:type="dxa"/>
          </w:tcPr>
          <w:p w14:paraId="51D62C31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46.4 (40.5- 52.4)</w:t>
            </w:r>
          </w:p>
        </w:tc>
        <w:tc>
          <w:tcPr>
            <w:tcW w:w="1513" w:type="dxa"/>
          </w:tcPr>
          <w:p w14:paraId="206A23FA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61.7 (57.7- 65.7)</w:t>
            </w:r>
          </w:p>
        </w:tc>
        <w:tc>
          <w:tcPr>
            <w:tcW w:w="1513" w:type="dxa"/>
            <w:shd w:val="clear" w:color="auto" w:fill="auto"/>
          </w:tcPr>
          <w:p w14:paraId="22F2EEEF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29.1 (27.2- 31.0)</w:t>
            </w:r>
          </w:p>
        </w:tc>
      </w:tr>
      <w:tr w:rsidR="00E00FE1" w:rsidRPr="003642C4" w14:paraId="74493F33" w14:textId="77777777" w:rsidTr="004E3FB7">
        <w:tc>
          <w:tcPr>
            <w:tcW w:w="1525" w:type="dxa"/>
          </w:tcPr>
          <w:p w14:paraId="109FD5A6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647" w:type="dxa"/>
            <w:shd w:val="clear" w:color="auto" w:fill="auto"/>
          </w:tcPr>
          <w:p w14:paraId="5ED406FD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Pf</w:t>
            </w:r>
            <w:r w:rsidRPr="003642C4">
              <w:rPr>
                <w:rFonts w:ascii="Arial" w:hAnsi="Arial" w:cs="Arial"/>
              </w:rPr>
              <w:t>MSP-1</w:t>
            </w:r>
          </w:p>
        </w:tc>
        <w:tc>
          <w:tcPr>
            <w:tcW w:w="1513" w:type="dxa"/>
          </w:tcPr>
          <w:p w14:paraId="071CEEE8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16.4 (14.1- 18.6)</w:t>
            </w:r>
          </w:p>
        </w:tc>
        <w:tc>
          <w:tcPr>
            <w:tcW w:w="1513" w:type="dxa"/>
          </w:tcPr>
          <w:p w14:paraId="7C05E955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 (29.1- 38.2)</w:t>
            </w:r>
          </w:p>
        </w:tc>
        <w:tc>
          <w:tcPr>
            <w:tcW w:w="1513" w:type="dxa"/>
          </w:tcPr>
          <w:p w14:paraId="09D564C8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47.6 (41.6- 53.6) </w:t>
            </w:r>
          </w:p>
        </w:tc>
        <w:tc>
          <w:tcPr>
            <w:tcW w:w="1513" w:type="dxa"/>
          </w:tcPr>
          <w:p w14:paraId="5A880CB8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61.7 (57.7- 65.7)</w:t>
            </w:r>
          </w:p>
        </w:tc>
        <w:tc>
          <w:tcPr>
            <w:tcW w:w="1513" w:type="dxa"/>
            <w:shd w:val="clear" w:color="auto" w:fill="auto"/>
          </w:tcPr>
          <w:p w14:paraId="305CD44C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34.4 (32.4- 36.4)</w:t>
            </w:r>
          </w:p>
        </w:tc>
      </w:tr>
      <w:tr w:rsidR="00E00FE1" w:rsidRPr="003642C4" w14:paraId="326E07D1" w14:textId="77777777" w:rsidTr="004E3FB7">
        <w:tc>
          <w:tcPr>
            <w:tcW w:w="1525" w:type="dxa"/>
          </w:tcPr>
          <w:p w14:paraId="390A6E54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  <w:i/>
                <w:iCs/>
              </w:rPr>
            </w:pPr>
            <w:r w:rsidRPr="003642C4">
              <w:rPr>
                <w:rFonts w:ascii="Arial" w:hAnsi="Arial" w:cs="Arial"/>
                <w:i/>
                <w:iCs/>
              </w:rPr>
              <w:lastRenderedPageBreak/>
              <w:t>P. vivax</w:t>
            </w:r>
          </w:p>
        </w:tc>
        <w:tc>
          <w:tcPr>
            <w:tcW w:w="1647" w:type="dxa"/>
            <w:shd w:val="clear" w:color="auto" w:fill="auto"/>
          </w:tcPr>
          <w:p w14:paraId="60376E72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Pv</w:t>
            </w:r>
            <w:r w:rsidRPr="003642C4">
              <w:rPr>
                <w:rFonts w:ascii="Arial" w:hAnsi="Arial" w:cs="Arial"/>
              </w:rPr>
              <w:t>AMA-1</w:t>
            </w:r>
          </w:p>
        </w:tc>
        <w:tc>
          <w:tcPr>
            <w:tcW w:w="1513" w:type="dxa"/>
          </w:tcPr>
          <w:p w14:paraId="4994F4C3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4.2 (3.0- 5.4)</w:t>
            </w:r>
          </w:p>
        </w:tc>
        <w:tc>
          <w:tcPr>
            <w:tcW w:w="1513" w:type="dxa"/>
          </w:tcPr>
          <w:p w14:paraId="727EC583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15.3 (11.8- 19.1)</w:t>
            </w:r>
          </w:p>
        </w:tc>
        <w:tc>
          <w:tcPr>
            <w:tcW w:w="1513" w:type="dxa"/>
          </w:tcPr>
          <w:p w14:paraId="046C2948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25.5 (20.2- 30.7)</w:t>
            </w:r>
          </w:p>
        </w:tc>
        <w:tc>
          <w:tcPr>
            <w:tcW w:w="1513" w:type="dxa"/>
          </w:tcPr>
          <w:p w14:paraId="447857D8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39.4 (35.4- 43.4)</w:t>
            </w:r>
          </w:p>
        </w:tc>
        <w:tc>
          <w:tcPr>
            <w:tcW w:w="1513" w:type="dxa"/>
            <w:shd w:val="clear" w:color="auto" w:fill="auto"/>
          </w:tcPr>
          <w:p w14:paraId="57CEC525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 xml:space="preserve">17.4 (15.8- 18.9) </w:t>
            </w:r>
          </w:p>
        </w:tc>
      </w:tr>
      <w:tr w:rsidR="00E00FE1" w:rsidRPr="003642C4" w14:paraId="08F17467" w14:textId="77777777" w:rsidTr="004E3FB7">
        <w:tc>
          <w:tcPr>
            <w:tcW w:w="1525" w:type="dxa"/>
          </w:tcPr>
          <w:p w14:paraId="422E9B91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647" w:type="dxa"/>
            <w:shd w:val="clear" w:color="auto" w:fill="auto"/>
          </w:tcPr>
          <w:p w14:paraId="1112DDD3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ch</w:t>
            </w:r>
            <w:r>
              <w:rPr>
                <w:rFonts w:ascii="Arial" w:hAnsi="Arial" w:cs="Arial"/>
              </w:rPr>
              <w:t>Pv</w:t>
            </w:r>
            <w:r w:rsidRPr="003642C4">
              <w:rPr>
                <w:rFonts w:ascii="Arial" w:hAnsi="Arial" w:cs="Arial"/>
              </w:rPr>
              <w:t>MSP-1</w:t>
            </w:r>
          </w:p>
        </w:tc>
        <w:tc>
          <w:tcPr>
            <w:tcW w:w="1513" w:type="dxa"/>
          </w:tcPr>
          <w:p w14:paraId="1BD49A75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17.0 (14.7- 19.</w:t>
            </w:r>
            <w:r>
              <w:rPr>
                <w:rFonts w:ascii="Arial" w:hAnsi="Arial" w:cs="Arial"/>
              </w:rPr>
              <w:t>3</w:t>
            </w:r>
            <w:r w:rsidRPr="003642C4">
              <w:rPr>
                <w:rFonts w:ascii="Arial" w:hAnsi="Arial" w:cs="Arial"/>
              </w:rPr>
              <w:t>)</w:t>
            </w:r>
          </w:p>
        </w:tc>
        <w:tc>
          <w:tcPr>
            <w:tcW w:w="1513" w:type="dxa"/>
          </w:tcPr>
          <w:p w14:paraId="463633D3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37.7 (33.1- 42.4)</w:t>
            </w:r>
          </w:p>
        </w:tc>
        <w:tc>
          <w:tcPr>
            <w:tcW w:w="1513" w:type="dxa"/>
          </w:tcPr>
          <w:p w14:paraId="286EFDC5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49.8 (43.8- 55.8)</w:t>
            </w:r>
          </w:p>
        </w:tc>
        <w:tc>
          <w:tcPr>
            <w:tcW w:w="1513" w:type="dxa"/>
          </w:tcPr>
          <w:p w14:paraId="450A396B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62.4 (58.4- 66.4)</w:t>
            </w:r>
          </w:p>
        </w:tc>
        <w:tc>
          <w:tcPr>
            <w:tcW w:w="1513" w:type="dxa"/>
            <w:shd w:val="clear" w:color="auto" w:fill="auto"/>
          </w:tcPr>
          <w:p w14:paraId="3449A952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35.8 (33.8- 37.8)</w:t>
            </w:r>
          </w:p>
        </w:tc>
      </w:tr>
      <w:tr w:rsidR="00E00FE1" w:rsidRPr="003642C4" w14:paraId="3379DB01" w14:textId="77777777" w:rsidTr="004E3FB7">
        <w:tc>
          <w:tcPr>
            <w:tcW w:w="1525" w:type="dxa"/>
          </w:tcPr>
          <w:p w14:paraId="320B3D14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647" w:type="dxa"/>
            <w:shd w:val="clear" w:color="auto" w:fill="auto"/>
          </w:tcPr>
          <w:p w14:paraId="743301CD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Pv</w:t>
            </w:r>
            <w:r w:rsidRPr="003642C4">
              <w:rPr>
                <w:rFonts w:ascii="Arial" w:hAnsi="Arial" w:cs="Arial"/>
              </w:rPr>
              <w:t>MSP-1</w:t>
            </w:r>
          </w:p>
        </w:tc>
        <w:tc>
          <w:tcPr>
            <w:tcW w:w="1513" w:type="dxa"/>
          </w:tcPr>
          <w:p w14:paraId="63D917FF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>10.5 (8.6- 12.3)</w:t>
            </w:r>
          </w:p>
        </w:tc>
        <w:tc>
          <w:tcPr>
            <w:tcW w:w="1513" w:type="dxa"/>
          </w:tcPr>
          <w:p w14:paraId="1A7A7BAA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24.8 (20.7- 29.0)</w:t>
            </w:r>
          </w:p>
        </w:tc>
        <w:tc>
          <w:tcPr>
            <w:tcW w:w="1513" w:type="dxa"/>
          </w:tcPr>
          <w:p w14:paraId="67E6DD0E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38.6 (32.7- 44.4)</w:t>
            </w:r>
          </w:p>
        </w:tc>
        <w:tc>
          <w:tcPr>
            <w:tcW w:w="1513" w:type="dxa"/>
          </w:tcPr>
          <w:p w14:paraId="1EBB5A0C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49.6 (45.4- 53.7) </w:t>
            </w:r>
          </w:p>
        </w:tc>
        <w:tc>
          <w:tcPr>
            <w:tcW w:w="1513" w:type="dxa"/>
            <w:shd w:val="clear" w:color="auto" w:fill="auto"/>
          </w:tcPr>
          <w:p w14:paraId="147A50C9" w14:textId="77777777" w:rsidR="00E00FE1" w:rsidRPr="003642C4" w:rsidRDefault="00E00FE1" w:rsidP="004E3FB7">
            <w:pPr>
              <w:suppressLineNumbers/>
              <w:spacing w:line="480" w:lineRule="auto"/>
              <w:rPr>
                <w:rFonts w:ascii="Arial" w:hAnsi="Arial" w:cs="Arial"/>
              </w:rPr>
            </w:pPr>
            <w:r w:rsidRPr="003642C4">
              <w:rPr>
                <w:rFonts w:ascii="Arial" w:hAnsi="Arial" w:cs="Arial"/>
              </w:rPr>
              <w:t xml:space="preserve">26.0 (24.2- 27.8) </w:t>
            </w:r>
          </w:p>
        </w:tc>
      </w:tr>
    </w:tbl>
    <w:p w14:paraId="27F55A47" w14:textId="5F96F544" w:rsidR="00DD2C92" w:rsidRDefault="00DD2C92"/>
    <w:p w14:paraId="34591A56" w14:textId="7E7541A2" w:rsidR="00E00FE1" w:rsidRDefault="00E00FE1"/>
    <w:p w14:paraId="7363E4A7" w14:textId="5A47BDCC" w:rsidR="00614496" w:rsidRDefault="00614496"/>
    <w:p w14:paraId="0D4920F1" w14:textId="49816B42" w:rsidR="00614496" w:rsidRDefault="00614496"/>
    <w:p w14:paraId="04FC952D" w14:textId="68F39CC9" w:rsidR="00614496" w:rsidRDefault="00614496"/>
    <w:p w14:paraId="64D2C91F" w14:textId="057A9F01" w:rsidR="00614496" w:rsidRDefault="00614496"/>
    <w:p w14:paraId="4C329CB0" w14:textId="4CB1F609" w:rsidR="00614496" w:rsidRDefault="00614496"/>
    <w:p w14:paraId="623898E6" w14:textId="304EA365" w:rsidR="00614496" w:rsidRDefault="00614496"/>
    <w:p w14:paraId="53DF2C7C" w14:textId="33BA863C" w:rsidR="00614496" w:rsidRDefault="00614496"/>
    <w:p w14:paraId="15BC88F0" w14:textId="7CDE0A31" w:rsidR="00614496" w:rsidRDefault="00614496"/>
    <w:p w14:paraId="6D3A040B" w14:textId="65B9F8C7" w:rsidR="00614496" w:rsidRDefault="00614496"/>
    <w:p w14:paraId="2A89E1F5" w14:textId="06AE2A8E" w:rsidR="00614496" w:rsidRDefault="00614496"/>
    <w:p w14:paraId="62A3460D" w14:textId="2CC350F7" w:rsidR="00614496" w:rsidRDefault="00614496"/>
    <w:p w14:paraId="5C05F151" w14:textId="6B07853E" w:rsidR="00614496" w:rsidRDefault="00614496"/>
    <w:p w14:paraId="1A8F8D0B" w14:textId="102299AB" w:rsidR="00614496" w:rsidRDefault="00614496"/>
    <w:p w14:paraId="1A6DF137" w14:textId="06CB9863" w:rsidR="00614496" w:rsidRDefault="00614496"/>
    <w:p w14:paraId="4BA1B36E" w14:textId="156D55E9" w:rsidR="00614496" w:rsidRDefault="00614496"/>
    <w:p w14:paraId="1E85820B" w14:textId="02DAB4E5" w:rsidR="00614496" w:rsidRDefault="00614496"/>
    <w:p w14:paraId="1B5A60F4" w14:textId="7546271D" w:rsidR="00614496" w:rsidRDefault="00614496"/>
    <w:p w14:paraId="1F577667" w14:textId="7966126C" w:rsidR="00614496" w:rsidRDefault="00614496"/>
    <w:p w14:paraId="5BDDC49A" w14:textId="65CC1C16" w:rsidR="00614496" w:rsidRDefault="00614496"/>
    <w:p w14:paraId="625E7785" w14:textId="5D1C0900" w:rsidR="00614496" w:rsidRDefault="00614496"/>
    <w:p w14:paraId="5FBD034F" w14:textId="77777777" w:rsidR="00614496" w:rsidRPr="00DA13D9" w:rsidRDefault="00614496" w:rsidP="00614496">
      <w:pPr>
        <w:suppressLineNumbers/>
        <w:spacing w:after="100" w:line="240" w:lineRule="auto"/>
        <w:rPr>
          <w:rFonts w:ascii="Arial" w:hAnsi="Arial" w:cs="Arial"/>
          <w:b/>
          <w:bCs/>
        </w:rPr>
      </w:pPr>
      <w:r w:rsidRPr="003C518E">
        <w:rPr>
          <w:rFonts w:ascii="Arial" w:hAnsi="Arial" w:cs="Arial"/>
          <w:b/>
          <w:bCs/>
          <w:u w:val="single"/>
        </w:rPr>
        <w:lastRenderedPageBreak/>
        <w:t>Supplementary Figure 1</w:t>
      </w:r>
      <w:r w:rsidRPr="00DA13D9">
        <w:rPr>
          <w:rFonts w:ascii="Arial" w:hAnsi="Arial" w:cs="Arial"/>
          <w:b/>
          <w:bCs/>
        </w:rPr>
        <w:t xml:space="preserve">. </w:t>
      </w:r>
      <w:r w:rsidRPr="00DA13D9">
        <w:rPr>
          <w:rFonts w:ascii="Arial" w:hAnsi="Arial" w:cs="Arial"/>
        </w:rPr>
        <w:t xml:space="preserve">IgG </w:t>
      </w:r>
      <w:r>
        <w:rPr>
          <w:rFonts w:ascii="Arial" w:hAnsi="Arial" w:cs="Arial"/>
        </w:rPr>
        <w:t>a</w:t>
      </w:r>
      <w:r w:rsidRPr="00DA13D9">
        <w:rPr>
          <w:rFonts w:ascii="Arial" w:hAnsi="Arial" w:cs="Arial"/>
        </w:rPr>
        <w:t>ntibody</w:t>
      </w:r>
      <w:r>
        <w:rPr>
          <w:rFonts w:ascii="Arial" w:hAnsi="Arial" w:cs="Arial"/>
        </w:rPr>
        <w:t xml:space="preserve"> levels</w:t>
      </w:r>
      <w:r w:rsidRPr="00DA13D9">
        <w:rPr>
          <w:rFonts w:ascii="Arial" w:hAnsi="Arial" w:cs="Arial"/>
        </w:rPr>
        <w:t xml:space="preserve"> against 10 </w:t>
      </w:r>
      <w:r w:rsidRPr="000463F3">
        <w:rPr>
          <w:rFonts w:ascii="Arial" w:hAnsi="Arial" w:cs="Arial"/>
          <w:i/>
          <w:iCs/>
        </w:rPr>
        <w:t>Plasmodium</w:t>
      </w:r>
      <w:r>
        <w:rPr>
          <w:rFonts w:ascii="Arial" w:hAnsi="Arial" w:cs="Arial"/>
        </w:rPr>
        <w:t xml:space="preserve"> </w:t>
      </w:r>
      <w:r w:rsidRPr="00DA13D9">
        <w:rPr>
          <w:rFonts w:ascii="Arial" w:hAnsi="Arial" w:cs="Arial"/>
        </w:rPr>
        <w:t>antigens</w:t>
      </w:r>
      <w:r>
        <w:rPr>
          <w:rFonts w:ascii="Arial" w:hAnsi="Arial" w:cs="Arial"/>
        </w:rPr>
        <w:t xml:space="preserve"> by age</w:t>
      </w:r>
      <w:r w:rsidRPr="00DA13D9">
        <w:rPr>
          <w:rFonts w:ascii="Arial" w:hAnsi="Arial" w:cs="Arial"/>
        </w:rPr>
        <w:t>.</w:t>
      </w:r>
      <w:r w:rsidRPr="00DA13D9">
        <w:rPr>
          <w:rFonts w:ascii="Arial" w:hAnsi="Arial" w:cs="Arial"/>
          <w:b/>
          <w:bCs/>
        </w:rPr>
        <w:t xml:space="preserve"> </w:t>
      </w:r>
    </w:p>
    <w:p w14:paraId="7134C5E3" w14:textId="77777777" w:rsidR="00614496" w:rsidRDefault="00614496" w:rsidP="00614496">
      <w:pPr>
        <w:suppressLineNumbers/>
        <w:spacing w:after="0" w:line="240" w:lineRule="auto"/>
        <w:contextualSpacing/>
      </w:pPr>
      <w:r>
        <w:rPr>
          <w:noProof/>
        </w:rPr>
        <w:drawing>
          <wp:inline distT="0" distB="0" distL="0" distR="0" wp14:anchorId="5EC447E5" wp14:editId="2B070132">
            <wp:extent cx="2286000" cy="1607103"/>
            <wp:effectExtent l="0" t="0" r="0" b="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0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5AF4F" wp14:editId="28E342DE">
            <wp:extent cx="2286000" cy="1581048"/>
            <wp:effectExtent l="0" t="0" r="0" b="635"/>
            <wp:docPr id="13" name="Picture 1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8DA7" w14:textId="77777777" w:rsidR="00614496" w:rsidRDefault="00614496" w:rsidP="00614496">
      <w:pPr>
        <w:suppressLineNumbers/>
        <w:spacing w:after="0" w:line="240" w:lineRule="auto"/>
        <w:contextualSpacing/>
      </w:pPr>
      <w:r>
        <w:rPr>
          <w:noProof/>
        </w:rPr>
        <w:drawing>
          <wp:inline distT="0" distB="0" distL="0" distR="0" wp14:anchorId="3188F7F8" wp14:editId="6E9DBD35">
            <wp:extent cx="2286000" cy="1581048"/>
            <wp:effectExtent l="0" t="0" r="0" b="635"/>
            <wp:docPr id="14" name="Picture 1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08B79" wp14:editId="5CA3661D">
            <wp:extent cx="2286000" cy="1581048"/>
            <wp:effectExtent l="0" t="0" r="0" b="635"/>
            <wp:docPr id="15" name="Picture 1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F00A1" w14:textId="77777777" w:rsidR="00614496" w:rsidRDefault="00614496" w:rsidP="00614496">
      <w:pPr>
        <w:suppressLineNumbers/>
        <w:spacing w:after="0" w:line="240" w:lineRule="auto"/>
        <w:contextualSpacing/>
      </w:pPr>
      <w:r>
        <w:rPr>
          <w:noProof/>
        </w:rPr>
        <w:drawing>
          <wp:inline distT="0" distB="0" distL="0" distR="0" wp14:anchorId="0391597B" wp14:editId="7A226938">
            <wp:extent cx="2286000" cy="1581048"/>
            <wp:effectExtent l="0" t="0" r="0" b="635"/>
            <wp:docPr id="16" name="Picture 1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2B89A0" wp14:editId="424B7167">
            <wp:extent cx="2286000" cy="1581048"/>
            <wp:effectExtent l="0" t="0" r="0" b="635"/>
            <wp:docPr id="17" name="Picture 1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0CD5" w14:textId="77777777" w:rsidR="00614496" w:rsidRDefault="00614496" w:rsidP="00614496">
      <w:pPr>
        <w:suppressLineNumbers/>
        <w:spacing w:after="0" w:line="240" w:lineRule="auto"/>
        <w:contextualSpacing/>
      </w:pPr>
      <w:r>
        <w:rPr>
          <w:noProof/>
        </w:rPr>
        <w:drawing>
          <wp:inline distT="0" distB="0" distL="0" distR="0" wp14:anchorId="634A51AF" wp14:editId="352C9B8A">
            <wp:extent cx="2286000" cy="1581048"/>
            <wp:effectExtent l="0" t="0" r="0" b="635"/>
            <wp:docPr id="18" name="Picture 1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7C55E" wp14:editId="413B5E85">
            <wp:extent cx="2286000" cy="1581049"/>
            <wp:effectExtent l="0" t="0" r="0" b="635"/>
            <wp:docPr id="20" name="Picture 2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8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5D213A3E" w14:textId="77777777" w:rsidR="00614496" w:rsidRDefault="00614496" w:rsidP="00614496">
      <w:pPr>
        <w:suppressLineNumbers/>
        <w:spacing w:after="0" w:line="240" w:lineRule="auto"/>
        <w:contextualSpacing/>
      </w:pPr>
      <w:r>
        <w:rPr>
          <w:noProof/>
        </w:rPr>
        <w:drawing>
          <wp:inline distT="0" distB="0" distL="0" distR="0" wp14:anchorId="1DA5F713" wp14:editId="030456D1">
            <wp:extent cx="2286000" cy="1581049"/>
            <wp:effectExtent l="0" t="0" r="0" b="635"/>
            <wp:docPr id="21" name="Picture 2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8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834B45" wp14:editId="3FEB6A83">
            <wp:extent cx="2286000" cy="1581049"/>
            <wp:effectExtent l="0" t="0" r="0" b="635"/>
            <wp:docPr id="22" name="Picture 2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8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3D9">
        <w:rPr>
          <w:rFonts w:ascii="Arial" w:hAnsi="Arial" w:cs="Arial"/>
          <w:b/>
          <w:bCs/>
        </w:rPr>
        <w:t xml:space="preserve"> </w:t>
      </w:r>
    </w:p>
    <w:p w14:paraId="5E36E76A" w14:textId="00366F6D" w:rsidR="00F027F0" w:rsidRPr="00117285" w:rsidRDefault="00F027F0" w:rsidP="00F027F0">
      <w:pPr>
        <w:suppressLineNumbers/>
        <w:spacing w:line="480" w:lineRule="auto"/>
        <w:rPr>
          <w:rFonts w:ascii="Arial" w:hAnsi="Arial" w:cs="Arial"/>
          <w:color w:val="000000" w:themeColor="text1"/>
          <w:kern w:val="24"/>
        </w:rPr>
      </w:pPr>
      <w:r w:rsidRPr="00F027F0">
        <w:rPr>
          <w:rFonts w:ascii="Arial" w:hAnsi="Arial" w:cs="Arial"/>
          <w:b/>
          <w:bCs/>
          <w:u w:val="single"/>
        </w:rPr>
        <w:lastRenderedPageBreak/>
        <w:t>Supplementary Figure 2</w:t>
      </w:r>
      <w:r w:rsidRPr="00F027F0">
        <w:rPr>
          <w:rFonts w:ascii="Arial" w:hAnsi="Arial" w:cs="Arial"/>
          <w:b/>
          <w:bCs/>
        </w:rPr>
        <w:t xml:space="preserve">. </w:t>
      </w:r>
      <w:r w:rsidRPr="00F027F0">
        <w:rPr>
          <w:rFonts w:ascii="Arial" w:hAnsi="Arial" w:cs="Arial"/>
          <w:color w:val="000000" w:themeColor="text1"/>
          <w:kern w:val="24"/>
        </w:rPr>
        <w:t xml:space="preserve">Prevalence of different tests for </w:t>
      </w:r>
      <w:r w:rsidRPr="00F027F0">
        <w:rPr>
          <w:rFonts w:ascii="Arial" w:hAnsi="Arial" w:cs="Arial"/>
          <w:i/>
          <w:iCs/>
          <w:color w:val="000000" w:themeColor="text1"/>
          <w:kern w:val="24"/>
        </w:rPr>
        <w:t xml:space="preserve">P. falciparum </w:t>
      </w:r>
      <w:r w:rsidRPr="00F027F0">
        <w:rPr>
          <w:rFonts w:ascii="Arial" w:hAnsi="Arial" w:cs="Arial"/>
          <w:color w:val="000000" w:themeColor="text1"/>
          <w:kern w:val="24"/>
        </w:rPr>
        <w:t xml:space="preserve">infection or exposure, including RDT (A), bead-HRP2 antigen detection (B), microscopy (C), long-term antibody (D), and short-term antibody positivity (E). The clusters were assessed independently by region and indicate a statistically significant geospatial cluster of prevalence, where p &lt; 0.05. Only enumeration areas with at least 10 observations are shown. </w:t>
      </w:r>
    </w:p>
    <w:p w14:paraId="3466AB69" w14:textId="77777777" w:rsidR="00F027F0" w:rsidRDefault="00F027F0" w:rsidP="00F027F0">
      <w:r>
        <w:rPr>
          <w:noProof/>
        </w:rPr>
        <w:drawing>
          <wp:inline distT="0" distB="0" distL="0" distR="0" wp14:anchorId="61CAB415" wp14:editId="1ACC236A">
            <wp:extent cx="4389159" cy="634365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110" cy="637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4AC9" w14:textId="77777777" w:rsidR="00F027F0" w:rsidRDefault="00F027F0" w:rsidP="00F027F0">
      <w:pPr>
        <w:suppressLineNumbers/>
        <w:spacing w:line="480" w:lineRule="auto"/>
        <w:rPr>
          <w:rFonts w:ascii="Arial" w:hAnsi="Arial" w:cs="Arial"/>
          <w:color w:val="000000" w:themeColor="text1"/>
          <w:kern w:val="24"/>
        </w:rPr>
      </w:pPr>
      <w:r w:rsidRPr="00791AE8">
        <w:rPr>
          <w:rFonts w:ascii="Arial" w:hAnsi="Arial" w:cs="Arial"/>
          <w:b/>
          <w:bCs/>
          <w:color w:val="000000" w:themeColor="text1"/>
          <w:kern w:val="24"/>
          <w:u w:val="single"/>
        </w:rPr>
        <w:lastRenderedPageBreak/>
        <w:t>Supplementary Figure 3</w:t>
      </w:r>
      <w:r w:rsidRPr="00DA13D9">
        <w:rPr>
          <w:rFonts w:ascii="Arial" w:hAnsi="Arial" w:cs="Arial"/>
          <w:color w:val="000000" w:themeColor="text1"/>
          <w:kern w:val="24"/>
        </w:rPr>
        <w:t xml:space="preserve">. Prevalence of different tests for </w:t>
      </w:r>
      <w:r w:rsidRPr="00DA13D9">
        <w:rPr>
          <w:rFonts w:ascii="Arial" w:hAnsi="Arial" w:cs="Arial"/>
          <w:i/>
          <w:iCs/>
          <w:color w:val="000000" w:themeColor="text1"/>
          <w:kern w:val="24"/>
        </w:rPr>
        <w:t xml:space="preserve">P. vivax </w:t>
      </w:r>
      <w:r w:rsidRPr="00DA13D9">
        <w:rPr>
          <w:rFonts w:ascii="Arial" w:hAnsi="Arial" w:cs="Arial"/>
          <w:color w:val="000000" w:themeColor="text1"/>
          <w:kern w:val="24"/>
        </w:rPr>
        <w:t>infection, including RDT (A), bead-</w:t>
      </w:r>
      <w:proofErr w:type="spellStart"/>
      <w:r w:rsidRPr="00DA13D9">
        <w:rPr>
          <w:rFonts w:ascii="Arial" w:hAnsi="Arial" w:cs="Arial"/>
          <w:color w:val="000000" w:themeColor="text1"/>
          <w:kern w:val="24"/>
        </w:rPr>
        <w:t>pLDH</w:t>
      </w:r>
      <w:proofErr w:type="spellEnd"/>
      <w:r w:rsidRPr="00DA13D9">
        <w:rPr>
          <w:rFonts w:ascii="Arial" w:hAnsi="Arial" w:cs="Arial"/>
          <w:color w:val="000000" w:themeColor="text1"/>
          <w:kern w:val="24"/>
        </w:rPr>
        <w:t>/</w:t>
      </w:r>
      <w:proofErr w:type="spellStart"/>
      <w:r w:rsidRPr="00DA13D9">
        <w:rPr>
          <w:rFonts w:ascii="Arial" w:hAnsi="Arial" w:cs="Arial"/>
          <w:color w:val="000000" w:themeColor="text1"/>
          <w:kern w:val="24"/>
        </w:rPr>
        <w:t>pALdolase</w:t>
      </w:r>
      <w:proofErr w:type="spellEnd"/>
      <w:r w:rsidRPr="00DA13D9">
        <w:rPr>
          <w:rFonts w:ascii="Arial" w:hAnsi="Arial" w:cs="Arial"/>
          <w:color w:val="000000" w:themeColor="text1"/>
          <w:kern w:val="24"/>
        </w:rPr>
        <w:t xml:space="preserve"> antigen detection (B), microscopy (</w:t>
      </w:r>
      <w:r>
        <w:rPr>
          <w:rFonts w:ascii="Arial" w:hAnsi="Arial" w:cs="Arial"/>
          <w:color w:val="000000" w:themeColor="text1"/>
          <w:kern w:val="24"/>
        </w:rPr>
        <w:t>C</w:t>
      </w:r>
      <w:r w:rsidRPr="00DA13D9">
        <w:rPr>
          <w:rFonts w:ascii="Arial" w:hAnsi="Arial" w:cs="Arial"/>
          <w:color w:val="000000" w:themeColor="text1"/>
          <w:kern w:val="24"/>
        </w:rPr>
        <w:t>)</w:t>
      </w:r>
      <w:r>
        <w:rPr>
          <w:rFonts w:ascii="Arial" w:hAnsi="Arial" w:cs="Arial"/>
          <w:color w:val="000000" w:themeColor="text1"/>
          <w:kern w:val="24"/>
        </w:rPr>
        <w:t xml:space="preserve">, and </w:t>
      </w:r>
      <w:r w:rsidRPr="00DA13D9">
        <w:rPr>
          <w:rFonts w:ascii="Arial" w:hAnsi="Arial" w:cs="Arial"/>
          <w:color w:val="000000" w:themeColor="text1"/>
          <w:kern w:val="24"/>
        </w:rPr>
        <w:t>long-term antibody (</w:t>
      </w:r>
      <w:r>
        <w:rPr>
          <w:rFonts w:ascii="Arial" w:hAnsi="Arial" w:cs="Arial"/>
          <w:color w:val="000000" w:themeColor="text1"/>
          <w:kern w:val="24"/>
        </w:rPr>
        <w:t>D)</w:t>
      </w:r>
      <w:r w:rsidRPr="00DA13D9">
        <w:rPr>
          <w:rFonts w:ascii="Arial" w:hAnsi="Arial" w:cs="Arial"/>
          <w:color w:val="000000" w:themeColor="text1"/>
          <w:kern w:val="24"/>
        </w:rPr>
        <w:t xml:space="preserve">. The clusters were assessed independently by region and indicate a statistically significant geospatial cluster of prevalence, where p &lt; 0.05. Only enumeration areas with at least 10 observations are shown. </w:t>
      </w:r>
    </w:p>
    <w:p w14:paraId="3AA5F23D" w14:textId="77777777" w:rsidR="00F027F0" w:rsidRPr="00DA13D9" w:rsidRDefault="00F027F0" w:rsidP="00F027F0">
      <w:pPr>
        <w:suppressLineNumbers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96DD7F" wp14:editId="646F977D">
            <wp:extent cx="5629275" cy="5629275"/>
            <wp:effectExtent l="19050" t="19050" r="28575" b="2857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6292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4AD33F" w14:textId="102D11BD" w:rsidR="00F027F0" w:rsidRDefault="00F027F0" w:rsidP="00F027F0"/>
    <w:p w14:paraId="2C0E43FF" w14:textId="5FBC6D4B" w:rsidR="00F027F0" w:rsidRDefault="00F027F0" w:rsidP="00F027F0"/>
    <w:p w14:paraId="5AB9CE5B" w14:textId="5A328C5D" w:rsidR="00F027F0" w:rsidRDefault="00F027F0" w:rsidP="00F027F0"/>
    <w:p w14:paraId="58B7C323" w14:textId="77777777" w:rsidR="000D33EB" w:rsidRPr="0005240B" w:rsidRDefault="000D33EB" w:rsidP="000D33EB">
      <w:pPr>
        <w:suppressLineNumbers/>
        <w:spacing w:line="480" w:lineRule="auto"/>
        <w:rPr>
          <w:rFonts w:ascii="Arial" w:hAnsi="Arial" w:cs="Arial"/>
          <w:b/>
          <w:bCs/>
        </w:rPr>
      </w:pPr>
      <w:r w:rsidRPr="00467D35">
        <w:rPr>
          <w:rFonts w:ascii="Arial" w:hAnsi="Arial" w:cs="Arial"/>
          <w:b/>
          <w:bCs/>
          <w:color w:val="000000" w:themeColor="text1"/>
          <w:kern w:val="24"/>
          <w:u w:val="single"/>
        </w:rPr>
        <w:lastRenderedPageBreak/>
        <w:t>Supplementary Figur</w:t>
      </w:r>
      <w:r>
        <w:rPr>
          <w:rFonts w:ascii="Arial" w:hAnsi="Arial" w:cs="Arial"/>
          <w:b/>
          <w:bCs/>
          <w:color w:val="000000" w:themeColor="text1"/>
          <w:kern w:val="24"/>
          <w:u w:val="single"/>
        </w:rPr>
        <w:t>e 4</w:t>
      </w:r>
      <w:r w:rsidRPr="0005240B">
        <w:rPr>
          <w:rFonts w:ascii="Arial" w:hAnsi="Arial" w:cs="Arial"/>
          <w:color w:val="000000" w:themeColor="text1"/>
          <w:kern w:val="24"/>
        </w:rPr>
        <w:t xml:space="preserve">. Kernel-smoothed prevalence surfaces for the different diagnostic tests for </w:t>
      </w:r>
      <w:r w:rsidRPr="0005240B">
        <w:rPr>
          <w:rFonts w:ascii="Arial" w:hAnsi="Arial" w:cs="Arial"/>
          <w:i/>
          <w:iCs/>
          <w:color w:val="000000" w:themeColor="text1"/>
          <w:kern w:val="24"/>
        </w:rPr>
        <w:t xml:space="preserve">P. falciparum </w:t>
      </w:r>
      <w:r w:rsidRPr="0005240B">
        <w:rPr>
          <w:rFonts w:ascii="Arial" w:hAnsi="Arial" w:cs="Arial"/>
          <w:color w:val="000000" w:themeColor="text1"/>
          <w:kern w:val="24"/>
        </w:rPr>
        <w:t xml:space="preserve">infection, including </w:t>
      </w:r>
      <w:r>
        <w:rPr>
          <w:rFonts w:ascii="Arial" w:hAnsi="Arial" w:cs="Arial"/>
          <w:color w:val="000000" w:themeColor="text1"/>
          <w:kern w:val="24"/>
        </w:rPr>
        <w:t>rapid diagnostic test</w:t>
      </w:r>
      <w:r w:rsidRPr="0005240B">
        <w:rPr>
          <w:rFonts w:ascii="Arial" w:hAnsi="Arial" w:cs="Arial"/>
          <w:color w:val="000000" w:themeColor="text1"/>
          <w:kern w:val="24"/>
        </w:rPr>
        <w:t xml:space="preserve"> (A), bead HRP2 antigen detection (B), and microscopy (C). The areas encircled indicate areas of significantly higher prevalence (asymptotic p-values &lt; 0.05). </w:t>
      </w:r>
    </w:p>
    <w:p w14:paraId="1CC5EE6F" w14:textId="77777777" w:rsidR="000D33EB" w:rsidRDefault="000D33EB" w:rsidP="000D33EB">
      <w:r>
        <w:rPr>
          <w:noProof/>
        </w:rPr>
        <w:drawing>
          <wp:inline distT="0" distB="0" distL="0" distR="0" wp14:anchorId="7058CE32" wp14:editId="19EB4502">
            <wp:extent cx="5943600" cy="5943600"/>
            <wp:effectExtent l="0" t="0" r="0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AFE3" w14:textId="10FB2AB1" w:rsidR="00F027F0" w:rsidRDefault="00F027F0" w:rsidP="00F027F0"/>
    <w:p w14:paraId="0EA17DE1" w14:textId="133301B2" w:rsidR="000D33EB" w:rsidRDefault="000D33EB" w:rsidP="00F027F0"/>
    <w:p w14:paraId="26D4B2E0" w14:textId="34CA5C38" w:rsidR="000D33EB" w:rsidRDefault="000D33EB" w:rsidP="00F027F0"/>
    <w:p w14:paraId="71173DD9" w14:textId="77777777" w:rsidR="000D33EB" w:rsidRPr="002D6005" w:rsidRDefault="000D33EB" w:rsidP="000D33EB">
      <w:pPr>
        <w:suppressLineNumbers/>
        <w:spacing w:line="480" w:lineRule="auto"/>
        <w:rPr>
          <w:rFonts w:ascii="Arial" w:hAnsi="Arial" w:cs="Arial"/>
          <w:sz w:val="24"/>
          <w:szCs w:val="24"/>
        </w:rPr>
      </w:pPr>
      <w:r w:rsidRPr="00A22A88">
        <w:rPr>
          <w:rFonts w:ascii="Arial" w:hAnsi="Arial" w:cs="Arial"/>
          <w:b/>
          <w:bCs/>
          <w:color w:val="000000" w:themeColor="text1"/>
          <w:kern w:val="24"/>
          <w:u w:val="single"/>
        </w:rPr>
        <w:lastRenderedPageBreak/>
        <w:t>Supplementary Figure 5</w:t>
      </w:r>
      <w:r w:rsidRPr="00DA13D9">
        <w:rPr>
          <w:rFonts w:ascii="Arial" w:hAnsi="Arial" w:cs="Arial"/>
          <w:color w:val="000000" w:themeColor="text1"/>
          <w:kern w:val="24"/>
        </w:rPr>
        <w:t xml:space="preserve">. Kernel-smoothed prevalence surfaces for the different diagnostic tests for </w:t>
      </w:r>
      <w:r w:rsidRPr="00DA13D9">
        <w:rPr>
          <w:rFonts w:ascii="Arial" w:hAnsi="Arial" w:cs="Arial"/>
          <w:i/>
          <w:iCs/>
          <w:color w:val="000000" w:themeColor="text1"/>
          <w:kern w:val="24"/>
        </w:rPr>
        <w:t xml:space="preserve">P. vivax </w:t>
      </w:r>
      <w:r w:rsidRPr="00DA13D9">
        <w:rPr>
          <w:rFonts w:ascii="Arial" w:hAnsi="Arial" w:cs="Arial"/>
          <w:color w:val="000000" w:themeColor="text1"/>
          <w:kern w:val="24"/>
        </w:rPr>
        <w:t xml:space="preserve">infection, including </w:t>
      </w:r>
      <w:r>
        <w:rPr>
          <w:rFonts w:ascii="Arial" w:hAnsi="Arial" w:cs="Arial"/>
          <w:color w:val="000000" w:themeColor="text1"/>
          <w:kern w:val="24"/>
        </w:rPr>
        <w:t>rapid diagnostic test</w:t>
      </w:r>
      <w:r w:rsidRPr="00DA13D9">
        <w:rPr>
          <w:rFonts w:ascii="Arial" w:hAnsi="Arial" w:cs="Arial"/>
          <w:color w:val="000000" w:themeColor="text1"/>
          <w:kern w:val="24"/>
        </w:rPr>
        <w:t xml:space="preserve"> (A), bead </w:t>
      </w:r>
      <w:proofErr w:type="spellStart"/>
      <w:r w:rsidRPr="00DA13D9">
        <w:rPr>
          <w:rFonts w:ascii="Arial" w:hAnsi="Arial" w:cs="Arial"/>
          <w:color w:val="000000" w:themeColor="text1"/>
          <w:kern w:val="24"/>
        </w:rPr>
        <w:t>pLDH</w:t>
      </w:r>
      <w:proofErr w:type="spellEnd"/>
      <w:r w:rsidRPr="00DA13D9">
        <w:rPr>
          <w:rFonts w:ascii="Arial" w:hAnsi="Arial" w:cs="Arial"/>
          <w:color w:val="000000" w:themeColor="text1"/>
          <w:kern w:val="24"/>
        </w:rPr>
        <w:t>/</w:t>
      </w:r>
      <w:proofErr w:type="spellStart"/>
      <w:r w:rsidRPr="00DA13D9">
        <w:rPr>
          <w:rFonts w:ascii="Arial" w:hAnsi="Arial" w:cs="Arial"/>
          <w:color w:val="000000" w:themeColor="text1"/>
          <w:kern w:val="24"/>
        </w:rPr>
        <w:t>pALdolase</w:t>
      </w:r>
      <w:proofErr w:type="spellEnd"/>
      <w:r w:rsidRPr="00DA13D9">
        <w:rPr>
          <w:rFonts w:ascii="Arial" w:hAnsi="Arial" w:cs="Arial"/>
          <w:color w:val="000000" w:themeColor="text1"/>
          <w:kern w:val="24"/>
        </w:rPr>
        <w:t xml:space="preserve"> antigen detection (B), and microscopy (C). The areas encircled indicate areas of significantly higher prevalence (asymptotic p-values &lt; 0.05). </w:t>
      </w:r>
    </w:p>
    <w:p w14:paraId="23ACAEEF" w14:textId="77777777" w:rsidR="000D33EB" w:rsidRDefault="000D33EB" w:rsidP="000D33EB">
      <w:r>
        <w:rPr>
          <w:noProof/>
        </w:rPr>
        <w:drawing>
          <wp:inline distT="0" distB="0" distL="0" distR="0" wp14:anchorId="32BFDF77" wp14:editId="05ECAD81">
            <wp:extent cx="5943600" cy="5943600"/>
            <wp:effectExtent l="0" t="0" r="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09055" w14:textId="77777777" w:rsidR="000D33EB" w:rsidRDefault="000D33EB" w:rsidP="00F027F0"/>
    <w:p w14:paraId="0568FB33" w14:textId="77777777" w:rsidR="00614496" w:rsidRDefault="00614496"/>
    <w:sectPr w:rsidR="00614496" w:rsidSect="00F027F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F17AA9" w14:textId="77777777" w:rsidR="00614496" w:rsidRDefault="00614496" w:rsidP="00614496">
      <w:pPr>
        <w:spacing w:after="0" w:line="240" w:lineRule="auto"/>
      </w:pPr>
      <w:r>
        <w:separator/>
      </w:r>
    </w:p>
  </w:endnote>
  <w:endnote w:type="continuationSeparator" w:id="0">
    <w:p w14:paraId="1D6140BC" w14:textId="77777777" w:rsidR="00614496" w:rsidRDefault="00614496" w:rsidP="00614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5A739" w14:textId="77777777" w:rsidR="00F027F0" w:rsidRDefault="00F027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67497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BE0F63" w14:textId="7AB47128" w:rsidR="00F027F0" w:rsidRDefault="00F027F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5888D8" w14:textId="77777777" w:rsidR="00F027F0" w:rsidRDefault="00F027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F0D05" w14:textId="77777777" w:rsidR="00F027F0" w:rsidRDefault="00F027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063F3" w14:textId="77777777" w:rsidR="00614496" w:rsidRDefault="00614496" w:rsidP="00614496">
      <w:pPr>
        <w:spacing w:after="0" w:line="240" w:lineRule="auto"/>
      </w:pPr>
      <w:r>
        <w:separator/>
      </w:r>
    </w:p>
  </w:footnote>
  <w:footnote w:type="continuationSeparator" w:id="0">
    <w:p w14:paraId="1EE52D0E" w14:textId="77777777" w:rsidR="00614496" w:rsidRDefault="00614496" w:rsidP="00614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9A0EF" w14:textId="77777777" w:rsidR="00F027F0" w:rsidRDefault="00F027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167F1" w14:textId="77777777" w:rsidR="00F027F0" w:rsidRDefault="00F027F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A428C5" w14:textId="77777777" w:rsidR="00F027F0" w:rsidRDefault="00F027F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FE1"/>
    <w:rsid w:val="000D33EB"/>
    <w:rsid w:val="00117285"/>
    <w:rsid w:val="0014621C"/>
    <w:rsid w:val="005B0799"/>
    <w:rsid w:val="00614496"/>
    <w:rsid w:val="00DD2C92"/>
    <w:rsid w:val="00E00FE1"/>
    <w:rsid w:val="00F0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4BEE51"/>
  <w15:chartTrackingRefBased/>
  <w15:docId w15:val="{74BA1508-5293-4EA2-B72F-F1ECEFDA7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F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0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2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7F0"/>
  </w:style>
  <w:style w:type="paragraph" w:styleId="Footer">
    <w:name w:val="footer"/>
    <w:basedOn w:val="Normal"/>
    <w:link w:val="FooterChar"/>
    <w:uiPriority w:val="99"/>
    <w:unhideWhenUsed/>
    <w:rsid w:val="00F02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7F0"/>
  </w:style>
  <w:style w:type="character" w:styleId="LineNumber">
    <w:name w:val="line number"/>
    <w:basedOn w:val="DefaultParagraphFont"/>
    <w:uiPriority w:val="99"/>
    <w:semiHidden/>
    <w:unhideWhenUsed/>
    <w:rsid w:val="00F02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tif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455</Words>
  <Characters>2597</Characters>
  <Application>Microsoft Office Word</Application>
  <DocSecurity>0</DocSecurity>
  <Lines>21</Lines>
  <Paragraphs>6</Paragraphs>
  <ScaleCrop>false</ScaleCrop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Leonard, Colleen (CDC/DDPHSIS/CGH/DPDM)</dc:creator>
  <cp:keywords/>
  <dc:description/>
  <cp:lastModifiedBy>Leonard, Colleen (CDC/DDPHSIS/CGH/DPDM)</cp:lastModifiedBy>
  <cp:revision>2</cp:revision>
  <dcterms:created xsi:type="dcterms:W3CDTF">2021-11-30T16:14:00Z</dcterms:created>
  <dcterms:modified xsi:type="dcterms:W3CDTF">2021-11-30T16:14:00Z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03ff0-41c5-4c41-b55e-fabb8fae94be_Enabled">
    <vt:lpwstr>true</vt:lpwstr>
  </property>
  <property fmtid="{D5CDD505-2E9C-101B-9397-08002B2CF9AE}" pid="3" name="MSIP_Label_8af03ff0-41c5-4c41-b55e-fabb8fae94be_SetDate">
    <vt:lpwstr>2021-06-03T15:04:30Z</vt:lpwstr>
  </property>
  <property fmtid="{D5CDD505-2E9C-101B-9397-08002B2CF9AE}" pid="4" name="MSIP_Label_8af03ff0-41c5-4c41-b55e-fabb8fae94be_Method">
    <vt:lpwstr>Privileged</vt:lpwstr>
  </property>
  <property fmtid="{D5CDD505-2E9C-101B-9397-08002B2CF9AE}" pid="5" name="MSIP_Label_8af03ff0-41c5-4c41-b55e-fabb8fae94be_Name">
    <vt:lpwstr>8af03ff0-41c5-4c41-b55e-fabb8fae94be</vt:lpwstr>
  </property>
  <property fmtid="{D5CDD505-2E9C-101B-9397-08002B2CF9AE}" pid="6" name="MSIP_Label_8af03ff0-41c5-4c41-b55e-fabb8fae94be_SiteId">
    <vt:lpwstr>9ce70869-60db-44fd-abe8-d2767077fc8f</vt:lpwstr>
  </property>
  <property fmtid="{D5CDD505-2E9C-101B-9397-08002B2CF9AE}" pid="7" name="MSIP_Label_8af03ff0-41c5-4c41-b55e-fabb8fae94be_ActionId">
    <vt:lpwstr>f77df175-2608-456d-be9a-f2142e242da9</vt:lpwstr>
  </property>
  <property fmtid="{D5CDD505-2E9C-101B-9397-08002B2CF9AE}" pid="8" name="MSIP_Label_8af03ff0-41c5-4c41-b55e-fabb8fae94be_ContentBits">
    <vt:lpwstr>0</vt:lpwstr>
  </property>
</Properties>
</file>