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679D1" w14:textId="078ED08C" w:rsidR="0008723C" w:rsidRPr="00C00335" w:rsidRDefault="00A57D04" w:rsidP="003669CD">
      <w:pPr>
        <w:pStyle w:val="Cov-Date"/>
      </w:pPr>
      <w:r>
        <w:t>December</w:t>
      </w:r>
      <w:r w:rsidR="00BA30F7" w:rsidRPr="0079728B">
        <w:t xml:space="preserve"> </w:t>
      </w:r>
      <w:r w:rsidR="00D0624A" w:rsidRPr="0079728B">
        <w:t>20</w:t>
      </w:r>
      <w:r w:rsidR="0079728B" w:rsidRPr="0079728B">
        <w:t>2</w:t>
      </w:r>
      <w:r w:rsidR="00794B28">
        <w:t>1</w:t>
      </w:r>
      <w:r w:rsidR="00D0624A" w:rsidRPr="00C00335">
        <w:t xml:space="preserve"> </w:t>
      </w:r>
    </w:p>
    <w:p w14:paraId="0E8817A7" w14:textId="4AF5E15D" w:rsidR="0008723C" w:rsidRPr="00C00335" w:rsidRDefault="00CA7674" w:rsidP="001B60B6">
      <w:pPr>
        <w:pStyle w:val="cover-title"/>
        <w:rPr>
          <w:rFonts w:ascii="Helvetica" w:hAnsi="Helvetica"/>
        </w:rPr>
      </w:pPr>
      <w:r>
        <w:t>T</w:t>
      </w:r>
      <w:r w:rsidR="003B19DD" w:rsidRPr="00C00335">
        <w:t xml:space="preserve">echnical Report for the </w:t>
      </w:r>
      <w:r w:rsidR="00026CEB" w:rsidRPr="00C00335">
        <w:t xml:space="preserve">HIV Optimization and </w:t>
      </w:r>
      <w:r w:rsidR="00026CEB" w:rsidRPr="001B60B6">
        <w:t>Prevention</w:t>
      </w:r>
      <w:r w:rsidR="00026CEB" w:rsidRPr="00C00335">
        <w:t xml:space="preserve"> </w:t>
      </w:r>
      <w:r w:rsidR="007C6BBA" w:rsidRPr="00C00335">
        <w:t>Eco</w:t>
      </w:r>
      <w:r w:rsidR="008F79F0" w:rsidRPr="00C00335">
        <w:t>nom</w:t>
      </w:r>
      <w:r w:rsidR="007C6BBA" w:rsidRPr="00C00335">
        <w:t xml:space="preserve">ics </w:t>
      </w:r>
      <w:r w:rsidR="00026CEB" w:rsidRPr="00C00335">
        <w:t>(HOPE)</w:t>
      </w:r>
      <w:r w:rsidR="003B19DD" w:rsidRPr="00C00335">
        <w:t xml:space="preserve"> Model</w:t>
      </w:r>
    </w:p>
    <w:p w14:paraId="1943C4B6" w14:textId="77898FC6" w:rsidR="0008723C" w:rsidRPr="00C00335" w:rsidRDefault="0097026E" w:rsidP="00072BE8">
      <w:pPr>
        <w:pStyle w:val="cover-subtitle"/>
      </w:pPr>
      <w:r w:rsidRPr="004712A8">
        <w:t xml:space="preserve">Version </w:t>
      </w:r>
      <w:r w:rsidR="0079728B" w:rsidRPr="00CF1A55">
        <w:t>1</w:t>
      </w:r>
      <w:r w:rsidR="00794B28">
        <w:t>1</w:t>
      </w:r>
      <w:r w:rsidR="001D02D5">
        <w:br/>
      </w:r>
      <w:r w:rsidR="001D02D5">
        <w:br/>
      </w:r>
      <w:r w:rsidR="001D02D5" w:rsidRPr="00783571">
        <w:t>Appendix to the manuscript, “</w:t>
      </w:r>
      <w:r w:rsidR="001D02D5">
        <w:t>Optimizing HIV Prevention Efforts to Achieve EHE Incidence</w:t>
      </w:r>
      <w:r w:rsidR="00454866">
        <w:t xml:space="preserve"> Targets</w:t>
      </w:r>
      <w:r w:rsidR="001D02D5" w:rsidRPr="00783571">
        <w:t>”</w:t>
      </w:r>
      <w:r w:rsidR="003669CD" w:rsidRPr="00E832D1">
        <w:br/>
      </w:r>
      <w:r w:rsidR="003669CD" w:rsidRPr="00E832D1">
        <w:br/>
      </w:r>
      <w:r w:rsidR="002E1377" w:rsidRPr="00E832D1">
        <w:t xml:space="preserve">Based on </w:t>
      </w:r>
      <w:r w:rsidR="002E1377" w:rsidRPr="00CF1A55">
        <w:t xml:space="preserve">HOPE </w:t>
      </w:r>
      <w:r w:rsidR="002E1377" w:rsidRPr="004712A8">
        <w:t>Model version</w:t>
      </w:r>
      <w:r w:rsidR="00824360" w:rsidRPr="004712A8">
        <w:t xml:space="preserve"> </w:t>
      </w:r>
      <w:r w:rsidR="0079728B" w:rsidRPr="00CF1A55">
        <w:t>7.0</w:t>
      </w:r>
      <w:r w:rsidR="001D02D5">
        <w:t>4</w:t>
      </w:r>
      <w:r w:rsidR="003669CD" w:rsidRPr="00E832D1">
        <w:br/>
      </w:r>
    </w:p>
    <w:p w14:paraId="7F216015" w14:textId="4479249A" w:rsidR="00382287" w:rsidRDefault="0003517F" w:rsidP="002B1372">
      <w:pPr>
        <w:pStyle w:val="cover-text"/>
      </w:pPr>
      <w:r w:rsidRPr="00C00335">
        <w:t>Most of the material in this technical report has been previously published (O’Leary et al., 2017</w:t>
      </w:r>
      <w:r w:rsidR="00AB6404">
        <w:t>; Jacobson et al., 201</w:t>
      </w:r>
      <w:r w:rsidR="00896735">
        <w:t>8</w:t>
      </w:r>
      <w:r w:rsidR="00AB6404">
        <w:t>; Khurana et al., 2018</w:t>
      </w:r>
      <w:r w:rsidRPr="00E832D1">
        <w:t xml:space="preserve">). </w:t>
      </w:r>
      <w:r w:rsidR="00893FA1" w:rsidRPr="00E832D1">
        <w:t>However, the model is updated with each new version.</w:t>
      </w:r>
      <w:r w:rsidR="00893FA1">
        <w:t xml:space="preserve"> </w:t>
      </w:r>
    </w:p>
    <w:p w14:paraId="28530403" w14:textId="5E9CEF60" w:rsidR="002B1372" w:rsidRPr="00C00335" w:rsidRDefault="002B1372" w:rsidP="002B1372">
      <w:pPr>
        <w:pStyle w:val="disclaimer-text"/>
      </w:pPr>
      <w:r w:rsidRPr="009D132B">
        <w:t>_________________________________</w:t>
      </w:r>
      <w:r w:rsidRPr="009D132B">
        <w:br/>
      </w:r>
      <w:bookmarkStart w:id="0" w:name="_Hlk519580803"/>
      <w:r w:rsidRPr="009D132B">
        <w:t xml:space="preserve">RTI International is a registered trademark and a trade name </w:t>
      </w:r>
      <w:r>
        <w:t>of Research Triangle Institute</w:t>
      </w:r>
      <w:bookmarkEnd w:id="0"/>
      <w:r>
        <w:t>.</w:t>
      </w:r>
    </w:p>
    <w:p w14:paraId="3E700BAD" w14:textId="77777777" w:rsidR="00072F57" w:rsidRPr="00C00335" w:rsidRDefault="00072F57" w:rsidP="00072F57">
      <w:pPr>
        <w:pStyle w:val="Cov-Address"/>
        <w:jc w:val="left"/>
      </w:pPr>
    </w:p>
    <w:p w14:paraId="6B7CC409" w14:textId="77777777" w:rsidR="00722813" w:rsidRPr="00C00335" w:rsidRDefault="00722813" w:rsidP="0008723C">
      <w:pPr>
        <w:pStyle w:val="Cov-Address"/>
        <w:sectPr w:rsidR="00722813" w:rsidRPr="00C00335" w:rsidSect="004F4E6D">
          <w:headerReference w:type="even" r:id="rId11"/>
          <w:headerReference w:type="default" r:id="rId12"/>
          <w:footerReference w:type="even" r:id="rId13"/>
          <w:footerReference w:type="default" r:id="rId14"/>
          <w:headerReference w:type="first" r:id="rId15"/>
          <w:footerReference w:type="first" r:id="rId16"/>
          <w:type w:val="oddPage"/>
          <w:pgSz w:w="12240" w:h="15840"/>
          <w:pgMar w:top="1440" w:right="1440" w:bottom="1440" w:left="1440" w:header="720" w:footer="720" w:gutter="0"/>
          <w:pgNumType w:start="1"/>
          <w:cols w:space="0"/>
          <w:titlePg/>
        </w:sectPr>
      </w:pPr>
    </w:p>
    <w:p w14:paraId="2C798575" w14:textId="77777777" w:rsidR="0087433D" w:rsidRPr="00C00335" w:rsidRDefault="00CF18E9" w:rsidP="002B1372">
      <w:pPr>
        <w:pStyle w:val="TOCHeading"/>
      </w:pPr>
      <w:r w:rsidRPr="00C00335">
        <w:lastRenderedPageBreak/>
        <w:t>Contents</w:t>
      </w:r>
    </w:p>
    <w:p w14:paraId="4D019A77" w14:textId="77777777" w:rsidR="00994A2F" w:rsidRPr="00C00335" w:rsidRDefault="00994A2F" w:rsidP="002B1372">
      <w:pPr>
        <w:pStyle w:val="TOCSubhead"/>
      </w:pPr>
      <w:r w:rsidRPr="00C00335">
        <w:t>Section</w:t>
      </w:r>
      <w:r w:rsidRPr="00C00335">
        <w:tab/>
        <w:t>Page</w:t>
      </w:r>
    </w:p>
    <w:p w14:paraId="42566BEA" w14:textId="4DC8211C" w:rsidR="00A57D04" w:rsidRDefault="008E0A3C">
      <w:pPr>
        <w:pStyle w:val="TOC1"/>
        <w:rPr>
          <w:rFonts w:asciiTheme="minorHAnsi" w:eastAsiaTheme="minorEastAsia" w:hAnsiTheme="minorHAnsi" w:cstheme="minorBidi"/>
          <w:b w:val="0"/>
          <w:sz w:val="22"/>
          <w:lang w:eastAsia="en-US"/>
        </w:rPr>
      </w:pPr>
      <w:r w:rsidRPr="00C00335">
        <w:rPr>
          <w:noProof w:val="0"/>
        </w:rPr>
        <w:fldChar w:fldCharType="begin"/>
      </w:r>
      <w:r w:rsidRPr="00C00335">
        <w:rPr>
          <w:noProof w:val="0"/>
        </w:rPr>
        <w:instrText xml:space="preserve"> TOC \o "2-2" \t "Heading 1,1,Heading 3,3" </w:instrText>
      </w:r>
      <w:r w:rsidRPr="00C00335">
        <w:rPr>
          <w:noProof w:val="0"/>
        </w:rPr>
        <w:fldChar w:fldCharType="separate"/>
      </w:r>
      <w:r w:rsidR="00A57D04">
        <w:t>1.</w:t>
      </w:r>
      <w:r w:rsidR="00A57D04">
        <w:rPr>
          <w:rFonts w:asciiTheme="minorHAnsi" w:eastAsiaTheme="minorEastAsia" w:hAnsiTheme="minorHAnsi" w:cstheme="minorBidi"/>
          <w:b w:val="0"/>
          <w:sz w:val="22"/>
          <w:lang w:eastAsia="en-US"/>
        </w:rPr>
        <w:tab/>
      </w:r>
      <w:r w:rsidR="00A57D04">
        <w:t>Introduction</w:t>
      </w:r>
      <w:r w:rsidR="00A57D04">
        <w:tab/>
      </w:r>
      <w:r w:rsidR="00A57D04">
        <w:fldChar w:fldCharType="begin"/>
      </w:r>
      <w:r w:rsidR="00A57D04">
        <w:instrText xml:space="preserve"> PAGEREF _Toc89257529 \h </w:instrText>
      </w:r>
      <w:r w:rsidR="00A57D04">
        <w:fldChar w:fldCharType="separate"/>
      </w:r>
      <w:r w:rsidR="00A57D04">
        <w:t>1-1</w:t>
      </w:r>
      <w:r w:rsidR="00A57D04">
        <w:fldChar w:fldCharType="end"/>
      </w:r>
    </w:p>
    <w:p w14:paraId="0876CF3F" w14:textId="15EE1996" w:rsidR="00A57D04" w:rsidRDefault="00A57D04">
      <w:pPr>
        <w:pStyle w:val="TOC1"/>
        <w:rPr>
          <w:rFonts w:asciiTheme="minorHAnsi" w:eastAsiaTheme="minorEastAsia" w:hAnsiTheme="minorHAnsi" w:cstheme="minorBidi"/>
          <w:b w:val="0"/>
          <w:sz w:val="22"/>
          <w:lang w:eastAsia="en-US"/>
        </w:rPr>
      </w:pPr>
      <w:r>
        <w:t>2.</w:t>
      </w:r>
      <w:r>
        <w:rPr>
          <w:rFonts w:asciiTheme="minorHAnsi" w:eastAsiaTheme="minorEastAsia" w:hAnsiTheme="minorHAnsi" w:cstheme="minorBidi"/>
          <w:b w:val="0"/>
          <w:sz w:val="22"/>
          <w:lang w:eastAsia="en-US"/>
        </w:rPr>
        <w:tab/>
      </w:r>
      <w:r>
        <w:t>Model Overview and Purpose</w:t>
      </w:r>
      <w:r>
        <w:tab/>
      </w:r>
      <w:r>
        <w:fldChar w:fldCharType="begin"/>
      </w:r>
      <w:r>
        <w:instrText xml:space="preserve"> PAGEREF _Toc89257530 \h </w:instrText>
      </w:r>
      <w:r>
        <w:fldChar w:fldCharType="separate"/>
      </w:r>
      <w:r>
        <w:t>2-1</w:t>
      </w:r>
      <w:r>
        <w:fldChar w:fldCharType="end"/>
      </w:r>
    </w:p>
    <w:p w14:paraId="50F95231" w14:textId="4137F85B" w:rsidR="00A57D04" w:rsidRDefault="00A57D04">
      <w:pPr>
        <w:pStyle w:val="TOC1"/>
        <w:rPr>
          <w:rFonts w:asciiTheme="minorHAnsi" w:eastAsiaTheme="minorEastAsia" w:hAnsiTheme="minorHAnsi" w:cstheme="minorBidi"/>
          <w:b w:val="0"/>
          <w:sz w:val="22"/>
          <w:lang w:eastAsia="en-US"/>
        </w:rPr>
      </w:pPr>
      <w:r>
        <w:t>3.</w:t>
      </w:r>
      <w:r>
        <w:rPr>
          <w:rFonts w:asciiTheme="minorHAnsi" w:eastAsiaTheme="minorEastAsia" w:hAnsiTheme="minorHAnsi" w:cstheme="minorBidi"/>
          <w:b w:val="0"/>
          <w:sz w:val="22"/>
          <w:lang w:eastAsia="en-US"/>
        </w:rPr>
        <w:tab/>
      </w:r>
      <w:r>
        <w:t>Model Population and Compartments</w:t>
      </w:r>
      <w:r>
        <w:tab/>
      </w:r>
      <w:r>
        <w:fldChar w:fldCharType="begin"/>
      </w:r>
      <w:r>
        <w:instrText xml:space="preserve"> PAGEREF _Toc89257531 \h </w:instrText>
      </w:r>
      <w:r>
        <w:fldChar w:fldCharType="separate"/>
      </w:r>
      <w:r>
        <w:t>3-1</w:t>
      </w:r>
      <w:r>
        <w:fldChar w:fldCharType="end"/>
      </w:r>
    </w:p>
    <w:p w14:paraId="07D30562" w14:textId="183F8829" w:rsidR="00A57D04" w:rsidRDefault="00A57D04">
      <w:pPr>
        <w:pStyle w:val="TOC1"/>
        <w:rPr>
          <w:rFonts w:asciiTheme="minorHAnsi" w:eastAsiaTheme="minorEastAsia" w:hAnsiTheme="minorHAnsi" w:cstheme="minorBidi"/>
          <w:b w:val="0"/>
          <w:sz w:val="22"/>
          <w:lang w:eastAsia="en-US"/>
        </w:rPr>
      </w:pPr>
      <w:r>
        <w:t>4.</w:t>
      </w:r>
      <w:r>
        <w:rPr>
          <w:rFonts w:asciiTheme="minorHAnsi" w:eastAsiaTheme="minorEastAsia" w:hAnsiTheme="minorHAnsi" w:cstheme="minorBidi"/>
          <w:b w:val="0"/>
          <w:sz w:val="22"/>
          <w:lang w:eastAsia="en-US"/>
        </w:rPr>
        <w:tab/>
      </w:r>
      <w:r>
        <w:t>Initial Population</w:t>
      </w:r>
      <w:r>
        <w:tab/>
      </w:r>
      <w:r>
        <w:fldChar w:fldCharType="begin"/>
      </w:r>
      <w:r>
        <w:instrText xml:space="preserve"> PAGEREF _Toc89257532 \h </w:instrText>
      </w:r>
      <w:r>
        <w:fldChar w:fldCharType="separate"/>
      </w:r>
      <w:r>
        <w:t>4-1</w:t>
      </w:r>
      <w:r>
        <w:fldChar w:fldCharType="end"/>
      </w:r>
    </w:p>
    <w:p w14:paraId="45824370" w14:textId="6323D8B6" w:rsidR="00A57D04" w:rsidRDefault="00A57D04">
      <w:pPr>
        <w:pStyle w:val="TOC1"/>
        <w:rPr>
          <w:rFonts w:asciiTheme="minorHAnsi" w:eastAsiaTheme="minorEastAsia" w:hAnsiTheme="minorHAnsi" w:cstheme="minorBidi"/>
          <w:b w:val="0"/>
          <w:sz w:val="22"/>
          <w:lang w:eastAsia="en-US"/>
        </w:rPr>
      </w:pPr>
      <w:r>
        <w:t>5.</w:t>
      </w:r>
      <w:r>
        <w:rPr>
          <w:rFonts w:asciiTheme="minorHAnsi" w:eastAsiaTheme="minorEastAsia" w:hAnsiTheme="minorHAnsi" w:cstheme="minorBidi"/>
          <w:b w:val="0"/>
          <w:sz w:val="22"/>
          <w:lang w:eastAsia="en-US"/>
        </w:rPr>
        <w:tab/>
      </w:r>
      <w:r>
        <w:t>Movement into and out of the Model, between Subpopulations, between Compartments (Except Due to Infection), and within Compartments</w:t>
      </w:r>
      <w:r>
        <w:tab/>
      </w:r>
      <w:r>
        <w:fldChar w:fldCharType="begin"/>
      </w:r>
      <w:r>
        <w:instrText xml:space="preserve"> PAGEREF _Toc89257533 \h </w:instrText>
      </w:r>
      <w:r>
        <w:fldChar w:fldCharType="separate"/>
      </w:r>
      <w:r>
        <w:t>5-1</w:t>
      </w:r>
      <w:r>
        <w:fldChar w:fldCharType="end"/>
      </w:r>
    </w:p>
    <w:p w14:paraId="3161FA6D" w14:textId="1F5E7F89" w:rsidR="00A57D04" w:rsidRDefault="00A57D04">
      <w:pPr>
        <w:pStyle w:val="TOC2"/>
        <w:tabs>
          <w:tab w:val="left" w:pos="1800"/>
        </w:tabs>
        <w:rPr>
          <w:rFonts w:asciiTheme="minorHAnsi" w:eastAsiaTheme="minorEastAsia" w:hAnsiTheme="minorHAnsi" w:cstheme="minorBidi"/>
          <w:sz w:val="22"/>
          <w:lang w:eastAsia="en-US"/>
        </w:rPr>
      </w:pPr>
      <w:r>
        <w:t>5.1</w:t>
      </w:r>
      <w:r>
        <w:rPr>
          <w:rFonts w:asciiTheme="minorHAnsi" w:eastAsiaTheme="minorEastAsia" w:hAnsiTheme="minorHAnsi" w:cstheme="minorBidi"/>
          <w:sz w:val="22"/>
          <w:lang w:eastAsia="en-US"/>
        </w:rPr>
        <w:tab/>
      </w:r>
      <w:r>
        <w:t>Transitions into and out of the Model</w:t>
      </w:r>
      <w:r>
        <w:tab/>
      </w:r>
      <w:r>
        <w:fldChar w:fldCharType="begin"/>
      </w:r>
      <w:r>
        <w:instrText xml:space="preserve"> PAGEREF _Toc89257534 \h </w:instrText>
      </w:r>
      <w:r>
        <w:fldChar w:fldCharType="separate"/>
      </w:r>
      <w:r>
        <w:t>5-1</w:t>
      </w:r>
      <w:r>
        <w:fldChar w:fldCharType="end"/>
      </w:r>
    </w:p>
    <w:p w14:paraId="16D1002A" w14:textId="065C1524" w:rsidR="00A57D04" w:rsidRDefault="00A57D04">
      <w:pPr>
        <w:pStyle w:val="TOC2"/>
        <w:tabs>
          <w:tab w:val="left" w:pos="1800"/>
        </w:tabs>
        <w:rPr>
          <w:rFonts w:asciiTheme="minorHAnsi" w:eastAsiaTheme="minorEastAsia" w:hAnsiTheme="minorHAnsi" w:cstheme="minorBidi"/>
          <w:sz w:val="22"/>
          <w:lang w:eastAsia="en-US"/>
        </w:rPr>
      </w:pPr>
      <w:r>
        <w:t>5.2</w:t>
      </w:r>
      <w:r>
        <w:rPr>
          <w:rFonts w:asciiTheme="minorHAnsi" w:eastAsiaTheme="minorEastAsia" w:hAnsiTheme="minorHAnsi" w:cstheme="minorBidi"/>
          <w:sz w:val="22"/>
          <w:lang w:eastAsia="en-US"/>
        </w:rPr>
        <w:tab/>
      </w:r>
      <w:r>
        <w:t>Transitions between Subpopulations (Aging Only)</w:t>
      </w:r>
      <w:r>
        <w:tab/>
      </w:r>
      <w:r>
        <w:fldChar w:fldCharType="begin"/>
      </w:r>
      <w:r>
        <w:instrText xml:space="preserve"> PAGEREF _Toc89257535 \h </w:instrText>
      </w:r>
      <w:r>
        <w:fldChar w:fldCharType="separate"/>
      </w:r>
      <w:r>
        <w:t>5-13</w:t>
      </w:r>
      <w:r>
        <w:fldChar w:fldCharType="end"/>
      </w:r>
    </w:p>
    <w:p w14:paraId="6B00198E" w14:textId="2ED41350" w:rsidR="00A57D04" w:rsidRDefault="00A57D04">
      <w:pPr>
        <w:pStyle w:val="TOC2"/>
        <w:tabs>
          <w:tab w:val="left" w:pos="1800"/>
        </w:tabs>
        <w:rPr>
          <w:rFonts w:asciiTheme="minorHAnsi" w:eastAsiaTheme="minorEastAsia" w:hAnsiTheme="minorHAnsi" w:cstheme="minorBidi"/>
          <w:sz w:val="22"/>
          <w:lang w:eastAsia="en-US"/>
        </w:rPr>
      </w:pPr>
      <w:r>
        <w:t>5.3</w:t>
      </w:r>
      <w:r>
        <w:rPr>
          <w:rFonts w:asciiTheme="minorHAnsi" w:eastAsiaTheme="minorEastAsia" w:hAnsiTheme="minorHAnsi" w:cstheme="minorBidi"/>
          <w:sz w:val="22"/>
          <w:lang w:eastAsia="en-US"/>
        </w:rPr>
        <w:tab/>
      </w:r>
      <w:r>
        <w:t>Transitions between Compartments Due to Disease Progression</w:t>
      </w:r>
      <w:r>
        <w:tab/>
      </w:r>
      <w:r>
        <w:fldChar w:fldCharType="begin"/>
      </w:r>
      <w:r>
        <w:instrText xml:space="preserve"> PAGEREF _Toc89257536 \h </w:instrText>
      </w:r>
      <w:r>
        <w:fldChar w:fldCharType="separate"/>
      </w:r>
      <w:r>
        <w:t>5-13</w:t>
      </w:r>
      <w:r>
        <w:fldChar w:fldCharType="end"/>
      </w:r>
    </w:p>
    <w:p w14:paraId="7DE155AB" w14:textId="069884E3" w:rsidR="00A57D04" w:rsidRDefault="00A57D04">
      <w:pPr>
        <w:pStyle w:val="TOC3"/>
        <w:tabs>
          <w:tab w:val="left" w:pos="2520"/>
        </w:tabs>
        <w:rPr>
          <w:rFonts w:asciiTheme="minorHAnsi" w:eastAsiaTheme="minorEastAsia" w:hAnsiTheme="minorHAnsi" w:cstheme="minorBidi"/>
          <w:sz w:val="22"/>
          <w:lang w:eastAsia="en-US"/>
        </w:rPr>
      </w:pPr>
      <w:r>
        <w:t>5.3.1</w:t>
      </w:r>
      <w:r>
        <w:rPr>
          <w:rFonts w:asciiTheme="minorHAnsi" w:eastAsiaTheme="minorEastAsia" w:hAnsiTheme="minorHAnsi" w:cstheme="minorBidi"/>
          <w:sz w:val="22"/>
          <w:lang w:eastAsia="en-US"/>
        </w:rPr>
        <w:tab/>
      </w:r>
      <w:r>
        <w:t>Role of CD4 Count in Disease Progression and Transmission</w:t>
      </w:r>
      <w:r>
        <w:tab/>
      </w:r>
      <w:r>
        <w:fldChar w:fldCharType="begin"/>
      </w:r>
      <w:r>
        <w:instrText xml:space="preserve"> PAGEREF _Toc89257537 \h </w:instrText>
      </w:r>
      <w:r>
        <w:fldChar w:fldCharType="separate"/>
      </w:r>
      <w:r>
        <w:t>5-13</w:t>
      </w:r>
      <w:r>
        <w:fldChar w:fldCharType="end"/>
      </w:r>
    </w:p>
    <w:p w14:paraId="48A06F57" w14:textId="52C5C240" w:rsidR="00A57D04" w:rsidRDefault="00A57D04">
      <w:pPr>
        <w:pStyle w:val="TOC2"/>
        <w:tabs>
          <w:tab w:val="left" w:pos="1800"/>
        </w:tabs>
        <w:rPr>
          <w:rFonts w:asciiTheme="minorHAnsi" w:eastAsiaTheme="minorEastAsia" w:hAnsiTheme="minorHAnsi" w:cstheme="minorBidi"/>
          <w:sz w:val="22"/>
          <w:lang w:eastAsia="en-US"/>
        </w:rPr>
      </w:pPr>
      <w:r>
        <w:t>5.4</w:t>
      </w:r>
      <w:r>
        <w:rPr>
          <w:rFonts w:asciiTheme="minorHAnsi" w:eastAsiaTheme="minorEastAsia" w:hAnsiTheme="minorHAnsi" w:cstheme="minorBidi"/>
          <w:sz w:val="22"/>
          <w:lang w:eastAsia="en-US"/>
        </w:rPr>
        <w:tab/>
      </w:r>
      <w:r>
        <w:t>Transitions between Compartments Due to Progression along the Care Continuum</w:t>
      </w:r>
      <w:r>
        <w:tab/>
      </w:r>
      <w:r>
        <w:fldChar w:fldCharType="begin"/>
      </w:r>
      <w:r>
        <w:instrText xml:space="preserve"> PAGEREF _Toc89257538 \h </w:instrText>
      </w:r>
      <w:r>
        <w:fldChar w:fldCharType="separate"/>
      </w:r>
      <w:r>
        <w:t>5-14</w:t>
      </w:r>
      <w:r>
        <w:fldChar w:fldCharType="end"/>
      </w:r>
    </w:p>
    <w:p w14:paraId="4DDC3DF0" w14:textId="727630AC" w:rsidR="00A57D04" w:rsidRDefault="00A57D04">
      <w:pPr>
        <w:pStyle w:val="TOC3"/>
        <w:tabs>
          <w:tab w:val="left" w:pos="2520"/>
        </w:tabs>
        <w:rPr>
          <w:rFonts w:asciiTheme="minorHAnsi" w:eastAsiaTheme="minorEastAsia" w:hAnsiTheme="minorHAnsi" w:cstheme="minorBidi"/>
          <w:sz w:val="22"/>
          <w:lang w:eastAsia="en-US"/>
        </w:rPr>
      </w:pPr>
      <w:r>
        <w:t>5.4.1</w:t>
      </w:r>
      <w:r>
        <w:rPr>
          <w:rFonts w:asciiTheme="minorHAnsi" w:eastAsiaTheme="minorEastAsia" w:hAnsiTheme="minorHAnsi" w:cstheme="minorBidi"/>
          <w:sz w:val="22"/>
          <w:lang w:eastAsia="en-US"/>
        </w:rPr>
        <w:tab/>
      </w:r>
      <w:r>
        <w:t>Methods for Calculating Progression along the Care Continuum</w:t>
      </w:r>
      <w:r>
        <w:tab/>
      </w:r>
      <w:r>
        <w:fldChar w:fldCharType="begin"/>
      </w:r>
      <w:r>
        <w:instrText xml:space="preserve"> PAGEREF _Toc89257539 \h </w:instrText>
      </w:r>
      <w:r>
        <w:fldChar w:fldCharType="separate"/>
      </w:r>
      <w:r>
        <w:t>5-15</w:t>
      </w:r>
      <w:r>
        <w:fldChar w:fldCharType="end"/>
      </w:r>
    </w:p>
    <w:p w14:paraId="1540F828" w14:textId="687A028B" w:rsidR="00A57D04" w:rsidRDefault="00A57D04">
      <w:pPr>
        <w:pStyle w:val="TOC3"/>
        <w:tabs>
          <w:tab w:val="left" w:pos="2520"/>
        </w:tabs>
        <w:rPr>
          <w:rFonts w:asciiTheme="minorHAnsi" w:eastAsiaTheme="minorEastAsia" w:hAnsiTheme="minorHAnsi" w:cstheme="minorBidi"/>
          <w:sz w:val="22"/>
          <w:lang w:eastAsia="en-US"/>
        </w:rPr>
      </w:pPr>
      <w:r>
        <w:t>5.4.2</w:t>
      </w:r>
      <w:r>
        <w:rPr>
          <w:rFonts w:asciiTheme="minorHAnsi" w:eastAsiaTheme="minorEastAsia" w:hAnsiTheme="minorHAnsi" w:cstheme="minorBidi"/>
          <w:sz w:val="22"/>
          <w:lang w:eastAsia="en-US"/>
        </w:rPr>
        <w:tab/>
      </w:r>
      <w:r>
        <w:t>Diagnosis Rates</w:t>
      </w:r>
      <w:r>
        <w:tab/>
      </w:r>
      <w:r>
        <w:fldChar w:fldCharType="begin"/>
      </w:r>
      <w:r>
        <w:instrText xml:space="preserve"> PAGEREF _Toc89257540 \h </w:instrText>
      </w:r>
      <w:r>
        <w:fldChar w:fldCharType="separate"/>
      </w:r>
      <w:r>
        <w:t>5-20</w:t>
      </w:r>
      <w:r>
        <w:fldChar w:fldCharType="end"/>
      </w:r>
    </w:p>
    <w:p w14:paraId="787CD372" w14:textId="178CC580" w:rsidR="00A57D04" w:rsidRDefault="00A57D04">
      <w:pPr>
        <w:pStyle w:val="TOC2"/>
        <w:tabs>
          <w:tab w:val="left" w:pos="1800"/>
        </w:tabs>
        <w:rPr>
          <w:rFonts w:asciiTheme="minorHAnsi" w:eastAsiaTheme="minorEastAsia" w:hAnsiTheme="minorHAnsi" w:cstheme="minorBidi"/>
          <w:sz w:val="22"/>
          <w:lang w:eastAsia="en-US"/>
        </w:rPr>
      </w:pPr>
      <w:r>
        <w:t>5.5</w:t>
      </w:r>
      <w:r>
        <w:rPr>
          <w:rFonts w:asciiTheme="minorHAnsi" w:eastAsiaTheme="minorEastAsia" w:hAnsiTheme="minorHAnsi" w:cstheme="minorBidi"/>
          <w:sz w:val="22"/>
          <w:lang w:eastAsia="en-US"/>
        </w:rPr>
        <w:tab/>
      </w:r>
      <w:r>
        <w:t>Transitions between Compartments Due to PrEP Participation</w:t>
      </w:r>
      <w:r>
        <w:tab/>
      </w:r>
      <w:r>
        <w:fldChar w:fldCharType="begin"/>
      </w:r>
      <w:r>
        <w:instrText xml:space="preserve"> PAGEREF _Toc89257541 \h </w:instrText>
      </w:r>
      <w:r>
        <w:fldChar w:fldCharType="separate"/>
      </w:r>
      <w:r>
        <w:t>5-21</w:t>
      </w:r>
      <w:r>
        <w:fldChar w:fldCharType="end"/>
      </w:r>
    </w:p>
    <w:p w14:paraId="67C8B01A" w14:textId="4AB28B95" w:rsidR="00A57D04" w:rsidRDefault="00A57D04">
      <w:pPr>
        <w:pStyle w:val="TOC1"/>
        <w:rPr>
          <w:rFonts w:asciiTheme="minorHAnsi" w:eastAsiaTheme="minorEastAsia" w:hAnsiTheme="minorHAnsi" w:cstheme="minorBidi"/>
          <w:b w:val="0"/>
          <w:sz w:val="22"/>
          <w:lang w:eastAsia="en-US"/>
        </w:rPr>
      </w:pPr>
      <w:r>
        <w:t>6.</w:t>
      </w:r>
      <w:r>
        <w:rPr>
          <w:rFonts w:asciiTheme="minorHAnsi" w:eastAsiaTheme="minorEastAsia" w:hAnsiTheme="minorHAnsi" w:cstheme="minorBidi"/>
          <w:b w:val="0"/>
          <w:sz w:val="22"/>
          <w:lang w:eastAsia="en-US"/>
        </w:rPr>
        <w:tab/>
      </w:r>
      <w:r>
        <w:t>Force of Infection</w:t>
      </w:r>
      <w:r>
        <w:tab/>
      </w:r>
      <w:r>
        <w:fldChar w:fldCharType="begin"/>
      </w:r>
      <w:r>
        <w:instrText xml:space="preserve"> PAGEREF _Toc89257542 \h </w:instrText>
      </w:r>
      <w:r>
        <w:fldChar w:fldCharType="separate"/>
      </w:r>
      <w:r>
        <w:t>6-1</w:t>
      </w:r>
      <w:r>
        <w:fldChar w:fldCharType="end"/>
      </w:r>
    </w:p>
    <w:p w14:paraId="1918C0AC" w14:textId="34CCDEA8" w:rsidR="00A57D04" w:rsidRDefault="00A57D04">
      <w:pPr>
        <w:pStyle w:val="TOC2"/>
        <w:tabs>
          <w:tab w:val="left" w:pos="1800"/>
        </w:tabs>
        <w:rPr>
          <w:rFonts w:asciiTheme="minorHAnsi" w:eastAsiaTheme="minorEastAsia" w:hAnsiTheme="minorHAnsi" w:cstheme="minorBidi"/>
          <w:sz w:val="22"/>
          <w:lang w:eastAsia="en-US"/>
        </w:rPr>
      </w:pPr>
      <w:r>
        <w:t>6.1</w:t>
      </w:r>
      <w:r>
        <w:rPr>
          <w:rFonts w:asciiTheme="minorHAnsi" w:eastAsiaTheme="minorEastAsia" w:hAnsiTheme="minorHAnsi" w:cstheme="minorBidi"/>
          <w:sz w:val="22"/>
          <w:lang w:eastAsia="en-US"/>
        </w:rPr>
        <w:tab/>
      </w:r>
      <w:r>
        <w:t>Sexual and Needle-Sharing Partnerships</w:t>
      </w:r>
      <w:r>
        <w:tab/>
      </w:r>
      <w:r>
        <w:fldChar w:fldCharType="begin"/>
      </w:r>
      <w:r>
        <w:instrText xml:space="preserve"> PAGEREF _Toc89257543 \h </w:instrText>
      </w:r>
      <w:r>
        <w:fldChar w:fldCharType="separate"/>
      </w:r>
      <w:r>
        <w:t>6-1</w:t>
      </w:r>
      <w:r>
        <w:fldChar w:fldCharType="end"/>
      </w:r>
    </w:p>
    <w:p w14:paraId="65A43730" w14:textId="316FE538" w:rsidR="00A57D04" w:rsidRDefault="00A57D04">
      <w:pPr>
        <w:pStyle w:val="TOC2"/>
        <w:tabs>
          <w:tab w:val="left" w:pos="1800"/>
        </w:tabs>
        <w:rPr>
          <w:rFonts w:asciiTheme="minorHAnsi" w:eastAsiaTheme="minorEastAsia" w:hAnsiTheme="minorHAnsi" w:cstheme="minorBidi"/>
          <w:sz w:val="22"/>
          <w:lang w:eastAsia="en-US"/>
        </w:rPr>
      </w:pPr>
      <w:r>
        <w:t>6.2</w:t>
      </w:r>
      <w:r>
        <w:rPr>
          <w:rFonts w:asciiTheme="minorHAnsi" w:eastAsiaTheme="minorEastAsia" w:hAnsiTheme="minorHAnsi" w:cstheme="minorBidi"/>
          <w:sz w:val="22"/>
          <w:lang w:eastAsia="en-US"/>
        </w:rPr>
        <w:tab/>
      </w:r>
      <w:r>
        <w:t>Per-Partnership Transmission Risk</w:t>
      </w:r>
      <w:r>
        <w:tab/>
      </w:r>
      <w:r>
        <w:fldChar w:fldCharType="begin"/>
      </w:r>
      <w:r>
        <w:instrText xml:space="preserve"> PAGEREF _Toc89257544 \h </w:instrText>
      </w:r>
      <w:r>
        <w:fldChar w:fldCharType="separate"/>
      </w:r>
      <w:r>
        <w:t>6-4</w:t>
      </w:r>
      <w:r>
        <w:fldChar w:fldCharType="end"/>
      </w:r>
    </w:p>
    <w:p w14:paraId="67E608D2" w14:textId="18457DD7" w:rsidR="00A57D04" w:rsidRDefault="00A57D04">
      <w:pPr>
        <w:pStyle w:val="TOC3"/>
        <w:tabs>
          <w:tab w:val="left" w:pos="2520"/>
        </w:tabs>
        <w:rPr>
          <w:rFonts w:asciiTheme="minorHAnsi" w:eastAsiaTheme="minorEastAsia" w:hAnsiTheme="minorHAnsi" w:cstheme="minorBidi"/>
          <w:sz w:val="22"/>
          <w:lang w:eastAsia="en-US"/>
        </w:rPr>
      </w:pPr>
      <w:r>
        <w:t>6.2.1</w:t>
      </w:r>
      <w:r>
        <w:rPr>
          <w:rFonts w:asciiTheme="minorHAnsi" w:eastAsiaTheme="minorEastAsia" w:hAnsiTheme="minorHAnsi" w:cstheme="minorBidi"/>
          <w:sz w:val="22"/>
          <w:lang w:eastAsia="en-US"/>
        </w:rPr>
        <w:tab/>
      </w:r>
      <w:r>
        <w:t>Per-Sex-Act Sexual and Needle Transmission Probabilities</w:t>
      </w:r>
      <w:r>
        <w:tab/>
      </w:r>
      <w:r>
        <w:fldChar w:fldCharType="begin"/>
      </w:r>
      <w:r>
        <w:instrText xml:space="preserve"> PAGEREF _Toc89257545 \h </w:instrText>
      </w:r>
      <w:r>
        <w:fldChar w:fldCharType="separate"/>
      </w:r>
      <w:r>
        <w:t>6-13</w:t>
      </w:r>
      <w:r>
        <w:fldChar w:fldCharType="end"/>
      </w:r>
    </w:p>
    <w:p w14:paraId="7EED5F10" w14:textId="6EE05C1F" w:rsidR="00A57D04" w:rsidRDefault="00A57D04">
      <w:pPr>
        <w:pStyle w:val="TOC3"/>
        <w:tabs>
          <w:tab w:val="left" w:pos="2520"/>
        </w:tabs>
        <w:rPr>
          <w:rFonts w:asciiTheme="minorHAnsi" w:eastAsiaTheme="minorEastAsia" w:hAnsiTheme="minorHAnsi" w:cstheme="minorBidi"/>
          <w:sz w:val="22"/>
          <w:lang w:eastAsia="en-US"/>
        </w:rPr>
      </w:pPr>
      <w:r>
        <w:t>6.2.2</w:t>
      </w:r>
      <w:r>
        <w:rPr>
          <w:rFonts w:asciiTheme="minorHAnsi" w:eastAsiaTheme="minorEastAsia" w:hAnsiTheme="minorHAnsi" w:cstheme="minorBidi"/>
          <w:sz w:val="22"/>
          <w:lang w:eastAsia="en-US"/>
        </w:rPr>
        <w:tab/>
      </w:r>
      <w:r>
        <w:t>Number of Sex Acts and Needles Shared per Partner</w:t>
      </w:r>
      <w:r>
        <w:tab/>
      </w:r>
      <w:r>
        <w:fldChar w:fldCharType="begin"/>
      </w:r>
      <w:r>
        <w:instrText xml:space="preserve"> PAGEREF _Toc89257546 \h </w:instrText>
      </w:r>
      <w:r>
        <w:fldChar w:fldCharType="separate"/>
      </w:r>
      <w:r>
        <w:t>6-13</w:t>
      </w:r>
      <w:r>
        <w:fldChar w:fldCharType="end"/>
      </w:r>
    </w:p>
    <w:p w14:paraId="7364F5E6" w14:textId="1B70A375" w:rsidR="00A57D04" w:rsidRDefault="00A57D04">
      <w:pPr>
        <w:pStyle w:val="TOC3"/>
        <w:tabs>
          <w:tab w:val="left" w:pos="2520"/>
        </w:tabs>
        <w:rPr>
          <w:rFonts w:asciiTheme="minorHAnsi" w:eastAsiaTheme="minorEastAsia" w:hAnsiTheme="minorHAnsi" w:cstheme="minorBidi"/>
          <w:sz w:val="22"/>
          <w:lang w:eastAsia="en-US"/>
        </w:rPr>
      </w:pPr>
      <w:r>
        <w:t>6.2.3</w:t>
      </w:r>
      <w:r>
        <w:rPr>
          <w:rFonts w:asciiTheme="minorHAnsi" w:eastAsiaTheme="minorEastAsia" w:hAnsiTheme="minorHAnsi" w:cstheme="minorBidi"/>
          <w:sz w:val="22"/>
          <w:lang w:eastAsia="en-US"/>
        </w:rPr>
        <w:tab/>
      </w:r>
      <w:r>
        <w:t>Calculation of Per-Partnership Transmission Risk</w:t>
      </w:r>
      <w:r>
        <w:tab/>
      </w:r>
      <w:r>
        <w:fldChar w:fldCharType="begin"/>
      </w:r>
      <w:r>
        <w:instrText xml:space="preserve"> PAGEREF _Toc89257547 \h </w:instrText>
      </w:r>
      <w:r>
        <w:fldChar w:fldCharType="separate"/>
      </w:r>
      <w:r>
        <w:t>6-13</w:t>
      </w:r>
      <w:r>
        <w:fldChar w:fldCharType="end"/>
      </w:r>
    </w:p>
    <w:p w14:paraId="033A79F6" w14:textId="52441053" w:rsidR="00A57D04" w:rsidRDefault="00A57D04">
      <w:pPr>
        <w:pStyle w:val="TOC2"/>
        <w:tabs>
          <w:tab w:val="left" w:pos="1800"/>
        </w:tabs>
        <w:rPr>
          <w:rFonts w:asciiTheme="minorHAnsi" w:eastAsiaTheme="minorEastAsia" w:hAnsiTheme="minorHAnsi" w:cstheme="minorBidi"/>
          <w:sz w:val="22"/>
          <w:lang w:eastAsia="en-US"/>
        </w:rPr>
      </w:pPr>
      <w:r>
        <w:t>6.3</w:t>
      </w:r>
      <w:r>
        <w:rPr>
          <w:rFonts w:asciiTheme="minorHAnsi" w:eastAsiaTheme="minorEastAsia" w:hAnsiTheme="minorHAnsi" w:cstheme="minorBidi"/>
          <w:sz w:val="22"/>
          <w:lang w:eastAsia="en-US"/>
        </w:rPr>
        <w:tab/>
      </w:r>
      <w:r>
        <w:t>Calculation of Force of Infection for Individuals Not on PrEP and Not Participating in SSP</w:t>
      </w:r>
      <w:r>
        <w:tab/>
      </w:r>
      <w:r>
        <w:fldChar w:fldCharType="begin"/>
      </w:r>
      <w:r>
        <w:instrText xml:space="preserve"> PAGEREF _Toc89257548 \h </w:instrText>
      </w:r>
      <w:r>
        <w:fldChar w:fldCharType="separate"/>
      </w:r>
      <w:r>
        <w:t>6-15</w:t>
      </w:r>
      <w:r>
        <w:fldChar w:fldCharType="end"/>
      </w:r>
    </w:p>
    <w:p w14:paraId="75657A27" w14:textId="57060121" w:rsidR="00A57D04" w:rsidRDefault="00A57D04">
      <w:pPr>
        <w:pStyle w:val="TOC2"/>
        <w:tabs>
          <w:tab w:val="left" w:pos="1800"/>
        </w:tabs>
        <w:rPr>
          <w:rFonts w:asciiTheme="minorHAnsi" w:eastAsiaTheme="minorEastAsia" w:hAnsiTheme="minorHAnsi" w:cstheme="minorBidi"/>
          <w:sz w:val="22"/>
          <w:lang w:eastAsia="en-US"/>
        </w:rPr>
      </w:pPr>
      <w:r>
        <w:t>6.4</w:t>
      </w:r>
      <w:r>
        <w:rPr>
          <w:rFonts w:asciiTheme="minorHAnsi" w:eastAsiaTheme="minorEastAsia" w:hAnsiTheme="minorHAnsi" w:cstheme="minorBidi"/>
          <w:sz w:val="22"/>
          <w:lang w:eastAsia="en-US"/>
        </w:rPr>
        <w:tab/>
      </w:r>
      <w:r>
        <w:t>Calculation of Force of Infection for Individuals on PrEP</w:t>
      </w:r>
      <w:r>
        <w:tab/>
      </w:r>
      <w:r>
        <w:fldChar w:fldCharType="begin"/>
      </w:r>
      <w:r>
        <w:instrText xml:space="preserve"> PAGEREF _Toc89257549 \h </w:instrText>
      </w:r>
      <w:r>
        <w:fldChar w:fldCharType="separate"/>
      </w:r>
      <w:r>
        <w:t>6-18</w:t>
      </w:r>
      <w:r>
        <w:fldChar w:fldCharType="end"/>
      </w:r>
    </w:p>
    <w:p w14:paraId="510C1551" w14:textId="6AF73B35" w:rsidR="00A57D04" w:rsidRDefault="00A57D04">
      <w:pPr>
        <w:pStyle w:val="TOC2"/>
        <w:tabs>
          <w:tab w:val="left" w:pos="1800"/>
        </w:tabs>
        <w:rPr>
          <w:rFonts w:asciiTheme="minorHAnsi" w:eastAsiaTheme="minorEastAsia" w:hAnsiTheme="minorHAnsi" w:cstheme="minorBidi"/>
          <w:sz w:val="22"/>
          <w:lang w:eastAsia="en-US"/>
        </w:rPr>
      </w:pPr>
      <w:r>
        <w:t>6.5</w:t>
      </w:r>
      <w:r>
        <w:rPr>
          <w:rFonts w:asciiTheme="minorHAnsi" w:eastAsiaTheme="minorEastAsia" w:hAnsiTheme="minorHAnsi" w:cstheme="minorBidi"/>
          <w:sz w:val="22"/>
          <w:lang w:eastAsia="en-US"/>
        </w:rPr>
        <w:tab/>
      </w:r>
      <w:r>
        <w:t>Calculation of Force of Infection for Individuals in SSP</w:t>
      </w:r>
      <w:r>
        <w:tab/>
      </w:r>
      <w:r>
        <w:fldChar w:fldCharType="begin"/>
      </w:r>
      <w:r>
        <w:instrText xml:space="preserve"> PAGEREF _Toc89257550 \h </w:instrText>
      </w:r>
      <w:r>
        <w:fldChar w:fldCharType="separate"/>
      </w:r>
      <w:r>
        <w:t>6-18</w:t>
      </w:r>
      <w:r>
        <w:fldChar w:fldCharType="end"/>
      </w:r>
    </w:p>
    <w:p w14:paraId="579AAB9A" w14:textId="4B83880E" w:rsidR="00A57D04" w:rsidRDefault="00A57D04">
      <w:pPr>
        <w:pStyle w:val="TOC1"/>
        <w:rPr>
          <w:rFonts w:asciiTheme="minorHAnsi" w:eastAsiaTheme="minorEastAsia" w:hAnsiTheme="minorHAnsi" w:cstheme="minorBidi"/>
          <w:b w:val="0"/>
          <w:sz w:val="22"/>
          <w:lang w:eastAsia="en-US"/>
        </w:rPr>
      </w:pPr>
      <w:r>
        <w:t>7.</w:t>
      </w:r>
      <w:r>
        <w:rPr>
          <w:rFonts w:asciiTheme="minorHAnsi" w:eastAsiaTheme="minorEastAsia" w:hAnsiTheme="minorHAnsi" w:cstheme="minorBidi"/>
          <w:b w:val="0"/>
          <w:sz w:val="22"/>
          <w:lang w:eastAsia="en-US"/>
        </w:rPr>
        <w:tab/>
      </w:r>
      <w:r>
        <w:t>Differential Equations that Define the Model</w:t>
      </w:r>
      <w:r>
        <w:tab/>
      </w:r>
      <w:r>
        <w:fldChar w:fldCharType="begin"/>
      </w:r>
      <w:r>
        <w:instrText xml:space="preserve"> PAGEREF _Toc89257551 \h </w:instrText>
      </w:r>
      <w:r>
        <w:fldChar w:fldCharType="separate"/>
      </w:r>
      <w:r>
        <w:t>7-1</w:t>
      </w:r>
      <w:r>
        <w:fldChar w:fldCharType="end"/>
      </w:r>
    </w:p>
    <w:p w14:paraId="63B6115A" w14:textId="5D367C8D" w:rsidR="00A57D04" w:rsidRDefault="00A57D04">
      <w:pPr>
        <w:pStyle w:val="TOC2"/>
        <w:tabs>
          <w:tab w:val="left" w:pos="1800"/>
        </w:tabs>
        <w:rPr>
          <w:rFonts w:asciiTheme="minorHAnsi" w:eastAsiaTheme="minorEastAsia" w:hAnsiTheme="minorHAnsi" w:cstheme="minorBidi"/>
          <w:sz w:val="22"/>
          <w:lang w:eastAsia="en-US"/>
        </w:rPr>
      </w:pPr>
      <w:r>
        <w:t>7.1</w:t>
      </w:r>
      <w:r>
        <w:rPr>
          <w:rFonts w:asciiTheme="minorHAnsi" w:eastAsiaTheme="minorEastAsia" w:hAnsiTheme="minorHAnsi" w:cstheme="minorBidi"/>
          <w:sz w:val="22"/>
          <w:lang w:eastAsia="en-US"/>
        </w:rPr>
        <w:tab/>
      </w:r>
      <w:r>
        <w:t>Number of Susceptible Individuals</w:t>
      </w:r>
      <w:r>
        <w:tab/>
      </w:r>
      <w:r>
        <w:fldChar w:fldCharType="begin"/>
      </w:r>
      <w:r>
        <w:instrText xml:space="preserve"> PAGEREF _Toc89257552 \h </w:instrText>
      </w:r>
      <w:r>
        <w:fldChar w:fldCharType="separate"/>
      </w:r>
      <w:r>
        <w:t>7-2</w:t>
      </w:r>
      <w:r>
        <w:fldChar w:fldCharType="end"/>
      </w:r>
    </w:p>
    <w:p w14:paraId="5AC4A4CD" w14:textId="6761A85E" w:rsidR="00A57D04" w:rsidRDefault="00A57D04">
      <w:pPr>
        <w:pStyle w:val="TOC2"/>
        <w:tabs>
          <w:tab w:val="left" w:pos="1800"/>
        </w:tabs>
        <w:rPr>
          <w:rFonts w:asciiTheme="minorHAnsi" w:eastAsiaTheme="minorEastAsia" w:hAnsiTheme="minorHAnsi" w:cstheme="minorBidi"/>
          <w:sz w:val="22"/>
          <w:lang w:eastAsia="en-US"/>
        </w:rPr>
      </w:pPr>
      <w:r>
        <w:t>7.2</w:t>
      </w:r>
      <w:r>
        <w:rPr>
          <w:rFonts w:asciiTheme="minorHAnsi" w:eastAsiaTheme="minorEastAsia" w:hAnsiTheme="minorHAnsi" w:cstheme="minorBidi"/>
          <w:sz w:val="22"/>
          <w:lang w:eastAsia="en-US"/>
        </w:rPr>
        <w:tab/>
      </w:r>
      <w:r>
        <w:t>Individuals with Acute HIV Infection</w:t>
      </w:r>
      <w:r>
        <w:tab/>
      </w:r>
      <w:r>
        <w:fldChar w:fldCharType="begin"/>
      </w:r>
      <w:r>
        <w:instrText xml:space="preserve"> PAGEREF _Toc89257553 \h </w:instrText>
      </w:r>
      <w:r>
        <w:fldChar w:fldCharType="separate"/>
      </w:r>
      <w:r>
        <w:t>7-3</w:t>
      </w:r>
      <w:r>
        <w:fldChar w:fldCharType="end"/>
      </w:r>
    </w:p>
    <w:p w14:paraId="44F33705" w14:textId="35FD1E17" w:rsidR="00A57D04" w:rsidRDefault="00A57D04">
      <w:pPr>
        <w:pStyle w:val="TOC2"/>
        <w:tabs>
          <w:tab w:val="left" w:pos="1800"/>
        </w:tabs>
        <w:rPr>
          <w:rFonts w:asciiTheme="minorHAnsi" w:eastAsiaTheme="minorEastAsia" w:hAnsiTheme="minorHAnsi" w:cstheme="minorBidi"/>
          <w:sz w:val="22"/>
          <w:lang w:eastAsia="en-US"/>
        </w:rPr>
      </w:pPr>
      <w:r>
        <w:lastRenderedPageBreak/>
        <w:t>7.3</w:t>
      </w:r>
      <w:r>
        <w:rPr>
          <w:rFonts w:asciiTheme="minorHAnsi" w:eastAsiaTheme="minorEastAsia" w:hAnsiTheme="minorHAnsi" w:cstheme="minorBidi"/>
          <w:sz w:val="22"/>
          <w:lang w:eastAsia="en-US"/>
        </w:rPr>
        <w:tab/>
      </w:r>
      <w:r>
        <w:t>Individuals with Chronic HIV Infection and CD4 ≥ 200</w:t>
      </w:r>
      <w:r>
        <w:tab/>
      </w:r>
      <w:r>
        <w:fldChar w:fldCharType="begin"/>
      </w:r>
      <w:r>
        <w:instrText xml:space="preserve"> PAGEREF _Toc89257554 \h </w:instrText>
      </w:r>
      <w:r>
        <w:fldChar w:fldCharType="separate"/>
      </w:r>
      <w:r>
        <w:t>7-4</w:t>
      </w:r>
      <w:r>
        <w:fldChar w:fldCharType="end"/>
      </w:r>
    </w:p>
    <w:p w14:paraId="41929FE5" w14:textId="3FD48FE4" w:rsidR="00A57D04" w:rsidRDefault="00A57D04">
      <w:pPr>
        <w:pStyle w:val="TOC2"/>
        <w:tabs>
          <w:tab w:val="left" w:pos="1800"/>
        </w:tabs>
        <w:rPr>
          <w:rFonts w:asciiTheme="minorHAnsi" w:eastAsiaTheme="minorEastAsia" w:hAnsiTheme="minorHAnsi" w:cstheme="minorBidi"/>
          <w:sz w:val="22"/>
          <w:lang w:eastAsia="en-US"/>
        </w:rPr>
      </w:pPr>
      <w:r>
        <w:t>7.4</w:t>
      </w:r>
      <w:r>
        <w:rPr>
          <w:rFonts w:asciiTheme="minorHAnsi" w:eastAsiaTheme="minorEastAsia" w:hAnsiTheme="minorHAnsi" w:cstheme="minorBidi"/>
          <w:sz w:val="22"/>
          <w:lang w:eastAsia="en-US"/>
        </w:rPr>
        <w:tab/>
      </w:r>
      <w:r>
        <w:t>Individuals with AIDS (CD4 &lt; 200) (</w:t>
      </w:r>
      <w:r w:rsidRPr="003F055B">
        <w:rPr>
          <w:i/>
          <w:iCs/>
        </w:rPr>
        <w:t>h</w:t>
      </w:r>
      <w:r>
        <w:t> = 5)</w:t>
      </w:r>
      <w:r>
        <w:tab/>
      </w:r>
      <w:r>
        <w:fldChar w:fldCharType="begin"/>
      </w:r>
      <w:r>
        <w:instrText xml:space="preserve"> PAGEREF _Toc89257555 \h </w:instrText>
      </w:r>
      <w:r>
        <w:fldChar w:fldCharType="separate"/>
      </w:r>
      <w:r>
        <w:t>7-6</w:t>
      </w:r>
      <w:r>
        <w:fldChar w:fldCharType="end"/>
      </w:r>
    </w:p>
    <w:p w14:paraId="310CEF4E" w14:textId="7889F6B1" w:rsidR="00A57D04" w:rsidRDefault="00A57D04">
      <w:pPr>
        <w:pStyle w:val="TOC2"/>
        <w:tabs>
          <w:tab w:val="left" w:pos="1800"/>
        </w:tabs>
        <w:rPr>
          <w:rFonts w:asciiTheme="minorHAnsi" w:eastAsiaTheme="minorEastAsia" w:hAnsiTheme="minorHAnsi" w:cstheme="minorBidi"/>
          <w:sz w:val="22"/>
          <w:lang w:eastAsia="en-US"/>
        </w:rPr>
      </w:pPr>
      <w:r>
        <w:t>7.5</w:t>
      </w:r>
      <w:r>
        <w:rPr>
          <w:rFonts w:asciiTheme="minorHAnsi" w:eastAsiaTheme="minorEastAsia" w:hAnsiTheme="minorHAnsi" w:cstheme="minorBidi"/>
          <w:sz w:val="22"/>
          <w:lang w:eastAsia="en-US"/>
        </w:rPr>
        <w:tab/>
      </w:r>
      <w:r>
        <w:t>Absorbing States</w:t>
      </w:r>
      <w:r>
        <w:tab/>
      </w:r>
      <w:r>
        <w:fldChar w:fldCharType="begin"/>
      </w:r>
      <w:r>
        <w:instrText xml:space="preserve"> PAGEREF _Toc89257556 \h </w:instrText>
      </w:r>
      <w:r>
        <w:fldChar w:fldCharType="separate"/>
      </w:r>
      <w:r>
        <w:t>7-7</w:t>
      </w:r>
      <w:r>
        <w:fldChar w:fldCharType="end"/>
      </w:r>
    </w:p>
    <w:p w14:paraId="58455861" w14:textId="4FF469EA" w:rsidR="00A57D04" w:rsidRDefault="00A57D04">
      <w:pPr>
        <w:pStyle w:val="TOC1"/>
        <w:rPr>
          <w:rFonts w:asciiTheme="minorHAnsi" w:eastAsiaTheme="minorEastAsia" w:hAnsiTheme="minorHAnsi" w:cstheme="minorBidi"/>
          <w:b w:val="0"/>
          <w:sz w:val="22"/>
          <w:lang w:eastAsia="en-US"/>
        </w:rPr>
      </w:pPr>
      <w:r>
        <w:t>8.</w:t>
      </w:r>
      <w:r>
        <w:rPr>
          <w:rFonts w:asciiTheme="minorHAnsi" w:eastAsiaTheme="minorEastAsia" w:hAnsiTheme="minorHAnsi" w:cstheme="minorBidi"/>
          <w:b w:val="0"/>
          <w:sz w:val="22"/>
          <w:lang w:eastAsia="en-US"/>
        </w:rPr>
        <w:tab/>
      </w:r>
      <w:r>
        <w:t>Interventions and Optimization of Allocations to Interventions</w:t>
      </w:r>
      <w:r>
        <w:tab/>
      </w:r>
      <w:r>
        <w:fldChar w:fldCharType="begin"/>
      </w:r>
      <w:r>
        <w:instrText xml:space="preserve"> PAGEREF _Toc89257557 \h </w:instrText>
      </w:r>
      <w:r>
        <w:fldChar w:fldCharType="separate"/>
      </w:r>
      <w:r>
        <w:t>8-1</w:t>
      </w:r>
      <w:r>
        <w:fldChar w:fldCharType="end"/>
      </w:r>
    </w:p>
    <w:p w14:paraId="775C614B" w14:textId="7EB28008" w:rsidR="00A57D04" w:rsidRDefault="00A57D04">
      <w:pPr>
        <w:pStyle w:val="TOC2"/>
        <w:tabs>
          <w:tab w:val="left" w:pos="1800"/>
        </w:tabs>
        <w:rPr>
          <w:rFonts w:asciiTheme="minorHAnsi" w:eastAsiaTheme="minorEastAsia" w:hAnsiTheme="minorHAnsi" w:cstheme="minorBidi"/>
          <w:sz w:val="22"/>
          <w:lang w:eastAsia="en-US"/>
        </w:rPr>
      </w:pPr>
      <w:r>
        <w:t>8.1</w:t>
      </w:r>
      <w:r>
        <w:rPr>
          <w:rFonts w:asciiTheme="minorHAnsi" w:eastAsiaTheme="minorEastAsia" w:hAnsiTheme="minorHAnsi" w:cstheme="minorBidi"/>
          <w:sz w:val="22"/>
          <w:lang w:eastAsia="en-US"/>
        </w:rPr>
        <w:tab/>
      </w:r>
      <w:r>
        <w:t>Intervention Costs and Effects</w:t>
      </w:r>
      <w:r>
        <w:tab/>
      </w:r>
      <w:r>
        <w:fldChar w:fldCharType="begin"/>
      </w:r>
      <w:r>
        <w:instrText xml:space="preserve"> PAGEREF _Toc89257558 \h </w:instrText>
      </w:r>
      <w:r>
        <w:fldChar w:fldCharType="separate"/>
      </w:r>
      <w:r>
        <w:t>8-1</w:t>
      </w:r>
      <w:r>
        <w:fldChar w:fldCharType="end"/>
      </w:r>
    </w:p>
    <w:p w14:paraId="2E0D7534" w14:textId="0D3EFC78" w:rsidR="00A57D04" w:rsidRDefault="00A57D04">
      <w:pPr>
        <w:pStyle w:val="TOC2"/>
        <w:tabs>
          <w:tab w:val="left" w:pos="1800"/>
        </w:tabs>
        <w:rPr>
          <w:rFonts w:asciiTheme="minorHAnsi" w:eastAsiaTheme="minorEastAsia" w:hAnsiTheme="minorHAnsi" w:cstheme="minorBidi"/>
          <w:sz w:val="22"/>
          <w:lang w:eastAsia="en-US"/>
        </w:rPr>
      </w:pPr>
      <w:r>
        <w:t>8.2</w:t>
      </w:r>
      <w:r>
        <w:rPr>
          <w:rFonts w:asciiTheme="minorHAnsi" w:eastAsiaTheme="minorEastAsia" w:hAnsiTheme="minorHAnsi" w:cstheme="minorBidi"/>
          <w:sz w:val="22"/>
          <w:lang w:eastAsia="en-US"/>
        </w:rPr>
        <w:tab/>
      </w:r>
      <w:r>
        <w:t>Optimization of Funding Allocations to Interventions</w:t>
      </w:r>
      <w:r>
        <w:tab/>
      </w:r>
      <w:r>
        <w:fldChar w:fldCharType="begin"/>
      </w:r>
      <w:r>
        <w:instrText xml:space="preserve"> PAGEREF _Toc89257559 \h </w:instrText>
      </w:r>
      <w:r>
        <w:fldChar w:fldCharType="separate"/>
      </w:r>
      <w:r>
        <w:t>8-6</w:t>
      </w:r>
      <w:r>
        <w:fldChar w:fldCharType="end"/>
      </w:r>
    </w:p>
    <w:p w14:paraId="55562893" w14:textId="22A9C14B" w:rsidR="00A57D04" w:rsidRDefault="00A57D04">
      <w:pPr>
        <w:pStyle w:val="TOC3"/>
        <w:tabs>
          <w:tab w:val="left" w:pos="2520"/>
        </w:tabs>
        <w:rPr>
          <w:rFonts w:asciiTheme="minorHAnsi" w:eastAsiaTheme="minorEastAsia" w:hAnsiTheme="minorHAnsi" w:cstheme="minorBidi"/>
          <w:sz w:val="22"/>
          <w:lang w:eastAsia="en-US"/>
        </w:rPr>
      </w:pPr>
      <w:r>
        <w:t>8.2.1</w:t>
      </w:r>
      <w:r>
        <w:rPr>
          <w:rFonts w:asciiTheme="minorHAnsi" w:eastAsiaTheme="minorEastAsia" w:hAnsiTheme="minorHAnsi" w:cstheme="minorBidi"/>
          <w:sz w:val="22"/>
          <w:lang w:eastAsia="en-US"/>
        </w:rPr>
        <w:tab/>
      </w:r>
      <w:r>
        <w:t>Resource Allocation Model Mathematical Formulation</w:t>
      </w:r>
      <w:r>
        <w:tab/>
      </w:r>
      <w:r>
        <w:fldChar w:fldCharType="begin"/>
      </w:r>
      <w:r>
        <w:instrText xml:space="preserve"> PAGEREF _Toc89257560 \h </w:instrText>
      </w:r>
      <w:r>
        <w:fldChar w:fldCharType="separate"/>
      </w:r>
      <w:r>
        <w:t>8-8</w:t>
      </w:r>
      <w:r>
        <w:fldChar w:fldCharType="end"/>
      </w:r>
    </w:p>
    <w:p w14:paraId="655F83B0" w14:textId="1AE3E365" w:rsidR="00A57D04" w:rsidRDefault="00A57D04">
      <w:pPr>
        <w:pStyle w:val="TOC1"/>
        <w:rPr>
          <w:rFonts w:asciiTheme="minorHAnsi" w:eastAsiaTheme="minorEastAsia" w:hAnsiTheme="minorHAnsi" w:cstheme="minorBidi"/>
          <w:b w:val="0"/>
          <w:sz w:val="22"/>
          <w:lang w:eastAsia="en-US"/>
        </w:rPr>
      </w:pPr>
      <w:r>
        <w:t>9.</w:t>
      </w:r>
      <w:r>
        <w:rPr>
          <w:rFonts w:asciiTheme="minorHAnsi" w:eastAsiaTheme="minorEastAsia" w:hAnsiTheme="minorHAnsi" w:cstheme="minorBidi"/>
          <w:b w:val="0"/>
          <w:sz w:val="22"/>
          <w:lang w:eastAsia="en-US"/>
        </w:rPr>
        <w:tab/>
      </w:r>
      <w:r>
        <w:t>Calculation of Model Outcomes</w:t>
      </w:r>
      <w:r>
        <w:tab/>
      </w:r>
      <w:r>
        <w:fldChar w:fldCharType="begin"/>
      </w:r>
      <w:r>
        <w:instrText xml:space="preserve"> PAGEREF _Toc89257561 \h </w:instrText>
      </w:r>
      <w:r>
        <w:fldChar w:fldCharType="separate"/>
      </w:r>
      <w:r>
        <w:t>9-1</w:t>
      </w:r>
      <w:r>
        <w:fldChar w:fldCharType="end"/>
      </w:r>
    </w:p>
    <w:p w14:paraId="1C4BF38C" w14:textId="38A755D7" w:rsidR="00A57D04" w:rsidRDefault="00A57D04">
      <w:pPr>
        <w:pStyle w:val="TOC2"/>
        <w:tabs>
          <w:tab w:val="left" w:pos="1800"/>
        </w:tabs>
        <w:rPr>
          <w:rFonts w:asciiTheme="minorHAnsi" w:eastAsiaTheme="minorEastAsia" w:hAnsiTheme="minorHAnsi" w:cstheme="minorBidi"/>
          <w:sz w:val="22"/>
          <w:lang w:eastAsia="en-US"/>
        </w:rPr>
      </w:pPr>
      <w:r>
        <w:t>9.1</w:t>
      </w:r>
      <w:r>
        <w:rPr>
          <w:rFonts w:asciiTheme="minorHAnsi" w:eastAsiaTheme="minorEastAsia" w:hAnsiTheme="minorHAnsi" w:cstheme="minorBidi"/>
          <w:sz w:val="22"/>
          <w:lang w:eastAsia="en-US"/>
        </w:rPr>
        <w:tab/>
      </w:r>
      <w:r>
        <w:t>Health Outcomes</w:t>
      </w:r>
      <w:r>
        <w:tab/>
      </w:r>
      <w:r>
        <w:fldChar w:fldCharType="begin"/>
      </w:r>
      <w:r>
        <w:instrText xml:space="preserve"> PAGEREF _Toc89257562 \h </w:instrText>
      </w:r>
      <w:r>
        <w:fldChar w:fldCharType="separate"/>
      </w:r>
      <w:r>
        <w:t>9-1</w:t>
      </w:r>
      <w:r>
        <w:fldChar w:fldCharType="end"/>
      </w:r>
    </w:p>
    <w:p w14:paraId="28CAF7F6" w14:textId="7EEF19D7" w:rsidR="00A57D04" w:rsidRDefault="00A57D04">
      <w:pPr>
        <w:pStyle w:val="TOC3"/>
        <w:tabs>
          <w:tab w:val="left" w:pos="2520"/>
        </w:tabs>
        <w:rPr>
          <w:rFonts w:asciiTheme="minorHAnsi" w:eastAsiaTheme="minorEastAsia" w:hAnsiTheme="minorHAnsi" w:cstheme="minorBidi"/>
          <w:sz w:val="22"/>
          <w:lang w:eastAsia="en-US"/>
        </w:rPr>
      </w:pPr>
      <w:r>
        <w:t>9.1.1</w:t>
      </w:r>
      <w:r>
        <w:rPr>
          <w:rFonts w:asciiTheme="minorHAnsi" w:eastAsiaTheme="minorEastAsia" w:hAnsiTheme="minorHAnsi" w:cstheme="minorBidi"/>
          <w:sz w:val="22"/>
          <w:lang w:eastAsia="en-US"/>
        </w:rPr>
        <w:tab/>
      </w:r>
      <w:r>
        <w:t>Calculation of Health Outcomes</w:t>
      </w:r>
      <w:r>
        <w:tab/>
      </w:r>
      <w:r>
        <w:fldChar w:fldCharType="begin"/>
      </w:r>
      <w:r>
        <w:instrText xml:space="preserve"> PAGEREF _Toc89257563 \h </w:instrText>
      </w:r>
      <w:r>
        <w:fldChar w:fldCharType="separate"/>
      </w:r>
      <w:r>
        <w:t>9-1</w:t>
      </w:r>
      <w:r>
        <w:fldChar w:fldCharType="end"/>
      </w:r>
    </w:p>
    <w:p w14:paraId="0D975164" w14:textId="06497470" w:rsidR="00A57D04" w:rsidRDefault="00A57D04">
      <w:pPr>
        <w:pStyle w:val="TOC2"/>
        <w:tabs>
          <w:tab w:val="left" w:pos="1800"/>
        </w:tabs>
        <w:rPr>
          <w:rFonts w:asciiTheme="minorHAnsi" w:eastAsiaTheme="minorEastAsia" w:hAnsiTheme="minorHAnsi" w:cstheme="minorBidi"/>
          <w:sz w:val="22"/>
          <w:lang w:eastAsia="en-US"/>
        </w:rPr>
      </w:pPr>
      <w:r>
        <w:t>9.2</w:t>
      </w:r>
      <w:r>
        <w:rPr>
          <w:rFonts w:asciiTheme="minorHAnsi" w:eastAsiaTheme="minorEastAsia" w:hAnsiTheme="minorHAnsi" w:cstheme="minorBidi"/>
          <w:sz w:val="22"/>
          <w:lang w:eastAsia="en-US"/>
        </w:rPr>
        <w:tab/>
      </w:r>
      <w:r>
        <w:t>Economic Outcomes</w:t>
      </w:r>
      <w:r>
        <w:tab/>
      </w:r>
      <w:r>
        <w:fldChar w:fldCharType="begin"/>
      </w:r>
      <w:r>
        <w:instrText xml:space="preserve"> PAGEREF _Toc89257564 \h </w:instrText>
      </w:r>
      <w:r>
        <w:fldChar w:fldCharType="separate"/>
      </w:r>
      <w:r>
        <w:t>9-1</w:t>
      </w:r>
      <w:r>
        <w:fldChar w:fldCharType="end"/>
      </w:r>
    </w:p>
    <w:p w14:paraId="011A2593" w14:textId="13E2EBD1" w:rsidR="00A57D04" w:rsidRDefault="00A57D04">
      <w:pPr>
        <w:pStyle w:val="TOC3"/>
        <w:tabs>
          <w:tab w:val="left" w:pos="2520"/>
        </w:tabs>
        <w:rPr>
          <w:rFonts w:asciiTheme="minorHAnsi" w:eastAsiaTheme="minorEastAsia" w:hAnsiTheme="minorHAnsi" w:cstheme="minorBidi"/>
          <w:sz w:val="22"/>
          <w:lang w:eastAsia="en-US"/>
        </w:rPr>
      </w:pPr>
      <w:r>
        <w:t>9.2.1</w:t>
      </w:r>
      <w:r>
        <w:rPr>
          <w:rFonts w:asciiTheme="minorHAnsi" w:eastAsiaTheme="minorEastAsia" w:hAnsiTheme="minorHAnsi" w:cstheme="minorBidi"/>
          <w:sz w:val="22"/>
          <w:lang w:eastAsia="en-US"/>
        </w:rPr>
        <w:tab/>
      </w:r>
      <w:r>
        <w:t>Testing Cost Inputs</w:t>
      </w:r>
      <w:r>
        <w:tab/>
      </w:r>
      <w:r>
        <w:fldChar w:fldCharType="begin"/>
      </w:r>
      <w:r>
        <w:instrText xml:space="preserve"> PAGEREF _Toc89257565 \h </w:instrText>
      </w:r>
      <w:r>
        <w:fldChar w:fldCharType="separate"/>
      </w:r>
      <w:r>
        <w:t>9-1</w:t>
      </w:r>
      <w:r>
        <w:fldChar w:fldCharType="end"/>
      </w:r>
    </w:p>
    <w:p w14:paraId="63202D60" w14:textId="727CEB8B" w:rsidR="00A57D04" w:rsidRDefault="00A57D04">
      <w:pPr>
        <w:pStyle w:val="TOC3"/>
        <w:tabs>
          <w:tab w:val="left" w:pos="2520"/>
        </w:tabs>
        <w:rPr>
          <w:rFonts w:asciiTheme="minorHAnsi" w:eastAsiaTheme="minorEastAsia" w:hAnsiTheme="minorHAnsi" w:cstheme="minorBidi"/>
          <w:sz w:val="22"/>
          <w:lang w:eastAsia="en-US"/>
        </w:rPr>
      </w:pPr>
      <w:r>
        <w:t>9.2.2</w:t>
      </w:r>
      <w:r>
        <w:rPr>
          <w:rFonts w:asciiTheme="minorHAnsi" w:eastAsiaTheme="minorEastAsia" w:hAnsiTheme="minorHAnsi" w:cstheme="minorBidi"/>
          <w:sz w:val="22"/>
          <w:lang w:eastAsia="en-US"/>
        </w:rPr>
        <w:tab/>
      </w:r>
      <w:r>
        <w:t>Calculation of Testing and Notification Costs</w:t>
      </w:r>
      <w:r>
        <w:tab/>
      </w:r>
      <w:r>
        <w:fldChar w:fldCharType="begin"/>
      </w:r>
      <w:r>
        <w:instrText xml:space="preserve"> PAGEREF _Toc89257566 \h </w:instrText>
      </w:r>
      <w:r>
        <w:fldChar w:fldCharType="separate"/>
      </w:r>
      <w:r>
        <w:t>9-3</w:t>
      </w:r>
      <w:r>
        <w:fldChar w:fldCharType="end"/>
      </w:r>
    </w:p>
    <w:p w14:paraId="6479A5D3" w14:textId="62B8C039" w:rsidR="00A57D04" w:rsidRDefault="00A57D04">
      <w:pPr>
        <w:pStyle w:val="TOC3"/>
        <w:tabs>
          <w:tab w:val="left" w:pos="2520"/>
        </w:tabs>
        <w:rPr>
          <w:rFonts w:asciiTheme="minorHAnsi" w:eastAsiaTheme="minorEastAsia" w:hAnsiTheme="minorHAnsi" w:cstheme="minorBidi"/>
          <w:sz w:val="22"/>
          <w:lang w:eastAsia="en-US"/>
        </w:rPr>
      </w:pPr>
      <w:r>
        <w:t>9.2.3</w:t>
      </w:r>
      <w:r>
        <w:rPr>
          <w:rFonts w:asciiTheme="minorHAnsi" w:eastAsiaTheme="minorEastAsia" w:hAnsiTheme="minorHAnsi" w:cstheme="minorBidi"/>
          <w:sz w:val="22"/>
          <w:lang w:eastAsia="en-US"/>
        </w:rPr>
        <w:tab/>
      </w:r>
      <w:r>
        <w:t>Calculation of Transitions Between HIV Continuum-of-Care Stages and Maintaining Viral Load Suppression</w:t>
      </w:r>
      <w:r>
        <w:tab/>
      </w:r>
      <w:r>
        <w:fldChar w:fldCharType="begin"/>
      </w:r>
      <w:r>
        <w:instrText xml:space="preserve"> PAGEREF _Toc89257567 \h </w:instrText>
      </w:r>
      <w:r>
        <w:fldChar w:fldCharType="separate"/>
      </w:r>
      <w:r>
        <w:t>9-4</w:t>
      </w:r>
      <w:r>
        <w:fldChar w:fldCharType="end"/>
      </w:r>
    </w:p>
    <w:p w14:paraId="29DB6ED0" w14:textId="6B0B423F" w:rsidR="00A57D04" w:rsidRDefault="00A57D04">
      <w:pPr>
        <w:pStyle w:val="TOC3"/>
        <w:tabs>
          <w:tab w:val="left" w:pos="2520"/>
        </w:tabs>
        <w:rPr>
          <w:rFonts w:asciiTheme="minorHAnsi" w:eastAsiaTheme="minorEastAsia" w:hAnsiTheme="minorHAnsi" w:cstheme="minorBidi"/>
          <w:sz w:val="22"/>
          <w:lang w:eastAsia="en-US"/>
        </w:rPr>
      </w:pPr>
      <w:r>
        <w:t>9.2.4</w:t>
      </w:r>
      <w:r>
        <w:rPr>
          <w:rFonts w:asciiTheme="minorHAnsi" w:eastAsiaTheme="minorEastAsia" w:hAnsiTheme="minorHAnsi" w:cstheme="minorBidi"/>
          <w:sz w:val="22"/>
          <w:lang w:eastAsia="en-US"/>
        </w:rPr>
        <w:tab/>
      </w:r>
      <w:r>
        <w:t>Calculation of HIV Treatment and Care Costs</w:t>
      </w:r>
      <w:r>
        <w:tab/>
      </w:r>
      <w:r>
        <w:fldChar w:fldCharType="begin"/>
      </w:r>
      <w:r>
        <w:instrText xml:space="preserve"> PAGEREF _Toc89257568 \h </w:instrText>
      </w:r>
      <w:r>
        <w:fldChar w:fldCharType="separate"/>
      </w:r>
      <w:r>
        <w:t>9-6</w:t>
      </w:r>
      <w:r>
        <w:fldChar w:fldCharType="end"/>
      </w:r>
    </w:p>
    <w:p w14:paraId="6236EF43" w14:textId="1A8FA514" w:rsidR="00A57D04" w:rsidRDefault="00A57D04">
      <w:pPr>
        <w:pStyle w:val="TOC3"/>
        <w:tabs>
          <w:tab w:val="left" w:pos="2520"/>
        </w:tabs>
        <w:rPr>
          <w:rFonts w:asciiTheme="minorHAnsi" w:eastAsiaTheme="minorEastAsia" w:hAnsiTheme="minorHAnsi" w:cstheme="minorBidi"/>
          <w:sz w:val="22"/>
          <w:lang w:eastAsia="en-US"/>
        </w:rPr>
      </w:pPr>
      <w:r>
        <w:t>9.2.5</w:t>
      </w:r>
      <w:r>
        <w:rPr>
          <w:rFonts w:asciiTheme="minorHAnsi" w:eastAsiaTheme="minorEastAsia" w:hAnsiTheme="minorHAnsi" w:cstheme="minorBidi"/>
          <w:sz w:val="22"/>
          <w:lang w:eastAsia="en-US"/>
        </w:rPr>
        <w:tab/>
      </w:r>
      <w:r>
        <w:t>Calculation of SSP Costs</w:t>
      </w:r>
      <w:r>
        <w:tab/>
      </w:r>
      <w:r>
        <w:fldChar w:fldCharType="begin"/>
      </w:r>
      <w:r>
        <w:instrText xml:space="preserve"> PAGEREF _Toc89257569 \h </w:instrText>
      </w:r>
      <w:r>
        <w:fldChar w:fldCharType="separate"/>
      </w:r>
      <w:r>
        <w:t>9-8</w:t>
      </w:r>
      <w:r>
        <w:fldChar w:fldCharType="end"/>
      </w:r>
    </w:p>
    <w:p w14:paraId="7085C50A" w14:textId="53556EB5" w:rsidR="00A57D04" w:rsidRDefault="00A57D04">
      <w:pPr>
        <w:pStyle w:val="TOC3"/>
        <w:tabs>
          <w:tab w:val="left" w:pos="2520"/>
        </w:tabs>
        <w:rPr>
          <w:rFonts w:asciiTheme="minorHAnsi" w:eastAsiaTheme="minorEastAsia" w:hAnsiTheme="minorHAnsi" w:cstheme="minorBidi"/>
          <w:sz w:val="22"/>
          <w:lang w:eastAsia="en-US"/>
        </w:rPr>
      </w:pPr>
      <w:r>
        <w:t>9.2.6</w:t>
      </w:r>
      <w:r>
        <w:rPr>
          <w:rFonts w:asciiTheme="minorHAnsi" w:eastAsiaTheme="minorEastAsia" w:hAnsiTheme="minorHAnsi" w:cstheme="minorBidi"/>
          <w:sz w:val="22"/>
          <w:lang w:eastAsia="en-US"/>
        </w:rPr>
        <w:tab/>
      </w:r>
      <w:r>
        <w:t>Calculation of PrEP Costs</w:t>
      </w:r>
      <w:r>
        <w:tab/>
      </w:r>
      <w:r>
        <w:fldChar w:fldCharType="begin"/>
      </w:r>
      <w:r>
        <w:instrText xml:space="preserve"> PAGEREF _Toc89257570 \h </w:instrText>
      </w:r>
      <w:r>
        <w:fldChar w:fldCharType="separate"/>
      </w:r>
      <w:r>
        <w:t>9-8</w:t>
      </w:r>
      <w:r>
        <w:fldChar w:fldCharType="end"/>
      </w:r>
    </w:p>
    <w:p w14:paraId="56E4F975" w14:textId="686CC873" w:rsidR="00A57D04" w:rsidRDefault="00A57D04">
      <w:pPr>
        <w:pStyle w:val="TOC1"/>
        <w:rPr>
          <w:rFonts w:asciiTheme="minorHAnsi" w:eastAsiaTheme="minorEastAsia" w:hAnsiTheme="minorHAnsi" w:cstheme="minorBidi"/>
          <w:b w:val="0"/>
          <w:sz w:val="22"/>
          <w:lang w:eastAsia="en-US"/>
        </w:rPr>
      </w:pPr>
      <w:r>
        <w:t>10.</w:t>
      </w:r>
      <w:r>
        <w:rPr>
          <w:rFonts w:asciiTheme="minorHAnsi" w:eastAsiaTheme="minorEastAsia" w:hAnsiTheme="minorHAnsi" w:cstheme="minorBidi"/>
          <w:b w:val="0"/>
          <w:sz w:val="22"/>
          <w:lang w:eastAsia="en-US"/>
        </w:rPr>
        <w:tab/>
      </w:r>
      <w:r>
        <w:t>Model Calibration and Validation</w:t>
      </w:r>
      <w:r>
        <w:tab/>
      </w:r>
      <w:r>
        <w:fldChar w:fldCharType="begin"/>
      </w:r>
      <w:r>
        <w:instrText xml:space="preserve"> PAGEREF _Toc89257571 \h </w:instrText>
      </w:r>
      <w:r>
        <w:fldChar w:fldCharType="separate"/>
      </w:r>
      <w:r>
        <w:t>10-1</w:t>
      </w:r>
      <w:r>
        <w:fldChar w:fldCharType="end"/>
      </w:r>
    </w:p>
    <w:p w14:paraId="2942DBD7" w14:textId="477D3911" w:rsidR="00A57D04" w:rsidRDefault="00A57D04">
      <w:pPr>
        <w:pStyle w:val="TOC2"/>
        <w:tabs>
          <w:tab w:val="left" w:pos="1800"/>
        </w:tabs>
        <w:rPr>
          <w:rFonts w:asciiTheme="minorHAnsi" w:eastAsiaTheme="minorEastAsia" w:hAnsiTheme="minorHAnsi" w:cstheme="minorBidi"/>
          <w:sz w:val="22"/>
          <w:lang w:eastAsia="en-US"/>
        </w:rPr>
      </w:pPr>
      <w:r>
        <w:t>10.1</w:t>
      </w:r>
      <w:r>
        <w:rPr>
          <w:rFonts w:asciiTheme="minorHAnsi" w:eastAsiaTheme="minorEastAsia" w:hAnsiTheme="minorHAnsi" w:cstheme="minorBidi"/>
          <w:sz w:val="22"/>
          <w:lang w:eastAsia="en-US"/>
        </w:rPr>
        <w:tab/>
      </w:r>
      <w:r>
        <w:t>Model Calibration to Published Data</w:t>
      </w:r>
      <w:r>
        <w:tab/>
      </w:r>
      <w:r>
        <w:fldChar w:fldCharType="begin"/>
      </w:r>
      <w:r>
        <w:instrText xml:space="preserve"> PAGEREF _Toc89257572 \h </w:instrText>
      </w:r>
      <w:r>
        <w:fldChar w:fldCharType="separate"/>
      </w:r>
      <w:r>
        <w:t>10-1</w:t>
      </w:r>
      <w:r>
        <w:fldChar w:fldCharType="end"/>
      </w:r>
    </w:p>
    <w:p w14:paraId="04F894E3" w14:textId="2776657F" w:rsidR="00A57D04" w:rsidRDefault="00A57D04">
      <w:pPr>
        <w:pStyle w:val="TOC3"/>
        <w:tabs>
          <w:tab w:val="left" w:pos="2520"/>
        </w:tabs>
        <w:rPr>
          <w:rFonts w:asciiTheme="minorHAnsi" w:eastAsiaTheme="minorEastAsia" w:hAnsiTheme="minorHAnsi" w:cstheme="minorBidi"/>
          <w:sz w:val="22"/>
          <w:lang w:eastAsia="en-US"/>
        </w:rPr>
      </w:pPr>
      <w:r>
        <w:t>10.1.1</w:t>
      </w:r>
      <w:r>
        <w:rPr>
          <w:rFonts w:asciiTheme="minorHAnsi" w:eastAsiaTheme="minorEastAsia" w:hAnsiTheme="minorHAnsi" w:cstheme="minorBidi"/>
          <w:sz w:val="22"/>
          <w:lang w:eastAsia="en-US"/>
        </w:rPr>
        <w:tab/>
      </w:r>
      <w:r>
        <w:t>Establish Calibration Outcome Targets</w:t>
      </w:r>
      <w:r>
        <w:tab/>
      </w:r>
      <w:r>
        <w:fldChar w:fldCharType="begin"/>
      </w:r>
      <w:r>
        <w:instrText xml:space="preserve"> PAGEREF _Toc89257573 \h </w:instrText>
      </w:r>
      <w:r>
        <w:fldChar w:fldCharType="separate"/>
      </w:r>
      <w:r>
        <w:t>10-1</w:t>
      </w:r>
      <w:r>
        <w:fldChar w:fldCharType="end"/>
      </w:r>
    </w:p>
    <w:p w14:paraId="4F746A68" w14:textId="46A57872" w:rsidR="00A57D04" w:rsidRDefault="00A57D04">
      <w:pPr>
        <w:pStyle w:val="TOC3"/>
        <w:tabs>
          <w:tab w:val="left" w:pos="2520"/>
        </w:tabs>
        <w:rPr>
          <w:rFonts w:asciiTheme="minorHAnsi" w:eastAsiaTheme="minorEastAsia" w:hAnsiTheme="minorHAnsi" w:cstheme="minorBidi"/>
          <w:sz w:val="22"/>
          <w:lang w:eastAsia="en-US"/>
        </w:rPr>
      </w:pPr>
      <w:r>
        <w:t>10.1.2</w:t>
      </w:r>
      <w:r>
        <w:rPr>
          <w:rFonts w:asciiTheme="minorHAnsi" w:eastAsiaTheme="minorEastAsia" w:hAnsiTheme="minorHAnsi" w:cstheme="minorBidi"/>
          <w:sz w:val="22"/>
          <w:lang w:eastAsia="en-US"/>
        </w:rPr>
        <w:tab/>
      </w:r>
      <w:r>
        <w:t>Establish Inputs to Vary in Calibration</w:t>
      </w:r>
      <w:r>
        <w:tab/>
      </w:r>
      <w:r>
        <w:fldChar w:fldCharType="begin"/>
      </w:r>
      <w:r>
        <w:instrText xml:space="preserve"> PAGEREF _Toc89257574 \h </w:instrText>
      </w:r>
      <w:r>
        <w:fldChar w:fldCharType="separate"/>
      </w:r>
      <w:r>
        <w:t>10-1</w:t>
      </w:r>
      <w:r>
        <w:fldChar w:fldCharType="end"/>
      </w:r>
    </w:p>
    <w:p w14:paraId="4022FC7C" w14:textId="0B287F5B" w:rsidR="00A57D04" w:rsidRDefault="00A57D04">
      <w:pPr>
        <w:pStyle w:val="TOC3"/>
        <w:tabs>
          <w:tab w:val="left" w:pos="2520"/>
        </w:tabs>
        <w:rPr>
          <w:rFonts w:asciiTheme="minorHAnsi" w:eastAsiaTheme="minorEastAsia" w:hAnsiTheme="minorHAnsi" w:cstheme="minorBidi"/>
          <w:sz w:val="22"/>
          <w:lang w:eastAsia="en-US"/>
        </w:rPr>
      </w:pPr>
      <w:r>
        <w:t>10.1.3</w:t>
      </w:r>
      <w:r>
        <w:rPr>
          <w:rFonts w:asciiTheme="minorHAnsi" w:eastAsiaTheme="minorEastAsia" w:hAnsiTheme="minorHAnsi" w:cstheme="minorBidi"/>
          <w:sz w:val="22"/>
          <w:lang w:eastAsia="en-US"/>
        </w:rPr>
        <w:tab/>
      </w:r>
      <w:r>
        <w:t>Identification of Base and Alternative Input Sets Using Optimization Techniques</w:t>
      </w:r>
      <w:r>
        <w:tab/>
      </w:r>
      <w:r>
        <w:fldChar w:fldCharType="begin"/>
      </w:r>
      <w:r>
        <w:instrText xml:space="preserve"> PAGEREF _Toc89257575 \h </w:instrText>
      </w:r>
      <w:r>
        <w:fldChar w:fldCharType="separate"/>
      </w:r>
      <w:r>
        <w:t>10-10</w:t>
      </w:r>
      <w:r>
        <w:fldChar w:fldCharType="end"/>
      </w:r>
    </w:p>
    <w:p w14:paraId="193CFFAF" w14:textId="6DB60A97" w:rsidR="00A57D04" w:rsidRDefault="00A57D04">
      <w:pPr>
        <w:pStyle w:val="TOC2"/>
        <w:tabs>
          <w:tab w:val="left" w:pos="1800"/>
        </w:tabs>
        <w:rPr>
          <w:rFonts w:asciiTheme="minorHAnsi" w:eastAsiaTheme="minorEastAsia" w:hAnsiTheme="minorHAnsi" w:cstheme="minorBidi"/>
          <w:sz w:val="22"/>
          <w:lang w:eastAsia="en-US"/>
        </w:rPr>
      </w:pPr>
      <w:r>
        <w:t>10.2</w:t>
      </w:r>
      <w:r>
        <w:rPr>
          <w:rFonts w:asciiTheme="minorHAnsi" w:eastAsiaTheme="minorEastAsia" w:hAnsiTheme="minorHAnsi" w:cstheme="minorBidi"/>
          <w:sz w:val="22"/>
          <w:lang w:eastAsia="en-US"/>
        </w:rPr>
        <w:tab/>
      </w:r>
      <w:r>
        <w:t>Internal and External Validation of the Model</w:t>
      </w:r>
      <w:r>
        <w:tab/>
      </w:r>
      <w:r>
        <w:fldChar w:fldCharType="begin"/>
      </w:r>
      <w:r>
        <w:instrText xml:space="preserve"> PAGEREF _Toc89257576 \h </w:instrText>
      </w:r>
      <w:r>
        <w:fldChar w:fldCharType="separate"/>
      </w:r>
      <w:r>
        <w:t>10-13</w:t>
      </w:r>
      <w:r>
        <w:fldChar w:fldCharType="end"/>
      </w:r>
    </w:p>
    <w:p w14:paraId="54299FDC" w14:textId="149D4E3E" w:rsidR="00A57D04" w:rsidRDefault="00A57D04">
      <w:pPr>
        <w:pStyle w:val="TOC1"/>
        <w:rPr>
          <w:rFonts w:asciiTheme="minorHAnsi" w:eastAsiaTheme="minorEastAsia" w:hAnsiTheme="minorHAnsi" w:cstheme="minorBidi"/>
          <w:b w:val="0"/>
          <w:sz w:val="22"/>
          <w:lang w:eastAsia="en-US"/>
        </w:rPr>
      </w:pPr>
      <w:r>
        <w:t>11.</w:t>
      </w:r>
      <w:r>
        <w:rPr>
          <w:rFonts w:asciiTheme="minorHAnsi" w:eastAsiaTheme="minorEastAsia" w:hAnsiTheme="minorHAnsi" w:cstheme="minorBidi"/>
          <w:b w:val="0"/>
          <w:sz w:val="22"/>
          <w:lang w:eastAsia="en-US"/>
        </w:rPr>
        <w:tab/>
      </w:r>
      <w:r>
        <w:t>Uncertainty Analysis Methods and Results</w:t>
      </w:r>
      <w:r>
        <w:tab/>
      </w:r>
      <w:r>
        <w:fldChar w:fldCharType="begin"/>
      </w:r>
      <w:r>
        <w:instrText xml:space="preserve"> PAGEREF _Toc89257577 \h </w:instrText>
      </w:r>
      <w:r>
        <w:fldChar w:fldCharType="separate"/>
      </w:r>
      <w:r>
        <w:t>11-14</w:t>
      </w:r>
      <w:r>
        <w:fldChar w:fldCharType="end"/>
      </w:r>
    </w:p>
    <w:p w14:paraId="5BE6991B" w14:textId="176C020B" w:rsidR="00A57D04" w:rsidRDefault="00A57D04">
      <w:pPr>
        <w:pStyle w:val="TOC2"/>
        <w:tabs>
          <w:tab w:val="left" w:pos="1800"/>
        </w:tabs>
        <w:rPr>
          <w:rFonts w:asciiTheme="minorHAnsi" w:eastAsiaTheme="minorEastAsia" w:hAnsiTheme="minorHAnsi" w:cstheme="minorBidi"/>
          <w:sz w:val="22"/>
          <w:lang w:eastAsia="en-US"/>
        </w:rPr>
      </w:pPr>
      <w:r>
        <w:t>11.1</w:t>
      </w:r>
      <w:r>
        <w:rPr>
          <w:rFonts w:asciiTheme="minorHAnsi" w:eastAsiaTheme="minorEastAsia" w:hAnsiTheme="minorHAnsi" w:cstheme="minorBidi"/>
          <w:sz w:val="22"/>
          <w:lang w:eastAsia="en-US"/>
        </w:rPr>
        <w:tab/>
      </w:r>
      <w:r>
        <w:t>Methods</w:t>
      </w:r>
      <w:r>
        <w:tab/>
      </w:r>
      <w:r>
        <w:fldChar w:fldCharType="begin"/>
      </w:r>
      <w:r>
        <w:instrText xml:space="preserve"> PAGEREF _Toc89257578 \h </w:instrText>
      </w:r>
      <w:r>
        <w:fldChar w:fldCharType="separate"/>
      </w:r>
      <w:r>
        <w:t>11-14</w:t>
      </w:r>
      <w:r>
        <w:fldChar w:fldCharType="end"/>
      </w:r>
    </w:p>
    <w:p w14:paraId="388C8703" w14:textId="3785B40C" w:rsidR="00A57D04" w:rsidRDefault="00A57D04">
      <w:pPr>
        <w:pStyle w:val="TOC2"/>
        <w:tabs>
          <w:tab w:val="left" w:pos="1800"/>
        </w:tabs>
        <w:rPr>
          <w:rFonts w:asciiTheme="minorHAnsi" w:eastAsiaTheme="minorEastAsia" w:hAnsiTheme="minorHAnsi" w:cstheme="minorBidi"/>
          <w:sz w:val="22"/>
          <w:lang w:eastAsia="en-US"/>
        </w:rPr>
      </w:pPr>
      <w:r>
        <w:t>11.2</w:t>
      </w:r>
      <w:r>
        <w:rPr>
          <w:rFonts w:asciiTheme="minorHAnsi" w:eastAsiaTheme="minorEastAsia" w:hAnsiTheme="minorHAnsi" w:cstheme="minorBidi"/>
          <w:sz w:val="22"/>
          <w:lang w:eastAsia="en-US"/>
        </w:rPr>
        <w:tab/>
      </w:r>
      <w:r>
        <w:t>Results</w:t>
      </w:r>
      <w:r>
        <w:tab/>
      </w:r>
      <w:r>
        <w:fldChar w:fldCharType="begin"/>
      </w:r>
      <w:r>
        <w:instrText xml:space="preserve"> PAGEREF _Toc89257579 \h </w:instrText>
      </w:r>
      <w:r>
        <w:fldChar w:fldCharType="separate"/>
      </w:r>
      <w:r>
        <w:t>11-14</w:t>
      </w:r>
      <w:r>
        <w:fldChar w:fldCharType="end"/>
      </w:r>
    </w:p>
    <w:p w14:paraId="362828D8" w14:textId="02244EA4" w:rsidR="008E0A3C" w:rsidRPr="00C00335" w:rsidRDefault="008E0A3C" w:rsidP="007C5544">
      <w:pPr>
        <w:pStyle w:val="TOC1"/>
        <w:rPr>
          <w:noProof w:val="0"/>
        </w:rPr>
      </w:pPr>
      <w:r w:rsidRPr="00C00335">
        <w:rPr>
          <w:noProof w:val="0"/>
        </w:rPr>
        <w:fldChar w:fldCharType="end"/>
      </w:r>
      <w:r w:rsidRPr="00C00335">
        <w:rPr>
          <w:noProof w:val="0"/>
        </w:rPr>
        <w:t>References</w:t>
      </w:r>
      <w:r w:rsidRPr="00C00335">
        <w:rPr>
          <w:noProof w:val="0"/>
        </w:rPr>
        <w:tab/>
        <w:t>R-1</w:t>
      </w:r>
    </w:p>
    <w:p w14:paraId="3DB3BED0" w14:textId="77777777" w:rsidR="007C5544" w:rsidRPr="00C00335" w:rsidRDefault="007C5544" w:rsidP="007C5544">
      <w:pPr>
        <w:pStyle w:val="TOC1"/>
        <w:rPr>
          <w:noProof w:val="0"/>
        </w:rPr>
      </w:pPr>
      <w:r w:rsidRPr="00C00335">
        <w:rPr>
          <w:noProof w:val="0"/>
        </w:rPr>
        <w:t>Appendix</w:t>
      </w:r>
    </w:p>
    <w:p w14:paraId="5429BA5C" w14:textId="2C03851D" w:rsidR="006912BF" w:rsidRPr="00C00335" w:rsidRDefault="00DE6578" w:rsidP="006912BF">
      <w:pPr>
        <w:pStyle w:val="TOC1"/>
        <w:rPr>
          <w:noProof w:val="0"/>
        </w:rPr>
      </w:pPr>
      <w:r w:rsidRPr="00C00335">
        <w:rPr>
          <w:noProof w:val="0"/>
        </w:rPr>
        <w:fldChar w:fldCharType="begin"/>
      </w:r>
      <w:r w:rsidRPr="00C00335">
        <w:rPr>
          <w:noProof w:val="0"/>
        </w:rPr>
        <w:instrText xml:space="preserve"> TOC \t "App Heading 1,1" </w:instrText>
      </w:r>
      <w:r w:rsidRPr="00C00335">
        <w:rPr>
          <w:noProof w:val="0"/>
        </w:rPr>
        <w:fldChar w:fldCharType="separate"/>
      </w:r>
      <w:r w:rsidR="005D5BE6" w:rsidRPr="00C00335">
        <w:t>A: Definitions</w:t>
      </w:r>
      <w:r w:rsidR="005D5BE6" w:rsidRPr="00C00335">
        <w:tab/>
      </w:r>
      <w:r w:rsidR="00AB7B2C" w:rsidRPr="00C00335">
        <w:t>A-</w:t>
      </w:r>
      <w:r w:rsidR="005D5BE6" w:rsidRPr="00C00335">
        <w:fldChar w:fldCharType="begin"/>
      </w:r>
      <w:r w:rsidR="005D5BE6" w:rsidRPr="00C00335">
        <w:instrText xml:space="preserve"> PAGEREF _Toc438565047 \h </w:instrText>
      </w:r>
      <w:r w:rsidR="005D5BE6" w:rsidRPr="00C00335">
        <w:fldChar w:fldCharType="separate"/>
      </w:r>
      <w:r w:rsidR="00A57D04">
        <w:t>1</w:t>
      </w:r>
      <w:r w:rsidR="005D5BE6" w:rsidRPr="00C00335">
        <w:fldChar w:fldCharType="end"/>
      </w:r>
      <w:r w:rsidRPr="00C00335">
        <w:rPr>
          <w:noProof w:val="0"/>
        </w:rPr>
        <w:fldChar w:fldCharType="end"/>
      </w:r>
    </w:p>
    <w:p w14:paraId="4402D72A" w14:textId="77777777" w:rsidR="006912BF" w:rsidRPr="00C00335" w:rsidRDefault="006912BF">
      <w:pPr>
        <w:rPr>
          <w:b/>
        </w:rPr>
      </w:pPr>
      <w:r w:rsidRPr="00C00335">
        <w:br w:type="page"/>
      </w:r>
    </w:p>
    <w:p w14:paraId="5FDF33D6" w14:textId="77777777" w:rsidR="0087433D" w:rsidRPr="00C00335" w:rsidRDefault="0087433D" w:rsidP="002B1372">
      <w:pPr>
        <w:pStyle w:val="TOCHeading"/>
      </w:pPr>
      <w:r w:rsidRPr="00C00335">
        <w:lastRenderedPageBreak/>
        <w:t>Figures</w:t>
      </w:r>
    </w:p>
    <w:p w14:paraId="10D47F79" w14:textId="77777777" w:rsidR="00994A2F" w:rsidRPr="00C00335" w:rsidRDefault="00994A2F" w:rsidP="002B1372">
      <w:pPr>
        <w:pStyle w:val="TOCSubhead"/>
      </w:pPr>
      <w:r w:rsidRPr="00C00335">
        <w:t>Number</w:t>
      </w:r>
      <w:r w:rsidRPr="00C00335">
        <w:tab/>
        <w:t>Page</w:t>
      </w:r>
    </w:p>
    <w:p w14:paraId="2CFF3EEC" w14:textId="7A516D4E" w:rsidR="00A57D04" w:rsidRDefault="00156EC1" w:rsidP="00A57D04">
      <w:pPr>
        <w:pStyle w:val="TOC5"/>
        <w:tabs>
          <w:tab w:val="left" w:pos="1800"/>
        </w:tabs>
        <w:ind w:left="1800" w:hanging="1800"/>
        <w:rPr>
          <w:rFonts w:asciiTheme="minorHAnsi" w:eastAsiaTheme="minorEastAsia" w:hAnsiTheme="minorHAnsi" w:cstheme="minorBidi"/>
          <w:sz w:val="22"/>
          <w:lang w:eastAsia="en-US"/>
        </w:rPr>
      </w:pPr>
      <w:r w:rsidRPr="00C00335">
        <w:rPr>
          <w:noProof w:val="0"/>
        </w:rPr>
        <w:fldChar w:fldCharType="begin"/>
      </w:r>
      <w:r w:rsidRPr="00C00335">
        <w:rPr>
          <w:noProof w:val="0"/>
        </w:rPr>
        <w:instrText xml:space="preserve"> TOC \t "Figure Title,5" </w:instrText>
      </w:r>
      <w:r w:rsidRPr="00C00335">
        <w:rPr>
          <w:noProof w:val="0"/>
        </w:rPr>
        <w:fldChar w:fldCharType="separate"/>
      </w:r>
      <w:r w:rsidR="00A57D04">
        <w:t>Figure 3.1.</w:t>
      </w:r>
      <w:r w:rsidR="00A57D04">
        <w:rPr>
          <w:rFonts w:asciiTheme="minorHAnsi" w:eastAsiaTheme="minorEastAsia" w:hAnsiTheme="minorHAnsi" w:cstheme="minorBidi"/>
          <w:sz w:val="22"/>
          <w:lang w:eastAsia="en-US"/>
        </w:rPr>
        <w:tab/>
      </w:r>
      <w:r w:rsidR="00A57D04">
        <w:t>Model Flow Diagram between Compartments due to HIV Infection, Progression along the Care Continuum, Progression of HIV, and Death</w:t>
      </w:r>
      <w:r w:rsidR="00A57D04">
        <w:tab/>
      </w:r>
      <w:r w:rsidR="00A57D04">
        <w:fldChar w:fldCharType="begin"/>
      </w:r>
      <w:r w:rsidR="00A57D04">
        <w:instrText xml:space="preserve"> PAGEREF _Toc89257580 \h </w:instrText>
      </w:r>
      <w:r w:rsidR="00A57D04">
        <w:fldChar w:fldCharType="separate"/>
      </w:r>
      <w:r w:rsidR="00A57D04">
        <w:t>3-4</w:t>
      </w:r>
      <w:r w:rsidR="00A57D04">
        <w:fldChar w:fldCharType="end"/>
      </w:r>
    </w:p>
    <w:p w14:paraId="571DB93A" w14:textId="7FD3E9EC"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Figure 8.1.</w:t>
      </w:r>
      <w:r>
        <w:rPr>
          <w:rFonts w:asciiTheme="minorHAnsi" w:eastAsiaTheme="minorEastAsia" w:hAnsiTheme="minorHAnsi" w:cstheme="minorBidi"/>
          <w:sz w:val="22"/>
          <w:lang w:eastAsia="en-US"/>
        </w:rPr>
        <w:tab/>
      </w:r>
      <w:r>
        <w:t>Model Flow Diagram between Compartments due to HIV Infection, Progression along the Care Continuum, Progression of HIV, and Death</w:t>
      </w:r>
      <w:r>
        <w:tab/>
      </w:r>
      <w:r>
        <w:fldChar w:fldCharType="begin"/>
      </w:r>
      <w:r>
        <w:instrText xml:space="preserve"> PAGEREF _Toc89257581 \h </w:instrText>
      </w:r>
      <w:r>
        <w:fldChar w:fldCharType="separate"/>
      </w:r>
      <w:r>
        <w:t>8-7</w:t>
      </w:r>
      <w:r>
        <w:fldChar w:fldCharType="end"/>
      </w:r>
    </w:p>
    <w:p w14:paraId="62B4AA0E" w14:textId="2A57C994" w:rsidR="0087433D" w:rsidRPr="00C00335" w:rsidRDefault="00156EC1" w:rsidP="00C61197">
      <w:pPr>
        <w:tabs>
          <w:tab w:val="left" w:pos="1440"/>
        </w:tabs>
        <w:ind w:left="1440" w:hanging="1440"/>
      </w:pPr>
      <w:r w:rsidRPr="00C00335">
        <w:fldChar w:fldCharType="end"/>
      </w:r>
    </w:p>
    <w:p w14:paraId="47ECC363" w14:textId="77777777" w:rsidR="00156EC1" w:rsidRPr="00C00335" w:rsidRDefault="00156EC1"/>
    <w:p w14:paraId="611080CF" w14:textId="77777777" w:rsidR="0087433D" w:rsidRPr="00C00335" w:rsidRDefault="0087433D" w:rsidP="002B1372">
      <w:pPr>
        <w:pStyle w:val="TOCHeading"/>
      </w:pPr>
      <w:r w:rsidRPr="00C00335">
        <w:lastRenderedPageBreak/>
        <w:t>Tables</w:t>
      </w:r>
    </w:p>
    <w:p w14:paraId="512A68DA" w14:textId="77777777" w:rsidR="00994A2F" w:rsidRPr="00C00335" w:rsidRDefault="00994A2F" w:rsidP="002B1372">
      <w:pPr>
        <w:pStyle w:val="TOCSubhead"/>
      </w:pPr>
      <w:r w:rsidRPr="00C00335">
        <w:t>Number</w:t>
      </w:r>
      <w:r w:rsidRPr="00C00335">
        <w:tab/>
        <w:t>Page</w:t>
      </w:r>
    </w:p>
    <w:p w14:paraId="4F2916EE" w14:textId="3FCEF6E3" w:rsidR="00A57D04" w:rsidRDefault="00156EC1" w:rsidP="00A57D04">
      <w:pPr>
        <w:pStyle w:val="TOC5"/>
        <w:tabs>
          <w:tab w:val="left" w:pos="1800"/>
        </w:tabs>
        <w:ind w:left="1800" w:hanging="1800"/>
        <w:rPr>
          <w:rFonts w:asciiTheme="minorHAnsi" w:eastAsiaTheme="minorEastAsia" w:hAnsiTheme="minorHAnsi" w:cstheme="minorBidi"/>
          <w:sz w:val="22"/>
          <w:lang w:eastAsia="en-US"/>
        </w:rPr>
      </w:pPr>
      <w:r w:rsidRPr="00C61197">
        <w:rPr>
          <w:noProof w:val="0"/>
        </w:rPr>
        <w:fldChar w:fldCharType="begin"/>
      </w:r>
      <w:r w:rsidRPr="00C61197">
        <w:rPr>
          <w:noProof w:val="0"/>
        </w:rPr>
        <w:instrText xml:space="preserve"> TOC \t "Table Title,5" </w:instrText>
      </w:r>
      <w:r w:rsidRPr="00C61197">
        <w:rPr>
          <w:noProof w:val="0"/>
        </w:rPr>
        <w:fldChar w:fldCharType="separate"/>
      </w:r>
      <w:r w:rsidR="00A57D04">
        <w:t>Table 3.1.</w:t>
      </w:r>
      <w:r w:rsidR="00A57D04">
        <w:rPr>
          <w:rFonts w:asciiTheme="minorHAnsi" w:eastAsiaTheme="minorEastAsia" w:hAnsiTheme="minorHAnsi" w:cstheme="minorBidi"/>
          <w:sz w:val="22"/>
          <w:lang w:eastAsia="en-US"/>
        </w:rPr>
        <w:tab/>
      </w:r>
      <w:r w:rsidR="00A57D04">
        <w:t>Population Stratification Criteria and Categories Applied in Each</w:t>
      </w:r>
      <w:r w:rsidR="00A57D04">
        <w:tab/>
      </w:r>
      <w:r w:rsidR="00A57D04">
        <w:fldChar w:fldCharType="begin"/>
      </w:r>
      <w:r w:rsidR="00A57D04">
        <w:instrText xml:space="preserve"> PAGEREF _Toc89257582 \h </w:instrText>
      </w:r>
      <w:r w:rsidR="00A57D04">
        <w:fldChar w:fldCharType="separate"/>
      </w:r>
      <w:r w:rsidR="00A57D04">
        <w:t>3-1</w:t>
      </w:r>
      <w:r w:rsidR="00A57D04">
        <w:fldChar w:fldCharType="end"/>
      </w:r>
    </w:p>
    <w:p w14:paraId="766196D4" w14:textId="047471A4"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4.1.</w:t>
      </w:r>
      <w:r>
        <w:rPr>
          <w:rFonts w:asciiTheme="minorHAnsi" w:eastAsiaTheme="minorEastAsia" w:hAnsiTheme="minorHAnsi" w:cstheme="minorBidi"/>
          <w:sz w:val="22"/>
          <w:lang w:eastAsia="en-US"/>
        </w:rPr>
        <w:tab/>
      </w:r>
      <w:r>
        <w:t>Percentage of Population High Risk among HET, PWID, and MSM; Initial Population Size, HIV Prevalence of High- Versus Low-Risk Levels, and Percentage High Risk in Initial Population (2010)</w:t>
      </w:r>
      <w:r>
        <w:tab/>
      </w:r>
      <w:r>
        <w:fldChar w:fldCharType="begin"/>
      </w:r>
      <w:r>
        <w:instrText xml:space="preserve"> PAGEREF _Toc89257583 \h </w:instrText>
      </w:r>
      <w:r>
        <w:fldChar w:fldCharType="separate"/>
      </w:r>
      <w:r>
        <w:t>4-2</w:t>
      </w:r>
      <w:r>
        <w:fldChar w:fldCharType="end"/>
      </w:r>
    </w:p>
    <w:p w14:paraId="18E44937" w14:textId="61ECC4D0"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4.2.</w:t>
      </w:r>
      <w:r>
        <w:rPr>
          <w:rFonts w:asciiTheme="minorHAnsi" w:eastAsiaTheme="minorEastAsia" w:hAnsiTheme="minorHAnsi" w:cstheme="minorBidi"/>
          <w:sz w:val="22"/>
          <w:lang w:eastAsia="en-US"/>
        </w:rPr>
        <w:tab/>
      </w:r>
      <w:r>
        <w:t>HIV Prevalence in Initial Population (2010)</w:t>
      </w:r>
      <w:r>
        <w:tab/>
      </w:r>
      <w:r>
        <w:fldChar w:fldCharType="begin"/>
      </w:r>
      <w:r>
        <w:instrText xml:space="preserve"> PAGEREF _Toc89257584 \h </w:instrText>
      </w:r>
      <w:r>
        <w:fldChar w:fldCharType="separate"/>
      </w:r>
      <w:r>
        <w:t>4-4</w:t>
      </w:r>
      <w:r>
        <w:fldChar w:fldCharType="end"/>
      </w:r>
    </w:p>
    <w:p w14:paraId="08D982C0" w14:textId="614687E6"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4.3.</w:t>
      </w:r>
      <w:r>
        <w:rPr>
          <w:rFonts w:asciiTheme="minorHAnsi" w:eastAsiaTheme="minorEastAsia" w:hAnsiTheme="minorHAnsi" w:cstheme="minorBidi"/>
          <w:sz w:val="22"/>
          <w:lang w:eastAsia="en-US"/>
        </w:rPr>
        <w:tab/>
      </w:r>
      <w:r>
        <w:t>Percentage Circumcised, and Percentage of Each Transmission Group Sexually Active in Initial Population (2010)</w:t>
      </w:r>
      <w:r>
        <w:tab/>
      </w:r>
      <w:r>
        <w:fldChar w:fldCharType="begin"/>
      </w:r>
      <w:r>
        <w:instrText xml:space="preserve"> PAGEREF _Toc89257585 \h </w:instrText>
      </w:r>
      <w:r>
        <w:fldChar w:fldCharType="separate"/>
      </w:r>
      <w:r>
        <w:t>4-7</w:t>
      </w:r>
      <w:r>
        <w:fldChar w:fldCharType="end"/>
      </w:r>
    </w:p>
    <w:p w14:paraId="1B79A2F8" w14:textId="3BC2949F"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4.4.</w:t>
      </w:r>
      <w:r>
        <w:rPr>
          <w:rFonts w:asciiTheme="minorHAnsi" w:eastAsiaTheme="minorEastAsia" w:hAnsiTheme="minorHAnsi" w:cstheme="minorBidi"/>
          <w:sz w:val="22"/>
          <w:lang w:eastAsia="en-US"/>
        </w:rPr>
        <w:tab/>
      </w:r>
      <w:r>
        <w:t>Distribution of Initial HIV-Infected Population across Continuum-of-Care Stages by Race/Ethnicity for All Subpopulations besides MSM ages 13-34 (2010)</w:t>
      </w:r>
      <w:r>
        <w:tab/>
      </w:r>
      <w:r>
        <w:tab/>
      </w:r>
      <w:r>
        <w:fldChar w:fldCharType="begin"/>
      </w:r>
      <w:r>
        <w:instrText xml:space="preserve"> PAGEREF _Toc89257586 \h </w:instrText>
      </w:r>
      <w:r>
        <w:fldChar w:fldCharType="separate"/>
      </w:r>
      <w:r>
        <w:t>4-7</w:t>
      </w:r>
      <w:r>
        <w:fldChar w:fldCharType="end"/>
      </w:r>
    </w:p>
    <w:p w14:paraId="246DC5CF" w14:textId="0E6440F2"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4.5.</w:t>
      </w:r>
      <w:r>
        <w:rPr>
          <w:rFonts w:asciiTheme="minorHAnsi" w:eastAsiaTheme="minorEastAsia" w:hAnsiTheme="minorHAnsi" w:cstheme="minorBidi"/>
          <w:sz w:val="22"/>
          <w:lang w:eastAsia="en-US"/>
        </w:rPr>
        <w:tab/>
      </w:r>
      <w:r>
        <w:t>Distribution of Initial HIV-Infected Population across Continuum-of-Care Stages by Race/Ethnicity for MSM ages 13-34 (2010)</w:t>
      </w:r>
      <w:r>
        <w:tab/>
      </w:r>
      <w:r>
        <w:fldChar w:fldCharType="begin"/>
      </w:r>
      <w:r>
        <w:instrText xml:space="preserve"> PAGEREF _Toc89257587 \h </w:instrText>
      </w:r>
      <w:r>
        <w:fldChar w:fldCharType="separate"/>
      </w:r>
      <w:r>
        <w:t>4-9</w:t>
      </w:r>
      <w:r>
        <w:fldChar w:fldCharType="end"/>
      </w:r>
    </w:p>
    <w:p w14:paraId="224A5524" w14:textId="566793D7"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4.6.</w:t>
      </w:r>
      <w:r>
        <w:rPr>
          <w:rFonts w:asciiTheme="minorHAnsi" w:eastAsiaTheme="minorEastAsia" w:hAnsiTheme="minorHAnsi" w:cstheme="minorBidi"/>
          <w:sz w:val="22"/>
          <w:lang w:eastAsia="en-US"/>
        </w:rPr>
        <w:tab/>
      </w:r>
      <w:r>
        <w:t>Distribution of Initial HIV-Infected Population across HIV Stages, by Continuum-of-Care Stage (2010)</w:t>
      </w:r>
      <w:r>
        <w:tab/>
      </w:r>
      <w:r>
        <w:fldChar w:fldCharType="begin"/>
      </w:r>
      <w:r>
        <w:instrText xml:space="preserve"> PAGEREF _Toc89257588 \h </w:instrText>
      </w:r>
      <w:r>
        <w:fldChar w:fldCharType="separate"/>
      </w:r>
      <w:r>
        <w:t>4-10</w:t>
      </w:r>
      <w:r>
        <w:fldChar w:fldCharType="end"/>
      </w:r>
    </w:p>
    <w:p w14:paraId="18B10FBC" w14:textId="035B4306"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5.1.</w:t>
      </w:r>
      <w:r>
        <w:rPr>
          <w:rFonts w:asciiTheme="minorHAnsi" w:eastAsiaTheme="minorEastAsia" w:hAnsiTheme="minorHAnsi" w:cstheme="minorBidi"/>
          <w:sz w:val="22"/>
          <w:lang w:eastAsia="en-US"/>
        </w:rPr>
        <w:tab/>
      </w:r>
      <w:r>
        <w:t>Rate of Aging into Population and Inputs that Determine All HIV Progression and Death Rates</w:t>
      </w:r>
      <w:r>
        <w:tab/>
      </w:r>
      <w:r>
        <w:fldChar w:fldCharType="begin"/>
      </w:r>
      <w:r>
        <w:instrText xml:space="preserve"> PAGEREF _Toc89257589 \h </w:instrText>
      </w:r>
      <w:r>
        <w:fldChar w:fldCharType="separate"/>
      </w:r>
      <w:r>
        <w:t>5-3</w:t>
      </w:r>
      <w:r>
        <w:fldChar w:fldCharType="end"/>
      </w:r>
    </w:p>
    <w:p w14:paraId="5BB567FA" w14:textId="55F5A26E"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5.2.</w:t>
      </w:r>
      <w:r>
        <w:rPr>
          <w:rFonts w:asciiTheme="minorHAnsi" w:eastAsiaTheme="minorEastAsia" w:hAnsiTheme="minorHAnsi" w:cstheme="minorBidi"/>
          <w:sz w:val="22"/>
          <w:lang w:eastAsia="en-US"/>
        </w:rPr>
        <w:tab/>
      </w:r>
      <w:r>
        <w:t>Inputs for Calculating Rates of Undiagnosed HIV-Infected and HIV-Uninfected Individuals Getting Tested in First Time Period</w:t>
      </w:r>
      <w:r>
        <w:tab/>
      </w:r>
      <w:r>
        <w:fldChar w:fldCharType="begin"/>
      </w:r>
      <w:r>
        <w:instrText xml:space="preserve"> PAGEREF _Toc89257590 \h </w:instrText>
      </w:r>
      <w:r>
        <w:fldChar w:fldCharType="separate"/>
      </w:r>
      <w:r>
        <w:t>5-7</w:t>
      </w:r>
      <w:r>
        <w:fldChar w:fldCharType="end"/>
      </w:r>
    </w:p>
    <w:p w14:paraId="5962C300" w14:textId="3682CAF4"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5.3.</w:t>
      </w:r>
      <w:r>
        <w:rPr>
          <w:rFonts w:asciiTheme="minorHAnsi" w:eastAsiaTheme="minorEastAsia" w:hAnsiTheme="minorHAnsi" w:cstheme="minorBidi"/>
          <w:sz w:val="22"/>
          <w:lang w:eastAsia="en-US"/>
        </w:rPr>
        <w:tab/>
      </w:r>
      <w:r>
        <w:t>Testing Performance Parameters</w:t>
      </w:r>
      <w:r>
        <w:tab/>
      </w:r>
      <w:r>
        <w:fldChar w:fldCharType="begin"/>
      </w:r>
      <w:r>
        <w:instrText xml:space="preserve"> PAGEREF _Toc89257591 \h </w:instrText>
      </w:r>
      <w:r>
        <w:fldChar w:fldCharType="separate"/>
      </w:r>
      <w:r>
        <w:t>5-8</w:t>
      </w:r>
      <w:r>
        <w:fldChar w:fldCharType="end"/>
      </w:r>
    </w:p>
    <w:p w14:paraId="3CDFC765" w14:textId="16FCDD51"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5.4.</w:t>
      </w:r>
      <w:r>
        <w:rPr>
          <w:rFonts w:asciiTheme="minorHAnsi" w:eastAsiaTheme="minorEastAsia" w:hAnsiTheme="minorHAnsi" w:cstheme="minorBidi"/>
          <w:sz w:val="22"/>
          <w:lang w:eastAsia="en-US"/>
        </w:rPr>
        <w:tab/>
      </w:r>
      <w:r>
        <w:t>Annual Probability of Being Prescribed ART in First Time Period</w:t>
      </w:r>
      <w:r>
        <w:tab/>
      </w:r>
      <w:r>
        <w:fldChar w:fldCharType="begin"/>
      </w:r>
      <w:r>
        <w:instrText xml:space="preserve"> PAGEREF _Toc89257592 \h </w:instrText>
      </w:r>
      <w:r>
        <w:fldChar w:fldCharType="separate"/>
      </w:r>
      <w:r>
        <w:t>5-8</w:t>
      </w:r>
      <w:r>
        <w:fldChar w:fldCharType="end"/>
      </w:r>
    </w:p>
    <w:p w14:paraId="6FF132D9" w14:textId="319E5AF8"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5.5.</w:t>
      </w:r>
      <w:r>
        <w:rPr>
          <w:rFonts w:asciiTheme="minorHAnsi" w:eastAsiaTheme="minorEastAsia" w:hAnsiTheme="minorHAnsi" w:cstheme="minorBidi"/>
          <w:sz w:val="22"/>
          <w:lang w:eastAsia="en-US"/>
        </w:rPr>
        <w:tab/>
      </w:r>
      <w:r>
        <w:t>Other Continuum-of-Care Probabilities</w:t>
      </w:r>
      <w:r>
        <w:tab/>
      </w:r>
      <w:r>
        <w:fldChar w:fldCharType="begin"/>
      </w:r>
      <w:r>
        <w:instrText xml:space="preserve"> PAGEREF _Toc89257593 \h </w:instrText>
      </w:r>
      <w:r>
        <w:fldChar w:fldCharType="separate"/>
      </w:r>
      <w:r>
        <w:t>5-10</w:t>
      </w:r>
      <w:r>
        <w:fldChar w:fldCharType="end"/>
      </w:r>
    </w:p>
    <w:p w14:paraId="1338A1C6" w14:textId="7E70B480"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5.6.</w:t>
      </w:r>
      <w:r>
        <w:rPr>
          <w:rFonts w:asciiTheme="minorHAnsi" w:eastAsiaTheme="minorEastAsia" w:hAnsiTheme="minorHAnsi" w:cstheme="minorBidi"/>
          <w:sz w:val="22"/>
          <w:lang w:eastAsia="en-US"/>
        </w:rPr>
        <w:tab/>
      </w:r>
      <w:r>
        <w:t>Progression along the Care Continuum Affected by Using Allocation Method</w:t>
      </w:r>
      <w:r>
        <w:tab/>
      </w:r>
      <w:r>
        <w:fldChar w:fldCharType="begin"/>
      </w:r>
      <w:r>
        <w:instrText xml:space="preserve"> PAGEREF _Toc89257594 \h </w:instrText>
      </w:r>
      <w:r>
        <w:fldChar w:fldCharType="separate"/>
      </w:r>
      <w:r>
        <w:t>5-16</w:t>
      </w:r>
      <w:r>
        <w:fldChar w:fldCharType="end"/>
      </w:r>
    </w:p>
    <w:p w14:paraId="7EA2F4FA" w14:textId="0C4E3EF2"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5.7.</w:t>
      </w:r>
      <w:r>
        <w:rPr>
          <w:rFonts w:asciiTheme="minorHAnsi" w:eastAsiaTheme="minorEastAsia" w:hAnsiTheme="minorHAnsi" w:cstheme="minorBidi"/>
          <w:sz w:val="22"/>
          <w:lang w:eastAsia="en-US"/>
        </w:rPr>
        <w:tab/>
      </w:r>
      <w:r>
        <w:t>Methods Used to Calculate Rates when Applying Allocation-Based Progression</w:t>
      </w:r>
      <w:r>
        <w:tab/>
      </w:r>
      <w:r>
        <w:fldChar w:fldCharType="begin"/>
      </w:r>
      <w:r>
        <w:instrText xml:space="preserve"> PAGEREF _Toc89257595 \h </w:instrText>
      </w:r>
      <w:r>
        <w:fldChar w:fldCharType="separate"/>
      </w:r>
      <w:r>
        <w:t>5-18</w:t>
      </w:r>
      <w:r>
        <w:fldChar w:fldCharType="end"/>
      </w:r>
    </w:p>
    <w:p w14:paraId="4C9D2909" w14:textId="11CC5E10"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6.1.</w:t>
      </w:r>
      <w:r>
        <w:rPr>
          <w:rFonts w:asciiTheme="minorHAnsi" w:eastAsiaTheme="minorEastAsia" w:hAnsiTheme="minorHAnsi" w:cstheme="minorBidi"/>
          <w:sz w:val="22"/>
          <w:lang w:eastAsia="en-US"/>
        </w:rPr>
        <w:tab/>
      </w:r>
      <w:r>
        <w:t>Distribution of Sexual Partners by Sex and Transmission Group</w:t>
      </w:r>
      <w:r>
        <w:tab/>
      </w:r>
      <w:r>
        <w:fldChar w:fldCharType="begin"/>
      </w:r>
      <w:r>
        <w:instrText xml:space="preserve"> PAGEREF _Toc89257596 \h </w:instrText>
      </w:r>
      <w:r>
        <w:fldChar w:fldCharType="separate"/>
      </w:r>
      <w:r>
        <w:t>6-2</w:t>
      </w:r>
      <w:r>
        <w:fldChar w:fldCharType="end"/>
      </w:r>
    </w:p>
    <w:p w14:paraId="443C0ED1" w14:textId="72C2D444"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6.2.</w:t>
      </w:r>
      <w:r>
        <w:rPr>
          <w:rFonts w:asciiTheme="minorHAnsi" w:eastAsiaTheme="minorEastAsia" w:hAnsiTheme="minorHAnsi" w:cstheme="minorBidi"/>
          <w:sz w:val="22"/>
          <w:lang w:eastAsia="en-US"/>
        </w:rPr>
        <w:tab/>
      </w:r>
      <w:r>
        <w:t>Distribution of Sexual Partners by Race/Ethnicity</w:t>
      </w:r>
      <w:r>
        <w:tab/>
      </w:r>
      <w:r>
        <w:fldChar w:fldCharType="begin"/>
      </w:r>
      <w:r>
        <w:instrText xml:space="preserve"> PAGEREF _Toc89257597 \h </w:instrText>
      </w:r>
      <w:r>
        <w:fldChar w:fldCharType="separate"/>
      </w:r>
      <w:r>
        <w:t>6-2</w:t>
      </w:r>
      <w:r>
        <w:fldChar w:fldCharType="end"/>
      </w:r>
    </w:p>
    <w:p w14:paraId="4F114BE1" w14:textId="1E676F20"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6.3.</w:t>
      </w:r>
      <w:r>
        <w:rPr>
          <w:rFonts w:asciiTheme="minorHAnsi" w:eastAsiaTheme="minorEastAsia" w:hAnsiTheme="minorHAnsi" w:cstheme="minorBidi"/>
          <w:sz w:val="22"/>
          <w:lang w:eastAsia="en-US"/>
        </w:rPr>
        <w:tab/>
      </w:r>
      <w:r>
        <w:t>Distribution of Sexual Partners by Age, HET and PWID</w:t>
      </w:r>
      <w:r>
        <w:tab/>
      </w:r>
      <w:r>
        <w:fldChar w:fldCharType="begin"/>
      </w:r>
      <w:r>
        <w:instrText xml:space="preserve"> PAGEREF _Toc89257598 \h </w:instrText>
      </w:r>
      <w:r>
        <w:fldChar w:fldCharType="separate"/>
      </w:r>
      <w:r>
        <w:t>6-2</w:t>
      </w:r>
      <w:r>
        <w:fldChar w:fldCharType="end"/>
      </w:r>
    </w:p>
    <w:p w14:paraId="6598DC6A" w14:textId="063ED5DC"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6.4.</w:t>
      </w:r>
      <w:r>
        <w:rPr>
          <w:rFonts w:asciiTheme="minorHAnsi" w:eastAsiaTheme="minorEastAsia" w:hAnsiTheme="minorHAnsi" w:cstheme="minorBidi"/>
          <w:sz w:val="22"/>
          <w:lang w:eastAsia="en-US"/>
        </w:rPr>
        <w:tab/>
      </w:r>
      <w:r>
        <w:t>Distribution of Sexual Partners by Age, MSM</w:t>
      </w:r>
      <w:r>
        <w:tab/>
      </w:r>
      <w:r>
        <w:fldChar w:fldCharType="begin"/>
      </w:r>
      <w:r>
        <w:instrText xml:space="preserve"> PAGEREF _Toc89257599 \h </w:instrText>
      </w:r>
      <w:r>
        <w:fldChar w:fldCharType="separate"/>
      </w:r>
      <w:r>
        <w:t>6-3</w:t>
      </w:r>
      <w:r>
        <w:fldChar w:fldCharType="end"/>
      </w:r>
    </w:p>
    <w:p w14:paraId="344CBB01" w14:textId="40C48DD3"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6.5.</w:t>
      </w:r>
      <w:r>
        <w:rPr>
          <w:rFonts w:asciiTheme="minorHAnsi" w:eastAsiaTheme="minorEastAsia" w:hAnsiTheme="minorHAnsi" w:cstheme="minorBidi"/>
          <w:sz w:val="22"/>
          <w:lang w:eastAsia="en-US"/>
        </w:rPr>
        <w:tab/>
      </w:r>
      <w:r>
        <w:t>Distribution of Sexual Partners by Risk Level, by Transmission Group</w:t>
      </w:r>
      <w:r>
        <w:tab/>
      </w:r>
      <w:r>
        <w:tab/>
      </w:r>
      <w:r>
        <w:fldChar w:fldCharType="begin"/>
      </w:r>
      <w:r>
        <w:instrText xml:space="preserve"> PAGEREF _Toc89257600 \h </w:instrText>
      </w:r>
      <w:r>
        <w:fldChar w:fldCharType="separate"/>
      </w:r>
      <w:r>
        <w:t>6-3</w:t>
      </w:r>
      <w:r>
        <w:fldChar w:fldCharType="end"/>
      </w:r>
    </w:p>
    <w:p w14:paraId="7EAEEFCC" w14:textId="6DDE341C"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6.6.</w:t>
      </w:r>
      <w:r>
        <w:rPr>
          <w:rFonts w:asciiTheme="minorHAnsi" w:eastAsiaTheme="minorEastAsia" w:hAnsiTheme="minorHAnsi" w:cstheme="minorBidi"/>
          <w:sz w:val="22"/>
          <w:lang w:eastAsia="en-US"/>
        </w:rPr>
        <w:tab/>
      </w:r>
      <w:r>
        <w:t>Distribution of Needle-Sharing Partners by Sex (PWID Only)</w:t>
      </w:r>
      <w:r>
        <w:tab/>
      </w:r>
      <w:r>
        <w:fldChar w:fldCharType="begin"/>
      </w:r>
      <w:r>
        <w:instrText xml:space="preserve"> PAGEREF _Toc89257601 \h </w:instrText>
      </w:r>
      <w:r>
        <w:fldChar w:fldCharType="separate"/>
      </w:r>
      <w:r>
        <w:t>6-3</w:t>
      </w:r>
      <w:r>
        <w:fldChar w:fldCharType="end"/>
      </w:r>
    </w:p>
    <w:p w14:paraId="18326E88" w14:textId="1EF8904D"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6.7.</w:t>
      </w:r>
      <w:r>
        <w:rPr>
          <w:rFonts w:asciiTheme="minorHAnsi" w:eastAsiaTheme="minorEastAsia" w:hAnsiTheme="minorHAnsi" w:cstheme="minorBidi"/>
          <w:sz w:val="22"/>
          <w:lang w:eastAsia="en-US"/>
        </w:rPr>
        <w:tab/>
      </w:r>
      <w:r>
        <w:t>Distribution of Needle-Sharing Partners by Race/Ethnicity (PWID Only)</w:t>
      </w:r>
      <w:r>
        <w:tab/>
      </w:r>
      <w:r>
        <w:tab/>
      </w:r>
      <w:r>
        <w:fldChar w:fldCharType="begin"/>
      </w:r>
      <w:r>
        <w:instrText xml:space="preserve"> PAGEREF _Toc89257602 \h </w:instrText>
      </w:r>
      <w:r>
        <w:fldChar w:fldCharType="separate"/>
      </w:r>
      <w:r>
        <w:t>6-3</w:t>
      </w:r>
      <w:r>
        <w:fldChar w:fldCharType="end"/>
      </w:r>
    </w:p>
    <w:p w14:paraId="61C70FFA" w14:textId="1E08E357"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6.8.</w:t>
      </w:r>
      <w:r>
        <w:rPr>
          <w:rFonts w:asciiTheme="minorHAnsi" w:eastAsiaTheme="minorEastAsia" w:hAnsiTheme="minorHAnsi" w:cstheme="minorBidi"/>
          <w:sz w:val="22"/>
          <w:lang w:eastAsia="en-US"/>
        </w:rPr>
        <w:tab/>
      </w:r>
      <w:r>
        <w:t>Distribution of Needle-Sharing Partners by Age Group (PWID Only)</w:t>
      </w:r>
      <w:r>
        <w:tab/>
      </w:r>
      <w:r>
        <w:fldChar w:fldCharType="begin"/>
      </w:r>
      <w:r>
        <w:instrText xml:space="preserve"> PAGEREF _Toc89257603 \h </w:instrText>
      </w:r>
      <w:r>
        <w:fldChar w:fldCharType="separate"/>
      </w:r>
      <w:r>
        <w:t>6-4</w:t>
      </w:r>
      <w:r>
        <w:fldChar w:fldCharType="end"/>
      </w:r>
    </w:p>
    <w:p w14:paraId="2CBCC8FB" w14:textId="4F81A5CD"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lastRenderedPageBreak/>
        <w:t>Table 6.9.</w:t>
      </w:r>
      <w:r>
        <w:rPr>
          <w:rFonts w:asciiTheme="minorHAnsi" w:eastAsiaTheme="minorEastAsia" w:hAnsiTheme="minorHAnsi" w:cstheme="minorBidi"/>
          <w:sz w:val="22"/>
          <w:lang w:eastAsia="en-US"/>
        </w:rPr>
        <w:tab/>
      </w:r>
      <w:r>
        <w:t>Per-Act HIV Transmission Risk and Reductions in Risk Due to Circumcision, Viral Load Suppression, Condom Use, and Awareness of HIV Infection</w:t>
      </w:r>
      <w:r>
        <w:tab/>
      </w:r>
      <w:r>
        <w:tab/>
      </w:r>
      <w:r>
        <w:fldChar w:fldCharType="begin"/>
      </w:r>
      <w:r>
        <w:instrText xml:space="preserve"> PAGEREF _Toc89257604 \h </w:instrText>
      </w:r>
      <w:r>
        <w:fldChar w:fldCharType="separate"/>
      </w:r>
      <w:r>
        <w:t>6-5</w:t>
      </w:r>
      <w:r>
        <w:fldChar w:fldCharType="end"/>
      </w:r>
    </w:p>
    <w:p w14:paraId="617712E2" w14:textId="1D6E32AA"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6.10.</w:t>
      </w:r>
      <w:r>
        <w:rPr>
          <w:rFonts w:asciiTheme="minorHAnsi" w:eastAsiaTheme="minorEastAsia" w:hAnsiTheme="minorHAnsi" w:cstheme="minorBidi"/>
          <w:sz w:val="22"/>
          <w:lang w:eastAsia="en-US"/>
        </w:rPr>
        <w:tab/>
      </w:r>
      <w:r>
        <w:t>Sexual Partners and Sex Acts</w:t>
      </w:r>
      <w:r>
        <w:tab/>
      </w:r>
      <w:r>
        <w:fldChar w:fldCharType="begin"/>
      </w:r>
      <w:r>
        <w:instrText xml:space="preserve"> PAGEREF _Toc89257605 \h </w:instrText>
      </w:r>
      <w:r>
        <w:fldChar w:fldCharType="separate"/>
      </w:r>
      <w:r>
        <w:t>6-5</w:t>
      </w:r>
      <w:r>
        <w:fldChar w:fldCharType="end"/>
      </w:r>
    </w:p>
    <w:p w14:paraId="301C4FCE" w14:textId="2D789243"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6.11.</w:t>
      </w:r>
      <w:r>
        <w:rPr>
          <w:rFonts w:asciiTheme="minorHAnsi" w:eastAsiaTheme="minorEastAsia" w:hAnsiTheme="minorHAnsi" w:cstheme="minorBidi"/>
          <w:sz w:val="22"/>
          <w:lang w:eastAsia="en-US"/>
        </w:rPr>
        <w:tab/>
      </w:r>
      <w:r>
        <w:t>Other Risk Behaviors</w:t>
      </w:r>
      <w:r>
        <w:tab/>
      </w:r>
      <w:r>
        <w:fldChar w:fldCharType="begin"/>
      </w:r>
      <w:r>
        <w:instrText xml:space="preserve"> PAGEREF _Toc89257606 \h </w:instrText>
      </w:r>
      <w:r>
        <w:fldChar w:fldCharType="separate"/>
      </w:r>
      <w:r>
        <w:t>6-10</w:t>
      </w:r>
      <w:r>
        <w:fldChar w:fldCharType="end"/>
      </w:r>
    </w:p>
    <w:p w14:paraId="492E544C" w14:textId="5E563843"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6.12.</w:t>
      </w:r>
      <w:r>
        <w:rPr>
          <w:rFonts w:asciiTheme="minorHAnsi" w:eastAsiaTheme="minorEastAsia" w:hAnsiTheme="minorHAnsi" w:cstheme="minorBidi"/>
          <w:sz w:val="22"/>
          <w:lang w:eastAsia="en-US"/>
        </w:rPr>
        <w:tab/>
      </w:r>
      <w:r>
        <w:t>Five Sources of Infection that Contribute to Overall Force of Infection for Each Subpopulation</w:t>
      </w:r>
      <w:r>
        <w:tab/>
      </w:r>
      <w:r>
        <w:fldChar w:fldCharType="begin"/>
      </w:r>
      <w:r>
        <w:instrText xml:space="preserve"> PAGEREF _Toc89257607 \h </w:instrText>
      </w:r>
      <w:r>
        <w:fldChar w:fldCharType="separate"/>
      </w:r>
      <w:r>
        <w:t>6-16</w:t>
      </w:r>
      <w:r>
        <w:fldChar w:fldCharType="end"/>
      </w:r>
    </w:p>
    <w:p w14:paraId="1164C5DF" w14:textId="53D0E83D"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6.13.</w:t>
      </w:r>
      <w:r>
        <w:rPr>
          <w:rFonts w:asciiTheme="minorHAnsi" w:eastAsiaTheme="minorEastAsia" w:hAnsiTheme="minorHAnsi" w:cstheme="minorBidi"/>
          <w:sz w:val="22"/>
          <w:lang w:eastAsia="en-US"/>
        </w:rPr>
        <w:tab/>
      </w:r>
      <w:r>
        <w:t>Percentage Reduction in Infection Risk if on PrEP</w:t>
      </w:r>
      <w:r>
        <w:tab/>
      </w:r>
      <w:r>
        <w:fldChar w:fldCharType="begin"/>
      </w:r>
      <w:r>
        <w:instrText xml:space="preserve"> PAGEREF _Toc89257608 \h </w:instrText>
      </w:r>
      <w:r>
        <w:fldChar w:fldCharType="separate"/>
      </w:r>
      <w:r>
        <w:t>6-18</w:t>
      </w:r>
      <w:r>
        <w:fldChar w:fldCharType="end"/>
      </w:r>
    </w:p>
    <w:p w14:paraId="6207C2D1" w14:textId="4F21E815"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6.14.</w:t>
      </w:r>
      <w:r>
        <w:rPr>
          <w:rFonts w:asciiTheme="minorHAnsi" w:eastAsiaTheme="minorEastAsia" w:hAnsiTheme="minorHAnsi" w:cstheme="minorBidi"/>
          <w:sz w:val="22"/>
          <w:lang w:eastAsia="en-US"/>
        </w:rPr>
        <w:tab/>
      </w:r>
      <w:r>
        <w:t>Participation and Infection Risk Reduction for SSP</w:t>
      </w:r>
      <w:r>
        <w:tab/>
      </w:r>
      <w:r>
        <w:fldChar w:fldCharType="begin"/>
      </w:r>
      <w:r>
        <w:instrText xml:space="preserve"> PAGEREF _Toc89257609 \h </w:instrText>
      </w:r>
      <w:r>
        <w:fldChar w:fldCharType="separate"/>
      </w:r>
      <w:r>
        <w:t>6-19</w:t>
      </w:r>
      <w:r>
        <w:fldChar w:fldCharType="end"/>
      </w:r>
    </w:p>
    <w:p w14:paraId="5EC9BEB7" w14:textId="45E3570F"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7.1.</w:t>
      </w:r>
      <w:r>
        <w:rPr>
          <w:rFonts w:asciiTheme="minorHAnsi" w:eastAsiaTheme="minorEastAsia" w:hAnsiTheme="minorHAnsi" w:cstheme="minorBidi"/>
          <w:sz w:val="22"/>
          <w:lang w:eastAsia="en-US"/>
        </w:rPr>
        <w:tab/>
      </w:r>
      <w:r>
        <w:t>Model Compartments</w:t>
      </w:r>
      <w:r>
        <w:tab/>
      </w:r>
      <w:r>
        <w:fldChar w:fldCharType="begin"/>
      </w:r>
      <w:r>
        <w:instrText xml:space="preserve"> PAGEREF _Toc89257610 \h </w:instrText>
      </w:r>
      <w:r>
        <w:fldChar w:fldCharType="separate"/>
      </w:r>
      <w:r>
        <w:t>7-1</w:t>
      </w:r>
      <w:r>
        <w:fldChar w:fldCharType="end"/>
      </w:r>
    </w:p>
    <w:p w14:paraId="7CA656CE" w14:textId="6465D0C5"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8.1.</w:t>
      </w:r>
      <w:r>
        <w:rPr>
          <w:rFonts w:asciiTheme="minorHAnsi" w:eastAsiaTheme="minorEastAsia" w:hAnsiTheme="minorHAnsi" w:cstheme="minorBidi"/>
          <w:sz w:val="22"/>
          <w:lang w:eastAsia="en-US"/>
        </w:rPr>
        <w:tab/>
      </w:r>
      <w:r>
        <w:t>Eligible Populations, Costs, and Effects of Each Category of Interventions</w:t>
      </w:r>
      <w:r>
        <w:tab/>
      </w:r>
      <w:r>
        <w:fldChar w:fldCharType="begin"/>
      </w:r>
      <w:r>
        <w:instrText xml:space="preserve"> PAGEREF _Toc89257611 \h </w:instrText>
      </w:r>
      <w:r>
        <w:fldChar w:fldCharType="separate"/>
      </w:r>
      <w:r>
        <w:t>8-2</w:t>
      </w:r>
      <w:r>
        <w:fldChar w:fldCharType="end"/>
      </w:r>
    </w:p>
    <w:p w14:paraId="145D255C" w14:textId="3AEC5B79"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8.2.</w:t>
      </w:r>
      <w:r>
        <w:rPr>
          <w:rFonts w:asciiTheme="minorHAnsi" w:eastAsiaTheme="minorEastAsia" w:hAnsiTheme="minorHAnsi" w:cstheme="minorBidi"/>
          <w:sz w:val="22"/>
          <w:lang w:eastAsia="en-US"/>
        </w:rPr>
        <w:tab/>
      </w:r>
      <w:r>
        <w:t>Values and Sources for Key Inputs Specific to Interventions</w:t>
      </w:r>
      <w:r>
        <w:tab/>
      </w:r>
      <w:r>
        <w:fldChar w:fldCharType="begin"/>
      </w:r>
      <w:r>
        <w:instrText xml:space="preserve"> PAGEREF _Toc89257612 \h </w:instrText>
      </w:r>
      <w:r>
        <w:fldChar w:fldCharType="separate"/>
      </w:r>
      <w:r>
        <w:t>8-4</w:t>
      </w:r>
      <w:r>
        <w:fldChar w:fldCharType="end"/>
      </w:r>
    </w:p>
    <w:p w14:paraId="546EEC19" w14:textId="6C4E6D91" w:rsidR="00A57D04" w:rsidRDefault="00A57D04" w:rsidP="00A57D04">
      <w:pPr>
        <w:pStyle w:val="TOC5"/>
        <w:ind w:left="1800" w:hanging="1800"/>
        <w:rPr>
          <w:rFonts w:asciiTheme="minorHAnsi" w:eastAsiaTheme="minorEastAsia" w:hAnsiTheme="minorHAnsi" w:cstheme="minorBidi"/>
          <w:sz w:val="22"/>
          <w:lang w:eastAsia="en-US"/>
        </w:rPr>
      </w:pPr>
      <w:r>
        <w:t>Table 8.3.  Resource Allocation Model Formulation</w:t>
      </w:r>
      <w:r>
        <w:tab/>
      </w:r>
      <w:r>
        <w:fldChar w:fldCharType="begin"/>
      </w:r>
      <w:r>
        <w:instrText xml:space="preserve"> PAGEREF _Toc89257613 \h </w:instrText>
      </w:r>
      <w:r>
        <w:fldChar w:fldCharType="separate"/>
      </w:r>
      <w:r>
        <w:t>8-8</w:t>
      </w:r>
      <w:r>
        <w:fldChar w:fldCharType="end"/>
      </w:r>
    </w:p>
    <w:p w14:paraId="3E646555" w14:textId="7A5DACE0"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9.1.</w:t>
      </w:r>
      <w:r>
        <w:rPr>
          <w:rFonts w:asciiTheme="minorHAnsi" w:eastAsiaTheme="minorEastAsia" w:hAnsiTheme="minorHAnsi" w:cstheme="minorBidi"/>
          <w:sz w:val="22"/>
          <w:lang w:eastAsia="en-US"/>
        </w:rPr>
        <w:tab/>
      </w:r>
      <w:r>
        <w:t>Testing Cost Inputs</w:t>
      </w:r>
      <w:r>
        <w:tab/>
      </w:r>
      <w:r>
        <w:fldChar w:fldCharType="begin"/>
      </w:r>
      <w:r>
        <w:instrText xml:space="preserve"> PAGEREF _Toc89257614 \h </w:instrText>
      </w:r>
      <w:r>
        <w:fldChar w:fldCharType="separate"/>
      </w:r>
      <w:r>
        <w:t>9-2</w:t>
      </w:r>
      <w:r>
        <w:fldChar w:fldCharType="end"/>
      </w:r>
    </w:p>
    <w:p w14:paraId="2C903716" w14:textId="15DB530E"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9.2.</w:t>
      </w:r>
      <w:r>
        <w:rPr>
          <w:rFonts w:asciiTheme="minorHAnsi" w:eastAsiaTheme="minorEastAsia" w:hAnsiTheme="minorHAnsi" w:cstheme="minorBidi"/>
          <w:sz w:val="22"/>
          <w:lang w:eastAsia="en-US"/>
        </w:rPr>
        <w:tab/>
      </w:r>
      <w:r>
        <w:t>Costs of Transitions along the HIV Continuum-of-Care and Maintenance of VLS</w:t>
      </w:r>
      <w:r>
        <w:tab/>
      </w:r>
      <w:r>
        <w:fldChar w:fldCharType="begin"/>
      </w:r>
      <w:r>
        <w:instrText xml:space="preserve"> PAGEREF _Toc89257615 \h </w:instrText>
      </w:r>
      <w:r>
        <w:fldChar w:fldCharType="separate"/>
      </w:r>
      <w:r>
        <w:t>9-5</w:t>
      </w:r>
      <w:r>
        <w:fldChar w:fldCharType="end"/>
      </w:r>
    </w:p>
    <w:p w14:paraId="339E0C3A" w14:textId="21B2C2CA"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9.3.</w:t>
      </w:r>
      <w:r>
        <w:rPr>
          <w:rFonts w:asciiTheme="minorHAnsi" w:eastAsiaTheme="minorEastAsia" w:hAnsiTheme="minorHAnsi" w:cstheme="minorBidi"/>
          <w:sz w:val="22"/>
          <w:lang w:eastAsia="en-US"/>
        </w:rPr>
        <w:tab/>
      </w:r>
      <w:r>
        <w:t>Annual HIV Treatment and Care Costs</w:t>
      </w:r>
      <w:r>
        <w:tab/>
      </w:r>
      <w:r>
        <w:fldChar w:fldCharType="begin"/>
      </w:r>
      <w:r>
        <w:instrText xml:space="preserve"> PAGEREF _Toc89257616 \h </w:instrText>
      </w:r>
      <w:r>
        <w:fldChar w:fldCharType="separate"/>
      </w:r>
      <w:r>
        <w:t>9-7</w:t>
      </w:r>
      <w:r>
        <w:fldChar w:fldCharType="end"/>
      </w:r>
    </w:p>
    <w:p w14:paraId="5147E09D" w14:textId="495393C9"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9.4.</w:t>
      </w:r>
      <w:r>
        <w:rPr>
          <w:rFonts w:asciiTheme="minorHAnsi" w:eastAsiaTheme="minorEastAsia" w:hAnsiTheme="minorHAnsi" w:cstheme="minorBidi"/>
          <w:sz w:val="22"/>
          <w:lang w:eastAsia="en-US"/>
        </w:rPr>
        <w:tab/>
      </w:r>
      <w:r>
        <w:t>Annual PrEP Costs</w:t>
      </w:r>
      <w:r>
        <w:tab/>
      </w:r>
      <w:r>
        <w:fldChar w:fldCharType="begin"/>
      </w:r>
      <w:r>
        <w:instrText xml:space="preserve"> PAGEREF _Toc89257617 \h </w:instrText>
      </w:r>
      <w:r>
        <w:fldChar w:fldCharType="separate"/>
      </w:r>
      <w:r>
        <w:t>9-8</w:t>
      </w:r>
      <w:r>
        <w:fldChar w:fldCharType="end"/>
      </w:r>
    </w:p>
    <w:p w14:paraId="4D80D52E" w14:textId="7F9F746C"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10.1.</w:t>
      </w:r>
      <w:r>
        <w:rPr>
          <w:rFonts w:asciiTheme="minorHAnsi" w:eastAsiaTheme="minorEastAsia" w:hAnsiTheme="minorHAnsi" w:cstheme="minorBidi"/>
          <w:sz w:val="22"/>
          <w:lang w:eastAsia="en-US"/>
        </w:rPr>
        <w:tab/>
      </w:r>
      <w:r>
        <w:t>Bounds and Final Values of Continuum-of-Care Parameters Varied in Calibration</w:t>
      </w:r>
      <w:r w:rsidRPr="0004206D">
        <w:rPr>
          <w:vertAlign w:val="superscript"/>
        </w:rPr>
        <w:t>a</w:t>
      </w:r>
      <w:r>
        <w:tab/>
      </w:r>
      <w:r>
        <w:fldChar w:fldCharType="begin"/>
      </w:r>
      <w:r>
        <w:instrText xml:space="preserve"> PAGEREF _Toc89257618 \h </w:instrText>
      </w:r>
      <w:r>
        <w:fldChar w:fldCharType="separate"/>
      </w:r>
      <w:r>
        <w:t>10-2</w:t>
      </w:r>
      <w:r>
        <w:fldChar w:fldCharType="end"/>
      </w:r>
    </w:p>
    <w:p w14:paraId="627F1FFF" w14:textId="5F25F1D4"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10.2.</w:t>
      </w:r>
      <w:r>
        <w:rPr>
          <w:rFonts w:asciiTheme="minorHAnsi" w:eastAsiaTheme="minorEastAsia" w:hAnsiTheme="minorHAnsi" w:cstheme="minorBidi"/>
          <w:sz w:val="22"/>
          <w:lang w:eastAsia="en-US"/>
        </w:rPr>
        <w:tab/>
      </w:r>
      <w:r>
        <w:t>Bounds and Final Values of Inputs Defining Behaviors and Infectivity Varied in Calibration</w:t>
      </w:r>
      <w:r w:rsidRPr="0004206D">
        <w:rPr>
          <w:vertAlign w:val="superscript"/>
        </w:rPr>
        <w:t>a</w:t>
      </w:r>
      <w:r>
        <w:tab/>
      </w:r>
      <w:r>
        <w:fldChar w:fldCharType="begin"/>
      </w:r>
      <w:r>
        <w:instrText xml:space="preserve"> PAGEREF _Toc89257619 \h </w:instrText>
      </w:r>
      <w:r>
        <w:fldChar w:fldCharType="separate"/>
      </w:r>
      <w:r>
        <w:t>10-4</w:t>
      </w:r>
      <w:r>
        <w:fldChar w:fldCharType="end"/>
      </w:r>
    </w:p>
    <w:p w14:paraId="41FB751E" w14:textId="025287DE"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10.3.</w:t>
      </w:r>
      <w:r>
        <w:rPr>
          <w:rFonts w:asciiTheme="minorHAnsi" w:eastAsiaTheme="minorEastAsia" w:hAnsiTheme="minorHAnsi" w:cstheme="minorBidi"/>
          <w:sz w:val="22"/>
          <w:lang w:eastAsia="en-US"/>
        </w:rPr>
        <w:tab/>
      </w:r>
      <w:r>
        <w:t>Values Generated by the Model using the Base Analysis Set vs. Target Values and Bounds Considered for Outcomes Targeted in Calibration</w:t>
      </w:r>
      <w:r>
        <w:tab/>
      </w:r>
      <w:r>
        <w:fldChar w:fldCharType="begin"/>
      </w:r>
      <w:r>
        <w:instrText xml:space="preserve"> PAGEREF _Toc89257620 \h </w:instrText>
      </w:r>
      <w:r>
        <w:fldChar w:fldCharType="separate"/>
      </w:r>
      <w:r>
        <w:t>10-11</w:t>
      </w:r>
      <w:r>
        <w:fldChar w:fldCharType="end"/>
      </w:r>
    </w:p>
    <w:p w14:paraId="66C8E6EC" w14:textId="15955C1C"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11.1</w:t>
      </w:r>
      <w:r>
        <w:rPr>
          <w:rFonts w:asciiTheme="minorHAnsi" w:eastAsiaTheme="minorEastAsia" w:hAnsiTheme="minorHAnsi" w:cstheme="minorBidi"/>
          <w:sz w:val="22"/>
          <w:lang w:eastAsia="en-US"/>
        </w:rPr>
        <w:tab/>
      </w:r>
      <w:r>
        <w:t>Uncertainty Analysis Results for Optimal HIV Prevention-related Allocation: Minimum and Maximum Values of Key Outcomes</w:t>
      </w:r>
      <w:r>
        <w:tab/>
      </w:r>
      <w:r>
        <w:fldChar w:fldCharType="begin"/>
      </w:r>
      <w:r>
        <w:instrText xml:space="preserve"> PAGEREF _Toc89257621 \h </w:instrText>
      </w:r>
      <w:r>
        <w:fldChar w:fldCharType="separate"/>
      </w:r>
      <w:r>
        <w:t>11-16</w:t>
      </w:r>
      <w:r>
        <w:fldChar w:fldCharType="end"/>
      </w:r>
    </w:p>
    <w:p w14:paraId="444FE292" w14:textId="5D95EFC2"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A.1.</w:t>
      </w:r>
      <w:r>
        <w:rPr>
          <w:rFonts w:asciiTheme="minorHAnsi" w:eastAsiaTheme="minorEastAsia" w:hAnsiTheme="minorHAnsi" w:cstheme="minorBidi"/>
          <w:sz w:val="22"/>
          <w:lang w:eastAsia="en-US"/>
        </w:rPr>
        <w:tab/>
      </w:r>
      <w:r>
        <w:t>Definitions of Symbols Applied in This Document</w:t>
      </w:r>
      <w:r>
        <w:tab/>
        <w:t>A-</w:t>
      </w:r>
      <w:r>
        <w:fldChar w:fldCharType="begin"/>
      </w:r>
      <w:r>
        <w:instrText xml:space="preserve"> PAGEREF _Toc89257622 \h </w:instrText>
      </w:r>
      <w:r>
        <w:fldChar w:fldCharType="separate"/>
      </w:r>
      <w:r>
        <w:t>3</w:t>
      </w:r>
      <w:r>
        <w:fldChar w:fldCharType="end"/>
      </w:r>
    </w:p>
    <w:p w14:paraId="47B3D806" w14:textId="2FE913B4" w:rsidR="00A57D04" w:rsidRDefault="00A57D04" w:rsidP="00A57D04">
      <w:pPr>
        <w:pStyle w:val="TOC5"/>
        <w:tabs>
          <w:tab w:val="left" w:pos="1800"/>
        </w:tabs>
        <w:ind w:left="1800" w:hanging="1800"/>
        <w:rPr>
          <w:rFonts w:asciiTheme="minorHAnsi" w:eastAsiaTheme="minorEastAsia" w:hAnsiTheme="minorHAnsi" w:cstheme="minorBidi"/>
          <w:sz w:val="22"/>
          <w:lang w:eastAsia="en-US"/>
        </w:rPr>
      </w:pPr>
      <w:r>
        <w:t>Table A.2.</w:t>
      </w:r>
      <w:r>
        <w:rPr>
          <w:rFonts w:asciiTheme="minorHAnsi" w:eastAsiaTheme="minorEastAsia" w:hAnsiTheme="minorHAnsi" w:cstheme="minorBidi"/>
          <w:sz w:val="22"/>
          <w:lang w:eastAsia="en-US"/>
        </w:rPr>
        <w:tab/>
      </w:r>
      <w:r>
        <w:t>Definitions of Indices Applied in This Document</w:t>
      </w:r>
      <w:r>
        <w:tab/>
        <w:t>A-</w:t>
      </w:r>
      <w:r>
        <w:fldChar w:fldCharType="begin"/>
      </w:r>
      <w:r>
        <w:instrText xml:space="preserve"> PAGEREF _Toc89257623 \h </w:instrText>
      </w:r>
      <w:r>
        <w:fldChar w:fldCharType="separate"/>
      </w:r>
      <w:r>
        <w:t>9</w:t>
      </w:r>
      <w:r>
        <w:fldChar w:fldCharType="end"/>
      </w:r>
    </w:p>
    <w:p w14:paraId="1A9E027B" w14:textId="597347FA" w:rsidR="0087433D" w:rsidRPr="00C00335" w:rsidRDefault="00156EC1" w:rsidP="00C61197">
      <w:pPr>
        <w:pStyle w:val="TOC5"/>
        <w:tabs>
          <w:tab w:val="left" w:pos="1440"/>
        </w:tabs>
        <w:ind w:left="1440" w:hanging="1440"/>
        <w:rPr>
          <w:noProof w:val="0"/>
        </w:rPr>
      </w:pPr>
      <w:r w:rsidRPr="00C61197">
        <w:rPr>
          <w:noProof w:val="0"/>
        </w:rPr>
        <w:fldChar w:fldCharType="end"/>
      </w:r>
    </w:p>
    <w:p w14:paraId="75E78DEB" w14:textId="77777777" w:rsidR="002B1372" w:rsidRDefault="002B1372">
      <w:r>
        <w:br w:type="page"/>
      </w:r>
    </w:p>
    <w:p w14:paraId="091DCBEF" w14:textId="4F3C55D3" w:rsidR="00374755" w:rsidRPr="00C00335" w:rsidRDefault="00374755" w:rsidP="002B1372">
      <w:pPr>
        <w:pStyle w:val="BodyText"/>
      </w:pPr>
      <w:r w:rsidRPr="00C00335">
        <w:lastRenderedPageBreak/>
        <w:t>Disclaimer: Previous versions of this document were published as supplementary material to the following papers:</w:t>
      </w:r>
    </w:p>
    <w:p w14:paraId="51E271E2" w14:textId="407855D6" w:rsidR="00374755" w:rsidRPr="00C00335" w:rsidRDefault="00374755" w:rsidP="002B1372">
      <w:pPr>
        <w:pStyle w:val="biblio-entry"/>
      </w:pPr>
      <w:r w:rsidRPr="00C00335">
        <w:t xml:space="preserve">O’Leary A., DiNenno E., Honeycutt A., Allaire B., </w:t>
      </w:r>
      <w:proofErr w:type="spellStart"/>
      <w:r w:rsidRPr="00C00335">
        <w:t>Neuwahl</w:t>
      </w:r>
      <w:proofErr w:type="spellEnd"/>
      <w:r w:rsidRPr="00C00335">
        <w:t xml:space="preserve"> S., Hicks K., Sansom S. Contribution of anal sex to HIV prevalence among heterosexuals: A modeling analysis. AIDS </w:t>
      </w:r>
      <w:proofErr w:type="spellStart"/>
      <w:r w:rsidRPr="00C00335">
        <w:t>Behav</w:t>
      </w:r>
      <w:proofErr w:type="spellEnd"/>
      <w:r w:rsidR="003354B1" w:rsidRPr="00C00335">
        <w:t>. 2017;</w:t>
      </w:r>
      <w:r w:rsidR="00DE461F" w:rsidRPr="00C00335">
        <w:t>21:1–9</w:t>
      </w:r>
      <w:r w:rsidRPr="00C00335">
        <w:t xml:space="preserve"> doi:10.1007/s10461-016-1635-z.</w:t>
      </w:r>
    </w:p>
    <w:p w14:paraId="6BCA5163" w14:textId="5AD6F7DE" w:rsidR="00AB6404" w:rsidRDefault="00374755" w:rsidP="002B1372">
      <w:pPr>
        <w:pStyle w:val="biblio-entry"/>
      </w:pPr>
      <w:bookmarkStart w:id="1" w:name="_Hlk524944117"/>
      <w:r w:rsidRPr="00C00335">
        <w:t>Jacobson E., Hicks K., Tucker E., Farnham P., Sansom S. Effects of reaching national goals on HIV incidence, by race and ethnicity, in the United States. J of Public Health Management and Practice</w:t>
      </w:r>
      <w:r w:rsidR="003354B1" w:rsidRPr="00C00335">
        <w:t>.</w:t>
      </w:r>
      <w:r w:rsidR="00AB6404" w:rsidRPr="00AB6404">
        <w:t xml:space="preserve"> 2018 Jul 1;24(4):E1-8.</w:t>
      </w:r>
    </w:p>
    <w:p w14:paraId="6EE250B0" w14:textId="2A197793" w:rsidR="00AB6404" w:rsidRDefault="00AB6404" w:rsidP="002B1372">
      <w:pPr>
        <w:pStyle w:val="biblio-entry"/>
      </w:pPr>
      <w:r w:rsidRPr="00AB6404">
        <w:t>Khurana N</w:t>
      </w:r>
      <w:r>
        <w:t>.</w:t>
      </w:r>
      <w:r w:rsidRPr="00AB6404">
        <w:t xml:space="preserve">, </w:t>
      </w:r>
      <w:proofErr w:type="spellStart"/>
      <w:r w:rsidRPr="00AB6404">
        <w:t>Yaylali</w:t>
      </w:r>
      <w:proofErr w:type="spellEnd"/>
      <w:r w:rsidRPr="00AB6404">
        <w:t xml:space="preserve"> E</w:t>
      </w:r>
      <w:r>
        <w:t>.</w:t>
      </w:r>
      <w:r w:rsidRPr="00AB6404">
        <w:t>, Farnham P</w:t>
      </w:r>
      <w:r>
        <w:t>.</w:t>
      </w:r>
      <w:r w:rsidRPr="00AB6404">
        <w:t>G</w:t>
      </w:r>
      <w:r>
        <w:t>.</w:t>
      </w:r>
      <w:r w:rsidRPr="00AB6404">
        <w:t>, Hicks K</w:t>
      </w:r>
      <w:r>
        <w:t>.</w:t>
      </w:r>
      <w:r w:rsidRPr="00AB6404">
        <w:t>A</w:t>
      </w:r>
      <w:r>
        <w:t>.</w:t>
      </w:r>
      <w:r w:rsidRPr="00AB6404">
        <w:t>, Allaire B</w:t>
      </w:r>
      <w:r>
        <w:t>.</w:t>
      </w:r>
      <w:r w:rsidRPr="00AB6404">
        <w:t>T</w:t>
      </w:r>
      <w:r>
        <w:t>.</w:t>
      </w:r>
      <w:r w:rsidRPr="00AB6404">
        <w:t>, Jacobson E</w:t>
      </w:r>
      <w:r>
        <w:t>.</w:t>
      </w:r>
      <w:r w:rsidRPr="00AB6404">
        <w:t>, Sansom S</w:t>
      </w:r>
      <w:r>
        <w:t>.</w:t>
      </w:r>
      <w:r w:rsidRPr="00AB6404">
        <w:t>L</w:t>
      </w:r>
      <w:r>
        <w:t>.</w:t>
      </w:r>
      <w:r w:rsidRPr="00AB6404">
        <w:t xml:space="preserve">. Impact of Improved HIV Care and Treatment on </w:t>
      </w:r>
      <w:proofErr w:type="spellStart"/>
      <w:r w:rsidRPr="00AB6404">
        <w:t>PrEP</w:t>
      </w:r>
      <w:proofErr w:type="spellEnd"/>
      <w:r w:rsidRPr="00AB6404">
        <w:t xml:space="preserve"> Effectiveness in the United States, 2016–2020. JAIDS Journal of Acquired Immune Deficiency Syndromes. 2018 Aug 1;78(4):399-405.</w:t>
      </w:r>
    </w:p>
    <w:bookmarkEnd w:id="1"/>
    <w:p w14:paraId="4E17F891" w14:textId="45C28581" w:rsidR="00374755" w:rsidRPr="00C00335" w:rsidRDefault="00AB6404" w:rsidP="00C61B77">
      <w:pPr>
        <w:pStyle w:val="bullets"/>
        <w:numPr>
          <w:ilvl w:val="0"/>
          <w:numId w:val="0"/>
        </w:numPr>
        <w:ind w:left="720"/>
      </w:pPr>
      <w:r w:rsidDel="00AB6404">
        <w:rPr>
          <w:rStyle w:val="CommentReference"/>
          <w:rFonts w:ascii="Times New Roman" w:hAnsi="Times New Roman"/>
        </w:rPr>
        <w:t xml:space="preserve"> </w:t>
      </w:r>
    </w:p>
    <w:p w14:paraId="22BA45D7" w14:textId="61421970" w:rsidR="00374755" w:rsidRPr="00C00335" w:rsidRDefault="00374755" w:rsidP="002B1372">
      <w:pPr>
        <w:pStyle w:val="bullets"/>
        <w:numPr>
          <w:ilvl w:val="0"/>
          <w:numId w:val="0"/>
        </w:numPr>
        <w:ind w:left="720"/>
      </w:pPr>
    </w:p>
    <w:p w14:paraId="3FD6CEAE" w14:textId="77777777" w:rsidR="00374755" w:rsidRPr="00C00335" w:rsidRDefault="00374755" w:rsidP="002B1372">
      <w:pPr>
        <w:pStyle w:val="bullets"/>
        <w:numPr>
          <w:ilvl w:val="0"/>
          <w:numId w:val="0"/>
        </w:numPr>
        <w:ind w:left="720"/>
        <w:sectPr w:rsidR="00374755" w:rsidRPr="00C00335" w:rsidSect="00EA6FDC">
          <w:footerReference w:type="even" r:id="rId17"/>
          <w:footerReference w:type="default" r:id="rId18"/>
          <w:headerReference w:type="first" r:id="rId19"/>
          <w:footerReference w:type="first" r:id="rId20"/>
          <w:type w:val="oddPage"/>
          <w:pgSz w:w="12240" w:h="15840"/>
          <w:pgMar w:top="1440" w:right="1440" w:bottom="1440" w:left="1440" w:header="720" w:footer="720" w:gutter="0"/>
          <w:pgNumType w:fmt="lowerRoman" w:start="3"/>
          <w:cols w:space="0"/>
          <w:titlePg/>
        </w:sectPr>
      </w:pPr>
    </w:p>
    <w:p w14:paraId="7C0100B3" w14:textId="77777777" w:rsidR="00A71DBD" w:rsidRPr="00C00335" w:rsidRDefault="00A71DBD" w:rsidP="00AB6404">
      <w:pPr>
        <w:pStyle w:val="Heading1"/>
      </w:pPr>
      <w:bookmarkStart w:id="2" w:name="_Ref52198847"/>
      <w:bookmarkStart w:id="3" w:name="_Ref52198899"/>
      <w:bookmarkStart w:id="4" w:name="_Toc89257529"/>
      <w:bookmarkStart w:id="5" w:name="_Toc32742969"/>
      <w:r w:rsidRPr="00C00335">
        <w:lastRenderedPageBreak/>
        <w:t>Introduction</w:t>
      </w:r>
      <w:bookmarkEnd w:id="2"/>
      <w:bookmarkEnd w:id="3"/>
      <w:bookmarkEnd w:id="4"/>
    </w:p>
    <w:p w14:paraId="22CD1E85" w14:textId="145B4489" w:rsidR="004F4E6D" w:rsidRPr="00C00335" w:rsidRDefault="00382287" w:rsidP="00AB6404">
      <w:pPr>
        <w:pStyle w:val="BodyText"/>
      </w:pPr>
      <w:r w:rsidRPr="00C00335">
        <w:t xml:space="preserve">This document </w:t>
      </w:r>
      <w:r w:rsidR="00026CEB" w:rsidRPr="00C00335">
        <w:t xml:space="preserve">presents </w:t>
      </w:r>
      <w:r w:rsidRPr="00C00335">
        <w:t xml:space="preserve">the technical </w:t>
      </w:r>
      <w:r w:rsidRPr="00E832D1">
        <w:t xml:space="preserve">details of </w:t>
      </w:r>
      <w:r w:rsidR="009D60B9" w:rsidRPr="00E832D1">
        <w:t>Version</w:t>
      </w:r>
      <w:r w:rsidR="004712A8">
        <w:t xml:space="preserve"> </w:t>
      </w:r>
      <w:r w:rsidR="009C3388" w:rsidRPr="009C3388">
        <w:t>7.0</w:t>
      </w:r>
      <w:r w:rsidR="00244B91">
        <w:t>4</w:t>
      </w:r>
      <w:r w:rsidR="009D60B9" w:rsidRPr="00C00335">
        <w:t xml:space="preserve"> of </w:t>
      </w:r>
      <w:r w:rsidR="007C6BBA" w:rsidRPr="00C00335">
        <w:t>the HIV Op</w:t>
      </w:r>
      <w:r w:rsidR="008F79F0" w:rsidRPr="00C00335">
        <w:t>timization and Prevention Econom</w:t>
      </w:r>
      <w:r w:rsidR="007C6BBA" w:rsidRPr="00C00335">
        <w:t xml:space="preserve">ics (HOPE) Model, </w:t>
      </w:r>
      <w:r w:rsidRPr="00C00335">
        <w:t>a</w:t>
      </w:r>
      <w:r w:rsidR="006C542A" w:rsidRPr="00C00335">
        <w:t xml:space="preserve"> differential equation</w:t>
      </w:r>
      <w:r w:rsidR="00C06EA1">
        <w:t>s</w:t>
      </w:r>
      <w:r w:rsidRPr="00C00335">
        <w:t xml:space="preserve"> model </w:t>
      </w:r>
      <w:r w:rsidR="006C542A" w:rsidRPr="00C00335">
        <w:t xml:space="preserve">representing the U.S. HIV epidemic </w:t>
      </w:r>
      <w:r w:rsidRPr="00C00335">
        <w:t xml:space="preserve">developed by the Centers for Disease Control and Prevention’s (CDC’s) Division of HIV/AIDS Prevention and RTI International. </w:t>
      </w:r>
      <w:r w:rsidR="00CA2896" w:rsidRPr="00C00335">
        <w:t>Section </w:t>
      </w:r>
      <w:r w:rsidR="003B19DD" w:rsidRPr="00C00335">
        <w:t xml:space="preserve">2 </w:t>
      </w:r>
      <w:r w:rsidRPr="00C00335">
        <w:t xml:space="preserve">gives a brief overview of the model and its purpose. </w:t>
      </w:r>
      <w:r w:rsidR="00CA2896" w:rsidRPr="00C00335">
        <w:t>Section </w:t>
      </w:r>
      <w:r w:rsidR="003B19DD" w:rsidRPr="00C00335">
        <w:t xml:space="preserve">3 </w:t>
      </w:r>
      <w:r w:rsidRPr="00C00335">
        <w:t xml:space="preserve">explains the core structure of the model, including the modeled population, the compartments used in the model, and the notation applied in this document. </w:t>
      </w:r>
      <w:r w:rsidR="00CA2896" w:rsidRPr="00C00335">
        <w:t>Section </w:t>
      </w:r>
      <w:r w:rsidR="003B19DD" w:rsidRPr="00C00335">
        <w:t xml:space="preserve">4 </w:t>
      </w:r>
      <w:r w:rsidRPr="00C00335">
        <w:t xml:space="preserve">describes the initial model population. </w:t>
      </w:r>
      <w:r w:rsidR="00CA2896" w:rsidRPr="00C00335">
        <w:t>Section </w:t>
      </w:r>
      <w:r w:rsidR="003B19DD" w:rsidRPr="00C00335">
        <w:t xml:space="preserve">5 </w:t>
      </w:r>
      <w:r w:rsidRPr="00C00335">
        <w:t xml:space="preserve">discusses the transitions that result in the flow of the population between compartments (except the flow due to infection) and the flow into and out of the model. </w:t>
      </w:r>
      <w:r w:rsidR="00CA2896" w:rsidRPr="00C00335">
        <w:t>Section </w:t>
      </w:r>
      <w:r w:rsidR="003B19DD" w:rsidRPr="00C00335">
        <w:t xml:space="preserve">6 </w:t>
      </w:r>
      <w:r w:rsidRPr="00C00335">
        <w:t xml:space="preserve">describes how the force of infection is calculated. </w:t>
      </w:r>
      <w:r w:rsidR="00CA2896" w:rsidRPr="00C00335">
        <w:t>Section </w:t>
      </w:r>
      <w:r w:rsidR="003B19DD" w:rsidRPr="00C00335">
        <w:t xml:space="preserve">7 </w:t>
      </w:r>
      <w:r w:rsidRPr="00C00335">
        <w:t xml:space="preserve">explains the differential equations that are applied in the model. </w:t>
      </w:r>
      <w:r w:rsidR="00CA2896" w:rsidRPr="00C00335">
        <w:t>Section </w:t>
      </w:r>
      <w:r w:rsidR="004922C3" w:rsidRPr="00C00335">
        <w:t>8</w:t>
      </w:r>
      <w:r w:rsidR="00A67F85" w:rsidRPr="00C00335">
        <w:t xml:space="preserve"> describes the interventions included in the model that increase progression along the HIV </w:t>
      </w:r>
      <w:r w:rsidR="003F2DC6" w:rsidRPr="00C00335">
        <w:t>care continuum</w:t>
      </w:r>
      <w:r w:rsidR="00A67F85" w:rsidRPr="00C00335">
        <w:t xml:space="preserve"> when “allocation-based” progression is applied.</w:t>
      </w:r>
      <w:r w:rsidR="004922C3" w:rsidRPr="00C00335">
        <w:t xml:space="preserve"> </w:t>
      </w:r>
      <w:r w:rsidR="00CC1DD7" w:rsidRPr="00A7011C">
        <w:t xml:space="preserve">Section </w:t>
      </w:r>
      <w:r w:rsidR="007B4EFA" w:rsidRPr="00A7011C">
        <w:t xml:space="preserve">9 </w:t>
      </w:r>
      <w:r w:rsidR="004922C3" w:rsidRPr="00A7011C">
        <w:t xml:space="preserve">describes the calculation of model outcomes. </w:t>
      </w:r>
      <w:r w:rsidR="00CA2896" w:rsidRPr="00A7011C">
        <w:t>Section </w:t>
      </w:r>
      <w:r w:rsidR="00CC1DD7" w:rsidRPr="00A7011C">
        <w:t>1</w:t>
      </w:r>
      <w:r w:rsidR="007B4EFA" w:rsidRPr="00A7011C">
        <w:t>0</w:t>
      </w:r>
      <w:r w:rsidR="00CC1DD7" w:rsidRPr="00A7011C">
        <w:t xml:space="preserve"> </w:t>
      </w:r>
      <w:r w:rsidR="006C542A" w:rsidRPr="00A7011C">
        <w:t>discusses the model’s calibration and validation</w:t>
      </w:r>
      <w:r w:rsidRPr="00A7011C">
        <w:t>.</w:t>
      </w:r>
      <w:r w:rsidR="00D51793" w:rsidRPr="00C00335">
        <w:t xml:space="preserve"> </w:t>
      </w:r>
      <w:r w:rsidR="00BB5E8A" w:rsidRPr="00BB5E8A">
        <w:t>Section 11 presents the methods and results for the uncertainty analysis.</w:t>
      </w:r>
      <w:r w:rsidR="00BB5E8A">
        <w:t xml:space="preserve"> </w:t>
      </w:r>
      <w:r w:rsidR="00CA2896" w:rsidRPr="00C00335">
        <w:t>Appendix </w:t>
      </w:r>
      <w:r w:rsidR="00E631C3" w:rsidRPr="00C00335">
        <w:t xml:space="preserve">A </w:t>
      </w:r>
      <w:r w:rsidR="00D51793" w:rsidRPr="00C00335">
        <w:t>includes tables defining the symbols and indices applied in this document.</w:t>
      </w:r>
    </w:p>
    <w:p w14:paraId="4D45FE24" w14:textId="7F64A3B1" w:rsidR="00244B91" w:rsidRPr="00783571" w:rsidRDefault="00F00BE2" w:rsidP="00244B91">
      <w:pPr>
        <w:pStyle w:val="BodyText"/>
      </w:pPr>
      <w:r w:rsidRPr="00C00335">
        <w:t xml:space="preserve">As noted in the disclaimer at the beginning of this document, several versions of this report have </w:t>
      </w:r>
      <w:r w:rsidRPr="00C51B0D">
        <w:t xml:space="preserve">previously </w:t>
      </w:r>
      <w:r w:rsidR="00195187" w:rsidRPr="00C51B0D">
        <w:t xml:space="preserve">been </w:t>
      </w:r>
      <w:r w:rsidRPr="00C51B0D">
        <w:t xml:space="preserve">published </w:t>
      </w:r>
      <w:r w:rsidR="00C06EA1" w:rsidRPr="00C51B0D">
        <w:t xml:space="preserve">alongside papers </w:t>
      </w:r>
      <w:r w:rsidRPr="00C51B0D">
        <w:t xml:space="preserve">that use the HOPE </w:t>
      </w:r>
      <w:r w:rsidR="00195187" w:rsidRPr="00C51B0D">
        <w:t>M</w:t>
      </w:r>
      <w:r w:rsidRPr="00C51B0D">
        <w:t xml:space="preserve">odel. Each version </w:t>
      </w:r>
      <w:r w:rsidR="007B4EFA" w:rsidRPr="00C51B0D">
        <w:t>prior to this</w:t>
      </w:r>
      <w:r w:rsidR="007B4EFA">
        <w:t xml:space="preserve"> </w:t>
      </w:r>
      <w:r w:rsidRPr="00C00335">
        <w:t xml:space="preserve">has been adapted for the specific analysis presented in that </w:t>
      </w:r>
      <w:r w:rsidR="00C06EA1">
        <w:t>publication</w:t>
      </w:r>
      <w:r w:rsidRPr="00C00335">
        <w:t xml:space="preserve">. </w:t>
      </w:r>
      <w:r w:rsidR="00244B91" w:rsidRPr="00783571">
        <w:t>Besides reflecting the assumptions and structure of the model version used, the following is a list of how this version of this document has been adapted to specifically represent this analysis:</w:t>
      </w:r>
    </w:p>
    <w:p w14:paraId="11339C73" w14:textId="2E50FA3D" w:rsidR="00244B91" w:rsidRPr="00783571" w:rsidRDefault="00244B91" w:rsidP="00244B91">
      <w:pPr>
        <w:pStyle w:val="bullets"/>
        <w:numPr>
          <w:ilvl w:val="0"/>
          <w:numId w:val="1"/>
        </w:numPr>
        <w:spacing w:after="120"/>
        <w:ind w:left="720"/>
      </w:pPr>
      <w:r w:rsidRPr="00783571">
        <w:t>Sections 5 and 6: All input tables reflect the set of values used for calibrated inputs for this analysis (the set with identifier “</w:t>
      </w:r>
      <w:r>
        <w:t>LB_916_1</w:t>
      </w:r>
      <w:r w:rsidRPr="00783571">
        <w:t>”).</w:t>
      </w:r>
    </w:p>
    <w:p w14:paraId="04059470" w14:textId="54B37DC7" w:rsidR="00244B91" w:rsidRPr="00783571" w:rsidRDefault="00244B91" w:rsidP="00244B91">
      <w:pPr>
        <w:pStyle w:val="bullets"/>
        <w:numPr>
          <w:ilvl w:val="0"/>
          <w:numId w:val="1"/>
        </w:numPr>
        <w:spacing w:after="120"/>
        <w:ind w:left="720"/>
      </w:pPr>
      <w:r w:rsidRPr="00783571">
        <w:t xml:space="preserve">Section </w:t>
      </w:r>
      <w:r>
        <w:t>8.2</w:t>
      </w:r>
      <w:r w:rsidRPr="00783571">
        <w:t xml:space="preserve">: Key explanations and details of the specific methods applied for using the HOPE model for </w:t>
      </w:r>
      <w:r>
        <w:t>optimizing funding allocations in scenario 1b and scenario 1c of the manuscript</w:t>
      </w:r>
      <w:r w:rsidRPr="00783571">
        <w:t>.</w:t>
      </w:r>
    </w:p>
    <w:p w14:paraId="651C4A0D" w14:textId="6612D21B" w:rsidR="00244B91" w:rsidRPr="00783571" w:rsidRDefault="00244B91" w:rsidP="00244B91">
      <w:pPr>
        <w:pStyle w:val="bullets"/>
        <w:numPr>
          <w:ilvl w:val="0"/>
          <w:numId w:val="1"/>
        </w:numPr>
        <w:spacing w:after="120"/>
        <w:ind w:left="720"/>
      </w:pPr>
      <w:r w:rsidRPr="00783571">
        <w:t>Section 1</w:t>
      </w:r>
      <w:r>
        <w:t>0</w:t>
      </w:r>
      <w:r w:rsidRPr="00783571">
        <w:t xml:space="preserve">: The calibration methods represent those applied in generating the set of values used to populate all calibrated inputs in this analysis (set </w:t>
      </w:r>
      <w:r>
        <w:t>LB_916_1</w:t>
      </w:r>
      <w:r w:rsidRPr="00783571">
        <w:t>). The ranges considered for all calibrated inputs and the point estimates and acceptable ranges of output values for all targeted outcomes are also specific to the analysis, as are the final values of the inputs and resulting values of the targeted outcomes when those input values were applied in the HOPE Model.</w:t>
      </w:r>
    </w:p>
    <w:p w14:paraId="3440903C" w14:textId="77777777" w:rsidR="006F6153" w:rsidRPr="00C00335" w:rsidRDefault="006F6153" w:rsidP="00F93701">
      <w:pPr>
        <w:pStyle w:val="BodyText"/>
      </w:pPr>
    </w:p>
    <w:p w14:paraId="6D5EF5F0" w14:textId="77777777" w:rsidR="00382287" w:rsidRPr="00C00335" w:rsidRDefault="00382287" w:rsidP="00382287">
      <w:pPr>
        <w:pStyle w:val="Heading1"/>
        <w:sectPr w:rsidR="00382287" w:rsidRPr="00C00335" w:rsidSect="00EA6FDC">
          <w:headerReference w:type="even" r:id="rId21"/>
          <w:headerReference w:type="default" r:id="rId22"/>
          <w:footerReference w:type="even" r:id="rId23"/>
          <w:footerReference w:type="default" r:id="rId24"/>
          <w:footerReference w:type="first" r:id="rId25"/>
          <w:type w:val="oddPage"/>
          <w:pgSz w:w="12240" w:h="15840" w:code="1"/>
          <w:pgMar w:top="1440" w:right="1440" w:bottom="1440" w:left="1440" w:header="720" w:footer="720" w:gutter="0"/>
          <w:pgNumType w:start="1" w:chapStyle="1"/>
          <w:cols w:space="0"/>
          <w:titlePg/>
          <w:docGrid w:linePitch="299"/>
        </w:sectPr>
      </w:pPr>
      <w:bookmarkStart w:id="6" w:name="_Toc398293109"/>
    </w:p>
    <w:p w14:paraId="6F0DD70B" w14:textId="77777777" w:rsidR="00382287" w:rsidRPr="00C00335" w:rsidRDefault="00382287" w:rsidP="00382287">
      <w:pPr>
        <w:pStyle w:val="Heading1"/>
      </w:pPr>
      <w:bookmarkStart w:id="7" w:name="_Toc89257530"/>
      <w:r w:rsidRPr="00C00335">
        <w:lastRenderedPageBreak/>
        <w:t>Model Overview and Purpose</w:t>
      </w:r>
      <w:bookmarkEnd w:id="6"/>
      <w:bookmarkEnd w:id="7"/>
    </w:p>
    <w:p w14:paraId="6974ED93" w14:textId="69645F62" w:rsidR="004F4E6D" w:rsidRPr="00C00335" w:rsidRDefault="00952170" w:rsidP="007C6BBA">
      <w:pPr>
        <w:pStyle w:val="BodyText"/>
      </w:pPr>
      <w:r w:rsidRPr="00C00335">
        <w:t>The objective</w:t>
      </w:r>
      <w:r w:rsidR="00F33CD9">
        <w:t>s</w:t>
      </w:r>
      <w:r w:rsidRPr="00C00335">
        <w:t xml:space="preserve"> of </w:t>
      </w:r>
      <w:r w:rsidR="007C6BBA" w:rsidRPr="00C00335">
        <w:t xml:space="preserve">the HOPE </w:t>
      </w:r>
      <w:r w:rsidRPr="00C00335">
        <w:t xml:space="preserve">model </w:t>
      </w:r>
      <w:r w:rsidR="00F33CD9">
        <w:t>are</w:t>
      </w:r>
      <w:r w:rsidR="00F33CD9" w:rsidRPr="00C00335">
        <w:t xml:space="preserve"> </w:t>
      </w:r>
      <w:r w:rsidRPr="00C00335">
        <w:t xml:space="preserve">to estimate the impact on health outcomes related to HIV in the U.S. population resulting from changes in the distribution of </w:t>
      </w:r>
      <w:r w:rsidR="0079728B">
        <w:t xml:space="preserve">people with </w:t>
      </w:r>
      <w:r w:rsidR="00F56765">
        <w:t xml:space="preserve">HIV </w:t>
      </w:r>
      <w:r w:rsidRPr="00C00335">
        <w:t>along the HIV care continuum and to better understand the impact of different risk behaviors on the prevalence of HIV in the United States.</w:t>
      </w:r>
      <w:r w:rsidR="00613D64" w:rsidRPr="00C00335">
        <w:t xml:space="preserve"> </w:t>
      </w:r>
      <w:r w:rsidR="00382287" w:rsidRPr="00C00335">
        <w:t>The model use</w:t>
      </w:r>
      <w:r w:rsidR="00D0624A">
        <w:t>s</w:t>
      </w:r>
      <w:r w:rsidR="00382287" w:rsidRPr="00C00335">
        <w:t xml:space="preserve"> </w:t>
      </w:r>
      <w:r w:rsidR="00705F14" w:rsidRPr="00C00335">
        <w:t xml:space="preserve">discretized difference </w:t>
      </w:r>
      <w:r w:rsidR="00382287" w:rsidRPr="00C00335">
        <w:t>equations that are implemented in MATLAB software (</w:t>
      </w:r>
      <w:proofErr w:type="spellStart"/>
      <w:r w:rsidR="00382287" w:rsidRPr="00C00335">
        <w:t>Mathworks</w:t>
      </w:r>
      <w:proofErr w:type="spellEnd"/>
      <w:r w:rsidR="00E631C3" w:rsidRPr="00C00335">
        <w:t>,</w:t>
      </w:r>
      <w:r w:rsidR="00382287" w:rsidRPr="00C00335">
        <w:t xml:space="preserve"> Natick, Massachusetts). The</w:t>
      </w:r>
      <w:r w:rsidR="00F77D76" w:rsidRPr="00C00335">
        <w:t xml:space="preserve"> </w:t>
      </w:r>
      <w:r w:rsidR="00382287" w:rsidRPr="00C00335">
        <w:t xml:space="preserve">equations represent the </w:t>
      </w:r>
      <w:r w:rsidR="00F77D76" w:rsidRPr="00C00335">
        <w:t xml:space="preserve">dynamics of the </w:t>
      </w:r>
      <w:r w:rsidR="00382287" w:rsidRPr="00C00335">
        <w:t xml:space="preserve">HIV-uninfected and HIV-infected </w:t>
      </w:r>
      <w:r w:rsidR="00F77D76" w:rsidRPr="00C00335">
        <w:t xml:space="preserve">populations, including their interaction and progression through various clinical stages of HIV as well as the </w:t>
      </w:r>
      <w:r w:rsidR="003F2DC6" w:rsidRPr="00C00335">
        <w:t>care continuum</w:t>
      </w:r>
      <w:r w:rsidR="00382287" w:rsidRPr="00C00335">
        <w:t>.</w:t>
      </w:r>
      <w:r w:rsidR="00996515" w:rsidRPr="00C00335">
        <w:t xml:space="preserve"> We consider progression through the care continuum to include</w:t>
      </w:r>
      <w:r w:rsidR="006E0C2B" w:rsidRPr="00C00335">
        <w:t xml:space="preserve"> HIV</w:t>
      </w:r>
      <w:r w:rsidR="00996515" w:rsidRPr="00C00335">
        <w:t xml:space="preserve"> diagnosis, linkage to care, ART prescription, and achievement of viral suppression.</w:t>
      </w:r>
      <w:r w:rsidR="00382287" w:rsidRPr="00C00335">
        <w:t xml:space="preserve"> </w:t>
      </w:r>
      <w:r w:rsidR="00F77D76" w:rsidRPr="00C00335">
        <w:t>Transmission risks from sex</w:t>
      </w:r>
      <w:r w:rsidR="00DB6E5A" w:rsidRPr="00C00335">
        <w:t xml:space="preserve"> acts</w:t>
      </w:r>
      <w:r w:rsidR="00F77D76" w:rsidRPr="00C00335">
        <w:t xml:space="preserve"> (vaginal and anal) and </w:t>
      </w:r>
      <w:r w:rsidR="00DB6E5A" w:rsidRPr="00C00335">
        <w:t>shared needles</w:t>
      </w:r>
      <w:r w:rsidR="00F77D76" w:rsidRPr="00C00335">
        <w:t xml:space="preserve"> were considered. </w:t>
      </w:r>
      <w:r w:rsidR="00382287" w:rsidRPr="00C00335">
        <w:t xml:space="preserve">The model </w:t>
      </w:r>
      <w:r w:rsidR="00F77D76" w:rsidRPr="00C00335">
        <w:t xml:space="preserve">can be used to examine </w:t>
      </w:r>
      <w:r w:rsidR="00382287" w:rsidRPr="00C00335">
        <w:t xml:space="preserve">HIV prevention interventions aimed at </w:t>
      </w:r>
      <w:r w:rsidR="005F5C70" w:rsidRPr="00C00335">
        <w:t>HIV-infected</w:t>
      </w:r>
      <w:r w:rsidR="00F77D76" w:rsidRPr="00C00335">
        <w:t xml:space="preserve"> and </w:t>
      </w:r>
      <w:r w:rsidR="005F5C70" w:rsidRPr="00C00335">
        <w:t>HIV-uninfected</w:t>
      </w:r>
      <w:r w:rsidR="00382287" w:rsidRPr="00C00335">
        <w:t xml:space="preserve"> individuals.</w:t>
      </w:r>
    </w:p>
    <w:p w14:paraId="6C306597" w14:textId="1D6435D2" w:rsidR="00432EAD" w:rsidRPr="00E832D1" w:rsidRDefault="00382287" w:rsidP="00432EAD">
      <w:pPr>
        <w:pStyle w:val="BodyText"/>
      </w:pPr>
      <w:r w:rsidRPr="00C00335">
        <w:t xml:space="preserve">Our model was originally based on a model published by Sorensen and colleagues (2012) that included gay, bisexual, and other men who have sex with men (collectively referred to as MSM) in New York City; we expanded that model to include the national epidemic data for multiple transmission groups (MSM, </w:t>
      </w:r>
      <w:r w:rsidR="00F77D76" w:rsidRPr="00C00335">
        <w:t>people who inject drugs</w:t>
      </w:r>
      <w:r w:rsidRPr="00C00335">
        <w:t xml:space="preserve"> [</w:t>
      </w:r>
      <w:r w:rsidR="00F77D76" w:rsidRPr="00C00335">
        <w:t>PWID]</w:t>
      </w:r>
      <w:r w:rsidRPr="00C00335">
        <w:t xml:space="preserve">, and heterosexuals [HETs]). </w:t>
      </w:r>
      <w:r w:rsidR="00F77D76" w:rsidRPr="00C00335">
        <w:t>These groups were further categori</w:t>
      </w:r>
      <w:r w:rsidR="000122E6" w:rsidRPr="00C00335">
        <w:t>zed</w:t>
      </w:r>
      <w:r w:rsidR="00F77D76" w:rsidRPr="00C00335">
        <w:t xml:space="preserve"> </w:t>
      </w:r>
      <w:r w:rsidRPr="00C00335">
        <w:t>by sex (male, female), race/ethnicity (</w:t>
      </w:r>
      <w:r w:rsidR="005D351C">
        <w:t>B</w:t>
      </w:r>
      <w:r w:rsidR="005D351C" w:rsidRPr="00C00335">
        <w:t>lack</w:t>
      </w:r>
      <w:r w:rsidRPr="00C00335">
        <w:t xml:space="preserve">, Hispanic/Latino, </w:t>
      </w:r>
      <w:r w:rsidR="00896735">
        <w:t>white/other</w:t>
      </w:r>
      <w:r w:rsidRPr="00C00335">
        <w:t xml:space="preserve">), age group (13–17, 18–24, 25–34, 35–44, </w:t>
      </w:r>
      <w:r w:rsidR="003A2838" w:rsidRPr="00D0624A">
        <w:t xml:space="preserve">45–54, 55–64, </w:t>
      </w:r>
      <w:r w:rsidRPr="00D0624A">
        <w:t>and 6</w:t>
      </w:r>
      <w:r w:rsidR="003A2838" w:rsidRPr="00D0624A">
        <w:t>5+</w:t>
      </w:r>
      <w:r w:rsidRPr="00D0624A">
        <w:t xml:space="preserve"> yea</w:t>
      </w:r>
      <w:r w:rsidR="003438E2" w:rsidRPr="00D0624A">
        <w:t>rs</w:t>
      </w:r>
      <w:r w:rsidR="003438E2" w:rsidRPr="00C00335">
        <w:t>), and risk level (low, high).</w:t>
      </w:r>
      <w:r w:rsidRPr="00C00335">
        <w:t xml:space="preserve"> </w:t>
      </w:r>
      <w:r w:rsidR="00BE15F5" w:rsidRPr="00C00335">
        <w:t xml:space="preserve">We also adjusted the model’s </w:t>
      </w:r>
      <w:r w:rsidR="003F2DC6" w:rsidRPr="00C00335">
        <w:t>care continuum</w:t>
      </w:r>
      <w:r w:rsidR="00BE15F5" w:rsidRPr="00C00335">
        <w:t xml:space="preserve"> stages to </w:t>
      </w:r>
      <w:proofErr w:type="gramStart"/>
      <w:r w:rsidR="00BE15F5" w:rsidRPr="00C00335">
        <w:t xml:space="preserve">more precisely represent the effects of </w:t>
      </w:r>
      <w:r w:rsidR="002A1B33" w:rsidRPr="00C00335">
        <w:t>antiretroviral therapy (</w:t>
      </w:r>
      <w:r w:rsidR="00BE15F5" w:rsidRPr="00C00335">
        <w:t>ART</w:t>
      </w:r>
      <w:r w:rsidR="002A1B33" w:rsidRPr="00C00335">
        <w:t>)</w:t>
      </w:r>
      <w:r w:rsidR="00BE15F5" w:rsidRPr="00C00335">
        <w:t xml:space="preserve"> and</w:t>
      </w:r>
      <w:r w:rsidR="006F4845" w:rsidRPr="00C00335">
        <w:t xml:space="preserve"> being</w:t>
      </w:r>
      <w:r w:rsidR="00BE15F5" w:rsidRPr="00C00335">
        <w:t xml:space="preserve"> </w:t>
      </w:r>
      <w:r w:rsidR="00C90E74">
        <w:t>virally</w:t>
      </w:r>
      <w:r w:rsidR="002A1B33" w:rsidRPr="00C00335">
        <w:t xml:space="preserve"> suppress</w:t>
      </w:r>
      <w:r w:rsidR="006F4845" w:rsidRPr="00C00335">
        <w:t>ed</w:t>
      </w:r>
      <w:r w:rsidR="002A1B33" w:rsidRPr="00C00335">
        <w:t xml:space="preserve"> (</w:t>
      </w:r>
      <w:r w:rsidR="00BE15F5" w:rsidRPr="00C00335">
        <w:t>VLS</w:t>
      </w:r>
      <w:r w:rsidR="002A1B33" w:rsidRPr="00C00335">
        <w:t>)</w:t>
      </w:r>
      <w:proofErr w:type="gramEnd"/>
      <w:r w:rsidR="00BE15F5" w:rsidRPr="00C00335">
        <w:t xml:space="preserve">. </w:t>
      </w:r>
      <w:r w:rsidRPr="00C00335">
        <w:t xml:space="preserve">The model was dynamic in that the risk of uninfected individuals acquiring HIV at any given time was a function of the current size, disease stages, and HIV care continuum stages of the HIV-infected portion of </w:t>
      </w:r>
      <w:r w:rsidRPr="00E832D1">
        <w:t xml:space="preserve">their pool of </w:t>
      </w:r>
      <w:r w:rsidR="00F77D76" w:rsidRPr="00E832D1">
        <w:t xml:space="preserve">sexual and needle </w:t>
      </w:r>
      <w:r w:rsidRPr="00E832D1">
        <w:t>partners. As a result, changes that affect the HIV-infected population affected the spread of the disease to the uninfected portion of the population in the model.</w:t>
      </w:r>
    </w:p>
    <w:p w14:paraId="21960981" w14:textId="68D7CA75" w:rsidR="001F5372" w:rsidRPr="00C00335" w:rsidRDefault="00A16C51" w:rsidP="00432EAD">
      <w:pPr>
        <w:pStyle w:val="BodyText"/>
      </w:pPr>
      <w:r w:rsidRPr="00E832D1">
        <w:t xml:space="preserve">Three time periods are observed. </w:t>
      </w:r>
      <w:r w:rsidRPr="003D4A45">
        <w:t>The first</w:t>
      </w:r>
      <w:r w:rsidR="00432EAD" w:rsidRPr="003D4A45">
        <w:t>,</w:t>
      </w:r>
      <w:r w:rsidRPr="003D4A45">
        <w:t xml:space="preserve"> 20</w:t>
      </w:r>
      <w:r w:rsidR="00D0624A" w:rsidRPr="003D4A45">
        <w:t>10</w:t>
      </w:r>
      <w:r w:rsidRPr="003D4A45">
        <w:t xml:space="preserve"> to </w:t>
      </w:r>
      <w:r w:rsidR="007B4EFA" w:rsidRPr="003D4A45">
        <w:t>2018</w:t>
      </w:r>
      <w:r w:rsidR="00432EAD" w:rsidRPr="003D4A45">
        <w:t>,</w:t>
      </w:r>
      <w:r w:rsidRPr="003D4A45">
        <w:t xml:space="preserve"> </w:t>
      </w:r>
      <w:r w:rsidR="00D0624A" w:rsidRPr="003D4A45">
        <w:t>is aimed at replicating historic</w:t>
      </w:r>
      <w:r w:rsidR="007C57BA" w:rsidRPr="003D4A45">
        <w:t>al</w:t>
      </w:r>
      <w:r w:rsidR="00D0624A" w:rsidRPr="003D4A45">
        <w:t xml:space="preserve"> data and trends</w:t>
      </w:r>
      <w:r w:rsidRPr="003D4A45">
        <w:t>. The</w:t>
      </w:r>
      <w:r w:rsidR="00F01648" w:rsidRPr="003D4A45">
        <w:t xml:space="preserve"> second and third periods are for forecasting future trends under various assumptions to represent hypothetical scenarios</w:t>
      </w:r>
      <w:r w:rsidR="007C57BA" w:rsidRPr="003D4A45">
        <w:t xml:space="preserve">. For example, modeling can assume </w:t>
      </w:r>
      <w:r w:rsidR="00F01648" w:rsidRPr="003D4A45">
        <w:t>the same trends as in the first period</w:t>
      </w:r>
      <w:r w:rsidR="007C57BA" w:rsidRPr="003D4A45">
        <w:t xml:space="preserve"> </w:t>
      </w:r>
      <w:r w:rsidR="00F01648" w:rsidRPr="003D4A45">
        <w:t xml:space="preserve">or </w:t>
      </w:r>
      <w:r w:rsidR="007C57BA" w:rsidRPr="003D4A45">
        <w:t xml:space="preserve">changes in </w:t>
      </w:r>
      <w:r w:rsidR="00F01648" w:rsidRPr="003D4A45">
        <w:t>trend</w:t>
      </w:r>
      <w:r w:rsidR="007C57BA" w:rsidRPr="003D4A45">
        <w:t>s that may result from</w:t>
      </w:r>
      <w:r w:rsidR="00F01648" w:rsidRPr="003D4A45">
        <w:t xml:space="preserve"> policy or funding changes. The</w:t>
      </w:r>
      <w:r w:rsidRPr="003D4A45">
        <w:t xml:space="preserve"> second</w:t>
      </w:r>
      <w:r w:rsidR="00D0624A" w:rsidRPr="003D4A45">
        <w:t xml:space="preserve"> </w:t>
      </w:r>
      <w:r w:rsidR="00F01648" w:rsidRPr="003D4A45">
        <w:t xml:space="preserve">period starts in </w:t>
      </w:r>
      <w:r w:rsidR="007B4EFA" w:rsidRPr="003D4A45">
        <w:t>2019</w:t>
      </w:r>
      <w:r w:rsidR="00F01648" w:rsidRPr="003D4A45">
        <w:t xml:space="preserve">. The </w:t>
      </w:r>
      <w:r w:rsidR="00D0624A" w:rsidRPr="003D4A45">
        <w:t>third</w:t>
      </w:r>
      <w:r w:rsidR="00F01648" w:rsidRPr="003D4A45">
        <w:t xml:space="preserve"> period starts at a user-specified date </w:t>
      </w:r>
      <w:r w:rsidR="00C06EA1" w:rsidRPr="003D4A45">
        <w:t xml:space="preserve">of </w:t>
      </w:r>
      <w:r w:rsidR="007B4EFA" w:rsidRPr="003D4A45">
        <w:t xml:space="preserve">2019 </w:t>
      </w:r>
      <w:r w:rsidR="00F01648" w:rsidRPr="003D4A45">
        <w:t>or later and extends to a user-specified year</w:t>
      </w:r>
      <w:r w:rsidRPr="003D4A45">
        <w:t>.</w:t>
      </w:r>
      <w:r w:rsidR="00150290">
        <w:t xml:space="preserve"> </w:t>
      </w:r>
      <w:r w:rsidR="00150290" w:rsidRPr="00705F14">
        <w:t xml:space="preserve">Note that, by default, the third period is started in the same year as the second period, which means that inputs for the second time period are not applied </w:t>
      </w:r>
      <w:r w:rsidR="002C691B" w:rsidRPr="00705F14">
        <w:t>under the default settings</w:t>
      </w:r>
      <w:r w:rsidR="00150290" w:rsidRPr="00705F14">
        <w:t xml:space="preserve">. However, if the user chooses to make the </w:t>
      </w:r>
      <w:r w:rsidR="002C691B" w:rsidRPr="00705F14">
        <w:t>third</w:t>
      </w:r>
      <w:r w:rsidR="00150290" w:rsidRPr="00705F14">
        <w:t xml:space="preserve"> time period</w:t>
      </w:r>
      <w:r w:rsidR="002C691B" w:rsidRPr="00705F14">
        <w:t xml:space="preserve"> start in a year later than the second time period, then two sets of inputs can be considered for those two periods, respectively.</w:t>
      </w:r>
    </w:p>
    <w:p w14:paraId="3F41B0C9" w14:textId="3AB735C1" w:rsidR="004F4E6D" w:rsidRPr="00C00335" w:rsidRDefault="004F4E6D" w:rsidP="004F4E6D">
      <w:pPr>
        <w:pStyle w:val="BodyText"/>
      </w:pPr>
    </w:p>
    <w:p w14:paraId="6032B751" w14:textId="77777777" w:rsidR="0087433D" w:rsidRPr="00C00335" w:rsidRDefault="0087433D" w:rsidP="00CD242E">
      <w:pPr>
        <w:pStyle w:val="BodyText"/>
        <w:sectPr w:rsidR="0087433D" w:rsidRPr="00C00335" w:rsidSect="00EA6FDC">
          <w:headerReference w:type="default" r:id="rId26"/>
          <w:type w:val="oddPage"/>
          <w:pgSz w:w="12240" w:h="15840" w:code="1"/>
          <w:pgMar w:top="1440" w:right="1440" w:bottom="1440" w:left="1440" w:header="720" w:footer="720" w:gutter="0"/>
          <w:pgNumType w:start="1" w:chapStyle="1"/>
          <w:cols w:space="0"/>
          <w:titlePg/>
          <w:docGrid w:linePitch="299"/>
        </w:sectPr>
      </w:pPr>
    </w:p>
    <w:p w14:paraId="14AF7592" w14:textId="77777777" w:rsidR="000F420A" w:rsidRPr="00C00335" w:rsidRDefault="00382287">
      <w:pPr>
        <w:pStyle w:val="Heading1"/>
      </w:pPr>
      <w:bookmarkStart w:id="8" w:name="_Toc398293110"/>
      <w:bookmarkStart w:id="9" w:name="_Toc89257531"/>
      <w:bookmarkEnd w:id="5"/>
      <w:r w:rsidRPr="00C00335">
        <w:lastRenderedPageBreak/>
        <w:t>Model Population</w:t>
      </w:r>
      <w:r w:rsidR="00C47A13" w:rsidRPr="00C00335">
        <w:t xml:space="preserve"> </w:t>
      </w:r>
      <w:r w:rsidR="000141DA" w:rsidRPr="00C00335">
        <w:t>and</w:t>
      </w:r>
      <w:r w:rsidRPr="00C00335">
        <w:t xml:space="preserve"> Compartments</w:t>
      </w:r>
      <w:bookmarkEnd w:id="8"/>
      <w:bookmarkEnd w:id="9"/>
    </w:p>
    <w:p w14:paraId="2A3E1F08" w14:textId="6A55F9A8" w:rsidR="00382287" w:rsidRPr="00C00335" w:rsidRDefault="00382287" w:rsidP="00157D0F">
      <w:pPr>
        <w:pStyle w:val="BodyText"/>
      </w:pPr>
      <w:r w:rsidRPr="00673636">
        <w:t xml:space="preserve">The population observed in </w:t>
      </w:r>
      <w:r w:rsidR="00E468B5" w:rsidRPr="00673636">
        <w:t>th</w:t>
      </w:r>
      <w:r w:rsidR="00E468B5">
        <w:t>e</w:t>
      </w:r>
      <w:r w:rsidR="00E468B5" w:rsidRPr="00673636">
        <w:t xml:space="preserve"> </w:t>
      </w:r>
      <w:r w:rsidRPr="00673636">
        <w:t xml:space="preserve">model </w:t>
      </w:r>
      <w:r w:rsidR="00E468B5">
        <w:t>i</w:t>
      </w:r>
      <w:r w:rsidR="00E468B5" w:rsidRPr="00673636">
        <w:t xml:space="preserve">s </w:t>
      </w:r>
      <w:r w:rsidRPr="00673636">
        <w:t xml:space="preserve">stratified by age group </w:t>
      </w:r>
      <w:r w:rsidRPr="00673636">
        <w:rPr>
          <w:i/>
          <w:iCs/>
        </w:rPr>
        <w:t>j</w:t>
      </w:r>
      <w:r w:rsidRPr="00673636">
        <w:t xml:space="preserve"> (</w:t>
      </w:r>
      <w:r w:rsidRPr="00673636">
        <w:rPr>
          <w:i/>
          <w:iCs/>
        </w:rPr>
        <w:t>j</w:t>
      </w:r>
      <w:r w:rsidRPr="00673636">
        <w:t xml:space="preserve"> = 1, …, </w:t>
      </w:r>
      <w:r w:rsidR="003A2838" w:rsidRPr="00673636">
        <w:t>7</w:t>
      </w:r>
      <w:r w:rsidRPr="00673636">
        <w:t xml:space="preserve">), risk level </w:t>
      </w:r>
      <w:r w:rsidRPr="00673636">
        <w:rPr>
          <w:i/>
          <w:iCs/>
        </w:rPr>
        <w:t>k</w:t>
      </w:r>
      <w:r w:rsidRPr="00673636">
        <w:t xml:space="preserve"> (</w:t>
      </w:r>
      <w:r w:rsidRPr="00673636">
        <w:rPr>
          <w:i/>
          <w:iCs/>
        </w:rPr>
        <w:t>k</w:t>
      </w:r>
      <w:r w:rsidRPr="00673636">
        <w:t xml:space="preserve"> = 1, 2), transmission group </w:t>
      </w:r>
      <w:r w:rsidRPr="00673636">
        <w:rPr>
          <w:i/>
          <w:iCs/>
        </w:rPr>
        <w:t xml:space="preserve">l </w:t>
      </w:r>
      <w:r w:rsidRPr="00673636">
        <w:t>(</w:t>
      </w:r>
      <w:r w:rsidRPr="00673636">
        <w:rPr>
          <w:i/>
          <w:iCs/>
        </w:rPr>
        <w:t>l</w:t>
      </w:r>
      <w:r w:rsidRPr="00673636">
        <w:t xml:space="preserve"> = 1, 2, 3), sex </w:t>
      </w:r>
      <w:r w:rsidRPr="00673636">
        <w:rPr>
          <w:i/>
          <w:iCs/>
        </w:rPr>
        <w:t>m</w:t>
      </w:r>
      <w:r w:rsidRPr="00673636">
        <w:t xml:space="preserve"> (</w:t>
      </w:r>
      <w:r w:rsidRPr="00673636">
        <w:rPr>
          <w:i/>
          <w:iCs/>
        </w:rPr>
        <w:t>m</w:t>
      </w:r>
      <w:r w:rsidRPr="00673636">
        <w:t xml:space="preserve"> = 1, 2), circumcision status </w:t>
      </w:r>
      <w:r w:rsidRPr="00673636">
        <w:rPr>
          <w:i/>
          <w:iCs/>
        </w:rPr>
        <w:t>n</w:t>
      </w:r>
      <w:r w:rsidRPr="00673636">
        <w:t xml:space="preserve"> (</w:t>
      </w:r>
      <w:r w:rsidRPr="00673636">
        <w:rPr>
          <w:i/>
          <w:iCs/>
        </w:rPr>
        <w:t>n</w:t>
      </w:r>
      <w:r w:rsidRPr="00673636">
        <w:t> = 1, 2), and race</w:t>
      </w:r>
      <w:r w:rsidR="00352A22" w:rsidRPr="00673636">
        <w:t>/ethnicity</w:t>
      </w:r>
      <w:r w:rsidRPr="00673636">
        <w:t xml:space="preserve"> </w:t>
      </w:r>
      <w:r w:rsidRPr="00673636">
        <w:rPr>
          <w:i/>
          <w:iCs/>
        </w:rPr>
        <w:t>o</w:t>
      </w:r>
      <w:r w:rsidRPr="00673636">
        <w:t xml:space="preserve"> (</w:t>
      </w:r>
      <w:r w:rsidRPr="00673636">
        <w:rPr>
          <w:i/>
          <w:iCs/>
        </w:rPr>
        <w:t>o</w:t>
      </w:r>
      <w:r w:rsidR="00072F57" w:rsidRPr="00673636">
        <w:t xml:space="preserve"> = 1, 2, 3). </w:t>
      </w:r>
      <w:r w:rsidR="00871E69" w:rsidRPr="00673636">
        <w:t>Table 3.</w:t>
      </w:r>
      <w:r w:rsidRPr="00673636">
        <w:t xml:space="preserve">1 lists the categories applied in the model for each of these stratification criteria. </w:t>
      </w:r>
      <w:r w:rsidR="00E468B5">
        <w:t xml:space="preserve">The model assumes that </w:t>
      </w:r>
      <w:r w:rsidR="00F77D76" w:rsidRPr="00673636">
        <w:t>PWID</w:t>
      </w:r>
      <w:r w:rsidRPr="00673636">
        <w:t xml:space="preserve"> are all high-risk, MSM are all male, and only males are stratified by circumcision status</w:t>
      </w:r>
      <w:r w:rsidR="000122E6" w:rsidRPr="00673636">
        <w:t>;</w:t>
      </w:r>
      <w:r w:rsidRPr="00673636">
        <w:t xml:space="preserve"> therefore</w:t>
      </w:r>
      <w:r w:rsidR="000122E6" w:rsidRPr="00673636">
        <w:t>,</w:t>
      </w:r>
      <w:r w:rsidRPr="00673636">
        <w:t xml:space="preserve"> not all combinations of these stratifications</w:t>
      </w:r>
      <w:r w:rsidR="00F77D76" w:rsidRPr="00673636">
        <w:t xml:space="preserve"> (i.e., </w:t>
      </w:r>
      <w:r w:rsidR="003505FD" w:rsidRPr="00673636">
        <w:t xml:space="preserve">504 </w:t>
      </w:r>
      <w:r w:rsidR="00F77D76" w:rsidRPr="00673636">
        <w:t xml:space="preserve">= </w:t>
      </w:r>
      <w:r w:rsidR="003505FD" w:rsidRPr="00673636">
        <w:t>7x2x3x2x2x3</w:t>
      </w:r>
      <w:r w:rsidR="00F77D76" w:rsidRPr="00673636">
        <w:t>)</w:t>
      </w:r>
      <w:r w:rsidRPr="00673636">
        <w:t xml:space="preserve"> are represented. </w:t>
      </w:r>
      <w:r w:rsidR="001D3866" w:rsidRPr="00F01648">
        <w:t xml:space="preserve">Males are stratified by </w:t>
      </w:r>
      <w:r w:rsidR="00375635" w:rsidRPr="00F01648">
        <w:t>seven</w:t>
      </w:r>
      <w:r w:rsidR="001D3866" w:rsidRPr="00F01648">
        <w:t xml:space="preserve"> </w:t>
      </w:r>
      <w:r w:rsidR="00375635" w:rsidRPr="00F01648">
        <w:t xml:space="preserve">groups based on </w:t>
      </w:r>
      <w:r w:rsidR="001D3866" w:rsidRPr="00F01648">
        <w:t xml:space="preserve">age, </w:t>
      </w:r>
      <w:r w:rsidR="00375635" w:rsidRPr="00F01648">
        <w:t>five groups combining</w:t>
      </w:r>
      <w:r w:rsidR="001D3866" w:rsidRPr="00F01648">
        <w:t xml:space="preserve"> transmission group and risk level (MSM high-risk, MSM low-risk, HET high-risk, HET low-risk, PWID), </w:t>
      </w:r>
      <w:r w:rsidR="00375635" w:rsidRPr="00F01648">
        <w:t>two</w:t>
      </w:r>
      <w:r w:rsidR="001D3866" w:rsidRPr="00F01648">
        <w:t xml:space="preserve"> groups based on circumcision status, and </w:t>
      </w:r>
      <w:r w:rsidR="00A25CBD" w:rsidRPr="00F01648">
        <w:t>three</w:t>
      </w:r>
      <w:r w:rsidR="001D3866" w:rsidRPr="00F01648">
        <w:t xml:space="preserve"> groups based on race/ethnicity, resulting in </w:t>
      </w:r>
      <w:r w:rsidR="003505FD" w:rsidRPr="00F01648">
        <w:t>210</w:t>
      </w:r>
      <w:r w:rsidR="001D3866" w:rsidRPr="00F01648">
        <w:t xml:space="preserve"> (</w:t>
      </w:r>
      <w:r w:rsidR="003505FD" w:rsidRPr="00F01648">
        <w:t>7</w:t>
      </w:r>
      <w:r w:rsidR="001D3866" w:rsidRPr="00F01648">
        <w:t xml:space="preserve">x5x2x3) male subpopulations. Females are stratified by </w:t>
      </w:r>
      <w:r w:rsidR="00375635" w:rsidRPr="00F01648">
        <w:t>seven groups based on</w:t>
      </w:r>
      <w:r w:rsidR="00673636" w:rsidRPr="00F01648">
        <w:t xml:space="preserve"> age</w:t>
      </w:r>
      <w:r w:rsidR="001D3866" w:rsidRPr="00F01648">
        <w:t xml:space="preserve">, </w:t>
      </w:r>
      <w:r w:rsidR="00375635" w:rsidRPr="00F01648">
        <w:t xml:space="preserve">three groups combining </w:t>
      </w:r>
      <w:r w:rsidR="001D3866" w:rsidRPr="00F01648">
        <w:t xml:space="preserve">transmission and risk level (HET high-risk, HET low-risk, and PWID), and three groups based on race/ethnicity, resulting in </w:t>
      </w:r>
      <w:r w:rsidR="003505FD" w:rsidRPr="00F01648">
        <w:t>63</w:t>
      </w:r>
      <w:r w:rsidR="001D3866" w:rsidRPr="00F01648">
        <w:t xml:space="preserve"> (</w:t>
      </w:r>
      <w:r w:rsidR="003505FD" w:rsidRPr="00F01648">
        <w:t>7</w:t>
      </w:r>
      <w:r w:rsidR="001D3866" w:rsidRPr="00F01648">
        <w:t xml:space="preserve">x3x3) female subpopulations. Accounting for both males and females, there are </w:t>
      </w:r>
      <w:r w:rsidR="003505FD" w:rsidRPr="00F01648">
        <w:t>273</w:t>
      </w:r>
      <w:r w:rsidR="001D3866" w:rsidRPr="00F01648">
        <w:t xml:space="preserve"> (</w:t>
      </w:r>
      <w:r w:rsidR="00EA7B46" w:rsidRPr="00F01648">
        <w:t>210</w:t>
      </w:r>
      <w:r w:rsidR="001D3866" w:rsidRPr="00F01648">
        <w:t>+</w:t>
      </w:r>
      <w:r w:rsidR="00EA7B46" w:rsidRPr="00F01648">
        <w:t>63</w:t>
      </w:r>
      <w:r w:rsidR="001D3866" w:rsidRPr="00F01648">
        <w:t xml:space="preserve">) subpopulations </w:t>
      </w:r>
      <w:r w:rsidR="001D3866" w:rsidRPr="00F01648">
        <w:rPr>
          <w:i/>
          <w:iCs/>
        </w:rPr>
        <w:t>p</w:t>
      </w:r>
      <w:r w:rsidR="001D3866" w:rsidRPr="00F01648">
        <w:t xml:space="preserve"> (</w:t>
      </w:r>
      <w:r w:rsidR="001D3866" w:rsidRPr="00F01648">
        <w:rPr>
          <w:i/>
          <w:iCs/>
        </w:rPr>
        <w:t>p</w:t>
      </w:r>
      <w:r w:rsidR="001D3866" w:rsidRPr="00F01648">
        <w:t xml:space="preserve"> =1, …, </w:t>
      </w:r>
      <w:r w:rsidR="00EA7B46" w:rsidRPr="00F01648">
        <w:t>273</w:t>
      </w:r>
      <w:r w:rsidR="001D3866" w:rsidRPr="00F01648">
        <w:t>).</w:t>
      </w:r>
    </w:p>
    <w:p w14:paraId="2C394A34" w14:textId="44ED9DDB" w:rsidR="00382287" w:rsidRPr="00C00335" w:rsidRDefault="00382287" w:rsidP="00157D0F">
      <w:pPr>
        <w:pStyle w:val="TableTitle"/>
      </w:pPr>
      <w:bookmarkStart w:id="10" w:name="_Toc89257582"/>
      <w:r w:rsidRPr="00C00335">
        <w:t xml:space="preserve">Table </w:t>
      </w:r>
      <w:r w:rsidR="00072F57" w:rsidRPr="00C00335">
        <w:t>3</w:t>
      </w:r>
      <w:r w:rsidR="00157D0F" w:rsidRPr="00C00335">
        <w:t>.</w:t>
      </w:r>
      <w:r w:rsidRPr="00C00335">
        <w:t>1.</w:t>
      </w:r>
      <w:r w:rsidRPr="00C00335">
        <w:tab/>
        <w:t>Population Stratification Criteria and Categories Applied in Each</w:t>
      </w:r>
      <w:bookmarkEnd w:id="10"/>
    </w:p>
    <w:tbl>
      <w:tblPr>
        <w:tblW w:w="5000" w:type="pct"/>
        <w:tblBorders>
          <w:top w:val="single" w:sz="12" w:space="0" w:color="000000"/>
          <w:bottom w:val="single" w:sz="12" w:space="0" w:color="000000"/>
          <w:insideH w:val="single" w:sz="2" w:space="0" w:color="DDDDDD"/>
        </w:tblBorders>
        <w:tblLayout w:type="fixed"/>
        <w:tblLook w:val="04A0" w:firstRow="1" w:lastRow="0" w:firstColumn="1" w:lastColumn="0" w:noHBand="0" w:noVBand="1"/>
      </w:tblPr>
      <w:tblGrid>
        <w:gridCol w:w="4680"/>
        <w:gridCol w:w="4680"/>
      </w:tblGrid>
      <w:tr w:rsidR="00382287" w:rsidRPr="00C00335" w14:paraId="33F6D354" w14:textId="77777777" w:rsidTr="00760069">
        <w:trPr>
          <w:tblHeader/>
        </w:trPr>
        <w:tc>
          <w:tcPr>
            <w:tcW w:w="4680" w:type="dxa"/>
            <w:tcBorders>
              <w:top w:val="single" w:sz="12" w:space="0" w:color="auto"/>
              <w:bottom w:val="single" w:sz="6" w:space="0" w:color="auto"/>
            </w:tcBorders>
            <w:shd w:val="clear" w:color="auto" w:fill="auto"/>
            <w:noWrap/>
            <w:vAlign w:val="bottom"/>
            <w:hideMark/>
          </w:tcPr>
          <w:p w14:paraId="2CE06DA1" w14:textId="77777777" w:rsidR="00382287" w:rsidRPr="00C00335" w:rsidRDefault="00382287" w:rsidP="00382287">
            <w:pPr>
              <w:pStyle w:val="TableHeaders"/>
            </w:pPr>
            <w:r w:rsidRPr="00C00335">
              <w:t>Stratification Criterion (Represented by)</w:t>
            </w:r>
          </w:p>
        </w:tc>
        <w:tc>
          <w:tcPr>
            <w:tcW w:w="4680" w:type="dxa"/>
            <w:tcBorders>
              <w:top w:val="single" w:sz="12" w:space="0" w:color="auto"/>
              <w:bottom w:val="single" w:sz="6" w:space="0" w:color="auto"/>
            </w:tcBorders>
            <w:shd w:val="clear" w:color="auto" w:fill="auto"/>
            <w:vAlign w:val="bottom"/>
            <w:hideMark/>
          </w:tcPr>
          <w:p w14:paraId="38DA90EE" w14:textId="77777777" w:rsidR="00382287" w:rsidRPr="00C00335" w:rsidRDefault="00382287" w:rsidP="00382287">
            <w:pPr>
              <w:pStyle w:val="TableHeaders"/>
            </w:pPr>
            <w:r w:rsidRPr="00C00335">
              <w:t>Categories (Represented by)</w:t>
            </w:r>
          </w:p>
        </w:tc>
      </w:tr>
      <w:tr w:rsidR="00382287" w:rsidRPr="00C00335" w14:paraId="1C727678" w14:textId="77777777" w:rsidTr="00760069">
        <w:tc>
          <w:tcPr>
            <w:tcW w:w="4680" w:type="dxa"/>
            <w:vMerge w:val="restart"/>
            <w:tcBorders>
              <w:top w:val="single" w:sz="6" w:space="0" w:color="auto"/>
              <w:bottom w:val="single" w:sz="4" w:space="0" w:color="808080" w:themeColor="background1" w:themeShade="80"/>
            </w:tcBorders>
            <w:shd w:val="clear" w:color="auto" w:fill="auto"/>
            <w:noWrap/>
            <w:hideMark/>
          </w:tcPr>
          <w:p w14:paraId="1F160154" w14:textId="77777777" w:rsidR="00382287" w:rsidRPr="00C00335" w:rsidRDefault="00382287" w:rsidP="00760069">
            <w:pPr>
              <w:pStyle w:val="TableText"/>
              <w:spacing w:before="40" w:after="40"/>
            </w:pPr>
            <w:r w:rsidRPr="00C00335">
              <w:t>Age group (</w:t>
            </w:r>
            <w:r w:rsidRPr="00C00335">
              <w:rPr>
                <w:i/>
              </w:rPr>
              <w:t>j</w:t>
            </w:r>
            <w:r w:rsidRPr="00C00335">
              <w:t>) (years)</w:t>
            </w:r>
          </w:p>
        </w:tc>
        <w:tc>
          <w:tcPr>
            <w:tcW w:w="4680" w:type="dxa"/>
            <w:tcBorders>
              <w:top w:val="single" w:sz="6" w:space="0" w:color="auto"/>
              <w:bottom w:val="single" w:sz="4" w:space="0" w:color="808080" w:themeColor="background1" w:themeShade="80"/>
            </w:tcBorders>
            <w:shd w:val="clear" w:color="auto" w:fill="auto"/>
            <w:hideMark/>
          </w:tcPr>
          <w:p w14:paraId="2A3DB5C1" w14:textId="77777777" w:rsidR="00382287" w:rsidRPr="00C00335" w:rsidRDefault="00382287" w:rsidP="00760069">
            <w:pPr>
              <w:pStyle w:val="TableText"/>
              <w:spacing w:before="40" w:after="40"/>
            </w:pPr>
            <w:r w:rsidRPr="00C00335">
              <w:t>13–17 (1)</w:t>
            </w:r>
          </w:p>
        </w:tc>
      </w:tr>
      <w:tr w:rsidR="00382287" w:rsidRPr="00C00335" w14:paraId="335F91D5"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E37ACC3"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tcPr>
          <w:p w14:paraId="68EBA681" w14:textId="77777777" w:rsidR="00382287" w:rsidRPr="00C00335" w:rsidRDefault="00382287" w:rsidP="00760069">
            <w:pPr>
              <w:pStyle w:val="TableText"/>
              <w:spacing w:before="40" w:after="40"/>
            </w:pPr>
            <w:r w:rsidRPr="00C00335">
              <w:t>18–24 (2)</w:t>
            </w:r>
          </w:p>
        </w:tc>
      </w:tr>
      <w:tr w:rsidR="00382287" w:rsidRPr="00C00335" w14:paraId="4AE3A45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746A7297"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tcPr>
          <w:p w14:paraId="32BAFF5F" w14:textId="77777777" w:rsidR="00382287" w:rsidRPr="00C00335" w:rsidRDefault="00382287" w:rsidP="00760069">
            <w:pPr>
              <w:pStyle w:val="TableText"/>
              <w:spacing w:before="40" w:after="40"/>
            </w:pPr>
            <w:r w:rsidRPr="00C00335">
              <w:t>25–34 (3)</w:t>
            </w:r>
          </w:p>
        </w:tc>
      </w:tr>
      <w:tr w:rsidR="00382287" w:rsidRPr="00C00335" w14:paraId="17247196"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1A25A795"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319AB527" w14:textId="77777777" w:rsidR="00382287" w:rsidRPr="00C00335" w:rsidRDefault="00382287" w:rsidP="00760069">
            <w:pPr>
              <w:pStyle w:val="TableText"/>
              <w:spacing w:before="40" w:after="40"/>
            </w:pPr>
            <w:r w:rsidRPr="00C00335">
              <w:t>35–44 (4)</w:t>
            </w:r>
          </w:p>
        </w:tc>
      </w:tr>
      <w:tr w:rsidR="00F027AB" w:rsidRPr="00C00335" w14:paraId="04B99C9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tcPr>
          <w:p w14:paraId="446904F3" w14:textId="77777777" w:rsidR="00F027AB" w:rsidRPr="00C00335" w:rsidRDefault="00F027AB"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tcPr>
          <w:p w14:paraId="0BEFAC82" w14:textId="18B89D4D" w:rsidR="00F027AB" w:rsidRPr="00F01648" w:rsidRDefault="00F027AB" w:rsidP="00760069">
            <w:pPr>
              <w:pStyle w:val="TableText"/>
              <w:spacing w:before="40" w:after="40"/>
            </w:pPr>
            <w:r w:rsidRPr="00F01648">
              <w:t>45</w:t>
            </w:r>
            <w:r w:rsidR="00375635" w:rsidRPr="00F01648">
              <w:t>–</w:t>
            </w:r>
            <w:r w:rsidRPr="00F01648">
              <w:t>54 (5)</w:t>
            </w:r>
          </w:p>
        </w:tc>
      </w:tr>
      <w:tr w:rsidR="00F027AB" w:rsidRPr="00C00335" w14:paraId="63539D74"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tcPr>
          <w:p w14:paraId="03A5EC8B" w14:textId="77777777" w:rsidR="00F027AB" w:rsidRPr="00C00335" w:rsidRDefault="00F027AB"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tcPr>
          <w:p w14:paraId="0F705403" w14:textId="7D776278" w:rsidR="00F027AB" w:rsidRPr="00F01648" w:rsidRDefault="00F027AB" w:rsidP="00760069">
            <w:pPr>
              <w:pStyle w:val="TableText"/>
              <w:spacing w:before="40" w:after="40"/>
            </w:pPr>
            <w:r w:rsidRPr="00F01648">
              <w:t>55</w:t>
            </w:r>
            <w:r w:rsidR="00375635" w:rsidRPr="00F01648">
              <w:t>–</w:t>
            </w:r>
            <w:r w:rsidRPr="00F01648">
              <w:t>64 (6)</w:t>
            </w:r>
          </w:p>
        </w:tc>
      </w:tr>
      <w:tr w:rsidR="00382287" w:rsidRPr="00C00335" w14:paraId="67B916E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C2647DA"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139F7786" w14:textId="51297746" w:rsidR="00382287" w:rsidRPr="00F01648" w:rsidRDefault="00F027AB" w:rsidP="00760069">
            <w:pPr>
              <w:pStyle w:val="TableText"/>
              <w:spacing w:before="40" w:after="40"/>
            </w:pPr>
            <w:r w:rsidRPr="00F01648">
              <w:t>65+</w:t>
            </w:r>
            <w:r w:rsidR="00382287" w:rsidRPr="00F01648">
              <w:t xml:space="preserve"> (</w:t>
            </w:r>
            <w:r w:rsidRPr="00F01648">
              <w:t>7</w:t>
            </w:r>
            <w:r w:rsidR="00382287" w:rsidRPr="00F01648">
              <w:t>)</w:t>
            </w:r>
          </w:p>
        </w:tc>
      </w:tr>
      <w:tr w:rsidR="00382287" w:rsidRPr="00C00335" w14:paraId="47EC40E9"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42B1C510" w14:textId="77777777" w:rsidR="00382287" w:rsidRPr="00C00335" w:rsidRDefault="00382287" w:rsidP="00760069">
            <w:pPr>
              <w:pStyle w:val="TableText"/>
              <w:spacing w:before="40" w:after="40"/>
            </w:pPr>
            <w:r w:rsidRPr="00C00335">
              <w:t>Risk level (</w:t>
            </w:r>
            <w:r w:rsidRPr="00C00335">
              <w:rPr>
                <w:i/>
              </w:rPr>
              <w:t>k</w:t>
            </w:r>
            <w:r w:rsidRPr="00C00335">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38E1C26A" w14:textId="77777777" w:rsidR="00382287" w:rsidRPr="00C00335" w:rsidRDefault="00382287" w:rsidP="00760069">
            <w:pPr>
              <w:pStyle w:val="TableText"/>
              <w:spacing w:before="40" w:after="40"/>
            </w:pPr>
            <w:r w:rsidRPr="00C00335">
              <w:t>Low (1)</w:t>
            </w:r>
          </w:p>
        </w:tc>
      </w:tr>
      <w:tr w:rsidR="00382287" w:rsidRPr="00C00335" w14:paraId="10A2FFE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4D8313C5"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389A4056" w14:textId="77777777" w:rsidR="00382287" w:rsidRPr="00C00335" w:rsidRDefault="00382287" w:rsidP="00760069">
            <w:pPr>
              <w:pStyle w:val="TableText"/>
              <w:spacing w:before="40" w:after="40"/>
            </w:pPr>
            <w:r w:rsidRPr="00C00335">
              <w:t>High (2)</w:t>
            </w:r>
          </w:p>
        </w:tc>
      </w:tr>
      <w:tr w:rsidR="00382287" w:rsidRPr="00C00335" w14:paraId="10B77CB8"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58411B63" w14:textId="77777777" w:rsidR="00382287" w:rsidRPr="00C00335" w:rsidRDefault="00382287" w:rsidP="00760069">
            <w:pPr>
              <w:pStyle w:val="TableText"/>
              <w:spacing w:before="40" w:after="40"/>
            </w:pPr>
            <w:r w:rsidRPr="00C00335">
              <w:t>Transmission group (</w:t>
            </w:r>
            <w:r w:rsidRPr="00C00335">
              <w:rPr>
                <w:i/>
              </w:rPr>
              <w:t>l</w:t>
            </w:r>
            <w:r w:rsidRPr="00C00335">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54C47B35" w14:textId="77777777" w:rsidR="00382287" w:rsidRPr="00C00335" w:rsidRDefault="00382287" w:rsidP="00760069">
            <w:pPr>
              <w:pStyle w:val="TableText"/>
              <w:spacing w:before="40" w:after="40"/>
            </w:pPr>
            <w:r w:rsidRPr="00C00335">
              <w:t>HET (1)</w:t>
            </w:r>
          </w:p>
        </w:tc>
      </w:tr>
      <w:tr w:rsidR="00382287" w:rsidRPr="00C00335" w14:paraId="365C552B"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A3857DD"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0E8F9BE5" w14:textId="5D05BCCF" w:rsidR="00382287" w:rsidRPr="00C00335" w:rsidRDefault="00382287" w:rsidP="00760069">
            <w:pPr>
              <w:pStyle w:val="TableText"/>
              <w:spacing w:before="40" w:after="40"/>
            </w:pPr>
            <w:r w:rsidRPr="00C00335">
              <w:t>MSM (2)</w:t>
            </w:r>
            <w:r w:rsidR="00820ABC" w:rsidRPr="00C00335">
              <w:rPr>
                <w:vertAlign w:val="superscript"/>
              </w:rPr>
              <w:t>a</w:t>
            </w:r>
          </w:p>
        </w:tc>
      </w:tr>
      <w:tr w:rsidR="00382287" w:rsidRPr="00C00335" w14:paraId="433FB9FF"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0F3C1636"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0F2CC2F4" w14:textId="23F77471" w:rsidR="00382287" w:rsidRPr="00C00335" w:rsidRDefault="00F77D76" w:rsidP="00760069">
            <w:pPr>
              <w:pStyle w:val="TableText"/>
              <w:spacing w:before="40" w:after="40"/>
            </w:pPr>
            <w:r w:rsidRPr="00C00335">
              <w:t>PWID</w:t>
            </w:r>
            <w:r w:rsidR="00382287" w:rsidRPr="00C00335">
              <w:t xml:space="preserve"> (3)</w:t>
            </w:r>
          </w:p>
        </w:tc>
      </w:tr>
      <w:tr w:rsidR="00382287" w:rsidRPr="00C00335" w14:paraId="5848272F"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7ECF3DAE" w14:textId="77777777" w:rsidR="00382287" w:rsidRPr="00C00335" w:rsidRDefault="00382287" w:rsidP="00760069">
            <w:pPr>
              <w:pStyle w:val="TableText"/>
              <w:spacing w:before="40" w:after="40"/>
            </w:pPr>
            <w:r w:rsidRPr="00C00335">
              <w:t>Sex (</w:t>
            </w:r>
            <w:r w:rsidRPr="00C00335">
              <w:rPr>
                <w:i/>
              </w:rPr>
              <w:t>m</w:t>
            </w:r>
            <w:r w:rsidRPr="00C00335">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6F7E3871" w14:textId="77777777" w:rsidR="00382287" w:rsidRPr="00C00335" w:rsidRDefault="00382287" w:rsidP="00760069">
            <w:pPr>
              <w:pStyle w:val="TableText"/>
              <w:spacing w:before="40" w:after="40"/>
            </w:pPr>
            <w:r w:rsidRPr="00C00335">
              <w:t>Male (1)</w:t>
            </w:r>
          </w:p>
        </w:tc>
      </w:tr>
      <w:tr w:rsidR="00382287" w:rsidRPr="00C00335" w14:paraId="3884BAFA"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31411B6"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13F85294" w14:textId="77777777" w:rsidR="00382287" w:rsidRPr="00C00335" w:rsidRDefault="00382287" w:rsidP="00760069">
            <w:pPr>
              <w:pStyle w:val="TableText"/>
              <w:spacing w:before="40" w:after="40"/>
            </w:pPr>
            <w:r w:rsidRPr="00C00335">
              <w:t>Female (2)</w:t>
            </w:r>
          </w:p>
        </w:tc>
      </w:tr>
      <w:tr w:rsidR="00382287" w:rsidRPr="00C00335" w14:paraId="5740CE64"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5705E009" w14:textId="77777777" w:rsidR="00382287" w:rsidRPr="00C00335" w:rsidRDefault="00382287" w:rsidP="00760069">
            <w:pPr>
              <w:pStyle w:val="TableText"/>
              <w:spacing w:before="40" w:after="40"/>
            </w:pPr>
            <w:r w:rsidRPr="00C00335">
              <w:t>Circumcision status (</w:t>
            </w:r>
            <w:r w:rsidRPr="00C00335">
              <w:rPr>
                <w:i/>
              </w:rPr>
              <w:t>n</w:t>
            </w:r>
            <w:r w:rsidRPr="00C00335">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1770A398" w14:textId="77777777" w:rsidR="00382287" w:rsidRPr="00C00335" w:rsidRDefault="00382287" w:rsidP="00760069">
            <w:pPr>
              <w:pStyle w:val="TableText"/>
              <w:spacing w:before="40" w:after="40"/>
            </w:pPr>
            <w:r w:rsidRPr="00C00335">
              <w:t>Uncircumcised (1)</w:t>
            </w:r>
          </w:p>
        </w:tc>
      </w:tr>
      <w:tr w:rsidR="00382287" w:rsidRPr="00C00335" w14:paraId="5225C1BC"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6C3AB9CD"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23F6E7C2" w14:textId="77777777" w:rsidR="00382287" w:rsidRPr="00C00335" w:rsidRDefault="00382287" w:rsidP="00760069">
            <w:pPr>
              <w:pStyle w:val="TableText"/>
              <w:spacing w:before="40" w:after="40"/>
            </w:pPr>
            <w:r w:rsidRPr="00C00335">
              <w:t>Circumcised (2)</w:t>
            </w:r>
          </w:p>
        </w:tc>
      </w:tr>
      <w:tr w:rsidR="00382287" w:rsidRPr="00C00335" w14:paraId="0F0A7DCA" w14:textId="77777777" w:rsidTr="00760069">
        <w:tc>
          <w:tcPr>
            <w:tcW w:w="468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0D863559" w14:textId="77777777" w:rsidR="00382287" w:rsidRPr="00C00335" w:rsidRDefault="00382287" w:rsidP="00760069">
            <w:pPr>
              <w:pStyle w:val="TableText"/>
              <w:spacing w:before="40" w:after="40"/>
            </w:pPr>
            <w:r w:rsidRPr="00C00335">
              <w:t>Race</w:t>
            </w:r>
            <w:r w:rsidR="00D4774B" w:rsidRPr="00C00335">
              <w:t>/ethnicity</w:t>
            </w:r>
            <w:r w:rsidRPr="00C00335">
              <w:t xml:space="preserve"> (</w:t>
            </w:r>
            <w:r w:rsidRPr="00C00335">
              <w:rPr>
                <w:i/>
              </w:rPr>
              <w:t>o</w:t>
            </w:r>
            <w:r w:rsidRPr="00C00335">
              <w:t>)</w:t>
            </w: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70B947F5" w14:textId="77777777" w:rsidR="00382287" w:rsidRPr="00C00335" w:rsidRDefault="00382287" w:rsidP="00760069">
            <w:pPr>
              <w:pStyle w:val="TableText"/>
              <w:spacing w:before="40" w:after="40"/>
            </w:pPr>
            <w:r w:rsidRPr="00C00335">
              <w:t>Black (1)</w:t>
            </w:r>
          </w:p>
        </w:tc>
      </w:tr>
      <w:tr w:rsidR="00382287" w:rsidRPr="00C00335" w14:paraId="6233B2AC" w14:textId="77777777" w:rsidTr="00760069">
        <w:tc>
          <w:tcPr>
            <w:tcW w:w="4680" w:type="dxa"/>
            <w:vMerge/>
            <w:tcBorders>
              <w:top w:val="single" w:sz="4" w:space="0" w:color="808080" w:themeColor="background1" w:themeShade="80"/>
              <w:bottom w:val="single" w:sz="4" w:space="0" w:color="808080" w:themeColor="background1" w:themeShade="80"/>
            </w:tcBorders>
            <w:shd w:val="clear" w:color="auto" w:fill="auto"/>
            <w:noWrap/>
            <w:hideMark/>
          </w:tcPr>
          <w:p w14:paraId="2088648F"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4" w:space="0" w:color="808080" w:themeColor="background1" w:themeShade="80"/>
            </w:tcBorders>
            <w:shd w:val="clear" w:color="auto" w:fill="auto"/>
            <w:noWrap/>
            <w:hideMark/>
          </w:tcPr>
          <w:p w14:paraId="2B8681F1" w14:textId="77777777" w:rsidR="00382287" w:rsidRPr="00C00335" w:rsidRDefault="00382287" w:rsidP="00760069">
            <w:pPr>
              <w:pStyle w:val="TableText"/>
              <w:spacing w:before="40" w:after="40"/>
            </w:pPr>
            <w:r w:rsidRPr="00C00335">
              <w:t>Hispanic</w:t>
            </w:r>
            <w:r w:rsidR="001A72D1" w:rsidRPr="00C00335">
              <w:t>/Latino</w:t>
            </w:r>
            <w:r w:rsidRPr="00C00335">
              <w:t xml:space="preserve"> (2)</w:t>
            </w:r>
          </w:p>
        </w:tc>
      </w:tr>
      <w:tr w:rsidR="00382287" w:rsidRPr="00C00335" w14:paraId="31658662" w14:textId="77777777" w:rsidTr="00760069">
        <w:tc>
          <w:tcPr>
            <w:tcW w:w="4680" w:type="dxa"/>
            <w:vMerge/>
            <w:tcBorders>
              <w:top w:val="single" w:sz="4" w:space="0" w:color="808080" w:themeColor="background1" w:themeShade="80"/>
              <w:bottom w:val="single" w:sz="12" w:space="0" w:color="000000"/>
            </w:tcBorders>
            <w:shd w:val="clear" w:color="auto" w:fill="auto"/>
            <w:noWrap/>
            <w:hideMark/>
          </w:tcPr>
          <w:p w14:paraId="745A4C32" w14:textId="77777777" w:rsidR="00382287" w:rsidRPr="00C00335" w:rsidRDefault="00382287" w:rsidP="00760069">
            <w:pPr>
              <w:pStyle w:val="TableText"/>
              <w:spacing w:before="40" w:after="40"/>
            </w:pPr>
          </w:p>
        </w:tc>
        <w:tc>
          <w:tcPr>
            <w:tcW w:w="4680" w:type="dxa"/>
            <w:tcBorders>
              <w:top w:val="single" w:sz="4" w:space="0" w:color="808080" w:themeColor="background1" w:themeShade="80"/>
              <w:bottom w:val="single" w:sz="12" w:space="0" w:color="000000"/>
            </w:tcBorders>
            <w:shd w:val="clear" w:color="auto" w:fill="auto"/>
            <w:noWrap/>
            <w:hideMark/>
          </w:tcPr>
          <w:p w14:paraId="472A0097" w14:textId="3ED19FAE" w:rsidR="00382287" w:rsidRPr="00C00335" w:rsidRDefault="00896735" w:rsidP="00760069">
            <w:pPr>
              <w:pStyle w:val="TableText"/>
              <w:spacing w:before="40" w:after="40"/>
            </w:pPr>
            <w:r>
              <w:t>White/other</w:t>
            </w:r>
            <w:r w:rsidR="00382287" w:rsidRPr="00C00335">
              <w:t xml:space="preserve"> (3)</w:t>
            </w:r>
          </w:p>
        </w:tc>
      </w:tr>
    </w:tbl>
    <w:p w14:paraId="54BAEDE1" w14:textId="31CAC1B4" w:rsidR="000122E6" w:rsidRPr="00C00335" w:rsidRDefault="000122E6" w:rsidP="00A60EFF">
      <w:pPr>
        <w:pStyle w:val="Source2"/>
      </w:pPr>
      <w:r w:rsidRPr="00C00335">
        <w:t>Note: HET</w:t>
      </w:r>
      <w:r w:rsidR="00E628BE" w:rsidRPr="00C00335">
        <w:t> = </w:t>
      </w:r>
      <w:r w:rsidRPr="00C00335">
        <w:t>heterosexual; MSM</w:t>
      </w:r>
      <w:r w:rsidR="00E628BE" w:rsidRPr="00C00335">
        <w:t> = </w:t>
      </w:r>
      <w:r w:rsidRPr="00C00335">
        <w:t>men who have sex with men; PWID</w:t>
      </w:r>
      <w:r w:rsidR="00E628BE" w:rsidRPr="00C00335">
        <w:t> = </w:t>
      </w:r>
      <w:r w:rsidRPr="00C00335">
        <w:t>people who inject drugs</w:t>
      </w:r>
    </w:p>
    <w:p w14:paraId="3F63D15D" w14:textId="27AAD4ED" w:rsidR="004F4E6D" w:rsidRPr="00C00335" w:rsidRDefault="00820ABC" w:rsidP="00A60EFF">
      <w:pPr>
        <w:pStyle w:val="Source1"/>
      </w:pPr>
      <w:proofErr w:type="spellStart"/>
      <w:r w:rsidRPr="00C00335">
        <w:rPr>
          <w:vertAlign w:val="superscript"/>
        </w:rPr>
        <w:lastRenderedPageBreak/>
        <w:t>a</w:t>
      </w:r>
      <w:proofErr w:type="spellEnd"/>
      <w:r w:rsidRPr="00C00335">
        <w:t xml:space="preserve"> The MSM population is meant to capture all men who </w:t>
      </w:r>
      <w:r w:rsidR="006F4845" w:rsidRPr="00C00335">
        <w:t xml:space="preserve">have </w:t>
      </w:r>
      <w:r w:rsidRPr="00C00335">
        <w:t>sex with men, not just those who self-identify as MSM.</w:t>
      </w:r>
    </w:p>
    <w:p w14:paraId="41CDD393" w14:textId="21B01499" w:rsidR="00382287" w:rsidRPr="00C00335" w:rsidRDefault="00382287" w:rsidP="0046162D">
      <w:pPr>
        <w:pStyle w:val="BodyText"/>
      </w:pPr>
      <w:r w:rsidRPr="00C00335">
        <w:t xml:space="preserve">The </w:t>
      </w:r>
      <w:r w:rsidRPr="000C15F8">
        <w:t xml:space="preserve">model’s </w:t>
      </w:r>
      <w:r w:rsidR="003505FD" w:rsidRPr="000C15F8">
        <w:t xml:space="preserve">27 </w:t>
      </w:r>
      <w:r w:rsidRPr="000C15F8">
        <w:t xml:space="preserve">compartments (defined by </w:t>
      </w:r>
      <w:r w:rsidRPr="000C15F8">
        <w:rPr>
          <w:i/>
          <w:iCs/>
        </w:rPr>
        <w:t>c</w:t>
      </w:r>
      <w:r w:rsidRPr="000C15F8">
        <w:t xml:space="preserve">) included </w:t>
      </w:r>
      <w:r w:rsidR="004F759E" w:rsidRPr="000C15F8">
        <w:t>2</w:t>
      </w:r>
      <w:r w:rsidR="00C2679D" w:rsidRPr="000C15F8">
        <w:t>5</w:t>
      </w:r>
      <w:r w:rsidRPr="000C15F8">
        <w:t xml:space="preserve"> main compartments</w:t>
      </w:r>
      <w:r w:rsidRPr="00C00335">
        <w:t xml:space="preserve"> for individuals actively moving through the model and </w:t>
      </w:r>
      <w:r w:rsidR="003505FD">
        <w:t>2</w:t>
      </w:r>
      <w:r w:rsidR="003505FD" w:rsidRPr="00C00335">
        <w:t xml:space="preserve"> </w:t>
      </w:r>
      <w:r w:rsidRPr="00C00335">
        <w:t xml:space="preserve">compartments for individuals who were no longer actively followed in the model due to death </w:t>
      </w:r>
      <w:r w:rsidR="003505FD">
        <w:t xml:space="preserve">due to AIDS or </w:t>
      </w:r>
      <w:r w:rsidRPr="00C00335">
        <w:t xml:space="preserve">causes other than AIDS. The </w:t>
      </w:r>
      <w:r w:rsidR="00DC4946" w:rsidRPr="00C00335">
        <w:t xml:space="preserve">25 </w:t>
      </w:r>
      <w:r w:rsidRPr="00C00335">
        <w:t>former compartments were defined by disease stage (</w:t>
      </w:r>
      <w:r w:rsidRPr="00C00335">
        <w:rPr>
          <w:i/>
          <w:iCs/>
        </w:rPr>
        <w:t>h</w:t>
      </w:r>
      <w:r w:rsidRPr="00C00335">
        <w:t>)</w:t>
      </w:r>
      <w:r w:rsidR="00A47682">
        <w:t>;</w:t>
      </w:r>
      <w:r w:rsidR="0092616F">
        <w:t xml:space="preserve"> </w:t>
      </w:r>
      <w:r w:rsidRPr="00C00335">
        <w:t>continuum-of-care stage (</w:t>
      </w:r>
      <w:r w:rsidRPr="00C00335">
        <w:rPr>
          <w:i/>
          <w:iCs/>
        </w:rPr>
        <w:t>r</w:t>
      </w:r>
      <w:r w:rsidRPr="00C00335">
        <w:t>)</w:t>
      </w:r>
      <w:r w:rsidR="00A47682">
        <w:t>;</w:t>
      </w:r>
      <w:r w:rsidR="0092616F">
        <w:t xml:space="preserve"> and</w:t>
      </w:r>
      <w:r w:rsidR="009203F5">
        <w:t>,</w:t>
      </w:r>
      <w:r w:rsidR="0092616F">
        <w:t xml:space="preserve"> for susceptible individuals, </w:t>
      </w:r>
      <w:r w:rsidR="0092616F" w:rsidRPr="00C00335">
        <w:t>pre-exposure prophylaxis (</w:t>
      </w:r>
      <w:proofErr w:type="spellStart"/>
      <w:r w:rsidR="0092616F" w:rsidRPr="00C00335">
        <w:t>PrEP</w:t>
      </w:r>
      <w:proofErr w:type="spellEnd"/>
      <w:r w:rsidR="0092616F" w:rsidRPr="00C00335">
        <w:t>)</w:t>
      </w:r>
      <w:r w:rsidR="0092616F">
        <w:t xml:space="preserve"> status</w:t>
      </w:r>
      <w:r w:rsidRPr="00C00335">
        <w:t>.</w:t>
      </w:r>
    </w:p>
    <w:p w14:paraId="6ED6124A" w14:textId="3977BE9D" w:rsidR="0020439A" w:rsidRPr="00C00335" w:rsidRDefault="00F82809" w:rsidP="00F82809">
      <w:pPr>
        <w:pStyle w:val="BodyText"/>
      </w:pPr>
      <w:r w:rsidRPr="00C00335">
        <w:t xml:space="preserve">Figure 3.1 displays how the model’s compartments are applied in the model; each compartment is labeled in that figure with its corresponding number </w:t>
      </w:r>
      <w:r w:rsidRPr="00C00335">
        <w:rPr>
          <w:i/>
          <w:iCs/>
        </w:rPr>
        <w:t>c</w:t>
      </w:r>
      <w:r w:rsidR="00A76183" w:rsidRPr="00C00335">
        <w:t>. They are defined by HIV stage</w:t>
      </w:r>
      <w:r w:rsidR="00A61F71">
        <w:t xml:space="preserve">, </w:t>
      </w:r>
      <w:r w:rsidR="00627CC7" w:rsidRPr="00C00335">
        <w:t xml:space="preserve">HIV </w:t>
      </w:r>
      <w:r w:rsidR="00A76183" w:rsidRPr="00C00335">
        <w:t>continuum-of-care</w:t>
      </w:r>
      <w:r w:rsidR="001E0A32" w:rsidRPr="00C00335">
        <w:t xml:space="preserve"> </w:t>
      </w:r>
      <w:r w:rsidR="00A76183" w:rsidRPr="00C00335">
        <w:t>status</w:t>
      </w:r>
      <w:r w:rsidR="00A61F71">
        <w:t xml:space="preserve">, and </w:t>
      </w:r>
      <w:proofErr w:type="spellStart"/>
      <w:r w:rsidR="00A61F71">
        <w:t>PrEP</w:t>
      </w:r>
      <w:proofErr w:type="spellEnd"/>
      <w:r w:rsidR="00A61F71">
        <w:t xml:space="preserve"> status</w:t>
      </w:r>
      <w:r w:rsidR="00A76183" w:rsidRPr="00C00335">
        <w:t>.</w:t>
      </w:r>
      <w:r w:rsidR="000F420A" w:rsidRPr="00C00335">
        <w:t xml:space="preserve"> </w:t>
      </w:r>
      <w:r w:rsidR="00A76183" w:rsidRPr="00C00335">
        <w:t>Individuals enter the population as susceptible</w:t>
      </w:r>
      <w:r w:rsidR="00113C3E" w:rsidRPr="00C00335">
        <w:t xml:space="preserve"> and not on </w:t>
      </w:r>
      <w:proofErr w:type="spellStart"/>
      <w:r w:rsidR="00113C3E" w:rsidRPr="00C00335">
        <w:t>PrEP</w:t>
      </w:r>
      <w:proofErr w:type="spellEnd"/>
      <w:r w:rsidR="00A76183" w:rsidRPr="00C00335">
        <w:t xml:space="preserve"> </w:t>
      </w:r>
      <w:r w:rsidRPr="00C00335">
        <w:t>(</w:t>
      </w:r>
      <w:r w:rsidRPr="00C00335">
        <w:rPr>
          <w:i/>
          <w:iCs/>
        </w:rPr>
        <w:t>c</w:t>
      </w:r>
      <w:r w:rsidRPr="00C00335">
        <w:t xml:space="preserve"> = 1)</w:t>
      </w:r>
      <w:r w:rsidR="00A76183" w:rsidRPr="00C00335">
        <w:t>. They may die</w:t>
      </w:r>
      <w:r w:rsidR="000A312E" w:rsidRPr="00C00335">
        <w:t xml:space="preserve"> or age out of the population</w:t>
      </w:r>
      <w:r w:rsidR="00A76183" w:rsidRPr="00C00335">
        <w:t xml:space="preserve"> from any of the</w:t>
      </w:r>
      <w:r w:rsidR="000A312E" w:rsidRPr="00C00335">
        <w:t xml:space="preserve"> main</w:t>
      </w:r>
      <w:r w:rsidR="00A76183" w:rsidRPr="00C00335">
        <w:t xml:space="preserve"> compartments.</w:t>
      </w:r>
    </w:p>
    <w:p w14:paraId="2283B690" w14:textId="41D870B1" w:rsidR="008804EA" w:rsidRPr="00C00335" w:rsidRDefault="00A61F71" w:rsidP="008804EA">
      <w:pPr>
        <w:pStyle w:val="BodyText"/>
        <w:keepNext/>
      </w:pPr>
      <w:r>
        <w:t>S</w:t>
      </w:r>
      <w:r w:rsidR="008804EA" w:rsidRPr="00C00335">
        <w:t>ix disease stages (</w:t>
      </w:r>
      <w:r w:rsidR="008804EA" w:rsidRPr="00C00335">
        <w:rPr>
          <w:i/>
          <w:iCs/>
        </w:rPr>
        <w:t>h</w:t>
      </w:r>
      <w:r w:rsidR="00E628BE" w:rsidRPr="00C00335">
        <w:t> = </w:t>
      </w:r>
      <w:r w:rsidR="008804EA" w:rsidRPr="00C00335">
        <w:t>0, …, 5) were defined by the presence of HIV infection and, if infected, HIV progression:</w:t>
      </w:r>
    </w:p>
    <w:p w14:paraId="31FF754D" w14:textId="77777777" w:rsidR="008804EA" w:rsidRPr="00C00335" w:rsidRDefault="008804EA" w:rsidP="002B1372">
      <w:pPr>
        <w:pStyle w:val="bullets"/>
      </w:pPr>
      <w:r w:rsidRPr="00C00335">
        <w:rPr>
          <w:i/>
          <w:iCs/>
        </w:rPr>
        <w:t>h</w:t>
      </w:r>
      <w:r w:rsidRPr="00C00335">
        <w:t> = 0: Susceptible</w:t>
      </w:r>
    </w:p>
    <w:p w14:paraId="3043CD49" w14:textId="69916B82" w:rsidR="008804EA" w:rsidRPr="00C00335" w:rsidRDefault="008804EA" w:rsidP="002B1372">
      <w:pPr>
        <w:pStyle w:val="bullets"/>
      </w:pPr>
      <w:r w:rsidRPr="00C00335">
        <w:rPr>
          <w:i/>
          <w:iCs/>
        </w:rPr>
        <w:t>h</w:t>
      </w:r>
      <w:r w:rsidRPr="00C00335">
        <w:t> = 1: Acute HIV infection</w:t>
      </w:r>
      <w:r w:rsidR="00885CC4" w:rsidRPr="00C00335">
        <w:t xml:space="preserve"> (“</w:t>
      </w:r>
      <w:r w:rsidR="005F5DDA" w:rsidRPr="00C00335">
        <w:t>A</w:t>
      </w:r>
      <w:r w:rsidR="00885CC4" w:rsidRPr="00C00335">
        <w:t>cute” hereafter)</w:t>
      </w:r>
    </w:p>
    <w:p w14:paraId="342739D8" w14:textId="3F9E55B2" w:rsidR="008804EA" w:rsidRPr="00C00335" w:rsidRDefault="008804EA" w:rsidP="002B1372">
      <w:pPr>
        <w:pStyle w:val="bullets"/>
      </w:pPr>
      <w:r w:rsidRPr="00C00335">
        <w:rPr>
          <w:i/>
          <w:iCs/>
        </w:rPr>
        <w:t>h</w:t>
      </w:r>
      <w:r w:rsidRPr="00C00335">
        <w:t> = 2: HIV infection with CD4 count greater than 500 cells/mm</w:t>
      </w:r>
      <w:r w:rsidRPr="00C00335">
        <w:rPr>
          <w:vertAlign w:val="superscript"/>
        </w:rPr>
        <w:t>3</w:t>
      </w:r>
      <w:r w:rsidRPr="00C00335">
        <w:t xml:space="preserve"> (but not acute)</w:t>
      </w:r>
      <w:r w:rsidR="00885CC4" w:rsidRPr="00C00335">
        <w:t xml:space="preserve"> (“CD4&gt;500” hereafter)</w:t>
      </w:r>
    </w:p>
    <w:p w14:paraId="5FE2E284" w14:textId="384A5E70" w:rsidR="008804EA" w:rsidRPr="00C00335" w:rsidRDefault="008804EA" w:rsidP="002B1372">
      <w:pPr>
        <w:pStyle w:val="bullets"/>
      </w:pPr>
      <w:r w:rsidRPr="00C00335">
        <w:rPr>
          <w:i/>
          <w:iCs/>
        </w:rPr>
        <w:t>h</w:t>
      </w:r>
      <w:r w:rsidRPr="00C00335">
        <w:t> = 3: HIV infection with CD4 count between 350 cells/mm</w:t>
      </w:r>
      <w:r w:rsidRPr="00C00335">
        <w:rPr>
          <w:vertAlign w:val="superscript"/>
        </w:rPr>
        <w:t xml:space="preserve">3 </w:t>
      </w:r>
      <w:r w:rsidRPr="00C00335">
        <w:t>and 500 cells/mm</w:t>
      </w:r>
      <w:r w:rsidRPr="00C00335">
        <w:rPr>
          <w:vertAlign w:val="superscript"/>
        </w:rPr>
        <w:t>3</w:t>
      </w:r>
      <w:r w:rsidR="00885CC4" w:rsidRPr="00C00335">
        <w:rPr>
          <w:vertAlign w:val="superscript"/>
        </w:rPr>
        <w:t xml:space="preserve"> </w:t>
      </w:r>
      <w:r w:rsidR="00885CC4" w:rsidRPr="00C00335">
        <w:t>(“CD4 350-500” hereafter)</w:t>
      </w:r>
    </w:p>
    <w:p w14:paraId="1E18D3FF" w14:textId="1815C130" w:rsidR="008804EA" w:rsidRPr="00C00335" w:rsidRDefault="008804EA" w:rsidP="002B1372">
      <w:pPr>
        <w:pStyle w:val="bullets"/>
      </w:pPr>
      <w:r w:rsidRPr="00C00335">
        <w:rPr>
          <w:i/>
          <w:iCs/>
        </w:rPr>
        <w:t>h</w:t>
      </w:r>
      <w:r w:rsidRPr="00C00335">
        <w:t> = 4: HIV infection with CD4 count between 200 cells/mm</w:t>
      </w:r>
      <w:r w:rsidRPr="00C00335">
        <w:rPr>
          <w:vertAlign w:val="superscript"/>
        </w:rPr>
        <w:t xml:space="preserve">3 </w:t>
      </w:r>
      <w:r w:rsidRPr="00C00335">
        <w:t>and 350 cells/mm</w:t>
      </w:r>
      <w:r w:rsidRPr="00C00335">
        <w:rPr>
          <w:vertAlign w:val="superscript"/>
        </w:rPr>
        <w:t>3</w:t>
      </w:r>
      <w:r w:rsidR="00885CC4" w:rsidRPr="00C00335">
        <w:rPr>
          <w:vertAlign w:val="superscript"/>
        </w:rPr>
        <w:t xml:space="preserve"> </w:t>
      </w:r>
      <w:r w:rsidR="00885CC4" w:rsidRPr="00C00335">
        <w:t>(“CD4 200-350” hereafter)</w:t>
      </w:r>
    </w:p>
    <w:p w14:paraId="3989A2A5" w14:textId="4AAC1355" w:rsidR="008804EA" w:rsidRPr="00C00335" w:rsidRDefault="008804EA" w:rsidP="002B1372">
      <w:pPr>
        <w:pStyle w:val="bullets"/>
      </w:pPr>
      <w:r w:rsidRPr="00C00335">
        <w:rPr>
          <w:i/>
          <w:iCs/>
        </w:rPr>
        <w:t>h</w:t>
      </w:r>
      <w:r w:rsidRPr="00C00335">
        <w:t> = 5: AIDS with CD4 less than 200 cells/mm</w:t>
      </w:r>
      <w:r w:rsidRPr="00C00335">
        <w:rPr>
          <w:vertAlign w:val="superscript"/>
        </w:rPr>
        <w:t>3</w:t>
      </w:r>
      <w:r w:rsidR="00885CC4" w:rsidRPr="00C00335">
        <w:rPr>
          <w:vertAlign w:val="superscript"/>
        </w:rPr>
        <w:t xml:space="preserve"> </w:t>
      </w:r>
      <w:r w:rsidR="00885CC4" w:rsidRPr="00C00335">
        <w:t>(“CD4&lt;200”)</w:t>
      </w:r>
    </w:p>
    <w:p w14:paraId="703178F1" w14:textId="67465628" w:rsidR="008804EA" w:rsidRPr="00C00335" w:rsidRDefault="00B61ECD" w:rsidP="008804EA">
      <w:pPr>
        <w:pStyle w:val="BodyText"/>
      </w:pPr>
      <w:r w:rsidRPr="00C00335">
        <w:t>Five</w:t>
      </w:r>
      <w:r w:rsidR="008804EA" w:rsidRPr="00C00335">
        <w:t xml:space="preserve"> continuum-of-care stages (</w:t>
      </w:r>
      <w:r w:rsidR="008804EA" w:rsidRPr="00C00335">
        <w:rPr>
          <w:i/>
          <w:iCs/>
        </w:rPr>
        <w:t>r</w:t>
      </w:r>
      <w:r w:rsidR="008804EA" w:rsidRPr="00C00335">
        <w:t> = 1,</w:t>
      </w:r>
      <w:r w:rsidR="00225D32" w:rsidRPr="00C00335">
        <w:t xml:space="preserve"> </w:t>
      </w:r>
      <w:r w:rsidR="008804EA" w:rsidRPr="00C00335">
        <w:t xml:space="preserve">…, </w:t>
      </w:r>
      <w:r w:rsidR="00B05D78" w:rsidRPr="00C00335">
        <w:t>5</w:t>
      </w:r>
      <w:r w:rsidR="008804EA" w:rsidRPr="00C00335">
        <w:t>) were defined by infection status, awareness of infection, linkage to HIV care, status based on effects of treatment with ART, and VLS status:</w:t>
      </w:r>
    </w:p>
    <w:p w14:paraId="34F9B00F" w14:textId="77758BB8" w:rsidR="008804EA" w:rsidRPr="00C00335" w:rsidRDefault="008804EA" w:rsidP="002B1372">
      <w:pPr>
        <w:pStyle w:val="bullets"/>
      </w:pPr>
      <w:r w:rsidRPr="00C00335">
        <w:rPr>
          <w:i/>
          <w:iCs/>
        </w:rPr>
        <w:t>r</w:t>
      </w:r>
      <w:r w:rsidRPr="00C00335">
        <w:t> = 1: Susceptible or, if infected, unaware of infection</w:t>
      </w:r>
      <w:r w:rsidR="00781CDC" w:rsidRPr="00C00335">
        <w:t xml:space="preserve"> (“</w:t>
      </w:r>
      <w:r w:rsidR="005F5DDA" w:rsidRPr="00C00335">
        <w:t>U</w:t>
      </w:r>
      <w:r w:rsidR="00885CC4" w:rsidRPr="00C00335">
        <w:t>naware</w:t>
      </w:r>
      <w:r w:rsidR="00781CDC" w:rsidRPr="00C00335">
        <w:t>” hereafter)</w:t>
      </w:r>
    </w:p>
    <w:p w14:paraId="69E408B0" w14:textId="3B3367A0" w:rsidR="008804EA" w:rsidRPr="00C00335" w:rsidRDefault="008804EA" w:rsidP="002B1372">
      <w:pPr>
        <w:pStyle w:val="bullets"/>
      </w:pPr>
      <w:r w:rsidRPr="00C00335">
        <w:rPr>
          <w:i/>
          <w:iCs/>
        </w:rPr>
        <w:t>r</w:t>
      </w:r>
      <w:r w:rsidRPr="00C00335">
        <w:t xml:space="preserve"> = 2: Aware of infection, but not linked to HIV care </w:t>
      </w:r>
      <w:r w:rsidR="00781CDC" w:rsidRPr="00C00335">
        <w:t>(“</w:t>
      </w:r>
      <w:r w:rsidR="005F5DDA" w:rsidRPr="00C00335">
        <w:t>A</w:t>
      </w:r>
      <w:r w:rsidR="00781CDC" w:rsidRPr="00C00335">
        <w:t>ware”</w:t>
      </w:r>
      <w:r w:rsidR="00885CC4" w:rsidRPr="00C00335">
        <w:t xml:space="preserve"> </w:t>
      </w:r>
      <w:r w:rsidR="00781CDC" w:rsidRPr="00C00335">
        <w:t>hereafter)</w:t>
      </w:r>
    </w:p>
    <w:p w14:paraId="6C2E2E96" w14:textId="2282CA68" w:rsidR="008804EA" w:rsidRPr="00C00335" w:rsidRDefault="008804EA" w:rsidP="002B1372">
      <w:pPr>
        <w:pStyle w:val="bullets"/>
      </w:pPr>
      <w:r w:rsidRPr="00C00335">
        <w:rPr>
          <w:i/>
          <w:iCs/>
        </w:rPr>
        <w:t>r</w:t>
      </w:r>
      <w:r w:rsidRPr="00C00335">
        <w:t xml:space="preserve"> = 3: Linked to HIV care, but </w:t>
      </w:r>
      <w:r w:rsidR="00156CB0" w:rsidRPr="00C00335">
        <w:t xml:space="preserve">not </w:t>
      </w:r>
      <w:r w:rsidR="00DC18BA" w:rsidRPr="00C00335">
        <w:t xml:space="preserve">prescribed </w:t>
      </w:r>
      <w:r w:rsidR="00156CB0" w:rsidRPr="00C00335">
        <w:t>ART</w:t>
      </w:r>
      <w:r w:rsidR="00781CDC" w:rsidRPr="00C00335">
        <w:t xml:space="preserve"> (“L</w:t>
      </w:r>
      <w:r w:rsidR="005F5DDA" w:rsidRPr="00C00335">
        <w:t xml:space="preserve">inked to </w:t>
      </w:r>
      <w:r w:rsidR="009E34D9" w:rsidRPr="00C00335">
        <w:t xml:space="preserve">HIV </w:t>
      </w:r>
      <w:r w:rsidR="005F5DDA" w:rsidRPr="00C00335">
        <w:t>care</w:t>
      </w:r>
      <w:r w:rsidR="00781CDC" w:rsidRPr="00C00335">
        <w:t>”</w:t>
      </w:r>
      <w:r w:rsidR="005F5DDA" w:rsidRPr="00C00335">
        <w:t xml:space="preserve"> or “LTC”</w:t>
      </w:r>
      <w:r w:rsidR="00781CDC" w:rsidRPr="00C00335">
        <w:t xml:space="preserve"> hereafter)</w:t>
      </w:r>
    </w:p>
    <w:p w14:paraId="42BE2ADA" w14:textId="53EBA12E" w:rsidR="008804EA" w:rsidRPr="00C00335" w:rsidRDefault="008804EA" w:rsidP="002B1372">
      <w:pPr>
        <w:pStyle w:val="bullets"/>
      </w:pPr>
      <w:r w:rsidRPr="00C00335">
        <w:rPr>
          <w:i/>
          <w:iCs/>
        </w:rPr>
        <w:t>r</w:t>
      </w:r>
      <w:r w:rsidRPr="00C00335">
        <w:t xml:space="preserve"> = 4: </w:t>
      </w:r>
      <w:r w:rsidR="00DC18BA" w:rsidRPr="00C00335">
        <w:t xml:space="preserve">Prescribed </w:t>
      </w:r>
      <w:r w:rsidR="00156CB0" w:rsidRPr="00C00335">
        <w:t>ART</w:t>
      </w:r>
      <w:r w:rsidRPr="00C00335">
        <w:t>, but not VLS</w:t>
      </w:r>
      <w:r w:rsidR="00781CDC" w:rsidRPr="00C00335">
        <w:t xml:space="preserve"> (</w:t>
      </w:r>
      <w:r w:rsidR="005F5DDA" w:rsidRPr="00C00335">
        <w:t xml:space="preserve">“ART-not-VLS” or </w:t>
      </w:r>
      <w:r w:rsidR="00781CDC" w:rsidRPr="00C00335">
        <w:t>“ANV”</w:t>
      </w:r>
      <w:r w:rsidR="00885CC4" w:rsidRPr="00C00335">
        <w:t xml:space="preserve"> </w:t>
      </w:r>
      <w:r w:rsidR="00781CDC" w:rsidRPr="00C00335">
        <w:t>hereafter)</w:t>
      </w:r>
    </w:p>
    <w:p w14:paraId="147EB880" w14:textId="0A34B662" w:rsidR="008804EA" w:rsidRPr="00C00335" w:rsidRDefault="008804EA" w:rsidP="002B1372">
      <w:pPr>
        <w:pStyle w:val="bullets"/>
      </w:pPr>
      <w:r w:rsidRPr="00C00335">
        <w:rPr>
          <w:i/>
        </w:rPr>
        <w:t>r</w:t>
      </w:r>
      <w:r w:rsidR="00E628BE" w:rsidRPr="00C00335">
        <w:t> = </w:t>
      </w:r>
      <w:r w:rsidRPr="00C00335">
        <w:t xml:space="preserve">5: VLS (in care and </w:t>
      </w:r>
      <w:r w:rsidR="000965E6" w:rsidRPr="00C00335">
        <w:t>prescribed ART</w:t>
      </w:r>
      <w:r w:rsidRPr="00C00335">
        <w:t>)</w:t>
      </w:r>
      <w:r w:rsidR="00781CDC" w:rsidRPr="00C00335">
        <w:t xml:space="preserve"> (“VLS” hereafter)</w:t>
      </w:r>
    </w:p>
    <w:p w14:paraId="2484207D" w14:textId="5BD8E26D" w:rsidR="008804EA" w:rsidRPr="00C00335" w:rsidRDefault="008804EA" w:rsidP="00885CC4">
      <w:pPr>
        <w:pStyle w:val="BodyText"/>
        <w:spacing w:before="240"/>
      </w:pPr>
      <w:r w:rsidRPr="00C00335">
        <w:t>For the acute disease stage (</w:t>
      </w:r>
      <w:r w:rsidRPr="00C00335">
        <w:rPr>
          <w:i/>
        </w:rPr>
        <w:t>h</w:t>
      </w:r>
      <w:r w:rsidR="00E628BE" w:rsidRPr="00C00335">
        <w:t> = </w:t>
      </w:r>
      <w:r w:rsidRPr="00C00335">
        <w:t xml:space="preserve">1), compartments were defined by only the first three continuum-of-care stages: susceptible, aware, and </w:t>
      </w:r>
      <w:r w:rsidR="00885CC4" w:rsidRPr="00C00335">
        <w:t>LTC</w:t>
      </w:r>
      <w:r w:rsidRPr="00C00335">
        <w:t xml:space="preserve"> (</w:t>
      </w:r>
      <w:r w:rsidRPr="00C00335">
        <w:rPr>
          <w:i/>
        </w:rPr>
        <w:t>r</w:t>
      </w:r>
      <w:r w:rsidR="00E628BE" w:rsidRPr="00C00335">
        <w:t> = </w:t>
      </w:r>
      <w:r w:rsidRPr="00C00335">
        <w:t xml:space="preserve">1, 2, 3). For each of the four </w:t>
      </w:r>
      <w:r w:rsidRPr="00C00335">
        <w:lastRenderedPageBreak/>
        <w:t>disease stages for individuals with chronic HIV (</w:t>
      </w:r>
      <w:r w:rsidRPr="00C00335">
        <w:rPr>
          <w:i/>
          <w:iCs/>
        </w:rPr>
        <w:t>h</w:t>
      </w:r>
      <w:r w:rsidR="00E628BE" w:rsidRPr="00C00335">
        <w:t> = </w:t>
      </w:r>
      <w:r w:rsidRPr="00C00335">
        <w:t>2, 3, 4, 5), compartments were defined by all continuum-of-care stages for infected individuals (</w:t>
      </w:r>
      <w:r w:rsidRPr="00C00335">
        <w:rPr>
          <w:i/>
          <w:iCs/>
        </w:rPr>
        <w:t>r</w:t>
      </w:r>
      <w:r w:rsidR="00E628BE" w:rsidRPr="00C00335">
        <w:t> = </w:t>
      </w:r>
      <w:r w:rsidRPr="00C00335">
        <w:t xml:space="preserve">1, 2, 3, 4, 5). </w:t>
      </w:r>
      <w:r w:rsidR="00885CC4" w:rsidRPr="00C00335">
        <w:t>Susceptible i</w:t>
      </w:r>
      <w:r w:rsidRPr="00C00335">
        <w:t>ndividuals (</w:t>
      </w:r>
      <w:r w:rsidRPr="00C00335">
        <w:rPr>
          <w:i/>
          <w:iCs/>
        </w:rPr>
        <w:t>h</w:t>
      </w:r>
      <w:r w:rsidR="00E628BE" w:rsidRPr="00C00335">
        <w:t> = </w:t>
      </w:r>
      <w:r w:rsidRPr="00C00335">
        <w:t xml:space="preserve">0) also were categorized by </w:t>
      </w:r>
      <w:proofErr w:type="spellStart"/>
      <w:r w:rsidRPr="00C00335">
        <w:t>PrEP</w:t>
      </w:r>
      <w:proofErr w:type="spellEnd"/>
      <w:r w:rsidRPr="00C00335">
        <w:t xml:space="preserve"> status (</w:t>
      </w:r>
      <w:r w:rsidR="00D504E5" w:rsidRPr="00C00335">
        <w:rPr>
          <w:i/>
          <w:iCs/>
        </w:rPr>
        <w:t>c</w:t>
      </w:r>
      <w:r w:rsidR="00E628BE" w:rsidRPr="00C00335">
        <w:t> = </w:t>
      </w:r>
      <w:r w:rsidRPr="00C00335">
        <w:t xml:space="preserve">1 </w:t>
      </w:r>
      <w:r w:rsidR="00D504E5" w:rsidRPr="00C00335">
        <w:t>and c = 2</w:t>
      </w:r>
      <w:r w:rsidRPr="00C00335">
        <w:t>).</w:t>
      </w:r>
    </w:p>
    <w:p w14:paraId="4EC97B15" w14:textId="38FDAF35" w:rsidR="008804EA" w:rsidRPr="00C00335" w:rsidRDefault="00A60EFF" w:rsidP="00157D0F">
      <w:pPr>
        <w:pStyle w:val="BodyText"/>
      </w:pPr>
      <w:r w:rsidRPr="00C00335">
        <w:t xml:space="preserve">The population represented in the model at any given time was distributed among the </w:t>
      </w:r>
      <w:r w:rsidRPr="00F01648">
        <w:t>25</w:t>
      </w:r>
      <w:r w:rsidRPr="00C00335">
        <w:t xml:space="preserve"> main compartments. Individuals in the population were defined by the compartment they occupied, as well as by other demographic and behavioral factors. We let </w:t>
      </w:r>
      <w:r w:rsidRPr="00C00335">
        <w:rPr>
          <w:position w:val="-10"/>
        </w:rPr>
        <w:object w:dxaOrig="540" w:dyaOrig="400" w14:anchorId="10E42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5pt" o:ole="">
            <v:imagedata r:id="rId27" o:title=""/>
          </v:shape>
          <o:OLEObject Type="Embed" ProgID="Equation.3" ShapeID="_x0000_i1025" DrawAspect="Content" ObjectID="_1700043727" r:id="rId28"/>
        </w:object>
      </w:r>
      <w:r w:rsidRPr="00C00335">
        <w:t xml:space="preserve"> equal the number of individuals in subpopulation </w:t>
      </w:r>
      <w:r w:rsidRPr="00C00335">
        <w:rPr>
          <w:i/>
          <w:iCs/>
        </w:rPr>
        <w:t>p</w:t>
      </w:r>
      <w:r w:rsidRPr="00C00335">
        <w:t xml:space="preserve"> in compartment </w:t>
      </w:r>
      <w:proofErr w:type="spellStart"/>
      <w:r w:rsidRPr="00C00335">
        <w:rPr>
          <w:i/>
          <w:iCs/>
        </w:rPr>
        <w:t xml:space="preserve">c </w:t>
      </w:r>
      <w:r w:rsidRPr="00C00335">
        <w:t>at</w:t>
      </w:r>
      <w:proofErr w:type="spellEnd"/>
      <w:r w:rsidRPr="00C00335">
        <w:t xml:space="preserve"> time </w:t>
      </w:r>
      <w:r w:rsidRPr="00C00335">
        <w:rPr>
          <w:i/>
          <w:iCs/>
        </w:rPr>
        <w:t>t</w:t>
      </w:r>
      <w:r w:rsidRPr="00C00335">
        <w:t>. Appendix Table A.1 lists and defines all symbols used in this document.</w:t>
      </w:r>
    </w:p>
    <w:p w14:paraId="28DCFBCD" w14:textId="77777777" w:rsidR="008804EA" w:rsidRPr="00C00335" w:rsidRDefault="008804EA" w:rsidP="00157D0F">
      <w:pPr>
        <w:pStyle w:val="BodyText"/>
        <w:sectPr w:rsidR="008804EA" w:rsidRPr="00C00335" w:rsidSect="00722C33">
          <w:headerReference w:type="default" r:id="rId29"/>
          <w:type w:val="oddPage"/>
          <w:pgSz w:w="12240" w:h="15840" w:code="1"/>
          <w:pgMar w:top="1440" w:right="1440" w:bottom="1440" w:left="1440" w:header="720" w:footer="720" w:gutter="0"/>
          <w:pgNumType w:start="1" w:chapStyle="1"/>
          <w:cols w:space="720"/>
          <w:titlePg/>
          <w:docGrid w:linePitch="360"/>
        </w:sectPr>
      </w:pPr>
    </w:p>
    <w:p w14:paraId="53B60933" w14:textId="2A73488A" w:rsidR="00EE7C4C" w:rsidRPr="00C00335" w:rsidRDefault="00EE7C4C" w:rsidP="00260D8A">
      <w:pPr>
        <w:pStyle w:val="FigureTitle"/>
        <w:ind w:left="1530"/>
      </w:pPr>
      <w:bookmarkStart w:id="11" w:name="_Toc89257580"/>
      <w:r w:rsidRPr="00C00335">
        <w:lastRenderedPageBreak/>
        <w:t>Figure 3</w:t>
      </w:r>
      <w:r w:rsidR="00157D0F" w:rsidRPr="00C00335">
        <w:t>.</w:t>
      </w:r>
      <w:r w:rsidRPr="00C00335">
        <w:t>1.</w:t>
      </w:r>
      <w:r w:rsidRPr="00C00335">
        <w:tab/>
      </w:r>
      <w:r w:rsidRPr="000C15F8">
        <w:t xml:space="preserve">Model Flow Diagram between Compartments due to </w:t>
      </w:r>
      <w:r w:rsidR="00113C3E" w:rsidRPr="000C15F8">
        <w:t xml:space="preserve">HIV Infection, </w:t>
      </w:r>
      <w:r w:rsidRPr="000C15F8">
        <w:t xml:space="preserve">Progression along the </w:t>
      </w:r>
      <w:r w:rsidR="003F2DC6" w:rsidRPr="000C15F8">
        <w:t xml:space="preserve">Care </w:t>
      </w:r>
      <w:r w:rsidR="006E0C2B" w:rsidRPr="000C15F8">
        <w:t>C</w:t>
      </w:r>
      <w:r w:rsidR="003F2DC6" w:rsidRPr="000C15F8">
        <w:t>ontinuum</w:t>
      </w:r>
      <w:r w:rsidR="00627CC7" w:rsidRPr="000C15F8">
        <w:t xml:space="preserve">, </w:t>
      </w:r>
      <w:r w:rsidRPr="000C15F8">
        <w:t>Progression of HIV</w:t>
      </w:r>
      <w:r w:rsidR="00627CC7" w:rsidRPr="000C15F8">
        <w:t xml:space="preserve">, </w:t>
      </w:r>
      <w:r w:rsidR="00EC2122" w:rsidRPr="000C15F8">
        <w:t xml:space="preserve">and </w:t>
      </w:r>
      <w:r w:rsidR="00627CC7" w:rsidRPr="000C15F8">
        <w:t>Death</w:t>
      </w:r>
      <w:bookmarkEnd w:id="11"/>
    </w:p>
    <w:p w14:paraId="098BBBBA" w14:textId="23B2A0EA" w:rsidR="003E57B8" w:rsidRPr="00C00335" w:rsidRDefault="003505FD" w:rsidP="008804EA">
      <w:pPr>
        <w:pStyle w:val="figurewbox"/>
      </w:pPr>
      <w:r w:rsidRPr="003505FD">
        <w:rPr>
          <w:noProof/>
        </w:rPr>
        <w:t xml:space="preserve"> </w:t>
      </w:r>
      <w:r>
        <w:rPr>
          <w:noProof/>
        </w:rPr>
        <w:drawing>
          <wp:inline distT="0" distB="0" distL="0" distR="0" wp14:anchorId="381C94B3" wp14:editId="7FCBB71A">
            <wp:extent cx="7981950" cy="443072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988099" cy="4434134"/>
                    </a:xfrm>
                    <a:prstGeom prst="rect">
                      <a:avLst/>
                    </a:prstGeom>
                  </pic:spPr>
                </pic:pic>
              </a:graphicData>
            </a:graphic>
          </wp:inline>
        </w:drawing>
      </w:r>
      <w:r w:rsidR="00D96458" w:rsidRPr="00C00335">
        <w:rPr>
          <w:noProof/>
        </w:rPr>
        <w:t xml:space="preserve"> </w:t>
      </w:r>
    </w:p>
    <w:p w14:paraId="500AEB4D" w14:textId="000EB63B" w:rsidR="006471F0" w:rsidRPr="00C00335" w:rsidRDefault="00457A9C" w:rsidP="006471F0">
      <w:pPr>
        <w:pStyle w:val="Source1"/>
        <w:ind w:left="0" w:firstLine="0"/>
      </w:pPr>
      <w:r w:rsidRPr="00C00335">
        <w:t xml:space="preserve">Note: </w:t>
      </w:r>
      <w:r w:rsidR="001B058D" w:rsidRPr="00C00335">
        <w:t>ART</w:t>
      </w:r>
      <w:r w:rsidR="00E628BE" w:rsidRPr="00C00335">
        <w:t> = </w:t>
      </w:r>
      <w:r w:rsidR="001B058D" w:rsidRPr="00C00335">
        <w:t>antiretroviral therapy</w:t>
      </w:r>
      <w:r w:rsidR="00D84ABB" w:rsidRPr="00C00335">
        <w:t xml:space="preserve">; </w:t>
      </w:r>
      <w:r w:rsidR="00642D3A" w:rsidRPr="00C00335">
        <w:t>LTC</w:t>
      </w:r>
      <w:r w:rsidR="00E628BE" w:rsidRPr="00C00335">
        <w:t> = </w:t>
      </w:r>
      <w:r w:rsidR="00642D3A" w:rsidRPr="00C00335">
        <w:t xml:space="preserve">linked to HIV care; </w:t>
      </w:r>
      <w:proofErr w:type="spellStart"/>
      <w:r w:rsidR="00113C3E" w:rsidRPr="00C00335">
        <w:t>PrEP</w:t>
      </w:r>
      <w:proofErr w:type="spellEnd"/>
      <w:r w:rsidR="00E628BE" w:rsidRPr="00C00335">
        <w:t> = </w:t>
      </w:r>
      <w:r w:rsidR="00113C3E" w:rsidRPr="00C00335">
        <w:t xml:space="preserve">pre-exposure prophylaxis; </w:t>
      </w:r>
      <w:r w:rsidR="00D84ABB" w:rsidRPr="00C00335">
        <w:t>VLS</w:t>
      </w:r>
      <w:r w:rsidR="00E628BE" w:rsidRPr="00C00335">
        <w:t> = </w:t>
      </w:r>
      <w:r w:rsidR="00D84ABB" w:rsidRPr="00C00335">
        <w:t>viral load suppression</w:t>
      </w:r>
      <w:r w:rsidR="00225D32" w:rsidRPr="00C00335">
        <w:t>.</w:t>
      </w:r>
    </w:p>
    <w:p w14:paraId="7A1B8ADC" w14:textId="77777777" w:rsidR="00CA2896" w:rsidRPr="00C00335" w:rsidRDefault="00CA2896" w:rsidP="006471F0">
      <w:pPr>
        <w:pStyle w:val="Source1"/>
        <w:ind w:left="0" w:firstLine="0"/>
        <w:sectPr w:rsidR="00CA2896" w:rsidRPr="00C00335" w:rsidSect="006524BC">
          <w:headerReference w:type="even" r:id="rId31"/>
          <w:headerReference w:type="default" r:id="rId32"/>
          <w:footerReference w:type="even" r:id="rId33"/>
          <w:footerReference w:type="default" r:id="rId34"/>
          <w:type w:val="evenPage"/>
          <w:pgSz w:w="15840" w:h="12240" w:orient="landscape" w:code="1"/>
          <w:pgMar w:top="1440" w:right="1440" w:bottom="1440" w:left="1440" w:header="720" w:footer="720" w:gutter="0"/>
          <w:pgNumType w:chapStyle="1"/>
          <w:cols w:space="720"/>
          <w:docGrid w:linePitch="360"/>
        </w:sectPr>
      </w:pPr>
    </w:p>
    <w:p w14:paraId="7FF9BC52" w14:textId="77777777" w:rsidR="0087433D" w:rsidRPr="00C00335" w:rsidRDefault="00382287" w:rsidP="00382287">
      <w:pPr>
        <w:pStyle w:val="Heading1"/>
      </w:pPr>
      <w:bookmarkStart w:id="12" w:name="_Toc398293111"/>
      <w:bookmarkStart w:id="13" w:name="_Toc89257532"/>
      <w:r w:rsidRPr="00C00335">
        <w:lastRenderedPageBreak/>
        <w:t>Initial Population</w:t>
      </w:r>
      <w:bookmarkEnd w:id="12"/>
      <w:bookmarkEnd w:id="13"/>
    </w:p>
    <w:p w14:paraId="20A751D3" w14:textId="2BC62E59" w:rsidR="008804EA" w:rsidRPr="00C00335" w:rsidRDefault="00382287" w:rsidP="00072F57">
      <w:pPr>
        <w:pStyle w:val="BodyText"/>
      </w:pPr>
      <w:r w:rsidRPr="00C00335">
        <w:t xml:space="preserve">The model was initiated so that the observed population was distributed among the model’s </w:t>
      </w:r>
      <w:r w:rsidRPr="00F01648">
        <w:t>2</w:t>
      </w:r>
      <w:r w:rsidR="003B7EE1" w:rsidRPr="00F01648">
        <w:t>5</w:t>
      </w:r>
      <w:r w:rsidRPr="00C00335">
        <w:t xml:space="preserve"> main compartments and was characterized to match the total and HIV-infected population in </w:t>
      </w:r>
      <w:r w:rsidRPr="00E832D1">
        <w:t>the United States in 20</w:t>
      </w:r>
      <w:r w:rsidR="00F01648" w:rsidRPr="00E832D1">
        <w:t>10</w:t>
      </w:r>
      <w:r w:rsidRPr="00E832D1">
        <w:t xml:space="preserve">. The size of the population was set to capture sexually active individuals in the U.S. population; </w:t>
      </w:r>
      <w:r w:rsidR="00E409A7" w:rsidRPr="00E832D1">
        <w:t>it is flexibly programmed to either</w:t>
      </w:r>
      <w:r w:rsidRPr="00E832D1">
        <w:t xml:space="preserve"> include</w:t>
      </w:r>
      <w:r w:rsidR="003505FD" w:rsidRPr="00E832D1">
        <w:t xml:space="preserve"> or exclude</w:t>
      </w:r>
      <w:r w:rsidRPr="00E832D1">
        <w:t xml:space="preserve"> ages 13 to </w:t>
      </w:r>
      <w:r w:rsidR="003505FD" w:rsidRPr="00E832D1">
        <w:t>17</w:t>
      </w:r>
      <w:r w:rsidR="00E409A7" w:rsidRPr="00E832D1">
        <w:t xml:space="preserve"> based on user settings</w:t>
      </w:r>
      <w:r w:rsidRPr="00E832D1">
        <w:t xml:space="preserve">. The </w:t>
      </w:r>
      <w:r w:rsidR="00E409A7" w:rsidRPr="00E832D1">
        <w:t xml:space="preserve">size of and </w:t>
      </w:r>
      <w:r w:rsidRPr="00E832D1">
        <w:t>distribution among demographic subpopulations</w:t>
      </w:r>
      <w:r w:rsidR="00E409A7" w:rsidRPr="00E832D1">
        <w:t xml:space="preserve"> were</w:t>
      </w:r>
      <w:r w:rsidRPr="00E832D1">
        <w:t xml:space="preserve"> determined by </w:t>
      </w:r>
      <w:r w:rsidR="006934C5" w:rsidRPr="00E832D1">
        <w:t xml:space="preserve">a set of </w:t>
      </w:r>
      <w:r w:rsidRPr="00E832D1">
        <w:t>parameters</w:t>
      </w:r>
      <w:r w:rsidR="00E409A7" w:rsidRPr="00E832D1">
        <w:t xml:space="preserve"> listed</w:t>
      </w:r>
      <w:r w:rsidR="00072F57" w:rsidRPr="00E832D1">
        <w:t xml:space="preserve"> in </w:t>
      </w:r>
      <w:r w:rsidR="00871E69" w:rsidRPr="00E832D1">
        <w:t>Tables </w:t>
      </w:r>
      <w:r w:rsidR="00F36478" w:rsidRPr="00E832D1">
        <w:t>4</w:t>
      </w:r>
      <w:r w:rsidR="00157D0F" w:rsidRPr="00E832D1">
        <w:t>.</w:t>
      </w:r>
      <w:r w:rsidRPr="00E832D1">
        <w:t xml:space="preserve">1 through </w:t>
      </w:r>
      <w:r w:rsidR="00F36478" w:rsidRPr="00E832D1">
        <w:t>4</w:t>
      </w:r>
      <w:r w:rsidR="00157D0F" w:rsidRPr="00E832D1">
        <w:t>.</w:t>
      </w:r>
      <w:r w:rsidR="00E32D85" w:rsidRPr="00E832D1">
        <w:t>6</w:t>
      </w:r>
      <w:r w:rsidR="00072F57" w:rsidRPr="00E832D1">
        <w:t>.</w:t>
      </w:r>
    </w:p>
    <w:p w14:paraId="4E0EBED3" w14:textId="77777777" w:rsidR="00382287" w:rsidRPr="00C00335" w:rsidRDefault="00382287" w:rsidP="00382287">
      <w:pPr>
        <w:pStyle w:val="paragraph"/>
        <w:sectPr w:rsidR="00382287" w:rsidRPr="00C00335" w:rsidSect="006524BC">
          <w:headerReference w:type="default" r:id="rId35"/>
          <w:endnotePr>
            <w:numFmt w:val="decimal"/>
          </w:endnotePr>
          <w:type w:val="oddPage"/>
          <w:pgSz w:w="12240" w:h="15840" w:code="1"/>
          <w:pgMar w:top="1440" w:right="1440" w:bottom="1440" w:left="1440" w:header="720" w:footer="720" w:gutter="0"/>
          <w:pgNumType w:start="1" w:chapStyle="1"/>
          <w:cols w:space="720"/>
          <w:titlePg/>
          <w:docGrid w:linePitch="360"/>
        </w:sectPr>
      </w:pPr>
    </w:p>
    <w:p w14:paraId="26BB8BD5" w14:textId="067515C1" w:rsidR="00382287" w:rsidRPr="00E832D1" w:rsidRDefault="004F4E6D" w:rsidP="00260D8A">
      <w:pPr>
        <w:pStyle w:val="TableTitle"/>
        <w:spacing w:before="0"/>
        <w:ind w:left="1530"/>
      </w:pPr>
      <w:bookmarkStart w:id="14" w:name="_Toc89257583"/>
      <w:r w:rsidRPr="00B63FD1">
        <w:lastRenderedPageBreak/>
        <w:t>Table 4.</w:t>
      </w:r>
      <w:r w:rsidR="00382287" w:rsidRPr="00B63FD1">
        <w:t>1</w:t>
      </w:r>
      <w:r w:rsidR="005F3906" w:rsidRPr="00B63FD1">
        <w:t>.</w:t>
      </w:r>
      <w:r w:rsidR="005F3906" w:rsidRPr="00B63FD1">
        <w:tab/>
      </w:r>
      <w:r w:rsidR="00382287" w:rsidRPr="00B63FD1">
        <w:t xml:space="preserve">Percentage </w:t>
      </w:r>
      <w:r w:rsidR="00B63FD1">
        <w:t xml:space="preserve">of Population </w:t>
      </w:r>
      <w:r w:rsidR="00B63FD1" w:rsidRPr="00B63FD1">
        <w:t xml:space="preserve">High Risk </w:t>
      </w:r>
      <w:r w:rsidR="00B63FD1">
        <w:t xml:space="preserve">among </w:t>
      </w:r>
      <w:r w:rsidR="00E829D1" w:rsidRPr="00B63FD1">
        <w:t xml:space="preserve">HET, </w:t>
      </w:r>
      <w:r w:rsidR="00F77D76" w:rsidRPr="00B63FD1">
        <w:t>PWID</w:t>
      </w:r>
      <w:r w:rsidR="00E829D1" w:rsidRPr="00B63FD1">
        <w:t>,</w:t>
      </w:r>
      <w:r w:rsidR="00382287" w:rsidRPr="00B63FD1">
        <w:t xml:space="preserve"> and MSM</w:t>
      </w:r>
      <w:r w:rsidR="00B63FD1">
        <w:t>;</w:t>
      </w:r>
      <w:r w:rsidR="00382287" w:rsidRPr="00B63FD1">
        <w:t xml:space="preserve"> Initial Population Size, HIV Prevalence of High- Versus Low-Risk Levels, and Percentage High Risk</w:t>
      </w:r>
      <w:r w:rsidR="00517A85" w:rsidRPr="00B63FD1">
        <w:t xml:space="preserve"> in </w:t>
      </w:r>
      <w:r w:rsidR="00E861A9" w:rsidRPr="00B63FD1">
        <w:t>Initial Population (2010)</w:t>
      </w:r>
      <w:bookmarkEnd w:id="14"/>
    </w:p>
    <w:tbl>
      <w:tblPr>
        <w:tblW w:w="5048" w:type="pct"/>
        <w:tblInd w:w="86" w:type="dxa"/>
        <w:tblBorders>
          <w:top w:val="single" w:sz="12" w:space="0" w:color="000000"/>
          <w:bottom w:val="single" w:sz="12" w:space="0" w:color="000000"/>
          <w:insideH w:val="single" w:sz="2" w:space="0" w:color="DDDDDD"/>
        </w:tblBorders>
        <w:tblLayout w:type="fixed"/>
        <w:tblCellMar>
          <w:left w:w="58" w:type="dxa"/>
          <w:right w:w="58" w:type="dxa"/>
        </w:tblCellMar>
        <w:tblLook w:val="04A0" w:firstRow="1" w:lastRow="0" w:firstColumn="1" w:lastColumn="0" w:noHBand="0" w:noVBand="1"/>
      </w:tblPr>
      <w:tblGrid>
        <w:gridCol w:w="1683"/>
        <w:gridCol w:w="1291"/>
        <w:gridCol w:w="40"/>
        <w:gridCol w:w="1310"/>
        <w:gridCol w:w="20"/>
        <w:gridCol w:w="1312"/>
        <w:gridCol w:w="18"/>
        <w:gridCol w:w="776"/>
        <w:gridCol w:w="615"/>
        <w:gridCol w:w="49"/>
        <w:gridCol w:w="391"/>
        <w:gridCol w:w="352"/>
        <w:gridCol w:w="597"/>
        <w:gridCol w:w="10"/>
        <w:gridCol w:w="1507"/>
        <w:gridCol w:w="1319"/>
        <w:gridCol w:w="1794"/>
      </w:tblGrid>
      <w:tr w:rsidR="00E861A9" w:rsidRPr="00705F14" w14:paraId="48E1330B" w14:textId="77777777" w:rsidTr="00B63FD1">
        <w:trPr>
          <w:tblHeader/>
        </w:trPr>
        <w:tc>
          <w:tcPr>
            <w:tcW w:w="1683" w:type="dxa"/>
            <w:vMerge w:val="restart"/>
            <w:tcBorders>
              <w:top w:val="single" w:sz="12" w:space="0" w:color="000000"/>
              <w:bottom w:val="single" w:sz="6" w:space="0" w:color="000000"/>
            </w:tcBorders>
            <w:shd w:val="clear" w:color="auto" w:fill="auto"/>
            <w:noWrap/>
            <w:vAlign w:val="bottom"/>
            <w:hideMark/>
          </w:tcPr>
          <w:p w14:paraId="51DC2401" w14:textId="77777777" w:rsidR="00E861A9" w:rsidRPr="00705F14" w:rsidRDefault="00E861A9" w:rsidP="00E861A9">
            <w:pPr>
              <w:pStyle w:val="TableHeaders"/>
              <w:spacing w:before="20" w:after="20"/>
            </w:pPr>
            <w:r w:rsidRPr="00705F14">
              <w:t>Parameter</w:t>
            </w:r>
          </w:p>
        </w:tc>
        <w:tc>
          <w:tcPr>
            <w:tcW w:w="3991" w:type="dxa"/>
            <w:gridSpan w:val="6"/>
            <w:tcBorders>
              <w:top w:val="single" w:sz="12" w:space="0" w:color="000000"/>
              <w:bottom w:val="single" w:sz="6" w:space="0" w:color="000000"/>
            </w:tcBorders>
            <w:shd w:val="clear" w:color="auto" w:fill="auto"/>
            <w:noWrap/>
            <w:vAlign w:val="bottom"/>
            <w:hideMark/>
          </w:tcPr>
          <w:p w14:paraId="055E13FB" w14:textId="77777777" w:rsidR="00E861A9" w:rsidRPr="00705F14" w:rsidRDefault="00E861A9" w:rsidP="00E861A9">
            <w:pPr>
              <w:pStyle w:val="TableHeaders"/>
              <w:spacing w:before="20" w:after="20"/>
            </w:pPr>
            <w:r w:rsidRPr="00705F14">
              <w:t>Female</w:t>
            </w:r>
          </w:p>
        </w:tc>
        <w:tc>
          <w:tcPr>
            <w:tcW w:w="4297" w:type="dxa"/>
            <w:gridSpan w:val="8"/>
            <w:tcBorders>
              <w:top w:val="single" w:sz="12" w:space="0" w:color="000000"/>
              <w:bottom w:val="single" w:sz="6" w:space="0" w:color="000000"/>
            </w:tcBorders>
            <w:shd w:val="clear" w:color="auto" w:fill="auto"/>
            <w:noWrap/>
            <w:vAlign w:val="bottom"/>
            <w:hideMark/>
          </w:tcPr>
          <w:p w14:paraId="053140F4" w14:textId="77777777" w:rsidR="00E861A9" w:rsidRPr="00705F14" w:rsidRDefault="00E861A9" w:rsidP="00E861A9">
            <w:pPr>
              <w:pStyle w:val="TableHeaders"/>
              <w:spacing w:before="20" w:after="20"/>
            </w:pPr>
            <w:r w:rsidRPr="00705F14">
              <w:t>Male</w:t>
            </w:r>
          </w:p>
        </w:tc>
        <w:tc>
          <w:tcPr>
            <w:tcW w:w="1319" w:type="dxa"/>
            <w:vMerge w:val="restart"/>
            <w:tcBorders>
              <w:top w:val="single" w:sz="12" w:space="0" w:color="000000"/>
            </w:tcBorders>
            <w:shd w:val="clear" w:color="auto" w:fill="auto"/>
            <w:vAlign w:val="bottom"/>
          </w:tcPr>
          <w:p w14:paraId="4D959008" w14:textId="77777777" w:rsidR="00E861A9" w:rsidRPr="00705F14" w:rsidRDefault="00E861A9" w:rsidP="00E861A9">
            <w:pPr>
              <w:pStyle w:val="TableHeaders"/>
              <w:spacing w:before="20" w:after="20"/>
            </w:pPr>
            <w:r w:rsidRPr="00705F14">
              <w:t>Total</w:t>
            </w:r>
          </w:p>
        </w:tc>
        <w:tc>
          <w:tcPr>
            <w:tcW w:w="1794" w:type="dxa"/>
            <w:vMerge w:val="restart"/>
            <w:tcBorders>
              <w:top w:val="single" w:sz="12" w:space="0" w:color="000000"/>
            </w:tcBorders>
            <w:shd w:val="clear" w:color="auto" w:fill="auto"/>
            <w:noWrap/>
            <w:vAlign w:val="bottom"/>
            <w:hideMark/>
          </w:tcPr>
          <w:p w14:paraId="7DC35001" w14:textId="77777777" w:rsidR="00E861A9" w:rsidRPr="00705F14" w:rsidRDefault="00E861A9" w:rsidP="00E861A9">
            <w:pPr>
              <w:pStyle w:val="TableHeaders"/>
              <w:spacing w:before="20" w:after="20"/>
            </w:pPr>
            <w:r w:rsidRPr="00705F14">
              <w:t>Source</w:t>
            </w:r>
          </w:p>
        </w:tc>
      </w:tr>
      <w:tr w:rsidR="00E861A9" w:rsidRPr="00705F14" w14:paraId="7C5B7E70" w14:textId="77777777" w:rsidTr="00B63FD1">
        <w:trPr>
          <w:tblHeader/>
        </w:trPr>
        <w:tc>
          <w:tcPr>
            <w:tcW w:w="1683" w:type="dxa"/>
            <w:vMerge/>
            <w:tcBorders>
              <w:top w:val="single" w:sz="6" w:space="0" w:color="000000"/>
              <w:bottom w:val="single" w:sz="6" w:space="0" w:color="000000"/>
            </w:tcBorders>
            <w:shd w:val="clear" w:color="auto" w:fill="auto"/>
            <w:noWrap/>
            <w:vAlign w:val="bottom"/>
            <w:hideMark/>
          </w:tcPr>
          <w:p w14:paraId="0270106E" w14:textId="77777777" w:rsidR="00E861A9" w:rsidRPr="00705F14" w:rsidRDefault="00E861A9" w:rsidP="00E861A9">
            <w:pPr>
              <w:pStyle w:val="TableHeaders"/>
              <w:spacing w:before="20" w:after="20"/>
            </w:pPr>
          </w:p>
        </w:tc>
        <w:tc>
          <w:tcPr>
            <w:tcW w:w="1331"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203300DD" w14:textId="77777777" w:rsidR="00E861A9" w:rsidRPr="00705F14" w:rsidRDefault="00E861A9" w:rsidP="00E861A9">
            <w:pPr>
              <w:pStyle w:val="TableHeaders"/>
              <w:spacing w:before="20" w:after="20"/>
            </w:pPr>
            <w:r w:rsidRPr="00705F14">
              <w:t>Black</w:t>
            </w:r>
          </w:p>
        </w:tc>
        <w:tc>
          <w:tcPr>
            <w:tcW w:w="1330"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5FB4DAE7" w14:textId="77777777" w:rsidR="00E861A9" w:rsidRPr="00705F14" w:rsidRDefault="00E861A9" w:rsidP="00E861A9">
            <w:pPr>
              <w:pStyle w:val="TableHeaders"/>
              <w:spacing w:before="20" w:after="20"/>
            </w:pPr>
            <w:r w:rsidRPr="00705F14">
              <w:t>Hispanic</w:t>
            </w:r>
          </w:p>
        </w:tc>
        <w:tc>
          <w:tcPr>
            <w:tcW w:w="1330"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383EBEBD" w14:textId="77777777" w:rsidR="00E861A9" w:rsidRPr="00705F14" w:rsidRDefault="00E861A9" w:rsidP="00E861A9">
            <w:pPr>
              <w:pStyle w:val="TableHeaders"/>
              <w:spacing w:before="20" w:after="20"/>
            </w:pPr>
            <w:r w:rsidRPr="00705F14">
              <w:t>White/other</w:t>
            </w:r>
          </w:p>
        </w:tc>
        <w:tc>
          <w:tcPr>
            <w:tcW w:w="1391"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5A2824F0" w14:textId="77777777" w:rsidR="00E861A9" w:rsidRPr="00705F14" w:rsidRDefault="00E861A9" w:rsidP="00E861A9">
            <w:pPr>
              <w:pStyle w:val="TableHeaders"/>
              <w:spacing w:before="20" w:after="20"/>
            </w:pPr>
            <w:r w:rsidRPr="00705F14">
              <w:t>Black</w:t>
            </w:r>
          </w:p>
        </w:tc>
        <w:tc>
          <w:tcPr>
            <w:tcW w:w="1389" w:type="dxa"/>
            <w:gridSpan w:val="4"/>
            <w:tcBorders>
              <w:top w:val="single" w:sz="6" w:space="0" w:color="000000"/>
              <w:bottom w:val="single" w:sz="6" w:space="0" w:color="000000"/>
            </w:tcBorders>
            <w:shd w:val="clear" w:color="auto" w:fill="auto"/>
            <w:noWrap/>
            <w:tcMar>
              <w:left w:w="29" w:type="dxa"/>
              <w:right w:w="29" w:type="dxa"/>
            </w:tcMar>
            <w:vAlign w:val="bottom"/>
            <w:hideMark/>
          </w:tcPr>
          <w:p w14:paraId="511DE194" w14:textId="77777777" w:rsidR="00E861A9" w:rsidRPr="00705F14" w:rsidRDefault="00E861A9" w:rsidP="00E861A9">
            <w:pPr>
              <w:pStyle w:val="TableHeaders"/>
              <w:spacing w:before="20" w:after="20"/>
            </w:pPr>
            <w:r w:rsidRPr="00705F14">
              <w:t>Hispanic</w:t>
            </w:r>
          </w:p>
        </w:tc>
        <w:tc>
          <w:tcPr>
            <w:tcW w:w="1517" w:type="dxa"/>
            <w:gridSpan w:val="2"/>
            <w:tcBorders>
              <w:top w:val="single" w:sz="6" w:space="0" w:color="000000"/>
              <w:bottom w:val="single" w:sz="6" w:space="0" w:color="000000"/>
            </w:tcBorders>
            <w:shd w:val="clear" w:color="auto" w:fill="auto"/>
            <w:noWrap/>
            <w:tcMar>
              <w:left w:w="29" w:type="dxa"/>
              <w:right w:w="29" w:type="dxa"/>
            </w:tcMar>
            <w:vAlign w:val="bottom"/>
            <w:hideMark/>
          </w:tcPr>
          <w:p w14:paraId="0263D52B" w14:textId="77777777" w:rsidR="00E861A9" w:rsidRPr="00705F14" w:rsidRDefault="00E861A9" w:rsidP="00E861A9">
            <w:pPr>
              <w:pStyle w:val="TableHeaders"/>
              <w:spacing w:before="20" w:after="20"/>
            </w:pPr>
            <w:r w:rsidRPr="00705F14">
              <w:t>White/other</w:t>
            </w:r>
          </w:p>
        </w:tc>
        <w:tc>
          <w:tcPr>
            <w:tcW w:w="1319" w:type="dxa"/>
            <w:vMerge/>
            <w:tcBorders>
              <w:bottom w:val="single" w:sz="6" w:space="0" w:color="000000"/>
            </w:tcBorders>
            <w:shd w:val="clear" w:color="auto" w:fill="auto"/>
          </w:tcPr>
          <w:p w14:paraId="4AF58366" w14:textId="77777777" w:rsidR="00E861A9" w:rsidRPr="00705F14" w:rsidRDefault="00E861A9" w:rsidP="00E861A9">
            <w:pPr>
              <w:pStyle w:val="TableHeaders"/>
              <w:spacing w:before="20" w:after="20"/>
            </w:pPr>
          </w:p>
        </w:tc>
        <w:tc>
          <w:tcPr>
            <w:tcW w:w="1794" w:type="dxa"/>
            <w:vMerge/>
            <w:tcBorders>
              <w:bottom w:val="single" w:sz="6" w:space="0" w:color="000000"/>
            </w:tcBorders>
            <w:shd w:val="clear" w:color="auto" w:fill="auto"/>
            <w:noWrap/>
            <w:vAlign w:val="bottom"/>
            <w:hideMark/>
          </w:tcPr>
          <w:p w14:paraId="47BEC369" w14:textId="77777777" w:rsidR="00E861A9" w:rsidRPr="00705F14" w:rsidRDefault="00E861A9" w:rsidP="00E861A9">
            <w:pPr>
              <w:pStyle w:val="TableHeaders"/>
              <w:spacing w:before="20" w:after="20"/>
            </w:pPr>
          </w:p>
        </w:tc>
      </w:tr>
      <w:tr w:rsidR="00E861A9" w:rsidRPr="00705F14" w14:paraId="55471BA3" w14:textId="77777777" w:rsidTr="00B63FD1">
        <w:tc>
          <w:tcPr>
            <w:tcW w:w="7505" w:type="dxa"/>
            <w:gridSpan w:val="11"/>
            <w:tcBorders>
              <w:top w:val="single" w:sz="4" w:space="0" w:color="808080" w:themeColor="background1" w:themeShade="80"/>
              <w:bottom w:val="single" w:sz="4" w:space="0" w:color="808080" w:themeColor="background1" w:themeShade="80"/>
            </w:tcBorders>
            <w:shd w:val="clear" w:color="auto" w:fill="auto"/>
          </w:tcPr>
          <w:p w14:paraId="5D0E9316" w14:textId="5E76AD4F"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 xml:space="preserve">Percentages of </w:t>
            </w:r>
            <w:r w:rsidR="00E829D1" w:rsidRPr="00705F14">
              <w:rPr>
                <w:rFonts w:ascii="Verdana" w:hAnsi="Verdana"/>
                <w:sz w:val="18"/>
                <w:szCs w:val="18"/>
              </w:rPr>
              <w:t xml:space="preserve">HET, </w:t>
            </w:r>
            <w:r w:rsidRPr="00705F14">
              <w:rPr>
                <w:rFonts w:ascii="Verdana" w:hAnsi="Verdana"/>
                <w:sz w:val="18"/>
                <w:szCs w:val="18"/>
              </w:rPr>
              <w:t>PWID</w:t>
            </w:r>
            <w:r w:rsidR="00E829D1" w:rsidRPr="00705F14">
              <w:rPr>
                <w:rFonts w:ascii="Verdana" w:hAnsi="Verdana"/>
                <w:sz w:val="18"/>
                <w:szCs w:val="18"/>
              </w:rPr>
              <w:t>,</w:t>
            </w:r>
            <w:r w:rsidRPr="00705F14">
              <w:rPr>
                <w:rFonts w:ascii="Verdana" w:hAnsi="Verdana"/>
                <w:sz w:val="18"/>
                <w:szCs w:val="18"/>
              </w:rPr>
              <w:t xml:space="preserve"> and MSM </w:t>
            </w:r>
            <w:r w:rsidR="00B63FD1" w:rsidRPr="00705F14">
              <w:rPr>
                <w:rFonts w:ascii="Verdana" w:hAnsi="Verdana"/>
                <w:sz w:val="18"/>
                <w:szCs w:val="18"/>
              </w:rPr>
              <w:t xml:space="preserve">who are </w:t>
            </w:r>
            <w:r w:rsidRPr="00705F14">
              <w:rPr>
                <w:rFonts w:ascii="Verdana" w:hAnsi="Verdana"/>
                <w:sz w:val="18"/>
                <w:szCs w:val="18"/>
              </w:rPr>
              <w:t xml:space="preserve">high risk </w:t>
            </w:r>
          </w:p>
        </w:tc>
        <w:tc>
          <w:tcPr>
            <w:tcW w:w="5579" w:type="dxa"/>
            <w:gridSpan w:val="6"/>
            <w:tcBorders>
              <w:top w:val="single" w:sz="4" w:space="0" w:color="808080" w:themeColor="background1" w:themeShade="80"/>
              <w:bottom w:val="single" w:sz="4" w:space="0" w:color="808080" w:themeColor="background1" w:themeShade="80"/>
            </w:tcBorders>
            <w:shd w:val="clear" w:color="auto" w:fill="auto"/>
            <w:noWrap/>
          </w:tcPr>
          <w:p w14:paraId="132D8B56" w14:textId="77777777" w:rsidR="00E861A9" w:rsidRPr="00705F14" w:rsidRDefault="00E861A9" w:rsidP="00E861A9">
            <w:pPr>
              <w:pStyle w:val="Tabletext0"/>
              <w:spacing w:before="20" w:after="20" w:line="240" w:lineRule="auto"/>
              <w:rPr>
                <w:rFonts w:ascii="Verdana" w:hAnsi="Verdana"/>
                <w:sz w:val="18"/>
                <w:szCs w:val="18"/>
              </w:rPr>
            </w:pPr>
          </w:p>
        </w:tc>
      </w:tr>
      <w:tr w:rsidR="00E829D1" w:rsidRPr="00705F14" w14:paraId="1B083290"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5996CDCD" w14:textId="465252C9" w:rsidR="00E829D1" w:rsidRPr="00705F14" w:rsidRDefault="00E829D1" w:rsidP="00E861A9">
            <w:pPr>
              <w:pStyle w:val="Tabletext0"/>
              <w:spacing w:before="20" w:after="20" w:line="240" w:lineRule="auto"/>
              <w:ind w:left="180" w:right="-98"/>
              <w:rPr>
                <w:rFonts w:ascii="Verdana" w:hAnsi="Verdana"/>
                <w:sz w:val="18"/>
                <w:szCs w:val="18"/>
              </w:rPr>
            </w:pPr>
            <w:r w:rsidRPr="00705F14">
              <w:rPr>
                <w:rFonts w:ascii="Verdana" w:hAnsi="Verdana"/>
                <w:sz w:val="18"/>
                <w:szCs w:val="18"/>
              </w:rPr>
              <w:t>HET</w:t>
            </w:r>
          </w:p>
        </w:tc>
        <w:tc>
          <w:tcPr>
            <w:tcW w:w="1291" w:type="dxa"/>
            <w:tcBorders>
              <w:top w:val="single" w:sz="4" w:space="0" w:color="808080" w:themeColor="background1" w:themeShade="80"/>
              <w:bottom w:val="single" w:sz="4" w:space="0" w:color="808080" w:themeColor="background1" w:themeShade="80"/>
            </w:tcBorders>
            <w:shd w:val="clear" w:color="auto" w:fill="auto"/>
            <w:noWrap/>
          </w:tcPr>
          <w:p w14:paraId="7676B3A8" w14:textId="4931E63A"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10.6%</w:t>
            </w:r>
          </w:p>
        </w:tc>
        <w:tc>
          <w:tcPr>
            <w:tcW w:w="1350" w:type="dxa"/>
            <w:gridSpan w:val="2"/>
            <w:tcBorders>
              <w:top w:val="single" w:sz="4" w:space="0" w:color="808080" w:themeColor="background1" w:themeShade="80"/>
              <w:bottom w:val="single" w:sz="4" w:space="0" w:color="808080" w:themeColor="background1" w:themeShade="80"/>
            </w:tcBorders>
            <w:shd w:val="clear" w:color="auto" w:fill="auto"/>
          </w:tcPr>
          <w:p w14:paraId="42D72E2A" w14:textId="635E726F"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6.6%</w:t>
            </w:r>
          </w:p>
        </w:tc>
        <w:tc>
          <w:tcPr>
            <w:tcW w:w="1350" w:type="dxa"/>
            <w:gridSpan w:val="3"/>
            <w:tcBorders>
              <w:top w:val="single" w:sz="4" w:space="0" w:color="808080" w:themeColor="background1" w:themeShade="80"/>
              <w:bottom w:val="single" w:sz="4" w:space="0" w:color="808080" w:themeColor="background1" w:themeShade="80"/>
            </w:tcBorders>
            <w:shd w:val="clear" w:color="auto" w:fill="auto"/>
          </w:tcPr>
          <w:p w14:paraId="5412DE18" w14:textId="0C24A0E3"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7.7%</w:t>
            </w:r>
          </w:p>
        </w:tc>
        <w:tc>
          <w:tcPr>
            <w:tcW w:w="1440" w:type="dxa"/>
            <w:gridSpan w:val="3"/>
            <w:tcBorders>
              <w:top w:val="single" w:sz="4" w:space="0" w:color="808080" w:themeColor="background1" w:themeShade="80"/>
              <w:bottom w:val="single" w:sz="4" w:space="0" w:color="808080" w:themeColor="background1" w:themeShade="80"/>
            </w:tcBorders>
            <w:shd w:val="clear" w:color="auto" w:fill="auto"/>
          </w:tcPr>
          <w:p w14:paraId="72DF1A94" w14:textId="4EF24C5B"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10.6%</w:t>
            </w:r>
          </w:p>
        </w:tc>
        <w:tc>
          <w:tcPr>
            <w:tcW w:w="1350" w:type="dxa"/>
            <w:gridSpan w:val="4"/>
            <w:tcBorders>
              <w:top w:val="single" w:sz="4" w:space="0" w:color="808080" w:themeColor="background1" w:themeShade="80"/>
              <w:bottom w:val="single" w:sz="4" w:space="0" w:color="808080" w:themeColor="background1" w:themeShade="80"/>
            </w:tcBorders>
            <w:shd w:val="clear" w:color="auto" w:fill="auto"/>
          </w:tcPr>
          <w:p w14:paraId="740B9420" w14:textId="6BC95249"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6.6%</w:t>
            </w:r>
          </w:p>
        </w:tc>
        <w:tc>
          <w:tcPr>
            <w:tcW w:w="1507" w:type="dxa"/>
            <w:tcBorders>
              <w:top w:val="single" w:sz="4" w:space="0" w:color="808080" w:themeColor="background1" w:themeShade="80"/>
              <w:bottom w:val="single" w:sz="4" w:space="0" w:color="808080" w:themeColor="background1" w:themeShade="80"/>
            </w:tcBorders>
            <w:shd w:val="clear" w:color="auto" w:fill="auto"/>
          </w:tcPr>
          <w:p w14:paraId="096210A3" w14:textId="234EC973" w:rsidR="00E829D1" w:rsidRPr="00705F14" w:rsidRDefault="00002FEA" w:rsidP="00B63FD1">
            <w:pPr>
              <w:pStyle w:val="Tabletext0"/>
              <w:spacing w:before="20" w:after="20" w:line="240" w:lineRule="auto"/>
              <w:jc w:val="center"/>
              <w:rPr>
                <w:rFonts w:ascii="Verdana" w:hAnsi="Verdana"/>
                <w:sz w:val="18"/>
                <w:szCs w:val="18"/>
              </w:rPr>
            </w:pPr>
            <w:r w:rsidRPr="00705F14">
              <w:rPr>
                <w:rFonts w:ascii="Verdana" w:hAnsi="Verdana"/>
                <w:sz w:val="18"/>
                <w:szCs w:val="18"/>
              </w:rPr>
              <w:t>7.7%</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1224E48E" w14:textId="77777777" w:rsidR="00E829D1" w:rsidRPr="00705F14" w:rsidRDefault="00E829D1"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tcPr>
          <w:p w14:paraId="2C60DCED" w14:textId="2052594A" w:rsidR="00E829D1" w:rsidRPr="00705F14" w:rsidRDefault="00A757CE" w:rsidP="00E861A9">
            <w:pPr>
              <w:pStyle w:val="Tabletext0"/>
              <w:spacing w:before="20" w:after="20" w:line="240" w:lineRule="auto"/>
              <w:rPr>
                <w:rFonts w:ascii="Verdana" w:hAnsi="Verdana"/>
                <w:sz w:val="18"/>
                <w:szCs w:val="18"/>
              </w:rPr>
            </w:pPr>
            <w:r w:rsidRPr="00705F14">
              <w:rPr>
                <w:rFonts w:ascii="Verdana" w:hAnsi="Verdana"/>
                <w:sz w:val="18"/>
                <w:szCs w:val="18"/>
              </w:rPr>
              <w:t xml:space="preserve">RTI unpublished analysis using NHANES 2009-2016 </w:t>
            </w:r>
            <w:proofErr w:type="spellStart"/>
            <w:r w:rsidRPr="00705F14">
              <w:rPr>
                <w:rFonts w:ascii="Verdana" w:hAnsi="Verdana"/>
                <w:sz w:val="18"/>
                <w:szCs w:val="18"/>
              </w:rPr>
              <w:t>data.</w:t>
            </w:r>
            <w:r w:rsidR="00C90FE9" w:rsidRPr="00705F14">
              <w:rPr>
                <w:rFonts w:ascii="Verdana" w:hAnsi="Verdana"/>
                <w:sz w:val="18"/>
                <w:szCs w:val="18"/>
                <w:vertAlign w:val="superscript"/>
              </w:rPr>
              <w:t>a</w:t>
            </w:r>
            <w:proofErr w:type="spellEnd"/>
          </w:p>
        </w:tc>
      </w:tr>
      <w:tr w:rsidR="00E861A9" w:rsidRPr="00705F14" w14:paraId="56BCD5F5"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23FC1B4D" w14:textId="77777777" w:rsidR="00E861A9" w:rsidRPr="00705F14" w:rsidRDefault="00E861A9" w:rsidP="00E861A9">
            <w:pPr>
              <w:pStyle w:val="Tabletext0"/>
              <w:spacing w:before="20" w:after="20" w:line="240" w:lineRule="auto"/>
              <w:ind w:left="180" w:right="-98"/>
              <w:rPr>
                <w:rFonts w:ascii="Verdana" w:hAnsi="Verdana"/>
                <w:sz w:val="18"/>
                <w:szCs w:val="18"/>
              </w:rPr>
            </w:pPr>
            <w:r w:rsidRPr="00705F14">
              <w:rPr>
                <w:rFonts w:ascii="Verdana" w:hAnsi="Verdana"/>
                <w:sz w:val="18"/>
                <w:szCs w:val="18"/>
              </w:rPr>
              <w:t>PWID</w:t>
            </w:r>
          </w:p>
        </w:tc>
        <w:tc>
          <w:tcPr>
            <w:tcW w:w="8288" w:type="dxa"/>
            <w:gridSpan w:val="14"/>
            <w:tcBorders>
              <w:top w:val="single" w:sz="4" w:space="0" w:color="808080" w:themeColor="background1" w:themeShade="80"/>
              <w:bottom w:val="single" w:sz="4" w:space="0" w:color="808080" w:themeColor="background1" w:themeShade="80"/>
            </w:tcBorders>
            <w:shd w:val="clear" w:color="auto" w:fill="auto"/>
            <w:noWrap/>
          </w:tcPr>
          <w:p w14:paraId="19B01FB5" w14:textId="77777777"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-----------------------------------------100.0%-------------------------------------------------</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14BD2837" w14:textId="755C6483" w:rsidR="00E861A9" w:rsidRPr="00705F14" w:rsidRDefault="00E861A9"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tcPr>
          <w:p w14:paraId="37BC8811" w14:textId="168D510B" w:rsidR="00E861A9" w:rsidRPr="00705F14" w:rsidRDefault="00E861A9"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Assumed</w:t>
            </w:r>
            <w:r w:rsidR="00C90FE9" w:rsidRPr="00705F14">
              <w:rPr>
                <w:rFonts w:ascii="Verdana" w:hAnsi="Verdana"/>
                <w:sz w:val="18"/>
                <w:szCs w:val="18"/>
                <w:vertAlign w:val="superscript"/>
              </w:rPr>
              <w:t>b</w:t>
            </w:r>
            <w:proofErr w:type="spellEnd"/>
          </w:p>
        </w:tc>
      </w:tr>
      <w:tr w:rsidR="00E861A9" w:rsidRPr="00705F14" w14:paraId="568152CA"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2568F36B" w14:textId="77777777" w:rsidR="00E861A9" w:rsidRPr="00705F14" w:rsidRDefault="00E861A9" w:rsidP="00E861A9">
            <w:pPr>
              <w:pStyle w:val="Tabletext0"/>
              <w:spacing w:before="20" w:after="20" w:line="240" w:lineRule="auto"/>
              <w:ind w:left="180" w:right="-98"/>
              <w:rPr>
                <w:rFonts w:ascii="Verdana" w:hAnsi="Verdana"/>
                <w:sz w:val="18"/>
                <w:szCs w:val="18"/>
              </w:rPr>
            </w:pPr>
            <w:r w:rsidRPr="00705F14">
              <w:rPr>
                <w:rFonts w:ascii="Verdana" w:hAnsi="Verdana"/>
                <w:sz w:val="18"/>
                <w:szCs w:val="18"/>
              </w:rPr>
              <w:t>MSM</w:t>
            </w:r>
          </w:p>
        </w:tc>
        <w:tc>
          <w:tcPr>
            <w:tcW w:w="8288" w:type="dxa"/>
            <w:gridSpan w:val="14"/>
            <w:tcBorders>
              <w:top w:val="single" w:sz="4" w:space="0" w:color="808080" w:themeColor="background1" w:themeShade="80"/>
              <w:bottom w:val="single" w:sz="4" w:space="0" w:color="808080" w:themeColor="background1" w:themeShade="80"/>
            </w:tcBorders>
            <w:shd w:val="clear" w:color="auto" w:fill="auto"/>
            <w:noWrap/>
          </w:tcPr>
          <w:p w14:paraId="464F1A6D" w14:textId="466AD9BA"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w:t>
            </w:r>
            <w:r w:rsidR="00002FEA" w:rsidRPr="00705F14">
              <w:rPr>
                <w:rFonts w:ascii="Verdana" w:hAnsi="Verdana"/>
                <w:sz w:val="18"/>
                <w:szCs w:val="18"/>
              </w:rPr>
              <w:t>37.3</w:t>
            </w:r>
            <w:r w:rsidRPr="00705F14">
              <w:rPr>
                <w:rFonts w:ascii="Verdana" w:hAnsi="Verdana"/>
                <w:sz w:val="18"/>
                <w:szCs w:val="18"/>
              </w:rPr>
              <w:t>%-------------------------------------------------</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63B5972B" w14:textId="7488FA82" w:rsidR="00E861A9" w:rsidRPr="00705F14" w:rsidRDefault="00E861A9"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tcPr>
          <w:p w14:paraId="48754914" w14:textId="32A92813" w:rsidR="00E861A9" w:rsidRPr="00705F14" w:rsidRDefault="005C5A36" w:rsidP="00E861A9">
            <w:pPr>
              <w:pStyle w:val="Tabletext0"/>
              <w:spacing w:before="20" w:after="20" w:line="240" w:lineRule="auto"/>
              <w:rPr>
                <w:rFonts w:ascii="Verdana" w:hAnsi="Verdana"/>
                <w:sz w:val="18"/>
                <w:szCs w:val="18"/>
              </w:rPr>
            </w:pPr>
            <w:r w:rsidRPr="00705F14">
              <w:rPr>
                <w:rFonts w:ascii="Verdana" w:hAnsi="Verdana"/>
                <w:sz w:val="18"/>
                <w:szCs w:val="18"/>
              </w:rPr>
              <w:t xml:space="preserve">RTI </w:t>
            </w:r>
            <w:r w:rsidR="00E861A9" w:rsidRPr="00705F14">
              <w:rPr>
                <w:rFonts w:ascii="Verdana" w:hAnsi="Verdana"/>
                <w:sz w:val="18"/>
                <w:szCs w:val="18"/>
              </w:rPr>
              <w:t xml:space="preserve">unpublished </w:t>
            </w:r>
            <w:r w:rsidRPr="00705F14">
              <w:rPr>
                <w:rFonts w:ascii="Verdana" w:hAnsi="Verdana"/>
                <w:sz w:val="18"/>
                <w:szCs w:val="18"/>
              </w:rPr>
              <w:t xml:space="preserve">analysis using NHANES 2009-2016 </w:t>
            </w:r>
            <w:proofErr w:type="spellStart"/>
            <w:r w:rsidR="00E861A9" w:rsidRPr="00705F14">
              <w:rPr>
                <w:rFonts w:ascii="Verdana" w:hAnsi="Verdana"/>
                <w:sz w:val="18"/>
                <w:szCs w:val="18"/>
              </w:rPr>
              <w:t>data</w:t>
            </w:r>
            <w:r w:rsidRPr="00705F14">
              <w:rPr>
                <w:rFonts w:ascii="Verdana" w:hAnsi="Verdana"/>
                <w:sz w:val="18"/>
                <w:szCs w:val="18"/>
              </w:rPr>
              <w:t>.</w:t>
            </w:r>
            <w:r w:rsidR="00C90FE9" w:rsidRPr="00705F14">
              <w:rPr>
                <w:rFonts w:ascii="Verdana" w:hAnsi="Verdana"/>
                <w:sz w:val="18"/>
                <w:szCs w:val="18"/>
                <w:vertAlign w:val="superscript"/>
              </w:rPr>
              <w:t>c</w:t>
            </w:r>
            <w:proofErr w:type="spellEnd"/>
          </w:p>
        </w:tc>
      </w:tr>
      <w:tr w:rsidR="00E861A9" w:rsidRPr="00705F14" w14:paraId="7A76DB82" w14:textId="77777777" w:rsidTr="00B63FD1">
        <w:tc>
          <w:tcPr>
            <w:tcW w:w="7857" w:type="dxa"/>
            <w:gridSpan w:val="12"/>
            <w:tcBorders>
              <w:top w:val="single" w:sz="4" w:space="0" w:color="808080" w:themeColor="background1" w:themeShade="80"/>
              <w:bottom w:val="single" w:sz="4" w:space="0" w:color="808080" w:themeColor="background1" w:themeShade="80"/>
            </w:tcBorders>
            <w:shd w:val="clear" w:color="auto" w:fill="auto"/>
          </w:tcPr>
          <w:p w14:paraId="3A51F702" w14:textId="77777777"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Percentages of PWID population that is each race/ethnicity, by sex</w:t>
            </w:r>
          </w:p>
        </w:tc>
        <w:tc>
          <w:tcPr>
            <w:tcW w:w="5227" w:type="dxa"/>
            <w:gridSpan w:val="5"/>
            <w:tcBorders>
              <w:top w:val="single" w:sz="4" w:space="0" w:color="808080" w:themeColor="background1" w:themeShade="80"/>
              <w:bottom w:val="single" w:sz="4" w:space="0" w:color="808080" w:themeColor="background1" w:themeShade="80"/>
            </w:tcBorders>
            <w:shd w:val="clear" w:color="auto" w:fill="auto"/>
            <w:noWrap/>
          </w:tcPr>
          <w:p w14:paraId="757DE994"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665DD26F"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3CCFF719" w14:textId="77777777" w:rsidR="00E861A9" w:rsidRPr="00705F14" w:rsidRDefault="00E861A9" w:rsidP="00E861A9">
            <w:pPr>
              <w:pStyle w:val="Tabletextindented"/>
              <w:spacing w:before="20" w:after="20" w:line="240" w:lineRule="auto"/>
              <w:ind w:left="360"/>
              <w:rPr>
                <w:rFonts w:ascii="Verdana" w:hAnsi="Verdana"/>
                <w:sz w:val="18"/>
                <w:szCs w:val="18"/>
              </w:rPr>
            </w:pP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11475114"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33.80%</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77FE1B51"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22.50%</w:t>
            </w: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6A6AF553"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43.7%</w:t>
            </w:r>
          </w:p>
        </w:tc>
        <w:tc>
          <w:tcPr>
            <w:tcW w:w="1409" w:type="dxa"/>
            <w:gridSpan w:val="3"/>
            <w:tcBorders>
              <w:top w:val="single" w:sz="4" w:space="0" w:color="808080" w:themeColor="background1" w:themeShade="80"/>
              <w:bottom w:val="single" w:sz="4" w:space="0" w:color="808080" w:themeColor="background1" w:themeShade="80"/>
            </w:tcBorders>
            <w:shd w:val="clear" w:color="auto" w:fill="auto"/>
            <w:noWrap/>
          </w:tcPr>
          <w:p w14:paraId="24525795" w14:textId="77777777" w:rsidR="00E861A9" w:rsidRPr="00705F14" w:rsidRDefault="00E861A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33.80%</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05F6AE39"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22.50%</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638671EF"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43.7%</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37CDC4A0" w14:textId="2170AA19" w:rsidR="00E861A9" w:rsidRPr="00705F14" w:rsidRDefault="00E861A9"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tcPr>
          <w:p w14:paraId="6BFD100E" w14:textId="77777777" w:rsidR="00E861A9" w:rsidRPr="00705F14" w:rsidRDefault="00E861A9" w:rsidP="00E861A9">
            <w:pPr>
              <w:pStyle w:val="Tabletext0"/>
              <w:spacing w:before="20" w:after="20" w:line="240" w:lineRule="auto"/>
              <w:rPr>
                <w:rFonts w:ascii="Verdana" w:hAnsi="Verdana"/>
                <w:sz w:val="18"/>
                <w:szCs w:val="18"/>
                <w:vertAlign w:val="superscript"/>
              </w:rPr>
            </w:pPr>
            <w:r w:rsidRPr="00705F14">
              <w:rPr>
                <w:rFonts w:ascii="Verdana" w:hAnsi="Verdana"/>
                <w:sz w:val="18"/>
                <w:szCs w:val="18"/>
              </w:rPr>
              <w:t>CDC unpublished analysis of NHBS 2015 IDU Cycle</w:t>
            </w:r>
          </w:p>
        </w:tc>
      </w:tr>
      <w:tr w:rsidR="00E861A9" w:rsidRPr="00705F14" w14:paraId="62E3DFFB" w14:textId="77777777" w:rsidTr="00B63FD1">
        <w:tc>
          <w:tcPr>
            <w:tcW w:w="7857" w:type="dxa"/>
            <w:gridSpan w:val="12"/>
            <w:tcBorders>
              <w:top w:val="single" w:sz="4" w:space="0" w:color="808080" w:themeColor="background1" w:themeShade="80"/>
              <w:bottom w:val="single" w:sz="4" w:space="0" w:color="808080" w:themeColor="background1" w:themeShade="80"/>
            </w:tcBorders>
            <w:shd w:val="clear" w:color="auto" w:fill="auto"/>
          </w:tcPr>
          <w:p w14:paraId="385ED526" w14:textId="1521832F"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 xml:space="preserve">Initial population size, total and by transmission group and risk </w:t>
            </w:r>
            <w:proofErr w:type="spellStart"/>
            <w:r w:rsidR="008E0803" w:rsidRPr="00705F14">
              <w:rPr>
                <w:rFonts w:ascii="Verdana" w:hAnsi="Verdana"/>
                <w:sz w:val="18"/>
                <w:szCs w:val="18"/>
              </w:rPr>
              <w:t>level</w:t>
            </w:r>
            <w:r w:rsidR="008E0803" w:rsidRPr="00705F14">
              <w:rPr>
                <w:rFonts w:ascii="Verdana" w:hAnsi="Verdana"/>
                <w:sz w:val="18"/>
                <w:szCs w:val="18"/>
                <w:vertAlign w:val="superscript"/>
              </w:rPr>
              <w:t>d</w:t>
            </w:r>
            <w:proofErr w:type="spellEnd"/>
          </w:p>
        </w:tc>
        <w:tc>
          <w:tcPr>
            <w:tcW w:w="5227" w:type="dxa"/>
            <w:gridSpan w:val="5"/>
            <w:tcBorders>
              <w:top w:val="single" w:sz="4" w:space="0" w:color="808080" w:themeColor="background1" w:themeShade="80"/>
              <w:bottom w:val="single" w:sz="4" w:space="0" w:color="808080" w:themeColor="background1" w:themeShade="80"/>
            </w:tcBorders>
            <w:shd w:val="clear" w:color="auto" w:fill="auto"/>
            <w:noWrap/>
          </w:tcPr>
          <w:p w14:paraId="2923F111"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0D3F53CB"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5B1492F9" w14:textId="77777777" w:rsidR="00E861A9" w:rsidRPr="00705F14" w:rsidRDefault="00E861A9" w:rsidP="00E861A9">
            <w:pPr>
              <w:pStyle w:val="Tabletextindented"/>
              <w:spacing w:before="20" w:after="20" w:line="240" w:lineRule="auto"/>
              <w:ind w:right="-64"/>
              <w:rPr>
                <w:rFonts w:ascii="Verdana" w:hAnsi="Verdana"/>
                <w:sz w:val="18"/>
                <w:szCs w:val="18"/>
              </w:rPr>
            </w:pPr>
            <w:r w:rsidRPr="00705F14">
              <w:rPr>
                <w:rFonts w:ascii="Verdana" w:hAnsi="Verdana"/>
                <w:sz w:val="18"/>
                <w:szCs w:val="18"/>
              </w:rPr>
              <w:t>U.S. population aged 13+</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3F573EC9"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16,161,713</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1110872E"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18,661,868</w:t>
            </w: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421EA13D"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96,245,883</w:t>
            </w:r>
          </w:p>
        </w:tc>
        <w:tc>
          <w:tcPr>
            <w:tcW w:w="1409" w:type="dxa"/>
            <w:gridSpan w:val="3"/>
            <w:tcBorders>
              <w:top w:val="single" w:sz="4" w:space="0" w:color="808080" w:themeColor="background1" w:themeShade="80"/>
              <w:bottom w:val="single" w:sz="4" w:space="0" w:color="808080" w:themeColor="background1" w:themeShade="80"/>
            </w:tcBorders>
            <w:shd w:val="clear" w:color="auto" w:fill="auto"/>
            <w:noWrap/>
          </w:tcPr>
          <w:p w14:paraId="2C1C7D79" w14:textId="77777777" w:rsidR="00E861A9" w:rsidRPr="00705F14" w:rsidRDefault="00E861A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14,277,026</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5C065C67"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19,165,505</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7B13C643"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91,290,325</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40A9F94B" w14:textId="77777777" w:rsidR="00E861A9" w:rsidRPr="00705F14" w:rsidRDefault="00E861A9" w:rsidP="00E861A9">
            <w:pPr>
              <w:pStyle w:val="Tabletext0"/>
              <w:spacing w:before="20" w:after="20" w:line="240" w:lineRule="auto"/>
              <w:jc w:val="right"/>
              <w:rPr>
                <w:rFonts w:ascii="Verdana" w:hAnsi="Verdana"/>
                <w:sz w:val="18"/>
                <w:szCs w:val="18"/>
              </w:rPr>
            </w:pPr>
            <w:r w:rsidRPr="00705F14">
              <w:rPr>
                <w:rFonts w:ascii="Verdana" w:hAnsi="Verdana"/>
                <w:sz w:val="18"/>
                <w:szCs w:val="18"/>
              </w:rPr>
              <w:t>255,802,320</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53CD7CF3" w14:textId="77777777"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U.S. Census Bureau (2010)</w:t>
            </w:r>
          </w:p>
        </w:tc>
      </w:tr>
      <w:tr w:rsidR="00E861A9" w:rsidRPr="00705F14" w14:paraId="18E26945" w14:textId="77777777" w:rsidTr="00B63FD1">
        <w:tc>
          <w:tcPr>
            <w:tcW w:w="3014" w:type="dxa"/>
            <w:gridSpan w:val="3"/>
            <w:tcBorders>
              <w:top w:val="single" w:sz="4" w:space="0" w:color="808080" w:themeColor="background1" w:themeShade="80"/>
              <w:bottom w:val="single" w:sz="4" w:space="0" w:color="808080" w:themeColor="background1" w:themeShade="80"/>
            </w:tcBorders>
            <w:shd w:val="clear" w:color="auto" w:fill="auto"/>
            <w:noWrap/>
            <w:hideMark/>
          </w:tcPr>
          <w:p w14:paraId="517E3A3C" w14:textId="77777777" w:rsidR="00E861A9" w:rsidRPr="00705F14" w:rsidRDefault="00E861A9" w:rsidP="00E861A9">
            <w:pPr>
              <w:pStyle w:val="Tabletext0"/>
              <w:spacing w:before="20" w:after="20" w:line="240" w:lineRule="auto"/>
              <w:ind w:right="134"/>
              <w:rPr>
                <w:rFonts w:ascii="Verdana" w:hAnsi="Verdana"/>
                <w:sz w:val="18"/>
                <w:szCs w:val="18"/>
              </w:rPr>
            </w:pPr>
            <w:r w:rsidRPr="00705F14">
              <w:rPr>
                <w:rFonts w:ascii="Verdana" w:hAnsi="Verdana"/>
                <w:sz w:val="18"/>
                <w:szCs w:val="18"/>
              </w:rPr>
              <w:t xml:space="preserve">  HET (Sexually Active)</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728CDF11"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4" w:space="0" w:color="808080" w:themeColor="background1" w:themeShade="80"/>
            </w:tcBorders>
            <w:shd w:val="clear" w:color="auto" w:fill="auto"/>
            <w:noWrap/>
            <w:hideMark/>
          </w:tcPr>
          <w:p w14:paraId="21569620"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3"/>
            <w:tcBorders>
              <w:top w:val="single" w:sz="4" w:space="0" w:color="808080" w:themeColor="background1" w:themeShade="80"/>
              <w:bottom w:val="single" w:sz="4" w:space="0" w:color="808080" w:themeColor="background1" w:themeShade="80"/>
            </w:tcBorders>
            <w:shd w:val="clear" w:color="auto" w:fill="auto"/>
            <w:noWrap/>
            <w:hideMark/>
          </w:tcPr>
          <w:p w14:paraId="11CA0259" w14:textId="77777777" w:rsidR="00E861A9" w:rsidRPr="00705F14" w:rsidRDefault="00E861A9" w:rsidP="00E861A9">
            <w:pPr>
              <w:pStyle w:val="Tabletext0"/>
              <w:spacing w:before="20" w:after="20" w:line="240" w:lineRule="auto"/>
              <w:ind w:right="63"/>
              <w:jc w:val="right"/>
              <w:rPr>
                <w:rFonts w:ascii="Verdana" w:hAnsi="Verdana"/>
                <w:sz w:val="18"/>
                <w:szCs w:val="18"/>
              </w:rPr>
            </w:pP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hideMark/>
          </w:tcPr>
          <w:p w14:paraId="0DC8D711"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6CEF6CA2"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9" w:type="dxa"/>
            <w:tcBorders>
              <w:top w:val="single" w:sz="4" w:space="0" w:color="808080" w:themeColor="background1" w:themeShade="80"/>
              <w:bottom w:val="single" w:sz="4" w:space="0" w:color="808080" w:themeColor="background1" w:themeShade="80"/>
            </w:tcBorders>
            <w:shd w:val="clear" w:color="auto" w:fill="auto"/>
          </w:tcPr>
          <w:p w14:paraId="38276B4D" w14:textId="77777777" w:rsidR="00E861A9" w:rsidRPr="00705F14" w:rsidRDefault="00E861A9" w:rsidP="00E861A9">
            <w:pPr>
              <w:pStyle w:val="Tabletext0"/>
              <w:spacing w:before="20" w:after="20" w:line="240" w:lineRule="auto"/>
              <w:jc w:val="right"/>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5B4C4AE7"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186239C1"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40ED3E61" w14:textId="3284AEDE" w:rsidR="00E861A9" w:rsidRPr="00705F14" w:rsidRDefault="00E861A9" w:rsidP="00E861A9">
            <w:pPr>
              <w:pStyle w:val="Tabletextindented"/>
              <w:spacing w:before="20" w:after="20" w:line="240" w:lineRule="auto"/>
              <w:ind w:left="360"/>
              <w:rPr>
                <w:rFonts w:ascii="Verdana" w:hAnsi="Verdana"/>
                <w:sz w:val="18"/>
                <w:szCs w:val="18"/>
              </w:rPr>
            </w:pPr>
            <w:r w:rsidRPr="00705F14">
              <w:rPr>
                <w:rFonts w:ascii="Verdana" w:hAnsi="Verdana"/>
                <w:sz w:val="18"/>
                <w:szCs w:val="18"/>
              </w:rPr>
              <w:t>High</w:t>
            </w:r>
            <w:r w:rsidR="008A2E83" w:rsidRPr="00705F14">
              <w:rPr>
                <w:rFonts w:ascii="Verdana" w:hAnsi="Verdana"/>
                <w:sz w:val="18"/>
                <w:szCs w:val="18"/>
              </w:rPr>
              <w:t>-risk</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687EDF8F" w14:textId="41B25B3F"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1,502,598</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6653665C" w14:textId="72634A10"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1,086,199</w:t>
            </w: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288AC977" w14:textId="661D4145"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6,533,202</w:t>
            </w:r>
          </w:p>
        </w:tc>
        <w:tc>
          <w:tcPr>
            <w:tcW w:w="1409" w:type="dxa"/>
            <w:gridSpan w:val="3"/>
            <w:tcBorders>
              <w:top w:val="single" w:sz="4" w:space="0" w:color="808080" w:themeColor="background1" w:themeShade="80"/>
              <w:bottom w:val="single" w:sz="4" w:space="0" w:color="808080" w:themeColor="background1" w:themeShade="80"/>
            </w:tcBorders>
            <w:shd w:val="clear" w:color="auto" w:fill="auto"/>
            <w:noWrap/>
          </w:tcPr>
          <w:p w14:paraId="6F5F9F3D" w14:textId="0B5DDED8" w:rsidR="00E861A9" w:rsidRPr="00705F14" w:rsidRDefault="007611EB"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1,244,626</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426CCC2A" w14:textId="2B3AB1BA"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1,054,391</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62E13B67" w14:textId="05C0FB53" w:rsidR="00E861A9" w:rsidRPr="00705F14" w:rsidRDefault="007611EB"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5,960,552</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75B0B794" w14:textId="57764EF5" w:rsidR="00E861A9" w:rsidRPr="00705F14" w:rsidDel="001E46A1" w:rsidRDefault="007611EB" w:rsidP="00E861A9">
            <w:pPr>
              <w:pStyle w:val="Tabletext0"/>
              <w:spacing w:before="20" w:after="20" w:line="240" w:lineRule="auto"/>
              <w:jc w:val="right"/>
              <w:rPr>
                <w:rFonts w:ascii="Verdana" w:hAnsi="Verdana"/>
                <w:sz w:val="18"/>
                <w:szCs w:val="18"/>
              </w:rPr>
            </w:pPr>
            <w:r w:rsidRPr="00705F14">
              <w:rPr>
                <w:rFonts w:ascii="Verdana" w:hAnsi="Verdana"/>
                <w:sz w:val="18"/>
                <w:szCs w:val="18"/>
              </w:rPr>
              <w:t>17,381,569</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177FAED1" w14:textId="0C6105A5" w:rsidR="00E861A9" w:rsidRPr="00705F14" w:rsidRDefault="008E0803"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e</w:t>
            </w:r>
            <w:proofErr w:type="spellEnd"/>
          </w:p>
        </w:tc>
      </w:tr>
      <w:tr w:rsidR="00E861A9" w:rsidRPr="00705F14" w14:paraId="230EC6F3"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0B4E72F0" w14:textId="7975F8B5" w:rsidR="00E861A9" w:rsidRPr="00705F14" w:rsidRDefault="00E861A9" w:rsidP="00E861A9">
            <w:pPr>
              <w:pStyle w:val="Tabletextindented"/>
              <w:spacing w:before="20" w:after="20" w:line="240" w:lineRule="auto"/>
              <w:ind w:left="360"/>
              <w:rPr>
                <w:rFonts w:ascii="Verdana" w:hAnsi="Verdana"/>
                <w:sz w:val="18"/>
                <w:szCs w:val="18"/>
              </w:rPr>
            </w:pPr>
            <w:r w:rsidRPr="00705F14">
              <w:rPr>
                <w:rFonts w:ascii="Verdana" w:hAnsi="Verdana"/>
                <w:sz w:val="18"/>
                <w:szCs w:val="18"/>
              </w:rPr>
              <w:t>Low</w:t>
            </w:r>
            <w:r w:rsidR="008A2E83" w:rsidRPr="00705F14">
              <w:rPr>
                <w:rFonts w:ascii="Verdana" w:hAnsi="Verdana"/>
                <w:sz w:val="18"/>
                <w:szCs w:val="18"/>
              </w:rPr>
              <w:t>-risk</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5B9C2226" w14:textId="012246D0"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12,727,671</w:t>
            </w: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0FD6F827" w14:textId="1B035210"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15,410,849</w:t>
            </w: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44FABCAB" w14:textId="696FE1A4"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78,834,210</w:t>
            </w:r>
          </w:p>
        </w:tc>
        <w:tc>
          <w:tcPr>
            <w:tcW w:w="1409" w:type="dxa"/>
            <w:gridSpan w:val="3"/>
            <w:tcBorders>
              <w:top w:val="single" w:sz="4" w:space="0" w:color="808080" w:themeColor="background1" w:themeShade="80"/>
              <w:bottom w:val="single" w:sz="4" w:space="0" w:color="808080" w:themeColor="background1" w:themeShade="80"/>
            </w:tcBorders>
            <w:shd w:val="clear" w:color="auto" w:fill="auto"/>
            <w:noWrap/>
          </w:tcPr>
          <w:p w14:paraId="6224D76B" w14:textId="04302DE8" w:rsidR="00E861A9" w:rsidRPr="00705F14" w:rsidRDefault="003E2BC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10,542,536</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3A6901E8" w14:textId="475DC67E"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14,959,567</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697AF98B" w14:textId="7394A5DD" w:rsidR="00E861A9" w:rsidRPr="00705F14" w:rsidRDefault="003E2BC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71,924,211</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2DC448A7" w14:textId="28AC042D" w:rsidR="00E861A9" w:rsidRPr="00705F14" w:rsidDel="001E46A1" w:rsidRDefault="003E2BC9" w:rsidP="00E861A9">
            <w:pPr>
              <w:pStyle w:val="Tabletext0"/>
              <w:spacing w:before="20" w:after="20" w:line="240" w:lineRule="auto"/>
              <w:jc w:val="right"/>
              <w:rPr>
                <w:rFonts w:ascii="Verdana" w:hAnsi="Verdana"/>
                <w:sz w:val="18"/>
                <w:szCs w:val="18"/>
              </w:rPr>
            </w:pPr>
            <w:r w:rsidRPr="00705F14">
              <w:rPr>
                <w:rFonts w:ascii="Verdana" w:hAnsi="Verdana"/>
                <w:sz w:val="18"/>
                <w:szCs w:val="18"/>
              </w:rPr>
              <w:t>204,399,043</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5E23EB82" w14:textId="682596C8" w:rsidR="00E861A9" w:rsidRPr="00705F14" w:rsidRDefault="006D7AEC"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e</w:t>
            </w:r>
            <w:proofErr w:type="spellEnd"/>
          </w:p>
        </w:tc>
      </w:tr>
      <w:tr w:rsidR="00E861A9" w:rsidRPr="00705F14" w14:paraId="22A12944" w14:textId="77777777" w:rsidTr="00B63FD1">
        <w:tc>
          <w:tcPr>
            <w:tcW w:w="1683" w:type="dxa"/>
            <w:tcBorders>
              <w:top w:val="single" w:sz="4" w:space="0" w:color="808080" w:themeColor="background1" w:themeShade="80"/>
              <w:bottom w:val="single" w:sz="6" w:space="0" w:color="808080" w:themeColor="background1" w:themeShade="80"/>
            </w:tcBorders>
            <w:shd w:val="clear" w:color="auto" w:fill="auto"/>
            <w:noWrap/>
            <w:hideMark/>
          </w:tcPr>
          <w:p w14:paraId="08F32143" w14:textId="77777777" w:rsidR="00E861A9" w:rsidRPr="00705F14" w:rsidRDefault="00E861A9" w:rsidP="00E861A9">
            <w:pPr>
              <w:pStyle w:val="Tabletextindented"/>
              <w:spacing w:before="20" w:after="20" w:line="240" w:lineRule="auto"/>
              <w:rPr>
                <w:rFonts w:ascii="Verdana" w:hAnsi="Verdana"/>
                <w:sz w:val="18"/>
                <w:szCs w:val="18"/>
              </w:rPr>
            </w:pPr>
            <w:r w:rsidRPr="00705F14">
              <w:rPr>
                <w:rFonts w:ascii="Verdana" w:hAnsi="Verdana"/>
                <w:sz w:val="18"/>
                <w:szCs w:val="18"/>
              </w:rPr>
              <w:t>PWID</w:t>
            </w:r>
          </w:p>
        </w:tc>
        <w:tc>
          <w:tcPr>
            <w:tcW w:w="1331" w:type="dxa"/>
            <w:gridSpan w:val="2"/>
            <w:tcBorders>
              <w:top w:val="single" w:sz="4" w:space="0" w:color="808080" w:themeColor="background1" w:themeShade="80"/>
              <w:bottom w:val="single" w:sz="6" w:space="0" w:color="808080" w:themeColor="background1" w:themeShade="80"/>
            </w:tcBorders>
            <w:shd w:val="clear" w:color="auto" w:fill="auto"/>
            <w:noWrap/>
            <w:hideMark/>
          </w:tcPr>
          <w:p w14:paraId="724FB7AA"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30" w:type="dxa"/>
            <w:gridSpan w:val="2"/>
            <w:tcBorders>
              <w:top w:val="single" w:sz="4" w:space="0" w:color="808080" w:themeColor="background1" w:themeShade="80"/>
              <w:bottom w:val="single" w:sz="6" w:space="0" w:color="808080" w:themeColor="background1" w:themeShade="80"/>
            </w:tcBorders>
            <w:shd w:val="clear" w:color="auto" w:fill="auto"/>
            <w:noWrap/>
            <w:hideMark/>
          </w:tcPr>
          <w:p w14:paraId="7745FB07"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6" w:space="0" w:color="808080" w:themeColor="background1" w:themeShade="80"/>
            </w:tcBorders>
            <w:shd w:val="clear" w:color="auto" w:fill="auto"/>
            <w:noWrap/>
            <w:hideMark/>
          </w:tcPr>
          <w:p w14:paraId="52BC2890"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3"/>
            <w:tcBorders>
              <w:top w:val="single" w:sz="4" w:space="0" w:color="808080" w:themeColor="background1" w:themeShade="80"/>
              <w:bottom w:val="single" w:sz="6" w:space="0" w:color="808080" w:themeColor="background1" w:themeShade="80"/>
            </w:tcBorders>
            <w:shd w:val="clear" w:color="auto" w:fill="auto"/>
            <w:noWrap/>
            <w:hideMark/>
          </w:tcPr>
          <w:p w14:paraId="176D013E" w14:textId="77777777" w:rsidR="00E861A9" w:rsidRPr="00705F14" w:rsidRDefault="00E861A9" w:rsidP="00E861A9">
            <w:pPr>
              <w:pStyle w:val="Tabletext0"/>
              <w:spacing w:before="20" w:after="20" w:line="240" w:lineRule="auto"/>
              <w:ind w:right="63"/>
              <w:jc w:val="right"/>
              <w:rPr>
                <w:rFonts w:ascii="Verdana" w:hAnsi="Verdana"/>
                <w:sz w:val="18"/>
                <w:szCs w:val="18"/>
              </w:rPr>
            </w:pPr>
          </w:p>
        </w:tc>
        <w:tc>
          <w:tcPr>
            <w:tcW w:w="1389" w:type="dxa"/>
            <w:gridSpan w:val="4"/>
            <w:tcBorders>
              <w:top w:val="single" w:sz="4" w:space="0" w:color="808080" w:themeColor="background1" w:themeShade="80"/>
              <w:bottom w:val="single" w:sz="6" w:space="0" w:color="808080" w:themeColor="background1" w:themeShade="80"/>
            </w:tcBorders>
            <w:shd w:val="clear" w:color="auto" w:fill="auto"/>
            <w:noWrap/>
            <w:hideMark/>
          </w:tcPr>
          <w:p w14:paraId="4BD574B3"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517" w:type="dxa"/>
            <w:gridSpan w:val="2"/>
            <w:tcBorders>
              <w:top w:val="single" w:sz="4" w:space="0" w:color="808080" w:themeColor="background1" w:themeShade="80"/>
              <w:bottom w:val="single" w:sz="6" w:space="0" w:color="808080" w:themeColor="background1" w:themeShade="80"/>
            </w:tcBorders>
            <w:shd w:val="clear" w:color="auto" w:fill="auto"/>
            <w:noWrap/>
            <w:hideMark/>
          </w:tcPr>
          <w:p w14:paraId="56EAD450"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9" w:type="dxa"/>
            <w:tcBorders>
              <w:top w:val="single" w:sz="4" w:space="0" w:color="808080" w:themeColor="background1" w:themeShade="80"/>
              <w:bottom w:val="single" w:sz="6" w:space="0" w:color="808080" w:themeColor="background1" w:themeShade="80"/>
            </w:tcBorders>
            <w:shd w:val="clear" w:color="auto" w:fill="auto"/>
          </w:tcPr>
          <w:p w14:paraId="09DFE060" w14:textId="77777777" w:rsidR="00E861A9" w:rsidRPr="00705F14" w:rsidRDefault="00E861A9" w:rsidP="00E861A9">
            <w:pPr>
              <w:pStyle w:val="Tabletext0"/>
              <w:spacing w:before="20" w:after="20" w:line="240" w:lineRule="auto"/>
              <w:jc w:val="right"/>
              <w:rPr>
                <w:rFonts w:ascii="Verdana" w:hAnsi="Verdana"/>
                <w:sz w:val="18"/>
                <w:szCs w:val="18"/>
              </w:rPr>
            </w:pPr>
          </w:p>
        </w:tc>
        <w:tc>
          <w:tcPr>
            <w:tcW w:w="1794" w:type="dxa"/>
            <w:tcBorders>
              <w:top w:val="single" w:sz="4" w:space="0" w:color="808080" w:themeColor="background1" w:themeShade="80"/>
              <w:bottom w:val="single" w:sz="6" w:space="0" w:color="808080" w:themeColor="background1" w:themeShade="80"/>
            </w:tcBorders>
            <w:shd w:val="clear" w:color="auto" w:fill="auto"/>
            <w:noWrap/>
            <w:hideMark/>
          </w:tcPr>
          <w:p w14:paraId="6CAF7826"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6CEC0C4A" w14:textId="77777777" w:rsidTr="00B63FD1">
        <w:tc>
          <w:tcPr>
            <w:tcW w:w="1683" w:type="dxa"/>
            <w:tcBorders>
              <w:top w:val="single" w:sz="6" w:space="0" w:color="808080" w:themeColor="background1" w:themeShade="80"/>
              <w:bottom w:val="single" w:sz="6" w:space="0" w:color="808080" w:themeColor="background1" w:themeShade="80"/>
            </w:tcBorders>
            <w:shd w:val="clear" w:color="auto" w:fill="auto"/>
            <w:noWrap/>
            <w:hideMark/>
          </w:tcPr>
          <w:p w14:paraId="1BB8D911" w14:textId="77777777" w:rsidR="00E861A9" w:rsidRPr="00705F14" w:rsidRDefault="00E861A9" w:rsidP="00E861A9">
            <w:pPr>
              <w:pStyle w:val="Tabletextindented"/>
              <w:spacing w:before="20" w:after="20" w:line="240" w:lineRule="auto"/>
              <w:ind w:left="360"/>
              <w:rPr>
                <w:rFonts w:ascii="Verdana" w:hAnsi="Verdana"/>
                <w:sz w:val="18"/>
                <w:szCs w:val="18"/>
              </w:rPr>
            </w:pPr>
          </w:p>
        </w:tc>
        <w:tc>
          <w:tcPr>
            <w:tcW w:w="1331" w:type="dxa"/>
            <w:gridSpan w:val="2"/>
            <w:tcBorders>
              <w:top w:val="single" w:sz="6" w:space="0" w:color="808080" w:themeColor="background1" w:themeShade="80"/>
              <w:bottom w:val="single" w:sz="6" w:space="0" w:color="808080" w:themeColor="background1" w:themeShade="80"/>
            </w:tcBorders>
            <w:shd w:val="clear" w:color="auto" w:fill="auto"/>
            <w:noWrap/>
          </w:tcPr>
          <w:p w14:paraId="1D6C1FF8"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150,499</w:t>
            </w:r>
          </w:p>
        </w:tc>
        <w:tc>
          <w:tcPr>
            <w:tcW w:w="1330" w:type="dxa"/>
            <w:gridSpan w:val="2"/>
            <w:tcBorders>
              <w:top w:val="single" w:sz="6" w:space="0" w:color="808080" w:themeColor="background1" w:themeShade="80"/>
              <w:bottom w:val="single" w:sz="6" w:space="0" w:color="808080" w:themeColor="background1" w:themeShade="80"/>
            </w:tcBorders>
            <w:shd w:val="clear" w:color="auto" w:fill="auto"/>
            <w:noWrap/>
          </w:tcPr>
          <w:p w14:paraId="581328CF"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100,184</w:t>
            </w:r>
          </w:p>
        </w:tc>
        <w:tc>
          <w:tcPr>
            <w:tcW w:w="1312" w:type="dxa"/>
            <w:tcBorders>
              <w:top w:val="single" w:sz="6" w:space="0" w:color="808080" w:themeColor="background1" w:themeShade="80"/>
              <w:bottom w:val="single" w:sz="6" w:space="0" w:color="808080" w:themeColor="background1" w:themeShade="80"/>
            </w:tcBorders>
            <w:shd w:val="clear" w:color="auto" w:fill="auto"/>
            <w:noWrap/>
          </w:tcPr>
          <w:p w14:paraId="7211847B"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194,580</w:t>
            </w:r>
          </w:p>
        </w:tc>
        <w:tc>
          <w:tcPr>
            <w:tcW w:w="1409" w:type="dxa"/>
            <w:gridSpan w:val="3"/>
            <w:tcBorders>
              <w:top w:val="single" w:sz="6" w:space="0" w:color="808080" w:themeColor="background1" w:themeShade="80"/>
              <w:bottom w:val="single" w:sz="6" w:space="0" w:color="808080" w:themeColor="background1" w:themeShade="80"/>
            </w:tcBorders>
            <w:shd w:val="clear" w:color="auto" w:fill="auto"/>
            <w:noWrap/>
          </w:tcPr>
          <w:p w14:paraId="2514697B" w14:textId="77777777" w:rsidR="00E861A9" w:rsidRPr="00705F14" w:rsidRDefault="00E861A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388,925</w:t>
            </w:r>
          </w:p>
        </w:tc>
        <w:tc>
          <w:tcPr>
            <w:tcW w:w="1389" w:type="dxa"/>
            <w:gridSpan w:val="4"/>
            <w:tcBorders>
              <w:top w:val="single" w:sz="6" w:space="0" w:color="808080" w:themeColor="background1" w:themeShade="80"/>
              <w:bottom w:val="single" w:sz="6" w:space="0" w:color="808080" w:themeColor="background1" w:themeShade="80"/>
            </w:tcBorders>
            <w:shd w:val="clear" w:color="auto" w:fill="auto"/>
            <w:noWrap/>
          </w:tcPr>
          <w:p w14:paraId="1B1F64D5"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258,900</w:t>
            </w:r>
          </w:p>
        </w:tc>
        <w:tc>
          <w:tcPr>
            <w:tcW w:w="1517" w:type="dxa"/>
            <w:gridSpan w:val="2"/>
            <w:tcBorders>
              <w:top w:val="single" w:sz="6" w:space="0" w:color="808080" w:themeColor="background1" w:themeShade="80"/>
              <w:bottom w:val="single" w:sz="6" w:space="0" w:color="808080" w:themeColor="background1" w:themeShade="80"/>
            </w:tcBorders>
            <w:shd w:val="clear" w:color="auto" w:fill="auto"/>
            <w:noWrap/>
          </w:tcPr>
          <w:p w14:paraId="1E6C0E5B"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502,841</w:t>
            </w:r>
          </w:p>
        </w:tc>
        <w:tc>
          <w:tcPr>
            <w:tcW w:w="1319" w:type="dxa"/>
            <w:tcBorders>
              <w:top w:val="single" w:sz="6" w:space="0" w:color="808080" w:themeColor="background1" w:themeShade="80"/>
              <w:bottom w:val="single" w:sz="6" w:space="0" w:color="808080" w:themeColor="background1" w:themeShade="80"/>
            </w:tcBorders>
            <w:shd w:val="clear" w:color="auto" w:fill="auto"/>
          </w:tcPr>
          <w:p w14:paraId="326F7DC5" w14:textId="77777777" w:rsidR="00E861A9" w:rsidRPr="00705F14" w:rsidDel="001E46A1" w:rsidRDefault="00E861A9" w:rsidP="00E861A9">
            <w:pPr>
              <w:pStyle w:val="Tabletext0"/>
              <w:spacing w:before="20" w:after="20" w:line="240" w:lineRule="auto"/>
              <w:jc w:val="right"/>
              <w:rPr>
                <w:rFonts w:ascii="Verdana" w:hAnsi="Verdana"/>
                <w:sz w:val="18"/>
                <w:szCs w:val="18"/>
              </w:rPr>
            </w:pPr>
            <w:r w:rsidRPr="00705F14">
              <w:rPr>
                <w:rFonts w:ascii="Verdana" w:hAnsi="Verdana"/>
                <w:sz w:val="18"/>
                <w:szCs w:val="18"/>
              </w:rPr>
              <w:t>1,595,929</w:t>
            </w:r>
          </w:p>
        </w:tc>
        <w:tc>
          <w:tcPr>
            <w:tcW w:w="1794" w:type="dxa"/>
            <w:tcBorders>
              <w:top w:val="single" w:sz="6" w:space="0" w:color="808080" w:themeColor="background1" w:themeShade="80"/>
              <w:bottom w:val="single" w:sz="6" w:space="0" w:color="808080" w:themeColor="background1" w:themeShade="80"/>
            </w:tcBorders>
            <w:shd w:val="clear" w:color="auto" w:fill="auto"/>
            <w:noWrap/>
            <w:hideMark/>
          </w:tcPr>
          <w:p w14:paraId="7A38B7B1" w14:textId="218D3112" w:rsidR="00E861A9" w:rsidRPr="00705F14" w:rsidRDefault="006D7AEC"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f</w:t>
            </w:r>
            <w:proofErr w:type="spellEnd"/>
          </w:p>
        </w:tc>
      </w:tr>
      <w:tr w:rsidR="00E861A9" w:rsidRPr="00705F14" w14:paraId="73901EE7" w14:textId="77777777" w:rsidTr="00B63FD1">
        <w:tc>
          <w:tcPr>
            <w:tcW w:w="1683" w:type="dxa"/>
            <w:tcBorders>
              <w:top w:val="single" w:sz="6" w:space="0" w:color="808080" w:themeColor="background1" w:themeShade="80"/>
              <w:bottom w:val="single" w:sz="4" w:space="0" w:color="808080" w:themeColor="background1" w:themeShade="80"/>
            </w:tcBorders>
            <w:shd w:val="clear" w:color="auto" w:fill="auto"/>
            <w:noWrap/>
            <w:hideMark/>
          </w:tcPr>
          <w:p w14:paraId="36A070FD" w14:textId="77777777" w:rsidR="00E861A9" w:rsidRPr="00705F14" w:rsidRDefault="00E861A9" w:rsidP="00E861A9">
            <w:pPr>
              <w:pStyle w:val="Tabletextindented"/>
              <w:spacing w:before="20" w:after="20" w:line="240" w:lineRule="auto"/>
              <w:rPr>
                <w:rFonts w:ascii="Verdana" w:hAnsi="Verdana"/>
                <w:sz w:val="18"/>
                <w:szCs w:val="18"/>
              </w:rPr>
            </w:pPr>
            <w:r w:rsidRPr="00705F14">
              <w:rPr>
                <w:rFonts w:ascii="Verdana" w:hAnsi="Verdana"/>
                <w:sz w:val="18"/>
                <w:szCs w:val="18"/>
              </w:rPr>
              <w:t>MSM</w:t>
            </w:r>
          </w:p>
        </w:tc>
        <w:tc>
          <w:tcPr>
            <w:tcW w:w="1331" w:type="dxa"/>
            <w:gridSpan w:val="2"/>
            <w:tcBorders>
              <w:top w:val="single" w:sz="6" w:space="0" w:color="808080" w:themeColor="background1" w:themeShade="80"/>
              <w:bottom w:val="single" w:sz="4" w:space="0" w:color="808080" w:themeColor="background1" w:themeShade="80"/>
            </w:tcBorders>
            <w:shd w:val="clear" w:color="auto" w:fill="auto"/>
            <w:noWrap/>
            <w:hideMark/>
          </w:tcPr>
          <w:p w14:paraId="441B685C"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30" w:type="dxa"/>
            <w:gridSpan w:val="2"/>
            <w:tcBorders>
              <w:top w:val="single" w:sz="6" w:space="0" w:color="808080" w:themeColor="background1" w:themeShade="80"/>
              <w:bottom w:val="single" w:sz="4" w:space="0" w:color="808080" w:themeColor="background1" w:themeShade="80"/>
            </w:tcBorders>
            <w:shd w:val="clear" w:color="auto" w:fill="auto"/>
            <w:noWrap/>
            <w:hideMark/>
          </w:tcPr>
          <w:p w14:paraId="6A7F7214"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6" w:space="0" w:color="808080" w:themeColor="background1" w:themeShade="80"/>
              <w:bottom w:val="single" w:sz="4" w:space="0" w:color="808080" w:themeColor="background1" w:themeShade="80"/>
            </w:tcBorders>
            <w:shd w:val="clear" w:color="auto" w:fill="auto"/>
            <w:noWrap/>
            <w:hideMark/>
          </w:tcPr>
          <w:p w14:paraId="36484F3E"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3"/>
            <w:tcBorders>
              <w:top w:val="single" w:sz="6" w:space="0" w:color="808080" w:themeColor="background1" w:themeShade="80"/>
              <w:bottom w:val="single" w:sz="4" w:space="0" w:color="808080" w:themeColor="background1" w:themeShade="80"/>
            </w:tcBorders>
            <w:shd w:val="clear" w:color="auto" w:fill="auto"/>
            <w:noWrap/>
            <w:hideMark/>
          </w:tcPr>
          <w:p w14:paraId="0F14DF88" w14:textId="77777777" w:rsidR="00E861A9" w:rsidRPr="00705F14" w:rsidRDefault="00E861A9" w:rsidP="00E861A9">
            <w:pPr>
              <w:pStyle w:val="Tabletext0"/>
              <w:spacing w:before="20" w:after="20" w:line="240" w:lineRule="auto"/>
              <w:ind w:right="63"/>
              <w:jc w:val="right"/>
              <w:rPr>
                <w:rFonts w:ascii="Verdana" w:hAnsi="Verdana"/>
                <w:sz w:val="18"/>
                <w:szCs w:val="18"/>
              </w:rPr>
            </w:pPr>
          </w:p>
        </w:tc>
        <w:tc>
          <w:tcPr>
            <w:tcW w:w="1389" w:type="dxa"/>
            <w:gridSpan w:val="4"/>
            <w:tcBorders>
              <w:top w:val="single" w:sz="6" w:space="0" w:color="808080" w:themeColor="background1" w:themeShade="80"/>
              <w:bottom w:val="single" w:sz="4" w:space="0" w:color="808080" w:themeColor="background1" w:themeShade="80"/>
            </w:tcBorders>
            <w:shd w:val="clear" w:color="auto" w:fill="auto"/>
            <w:noWrap/>
            <w:hideMark/>
          </w:tcPr>
          <w:p w14:paraId="2ED02E5D"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517" w:type="dxa"/>
            <w:gridSpan w:val="2"/>
            <w:tcBorders>
              <w:top w:val="single" w:sz="6" w:space="0" w:color="808080" w:themeColor="background1" w:themeShade="80"/>
              <w:bottom w:val="single" w:sz="4" w:space="0" w:color="808080" w:themeColor="background1" w:themeShade="80"/>
            </w:tcBorders>
            <w:shd w:val="clear" w:color="auto" w:fill="auto"/>
            <w:noWrap/>
            <w:hideMark/>
          </w:tcPr>
          <w:p w14:paraId="038F63FB"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9" w:type="dxa"/>
            <w:tcBorders>
              <w:top w:val="single" w:sz="6" w:space="0" w:color="808080" w:themeColor="background1" w:themeShade="80"/>
              <w:bottom w:val="single" w:sz="4" w:space="0" w:color="808080" w:themeColor="background1" w:themeShade="80"/>
            </w:tcBorders>
            <w:shd w:val="clear" w:color="auto" w:fill="auto"/>
          </w:tcPr>
          <w:p w14:paraId="2EFB3E85" w14:textId="77777777" w:rsidR="00E861A9" w:rsidRPr="00705F14" w:rsidRDefault="00E861A9" w:rsidP="00E861A9">
            <w:pPr>
              <w:pStyle w:val="Tabletext0"/>
              <w:spacing w:before="20" w:after="20" w:line="240" w:lineRule="auto"/>
              <w:jc w:val="right"/>
              <w:rPr>
                <w:rFonts w:ascii="Verdana" w:hAnsi="Verdana"/>
                <w:sz w:val="18"/>
                <w:szCs w:val="18"/>
              </w:rPr>
            </w:pPr>
          </w:p>
        </w:tc>
        <w:tc>
          <w:tcPr>
            <w:tcW w:w="1794" w:type="dxa"/>
            <w:tcBorders>
              <w:top w:val="single" w:sz="6" w:space="0" w:color="808080" w:themeColor="background1" w:themeShade="80"/>
              <w:bottom w:val="single" w:sz="4" w:space="0" w:color="808080" w:themeColor="background1" w:themeShade="80"/>
            </w:tcBorders>
            <w:shd w:val="clear" w:color="auto" w:fill="auto"/>
            <w:noWrap/>
            <w:hideMark/>
          </w:tcPr>
          <w:p w14:paraId="779A3FD7"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2E48108B"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7AFE713C" w14:textId="77777777" w:rsidR="00E861A9" w:rsidRPr="00705F14" w:rsidRDefault="00E861A9" w:rsidP="00E861A9">
            <w:pPr>
              <w:pStyle w:val="Tabletextindented"/>
              <w:spacing w:before="20" w:after="20" w:line="240" w:lineRule="auto"/>
              <w:ind w:left="360"/>
              <w:rPr>
                <w:rFonts w:ascii="Verdana" w:hAnsi="Verdana"/>
                <w:sz w:val="18"/>
                <w:szCs w:val="18"/>
              </w:rPr>
            </w:pPr>
            <w:r w:rsidRPr="00705F14">
              <w:rPr>
                <w:rFonts w:ascii="Verdana" w:hAnsi="Verdana"/>
                <w:sz w:val="18"/>
                <w:szCs w:val="18"/>
              </w:rPr>
              <w:t>Overall</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0E4B0B9A"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7008CFB6"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4" w:space="0" w:color="808080" w:themeColor="background1" w:themeShade="80"/>
            </w:tcBorders>
            <w:shd w:val="clear" w:color="auto" w:fill="auto"/>
            <w:noWrap/>
            <w:hideMark/>
          </w:tcPr>
          <w:p w14:paraId="1D155EDF"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3"/>
            <w:tcBorders>
              <w:top w:val="single" w:sz="4" w:space="0" w:color="808080" w:themeColor="background1" w:themeShade="80"/>
              <w:bottom w:val="single" w:sz="4" w:space="0" w:color="808080" w:themeColor="background1" w:themeShade="80"/>
            </w:tcBorders>
            <w:shd w:val="clear" w:color="auto" w:fill="auto"/>
            <w:noWrap/>
          </w:tcPr>
          <w:p w14:paraId="57E55E43" w14:textId="77777777" w:rsidR="00E861A9" w:rsidRPr="00705F14" w:rsidRDefault="00E861A9"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625,754</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155E1499"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888,471</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5548E668" w14:textId="77777777" w:rsidR="00E861A9" w:rsidRPr="00705F14" w:rsidRDefault="00E861A9"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3,155,299</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68BBFFCB" w14:textId="77777777" w:rsidR="00E861A9" w:rsidRPr="00705F14" w:rsidDel="001E46A1" w:rsidRDefault="00E861A9" w:rsidP="00E861A9">
            <w:pPr>
              <w:pStyle w:val="Tabletext0"/>
              <w:spacing w:before="20" w:after="20" w:line="240" w:lineRule="auto"/>
              <w:jc w:val="right"/>
              <w:rPr>
                <w:rFonts w:ascii="Verdana" w:hAnsi="Verdana"/>
                <w:sz w:val="18"/>
                <w:szCs w:val="18"/>
              </w:rPr>
            </w:pPr>
            <w:r w:rsidRPr="00705F14">
              <w:rPr>
                <w:rFonts w:ascii="Verdana" w:hAnsi="Verdana"/>
                <w:sz w:val="18"/>
                <w:szCs w:val="18"/>
              </w:rPr>
              <w:t>4,669,524</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0F50EAB0" w14:textId="4B59A71B"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Rosenberg et al. (2018)</w:t>
            </w:r>
            <w:r w:rsidR="006D7AEC" w:rsidRPr="00705F14">
              <w:rPr>
                <w:rFonts w:ascii="Verdana" w:hAnsi="Verdana"/>
                <w:sz w:val="18"/>
                <w:szCs w:val="18"/>
                <w:vertAlign w:val="superscript"/>
              </w:rPr>
              <w:t>g</w:t>
            </w:r>
          </w:p>
        </w:tc>
      </w:tr>
      <w:tr w:rsidR="00E861A9" w:rsidRPr="00705F14" w14:paraId="4882D838"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1DAF7D97" w14:textId="6EAAA20C" w:rsidR="00E861A9" w:rsidRPr="00705F14" w:rsidRDefault="00E861A9" w:rsidP="00E861A9">
            <w:pPr>
              <w:pStyle w:val="Tabletextindented"/>
              <w:spacing w:before="20" w:after="20" w:line="240" w:lineRule="auto"/>
              <w:ind w:left="360"/>
              <w:rPr>
                <w:rFonts w:ascii="Verdana" w:hAnsi="Verdana"/>
                <w:sz w:val="18"/>
                <w:szCs w:val="18"/>
              </w:rPr>
            </w:pPr>
            <w:r w:rsidRPr="00705F14">
              <w:rPr>
                <w:rFonts w:ascii="Verdana" w:hAnsi="Verdana"/>
                <w:sz w:val="18"/>
                <w:szCs w:val="18"/>
              </w:rPr>
              <w:t>High</w:t>
            </w:r>
            <w:r w:rsidR="008A2E83" w:rsidRPr="00705F14">
              <w:rPr>
                <w:rFonts w:ascii="Verdana" w:hAnsi="Verdana"/>
                <w:sz w:val="18"/>
                <w:szCs w:val="18"/>
              </w:rPr>
              <w:t>-risk</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tcPr>
          <w:p w14:paraId="7071BC34"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tcPr>
          <w:p w14:paraId="564E197D"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4" w:space="0" w:color="808080" w:themeColor="background1" w:themeShade="80"/>
            </w:tcBorders>
            <w:shd w:val="clear" w:color="auto" w:fill="auto"/>
            <w:noWrap/>
          </w:tcPr>
          <w:p w14:paraId="0D34C155"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3"/>
            <w:tcBorders>
              <w:top w:val="single" w:sz="4" w:space="0" w:color="808080" w:themeColor="background1" w:themeShade="80"/>
              <w:bottom w:val="single" w:sz="4" w:space="0" w:color="808080" w:themeColor="background1" w:themeShade="80"/>
            </w:tcBorders>
            <w:shd w:val="clear" w:color="auto" w:fill="auto"/>
            <w:noWrap/>
          </w:tcPr>
          <w:p w14:paraId="3BE98317" w14:textId="6A28F39C" w:rsidR="00E861A9" w:rsidRPr="00705F14" w:rsidRDefault="00D55350"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233,406</w:t>
            </w:r>
            <w:r w:rsidRPr="00705F14" w:rsidDel="00D55350">
              <w:rPr>
                <w:rFonts w:ascii="Verdana" w:hAnsi="Verdana"/>
                <w:sz w:val="18"/>
                <w:szCs w:val="18"/>
              </w:rPr>
              <w:t xml:space="preserve"> </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0856DF74" w14:textId="40168987" w:rsidR="00E861A9" w:rsidRPr="00705F14" w:rsidRDefault="00D55350"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331,400</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07C70D4E" w14:textId="3BA6E26D" w:rsidR="00E861A9" w:rsidRPr="00705F14" w:rsidRDefault="00D55350"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1,176,927</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7A562A98" w14:textId="0C493609" w:rsidR="00E861A9" w:rsidRPr="00705F14" w:rsidDel="001E46A1" w:rsidRDefault="003513AF" w:rsidP="00E861A9">
            <w:pPr>
              <w:pStyle w:val="Tabletext0"/>
              <w:spacing w:before="20" w:after="20" w:line="240" w:lineRule="auto"/>
              <w:jc w:val="right"/>
              <w:rPr>
                <w:rFonts w:ascii="Verdana" w:hAnsi="Verdana"/>
                <w:sz w:val="18"/>
                <w:szCs w:val="18"/>
              </w:rPr>
            </w:pPr>
            <w:r w:rsidRPr="00705F14">
              <w:rPr>
                <w:rFonts w:ascii="Verdana" w:hAnsi="Verdana"/>
                <w:sz w:val="18"/>
                <w:szCs w:val="18"/>
              </w:rPr>
              <w:t>1,741,732</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56AD1170" w14:textId="7FE9C420" w:rsidR="00E861A9" w:rsidRPr="00705F14" w:rsidRDefault="00A757CE"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Pr="00705F14">
              <w:rPr>
                <w:rFonts w:ascii="Verdana" w:hAnsi="Verdana"/>
                <w:sz w:val="18"/>
                <w:szCs w:val="18"/>
                <w:vertAlign w:val="superscript"/>
              </w:rPr>
              <w:t>c</w:t>
            </w:r>
            <w:proofErr w:type="spellEnd"/>
          </w:p>
        </w:tc>
      </w:tr>
      <w:tr w:rsidR="00E861A9" w:rsidRPr="00705F14" w14:paraId="41B3E312"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5EADB0B6" w14:textId="4E008FD6" w:rsidR="00E861A9" w:rsidRPr="00705F14" w:rsidRDefault="00E861A9" w:rsidP="00E861A9">
            <w:pPr>
              <w:pStyle w:val="Tabletextindented"/>
              <w:spacing w:before="20" w:after="20" w:line="240" w:lineRule="auto"/>
              <w:ind w:left="360"/>
              <w:rPr>
                <w:rFonts w:ascii="Verdana" w:hAnsi="Verdana"/>
                <w:sz w:val="18"/>
                <w:szCs w:val="18"/>
              </w:rPr>
            </w:pPr>
            <w:r w:rsidRPr="00705F14">
              <w:rPr>
                <w:rFonts w:ascii="Verdana" w:hAnsi="Verdana"/>
                <w:sz w:val="18"/>
                <w:szCs w:val="18"/>
              </w:rPr>
              <w:t>Low</w:t>
            </w:r>
            <w:r w:rsidR="008A2E83" w:rsidRPr="00705F14">
              <w:rPr>
                <w:rFonts w:ascii="Verdana" w:hAnsi="Verdana"/>
                <w:sz w:val="18"/>
                <w:szCs w:val="18"/>
              </w:rPr>
              <w:t>-risk</w:t>
            </w:r>
          </w:p>
        </w:tc>
        <w:tc>
          <w:tcPr>
            <w:tcW w:w="1331"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48612430"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30" w:type="dxa"/>
            <w:gridSpan w:val="2"/>
            <w:tcBorders>
              <w:top w:val="single" w:sz="4" w:space="0" w:color="808080" w:themeColor="background1" w:themeShade="80"/>
              <w:bottom w:val="single" w:sz="4" w:space="0" w:color="808080" w:themeColor="background1" w:themeShade="80"/>
            </w:tcBorders>
            <w:shd w:val="clear" w:color="auto" w:fill="auto"/>
            <w:noWrap/>
            <w:hideMark/>
          </w:tcPr>
          <w:p w14:paraId="51B618C2"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312" w:type="dxa"/>
            <w:tcBorders>
              <w:top w:val="single" w:sz="4" w:space="0" w:color="808080" w:themeColor="background1" w:themeShade="80"/>
              <w:bottom w:val="single" w:sz="4" w:space="0" w:color="808080" w:themeColor="background1" w:themeShade="80"/>
            </w:tcBorders>
            <w:shd w:val="clear" w:color="auto" w:fill="auto"/>
            <w:noWrap/>
            <w:hideMark/>
          </w:tcPr>
          <w:p w14:paraId="51E0A3B7" w14:textId="77777777" w:rsidR="00E861A9" w:rsidRPr="00705F14" w:rsidRDefault="00E861A9" w:rsidP="00E861A9">
            <w:pPr>
              <w:pStyle w:val="Tabletext0"/>
              <w:spacing w:before="20" w:after="20" w:line="240" w:lineRule="auto"/>
              <w:ind w:right="134"/>
              <w:jc w:val="right"/>
              <w:rPr>
                <w:rFonts w:ascii="Verdana" w:hAnsi="Verdana"/>
                <w:sz w:val="18"/>
                <w:szCs w:val="18"/>
              </w:rPr>
            </w:pPr>
          </w:p>
        </w:tc>
        <w:tc>
          <w:tcPr>
            <w:tcW w:w="1409" w:type="dxa"/>
            <w:gridSpan w:val="3"/>
            <w:tcBorders>
              <w:top w:val="single" w:sz="4" w:space="0" w:color="808080" w:themeColor="background1" w:themeShade="80"/>
              <w:bottom w:val="single" w:sz="4" w:space="0" w:color="808080" w:themeColor="background1" w:themeShade="80"/>
            </w:tcBorders>
            <w:shd w:val="clear" w:color="auto" w:fill="auto"/>
            <w:noWrap/>
          </w:tcPr>
          <w:p w14:paraId="31F58A22" w14:textId="4616066C" w:rsidR="00E861A9" w:rsidRPr="00705F14" w:rsidRDefault="00D55350" w:rsidP="00E861A9">
            <w:pPr>
              <w:pStyle w:val="Tabletext0"/>
              <w:spacing w:before="20" w:after="20" w:line="240" w:lineRule="auto"/>
              <w:ind w:right="63"/>
              <w:jc w:val="right"/>
              <w:rPr>
                <w:rFonts w:ascii="Verdana" w:hAnsi="Verdana"/>
                <w:sz w:val="18"/>
                <w:szCs w:val="18"/>
              </w:rPr>
            </w:pPr>
            <w:r w:rsidRPr="00705F14">
              <w:rPr>
                <w:rFonts w:ascii="Verdana" w:hAnsi="Verdana"/>
                <w:sz w:val="18"/>
                <w:szCs w:val="18"/>
              </w:rPr>
              <w:t>392,348</w:t>
            </w:r>
          </w:p>
        </w:tc>
        <w:tc>
          <w:tcPr>
            <w:tcW w:w="1389" w:type="dxa"/>
            <w:gridSpan w:val="4"/>
            <w:tcBorders>
              <w:top w:val="single" w:sz="4" w:space="0" w:color="808080" w:themeColor="background1" w:themeShade="80"/>
              <w:bottom w:val="single" w:sz="4" w:space="0" w:color="808080" w:themeColor="background1" w:themeShade="80"/>
            </w:tcBorders>
            <w:shd w:val="clear" w:color="auto" w:fill="auto"/>
            <w:noWrap/>
          </w:tcPr>
          <w:p w14:paraId="33C10E59" w14:textId="56012E61" w:rsidR="00E861A9" w:rsidRPr="00705F14" w:rsidRDefault="00D55350"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557,071</w:t>
            </w:r>
          </w:p>
        </w:tc>
        <w:tc>
          <w:tcPr>
            <w:tcW w:w="1517" w:type="dxa"/>
            <w:gridSpan w:val="2"/>
            <w:tcBorders>
              <w:top w:val="single" w:sz="4" w:space="0" w:color="808080" w:themeColor="background1" w:themeShade="80"/>
              <w:bottom w:val="single" w:sz="4" w:space="0" w:color="808080" w:themeColor="background1" w:themeShade="80"/>
            </w:tcBorders>
            <w:shd w:val="clear" w:color="auto" w:fill="auto"/>
            <w:noWrap/>
          </w:tcPr>
          <w:p w14:paraId="10503790" w14:textId="065D3494" w:rsidR="00E861A9" w:rsidRPr="00705F14" w:rsidRDefault="003513AF" w:rsidP="00E861A9">
            <w:pPr>
              <w:pStyle w:val="Tabletext0"/>
              <w:spacing w:before="20" w:after="20" w:line="240" w:lineRule="auto"/>
              <w:ind w:right="134"/>
              <w:jc w:val="right"/>
              <w:rPr>
                <w:rFonts w:ascii="Verdana" w:hAnsi="Verdana"/>
                <w:sz w:val="18"/>
                <w:szCs w:val="18"/>
              </w:rPr>
            </w:pPr>
            <w:r w:rsidRPr="00705F14">
              <w:rPr>
                <w:rFonts w:ascii="Verdana" w:hAnsi="Verdana"/>
                <w:sz w:val="18"/>
                <w:szCs w:val="18"/>
              </w:rPr>
              <w:t>1,978,372</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707050DF" w14:textId="40B6D67A" w:rsidR="00E861A9" w:rsidRPr="00705F14" w:rsidDel="001E46A1" w:rsidRDefault="003513AF" w:rsidP="00E861A9">
            <w:pPr>
              <w:pStyle w:val="Tabletext0"/>
              <w:spacing w:before="20" w:after="20" w:line="240" w:lineRule="auto"/>
              <w:jc w:val="right"/>
              <w:rPr>
                <w:rFonts w:ascii="Verdana" w:hAnsi="Verdana"/>
                <w:sz w:val="18"/>
                <w:szCs w:val="18"/>
              </w:rPr>
            </w:pPr>
            <w:r w:rsidRPr="00705F14">
              <w:rPr>
                <w:rFonts w:ascii="Verdana" w:hAnsi="Verdana"/>
                <w:sz w:val="18"/>
                <w:szCs w:val="18"/>
              </w:rPr>
              <w:t>2,927,792</w:t>
            </w: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1FDB78BE" w14:textId="07795369" w:rsidR="00E861A9" w:rsidRPr="00705F14" w:rsidRDefault="006D7AEC" w:rsidP="00E861A9">
            <w:pPr>
              <w:pStyle w:val="Tabletext0"/>
              <w:spacing w:before="20" w:after="20" w:line="240" w:lineRule="auto"/>
              <w:rPr>
                <w:rFonts w:ascii="Verdana" w:hAnsi="Verdana"/>
                <w:sz w:val="18"/>
                <w:szCs w:val="18"/>
              </w:rPr>
            </w:pPr>
            <w:proofErr w:type="spellStart"/>
            <w:r w:rsidRPr="00705F14">
              <w:rPr>
                <w:rFonts w:ascii="Verdana" w:hAnsi="Verdana"/>
                <w:sz w:val="18"/>
                <w:szCs w:val="18"/>
              </w:rPr>
              <w:t>Calculated</w:t>
            </w:r>
            <w:r w:rsidR="009179D3" w:rsidRPr="00705F14">
              <w:rPr>
                <w:rFonts w:ascii="Verdana" w:hAnsi="Verdana"/>
                <w:sz w:val="18"/>
                <w:szCs w:val="18"/>
                <w:vertAlign w:val="superscript"/>
              </w:rPr>
              <w:t>c</w:t>
            </w:r>
            <w:proofErr w:type="spellEnd"/>
          </w:p>
        </w:tc>
      </w:tr>
      <w:tr w:rsidR="00E861A9" w:rsidRPr="00705F14" w14:paraId="4753E4D4" w14:textId="77777777" w:rsidTr="00B63FD1">
        <w:tc>
          <w:tcPr>
            <w:tcW w:w="6450" w:type="dxa"/>
            <w:gridSpan w:val="8"/>
            <w:tcBorders>
              <w:top w:val="single" w:sz="4" w:space="0" w:color="808080" w:themeColor="background1" w:themeShade="80"/>
              <w:bottom w:val="single" w:sz="4" w:space="0" w:color="808080" w:themeColor="background1" w:themeShade="80"/>
            </w:tcBorders>
            <w:shd w:val="clear" w:color="auto" w:fill="auto"/>
          </w:tcPr>
          <w:p w14:paraId="2D1AFF69" w14:textId="77777777"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Relative HIV prevalence for high- vs. low-risk levels</w:t>
            </w:r>
          </w:p>
        </w:tc>
        <w:tc>
          <w:tcPr>
            <w:tcW w:w="6634" w:type="dxa"/>
            <w:gridSpan w:val="9"/>
            <w:tcBorders>
              <w:top w:val="single" w:sz="4" w:space="0" w:color="808080" w:themeColor="background1" w:themeShade="80"/>
              <w:bottom w:val="single" w:sz="4" w:space="0" w:color="808080" w:themeColor="background1" w:themeShade="80"/>
            </w:tcBorders>
            <w:shd w:val="clear" w:color="auto" w:fill="auto"/>
            <w:noWrap/>
            <w:hideMark/>
          </w:tcPr>
          <w:p w14:paraId="7FC518C3" w14:textId="77777777" w:rsidR="00E861A9" w:rsidRPr="00705F14" w:rsidRDefault="00E861A9" w:rsidP="00E861A9">
            <w:pPr>
              <w:pStyle w:val="Tabletext0"/>
              <w:spacing w:before="20" w:after="20" w:line="240" w:lineRule="auto"/>
              <w:rPr>
                <w:rFonts w:ascii="Verdana" w:hAnsi="Verdana"/>
                <w:sz w:val="18"/>
                <w:szCs w:val="18"/>
              </w:rPr>
            </w:pPr>
          </w:p>
        </w:tc>
      </w:tr>
      <w:tr w:rsidR="00E861A9" w:rsidRPr="00705F14" w14:paraId="6F006A38"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hideMark/>
          </w:tcPr>
          <w:p w14:paraId="787E79BF" w14:textId="77777777" w:rsidR="00E861A9" w:rsidRPr="00705F14" w:rsidRDefault="00E861A9" w:rsidP="00E861A9">
            <w:pPr>
              <w:pStyle w:val="Tabletextindented"/>
              <w:spacing w:before="20" w:after="20" w:line="240" w:lineRule="auto"/>
              <w:rPr>
                <w:rFonts w:ascii="Verdana" w:hAnsi="Verdana"/>
                <w:sz w:val="18"/>
                <w:szCs w:val="18"/>
              </w:rPr>
            </w:pPr>
            <w:r w:rsidRPr="00705F14">
              <w:rPr>
                <w:rFonts w:ascii="Verdana" w:hAnsi="Verdana"/>
                <w:sz w:val="18"/>
                <w:szCs w:val="18"/>
              </w:rPr>
              <w:t>MSM</w:t>
            </w:r>
          </w:p>
        </w:tc>
        <w:tc>
          <w:tcPr>
            <w:tcW w:w="8288" w:type="dxa"/>
            <w:gridSpan w:val="14"/>
            <w:tcBorders>
              <w:top w:val="single" w:sz="4" w:space="0" w:color="808080" w:themeColor="background1" w:themeShade="80"/>
              <w:bottom w:val="single" w:sz="4" w:space="0" w:color="808080" w:themeColor="background1" w:themeShade="80"/>
            </w:tcBorders>
            <w:shd w:val="clear" w:color="auto" w:fill="auto"/>
            <w:noWrap/>
            <w:hideMark/>
          </w:tcPr>
          <w:p w14:paraId="27118156" w14:textId="54819472" w:rsidR="00E861A9" w:rsidRPr="00705F14" w:rsidRDefault="00E861A9" w:rsidP="00E861A9">
            <w:pPr>
              <w:pStyle w:val="Tabletext0"/>
              <w:spacing w:before="20" w:after="20" w:line="240" w:lineRule="auto"/>
              <w:rPr>
                <w:rFonts w:ascii="Verdana" w:hAnsi="Verdana"/>
                <w:sz w:val="18"/>
                <w:szCs w:val="18"/>
              </w:rPr>
            </w:pPr>
            <w:r w:rsidRPr="00705F14">
              <w:rPr>
                <w:rFonts w:ascii="Verdana" w:hAnsi="Verdana"/>
                <w:sz w:val="18"/>
                <w:szCs w:val="18"/>
              </w:rPr>
              <w:t>---------------------------------------------</w:t>
            </w:r>
            <w:r w:rsidR="009C3388" w:rsidRPr="00705F14">
              <w:rPr>
                <w:rFonts w:ascii="Verdana" w:hAnsi="Verdana"/>
                <w:sz w:val="18"/>
                <w:szCs w:val="18"/>
              </w:rPr>
              <w:t>4</w:t>
            </w:r>
            <w:r w:rsidRPr="00705F14">
              <w:rPr>
                <w:rFonts w:ascii="Verdana" w:hAnsi="Verdana"/>
                <w:sz w:val="18"/>
                <w:szCs w:val="18"/>
              </w:rPr>
              <w:t>.00------------------------------------------------</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659B77E9" w14:textId="612FC98E" w:rsidR="00E861A9" w:rsidRPr="00705F14" w:rsidDel="001E46A1" w:rsidRDefault="00E861A9" w:rsidP="00E861A9">
            <w:pPr>
              <w:pStyle w:val="Tabletext0"/>
              <w:spacing w:before="20" w:after="20" w:line="240" w:lineRule="auto"/>
              <w:jc w:val="center"/>
              <w:rPr>
                <w:rFonts w:ascii="Verdana" w:hAnsi="Verdana"/>
                <w:sz w:val="18"/>
                <w:szCs w:val="18"/>
              </w:rPr>
            </w:pPr>
          </w:p>
        </w:tc>
        <w:tc>
          <w:tcPr>
            <w:tcW w:w="1794" w:type="dxa"/>
            <w:tcBorders>
              <w:top w:val="single" w:sz="4" w:space="0" w:color="808080" w:themeColor="background1" w:themeShade="80"/>
              <w:bottom w:val="single" w:sz="4" w:space="0" w:color="808080" w:themeColor="background1" w:themeShade="80"/>
            </w:tcBorders>
            <w:shd w:val="clear" w:color="auto" w:fill="auto"/>
            <w:noWrap/>
            <w:hideMark/>
          </w:tcPr>
          <w:p w14:paraId="18542447" w14:textId="73C94ED3" w:rsidR="00E861A9" w:rsidRPr="00705F14" w:rsidRDefault="006D7AEC" w:rsidP="00E861A9">
            <w:pPr>
              <w:pStyle w:val="Tabletext0"/>
              <w:spacing w:before="20" w:after="20" w:line="240" w:lineRule="auto"/>
              <w:rPr>
                <w:rFonts w:ascii="Verdana" w:hAnsi="Verdana"/>
                <w:sz w:val="18"/>
                <w:szCs w:val="18"/>
              </w:rPr>
            </w:pPr>
            <w:r w:rsidRPr="00705F14">
              <w:rPr>
                <w:rFonts w:ascii="Verdana" w:hAnsi="Verdana"/>
                <w:sz w:val="18"/>
                <w:szCs w:val="18"/>
              </w:rPr>
              <w:t>Assumption</w:t>
            </w:r>
            <w:r w:rsidR="00DC75F7" w:rsidRPr="00705F14">
              <w:rPr>
                <w:rFonts w:ascii="Verdana" w:hAnsi="Verdana"/>
                <w:sz w:val="18"/>
                <w:szCs w:val="18"/>
              </w:rPr>
              <w:t xml:space="preserve"> based on </w:t>
            </w:r>
            <w:r w:rsidR="00225A19" w:rsidRPr="00705F14">
              <w:rPr>
                <w:rFonts w:ascii="Verdana" w:hAnsi="Verdana"/>
                <w:sz w:val="18"/>
                <w:szCs w:val="18"/>
              </w:rPr>
              <w:t>NHBS 2017 (CDC, 2019b).</w:t>
            </w:r>
            <w:r w:rsidR="009179D3" w:rsidRPr="00705F14">
              <w:rPr>
                <w:rFonts w:ascii="Verdana" w:hAnsi="Verdana"/>
                <w:sz w:val="18"/>
                <w:szCs w:val="18"/>
                <w:vertAlign w:val="superscript"/>
              </w:rPr>
              <w:t>h</w:t>
            </w:r>
          </w:p>
        </w:tc>
      </w:tr>
      <w:tr w:rsidR="00DC75F7" w:rsidRPr="00705F14" w14:paraId="561AB115"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7DF7C98C" w14:textId="77777777" w:rsidR="00DC75F7" w:rsidRPr="00705F14" w:rsidRDefault="00DC75F7" w:rsidP="00E861A9">
            <w:pPr>
              <w:pStyle w:val="Tabletextindented"/>
              <w:spacing w:before="20" w:after="20" w:line="240" w:lineRule="auto"/>
              <w:rPr>
                <w:rFonts w:ascii="Verdana" w:hAnsi="Verdana"/>
                <w:sz w:val="18"/>
                <w:szCs w:val="18"/>
              </w:rPr>
            </w:pPr>
            <w:r w:rsidRPr="00705F14">
              <w:rPr>
                <w:rFonts w:ascii="Verdana" w:hAnsi="Verdana"/>
                <w:sz w:val="18"/>
                <w:szCs w:val="18"/>
              </w:rPr>
              <w:t>HET</w:t>
            </w:r>
          </w:p>
        </w:tc>
        <w:tc>
          <w:tcPr>
            <w:tcW w:w="8288" w:type="dxa"/>
            <w:gridSpan w:val="14"/>
            <w:tcBorders>
              <w:top w:val="single" w:sz="4" w:space="0" w:color="808080" w:themeColor="background1" w:themeShade="80"/>
              <w:bottom w:val="single" w:sz="4" w:space="0" w:color="808080" w:themeColor="background1" w:themeShade="80"/>
            </w:tcBorders>
            <w:shd w:val="clear" w:color="auto" w:fill="auto"/>
            <w:noWrap/>
          </w:tcPr>
          <w:p w14:paraId="25FBEC95" w14:textId="77777777" w:rsidR="00DC75F7" w:rsidRPr="00705F14" w:rsidRDefault="00DC75F7" w:rsidP="00E861A9">
            <w:pPr>
              <w:pStyle w:val="Tabletext0"/>
              <w:spacing w:before="20" w:after="20" w:line="240" w:lineRule="auto"/>
              <w:rPr>
                <w:rFonts w:ascii="Verdana" w:hAnsi="Verdana"/>
                <w:sz w:val="18"/>
                <w:szCs w:val="18"/>
              </w:rPr>
            </w:pPr>
          </w:p>
        </w:tc>
        <w:tc>
          <w:tcPr>
            <w:tcW w:w="1319" w:type="dxa"/>
            <w:tcBorders>
              <w:top w:val="single" w:sz="4" w:space="0" w:color="808080" w:themeColor="background1" w:themeShade="80"/>
              <w:bottom w:val="single" w:sz="4" w:space="0" w:color="808080" w:themeColor="background1" w:themeShade="80"/>
            </w:tcBorders>
            <w:shd w:val="clear" w:color="auto" w:fill="auto"/>
          </w:tcPr>
          <w:p w14:paraId="4CAFD92F" w14:textId="77777777" w:rsidR="00DC75F7" w:rsidRPr="00705F14" w:rsidRDefault="00DC75F7" w:rsidP="00E861A9">
            <w:pPr>
              <w:pStyle w:val="Tabletext0"/>
              <w:spacing w:before="20" w:after="20" w:line="240" w:lineRule="auto"/>
              <w:jc w:val="center"/>
              <w:rPr>
                <w:rFonts w:ascii="Verdana" w:hAnsi="Verdana"/>
                <w:sz w:val="18"/>
                <w:szCs w:val="18"/>
              </w:rPr>
            </w:pPr>
          </w:p>
        </w:tc>
        <w:tc>
          <w:tcPr>
            <w:tcW w:w="1794" w:type="dxa"/>
            <w:vMerge w:val="restart"/>
            <w:tcBorders>
              <w:top w:val="single" w:sz="4" w:space="0" w:color="808080" w:themeColor="background1" w:themeShade="80"/>
            </w:tcBorders>
            <w:shd w:val="clear" w:color="auto" w:fill="auto"/>
            <w:noWrap/>
          </w:tcPr>
          <w:p w14:paraId="112BBDBD" w14:textId="73CFF526" w:rsidR="00DC75F7" w:rsidRPr="00705F14" w:rsidRDefault="00DC75F7" w:rsidP="00E861A9">
            <w:pPr>
              <w:pStyle w:val="Tabletext0"/>
              <w:spacing w:before="20" w:after="20" w:line="240" w:lineRule="auto"/>
              <w:rPr>
                <w:rFonts w:ascii="Verdana" w:hAnsi="Verdana"/>
                <w:sz w:val="18"/>
                <w:szCs w:val="18"/>
              </w:rPr>
            </w:pPr>
            <w:r w:rsidRPr="00705F14">
              <w:rPr>
                <w:rFonts w:ascii="Verdana" w:hAnsi="Verdana"/>
                <w:sz w:val="18"/>
                <w:szCs w:val="18"/>
              </w:rPr>
              <w:t>Assumption</w:t>
            </w:r>
            <w:r w:rsidR="00225A19" w:rsidRPr="00705F14">
              <w:rPr>
                <w:rFonts w:ascii="Verdana" w:hAnsi="Verdana"/>
                <w:sz w:val="18"/>
                <w:szCs w:val="18"/>
              </w:rPr>
              <w:t xml:space="preserve"> based on Woodring (2015) and </w:t>
            </w:r>
            <w:proofErr w:type="spellStart"/>
            <w:r w:rsidR="009179D3" w:rsidRPr="00705F14">
              <w:rPr>
                <w:rFonts w:ascii="Verdana" w:hAnsi="Verdana"/>
                <w:sz w:val="18"/>
                <w:szCs w:val="18"/>
              </w:rPr>
              <w:t>SME</w:t>
            </w:r>
            <w:r w:rsidR="009179D3" w:rsidRPr="00705F14">
              <w:rPr>
                <w:rFonts w:ascii="Verdana" w:hAnsi="Verdana"/>
                <w:sz w:val="18"/>
                <w:szCs w:val="18"/>
                <w:vertAlign w:val="superscript"/>
              </w:rPr>
              <w:t>i</w:t>
            </w:r>
            <w:proofErr w:type="spellEnd"/>
          </w:p>
        </w:tc>
      </w:tr>
      <w:tr w:rsidR="00DC75F7" w:rsidRPr="00705F14" w14:paraId="73DA97F9"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59086006" w14:textId="77777777" w:rsidR="00DC75F7" w:rsidRPr="00705F14" w:rsidRDefault="00DC75F7" w:rsidP="00E861A9">
            <w:pPr>
              <w:pStyle w:val="Tabletextindented"/>
              <w:spacing w:before="20" w:after="20" w:line="240" w:lineRule="auto"/>
              <w:rPr>
                <w:rFonts w:ascii="Verdana" w:hAnsi="Verdana"/>
                <w:sz w:val="18"/>
                <w:szCs w:val="18"/>
              </w:rPr>
            </w:pPr>
            <w:r w:rsidRPr="00705F14">
              <w:rPr>
                <w:rFonts w:ascii="Verdana" w:hAnsi="Verdana"/>
                <w:sz w:val="18"/>
                <w:szCs w:val="18"/>
              </w:rPr>
              <w:lastRenderedPageBreak/>
              <w:t xml:space="preserve">  Black</w:t>
            </w:r>
          </w:p>
        </w:tc>
        <w:tc>
          <w:tcPr>
            <w:tcW w:w="8288" w:type="dxa"/>
            <w:gridSpan w:val="14"/>
            <w:tcBorders>
              <w:top w:val="single" w:sz="4" w:space="0" w:color="808080" w:themeColor="background1" w:themeShade="80"/>
              <w:bottom w:val="single" w:sz="4" w:space="0" w:color="808080" w:themeColor="background1" w:themeShade="80"/>
            </w:tcBorders>
            <w:shd w:val="clear" w:color="auto" w:fill="auto"/>
            <w:noWrap/>
          </w:tcPr>
          <w:p w14:paraId="3158A783" w14:textId="0BFCA958" w:rsidR="00DC75F7" w:rsidRPr="00705F14" w:rsidRDefault="00DC75F7" w:rsidP="00E861A9">
            <w:pPr>
              <w:pStyle w:val="Tabletext0"/>
              <w:spacing w:before="20" w:after="20" w:line="240" w:lineRule="auto"/>
              <w:rPr>
                <w:rFonts w:ascii="Verdana" w:hAnsi="Verdana"/>
                <w:sz w:val="18"/>
                <w:szCs w:val="18"/>
              </w:rPr>
            </w:pPr>
            <w:r w:rsidRPr="00705F14">
              <w:rPr>
                <w:rFonts w:ascii="Verdana" w:hAnsi="Verdana"/>
                <w:sz w:val="18"/>
                <w:szCs w:val="18"/>
              </w:rPr>
              <w:t>--------------------------------------------</w:t>
            </w:r>
            <w:r w:rsidR="003513AF" w:rsidRPr="00705F14">
              <w:rPr>
                <w:rFonts w:ascii="Verdana" w:hAnsi="Verdana"/>
                <w:sz w:val="18"/>
                <w:szCs w:val="18"/>
              </w:rPr>
              <w:t>20</w:t>
            </w:r>
            <w:r w:rsidRPr="00705F14">
              <w:rPr>
                <w:rFonts w:ascii="Verdana" w:hAnsi="Verdana"/>
                <w:sz w:val="18"/>
                <w:szCs w:val="18"/>
              </w:rPr>
              <w:t>.00------------------------------------------------</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311F248F" w14:textId="0154490C" w:rsidR="00DC75F7" w:rsidRPr="00705F14" w:rsidRDefault="00DC75F7" w:rsidP="00E861A9">
            <w:pPr>
              <w:pStyle w:val="Tabletext0"/>
              <w:spacing w:before="20" w:after="20" w:line="240" w:lineRule="auto"/>
              <w:jc w:val="center"/>
              <w:rPr>
                <w:rFonts w:ascii="Verdana" w:hAnsi="Verdana"/>
                <w:sz w:val="18"/>
                <w:szCs w:val="18"/>
              </w:rPr>
            </w:pPr>
          </w:p>
        </w:tc>
        <w:tc>
          <w:tcPr>
            <w:tcW w:w="1794" w:type="dxa"/>
            <w:vMerge/>
            <w:shd w:val="clear" w:color="auto" w:fill="auto"/>
            <w:noWrap/>
          </w:tcPr>
          <w:p w14:paraId="12CA3EDE" w14:textId="21D389CB" w:rsidR="00DC75F7" w:rsidRPr="00705F14" w:rsidRDefault="00DC75F7" w:rsidP="00E861A9">
            <w:pPr>
              <w:pStyle w:val="Tabletext0"/>
              <w:spacing w:before="20" w:after="20" w:line="240" w:lineRule="auto"/>
              <w:rPr>
                <w:rFonts w:ascii="Verdana" w:hAnsi="Verdana"/>
                <w:sz w:val="18"/>
                <w:szCs w:val="18"/>
              </w:rPr>
            </w:pPr>
          </w:p>
        </w:tc>
      </w:tr>
      <w:tr w:rsidR="00DC75F7" w:rsidRPr="00705F14" w14:paraId="0224734D" w14:textId="77777777" w:rsidTr="00B63FD1">
        <w:tc>
          <w:tcPr>
            <w:tcW w:w="1683" w:type="dxa"/>
            <w:tcBorders>
              <w:top w:val="single" w:sz="4" w:space="0" w:color="808080" w:themeColor="background1" w:themeShade="80"/>
              <w:bottom w:val="single" w:sz="4" w:space="0" w:color="808080" w:themeColor="background1" w:themeShade="80"/>
            </w:tcBorders>
            <w:shd w:val="clear" w:color="auto" w:fill="auto"/>
            <w:noWrap/>
          </w:tcPr>
          <w:p w14:paraId="240516AE" w14:textId="77777777" w:rsidR="00DC75F7" w:rsidRPr="00705F14" w:rsidRDefault="00DC75F7" w:rsidP="00E861A9">
            <w:pPr>
              <w:pStyle w:val="Tabletextindented"/>
              <w:spacing w:before="20" w:after="20" w:line="240" w:lineRule="auto"/>
              <w:rPr>
                <w:rFonts w:ascii="Verdana" w:hAnsi="Verdana"/>
                <w:sz w:val="18"/>
                <w:szCs w:val="18"/>
              </w:rPr>
            </w:pPr>
            <w:r w:rsidRPr="00705F14">
              <w:rPr>
                <w:rFonts w:ascii="Verdana" w:hAnsi="Verdana"/>
                <w:sz w:val="18"/>
                <w:szCs w:val="18"/>
              </w:rPr>
              <w:t xml:space="preserve">  Hispanic</w:t>
            </w:r>
          </w:p>
        </w:tc>
        <w:tc>
          <w:tcPr>
            <w:tcW w:w="8288" w:type="dxa"/>
            <w:gridSpan w:val="14"/>
            <w:tcBorders>
              <w:top w:val="single" w:sz="4" w:space="0" w:color="808080" w:themeColor="background1" w:themeShade="80"/>
              <w:bottom w:val="single" w:sz="4" w:space="0" w:color="808080" w:themeColor="background1" w:themeShade="80"/>
            </w:tcBorders>
            <w:shd w:val="clear" w:color="auto" w:fill="auto"/>
            <w:noWrap/>
          </w:tcPr>
          <w:p w14:paraId="7243E85A" w14:textId="53B4B46A" w:rsidR="00DC75F7" w:rsidRPr="00705F14" w:rsidRDefault="00DC75F7" w:rsidP="00E861A9">
            <w:pPr>
              <w:pStyle w:val="Tabletext0"/>
              <w:spacing w:before="20" w:after="20" w:line="240" w:lineRule="auto"/>
              <w:rPr>
                <w:rFonts w:ascii="Verdana" w:hAnsi="Verdana"/>
                <w:sz w:val="18"/>
                <w:szCs w:val="18"/>
              </w:rPr>
            </w:pPr>
            <w:r w:rsidRPr="00705F14">
              <w:rPr>
                <w:rFonts w:ascii="Verdana" w:hAnsi="Verdana"/>
                <w:sz w:val="18"/>
                <w:szCs w:val="18"/>
              </w:rPr>
              <w:t>--------------------------------------------</w:t>
            </w:r>
            <w:r w:rsidR="003513AF" w:rsidRPr="00705F14">
              <w:rPr>
                <w:rFonts w:ascii="Verdana" w:hAnsi="Verdana"/>
                <w:sz w:val="18"/>
                <w:szCs w:val="18"/>
              </w:rPr>
              <w:t>10</w:t>
            </w:r>
            <w:r w:rsidRPr="00705F14">
              <w:rPr>
                <w:rFonts w:ascii="Verdana" w:hAnsi="Verdana"/>
                <w:sz w:val="18"/>
                <w:szCs w:val="18"/>
              </w:rPr>
              <w:t>.00------------------------------------------------</w:t>
            </w:r>
          </w:p>
        </w:tc>
        <w:tc>
          <w:tcPr>
            <w:tcW w:w="1319" w:type="dxa"/>
            <w:tcBorders>
              <w:top w:val="single" w:sz="4" w:space="0" w:color="808080" w:themeColor="background1" w:themeShade="80"/>
              <w:bottom w:val="single" w:sz="4" w:space="0" w:color="808080" w:themeColor="background1" w:themeShade="80"/>
            </w:tcBorders>
            <w:shd w:val="clear" w:color="auto" w:fill="auto"/>
          </w:tcPr>
          <w:p w14:paraId="3235A80D" w14:textId="1982F986" w:rsidR="00DC75F7" w:rsidRPr="00705F14" w:rsidRDefault="00DC75F7" w:rsidP="00E861A9">
            <w:pPr>
              <w:pStyle w:val="Tabletext0"/>
              <w:spacing w:before="20" w:after="20" w:line="240" w:lineRule="auto"/>
              <w:jc w:val="center"/>
              <w:rPr>
                <w:rFonts w:ascii="Verdana" w:hAnsi="Verdana"/>
                <w:sz w:val="18"/>
                <w:szCs w:val="18"/>
              </w:rPr>
            </w:pPr>
          </w:p>
        </w:tc>
        <w:tc>
          <w:tcPr>
            <w:tcW w:w="1794" w:type="dxa"/>
            <w:vMerge/>
            <w:shd w:val="clear" w:color="auto" w:fill="auto"/>
            <w:noWrap/>
          </w:tcPr>
          <w:p w14:paraId="4F7CCF2B" w14:textId="47D545D7" w:rsidR="00DC75F7" w:rsidRPr="00705F14" w:rsidRDefault="00DC75F7" w:rsidP="00E861A9">
            <w:pPr>
              <w:pStyle w:val="Tabletext0"/>
              <w:spacing w:before="20" w:after="20" w:line="240" w:lineRule="auto"/>
              <w:rPr>
                <w:rFonts w:ascii="Verdana" w:hAnsi="Verdana"/>
                <w:sz w:val="18"/>
                <w:szCs w:val="18"/>
              </w:rPr>
            </w:pPr>
          </w:p>
        </w:tc>
      </w:tr>
      <w:tr w:rsidR="00DC75F7" w:rsidRPr="00130D7A" w14:paraId="2B297B5D" w14:textId="77777777" w:rsidTr="00B63FD1">
        <w:tc>
          <w:tcPr>
            <w:tcW w:w="1683" w:type="dxa"/>
            <w:tcBorders>
              <w:top w:val="single" w:sz="4" w:space="0" w:color="808080" w:themeColor="background1" w:themeShade="80"/>
              <w:bottom w:val="single" w:sz="6" w:space="0" w:color="000000"/>
            </w:tcBorders>
            <w:shd w:val="clear" w:color="auto" w:fill="auto"/>
            <w:noWrap/>
          </w:tcPr>
          <w:p w14:paraId="4B67F9CF" w14:textId="3BE6310C" w:rsidR="00DC75F7" w:rsidRPr="00705F14" w:rsidRDefault="00DC75F7" w:rsidP="00E861A9">
            <w:pPr>
              <w:pStyle w:val="Tabletextindented"/>
              <w:spacing w:before="20" w:after="20" w:line="240" w:lineRule="auto"/>
              <w:rPr>
                <w:rFonts w:ascii="Verdana" w:hAnsi="Verdana"/>
                <w:sz w:val="18"/>
                <w:szCs w:val="18"/>
              </w:rPr>
            </w:pPr>
            <w:r w:rsidRPr="00705F14">
              <w:rPr>
                <w:rFonts w:ascii="Verdana" w:hAnsi="Verdana"/>
                <w:sz w:val="18"/>
                <w:szCs w:val="18"/>
              </w:rPr>
              <w:t xml:space="preserve">  </w:t>
            </w:r>
            <w:r w:rsidR="00825918" w:rsidRPr="00705F14">
              <w:rPr>
                <w:rFonts w:ascii="Verdana" w:hAnsi="Verdana"/>
                <w:sz w:val="18"/>
                <w:szCs w:val="18"/>
              </w:rPr>
              <w:t>White/</w:t>
            </w:r>
            <w:r w:rsidRPr="00705F14">
              <w:rPr>
                <w:rFonts w:ascii="Verdana" w:hAnsi="Verdana"/>
                <w:sz w:val="18"/>
                <w:szCs w:val="18"/>
              </w:rPr>
              <w:t>Other</w:t>
            </w:r>
          </w:p>
        </w:tc>
        <w:tc>
          <w:tcPr>
            <w:tcW w:w="8288" w:type="dxa"/>
            <w:gridSpan w:val="14"/>
            <w:tcBorders>
              <w:top w:val="single" w:sz="4" w:space="0" w:color="808080" w:themeColor="background1" w:themeShade="80"/>
              <w:bottom w:val="single" w:sz="6" w:space="0" w:color="000000"/>
            </w:tcBorders>
            <w:shd w:val="clear" w:color="auto" w:fill="auto"/>
            <w:noWrap/>
          </w:tcPr>
          <w:p w14:paraId="6EE753D0" w14:textId="567A1AE0" w:rsidR="00DC75F7" w:rsidRPr="00705F14" w:rsidRDefault="00DC75F7" w:rsidP="00E861A9">
            <w:pPr>
              <w:pStyle w:val="Tabletext0"/>
              <w:spacing w:before="20" w:after="20" w:line="240" w:lineRule="auto"/>
              <w:rPr>
                <w:rFonts w:ascii="Verdana" w:hAnsi="Verdana"/>
                <w:sz w:val="18"/>
                <w:szCs w:val="18"/>
              </w:rPr>
            </w:pPr>
            <w:r w:rsidRPr="00705F14">
              <w:rPr>
                <w:rFonts w:ascii="Verdana" w:hAnsi="Verdana"/>
                <w:sz w:val="18"/>
                <w:szCs w:val="18"/>
              </w:rPr>
              <w:t>---------------------------------------------</w:t>
            </w:r>
            <w:r w:rsidR="003513AF" w:rsidRPr="00705F14">
              <w:rPr>
                <w:rFonts w:ascii="Verdana" w:hAnsi="Verdana"/>
                <w:sz w:val="18"/>
                <w:szCs w:val="18"/>
              </w:rPr>
              <w:t>5</w:t>
            </w:r>
            <w:r w:rsidRPr="00705F14">
              <w:rPr>
                <w:rFonts w:ascii="Verdana" w:hAnsi="Verdana"/>
                <w:sz w:val="18"/>
                <w:szCs w:val="18"/>
              </w:rPr>
              <w:t>.00-------------------------------------------------</w:t>
            </w:r>
          </w:p>
        </w:tc>
        <w:tc>
          <w:tcPr>
            <w:tcW w:w="1319" w:type="dxa"/>
            <w:tcBorders>
              <w:top w:val="single" w:sz="4" w:space="0" w:color="808080" w:themeColor="background1" w:themeShade="80"/>
              <w:bottom w:val="single" w:sz="6" w:space="0" w:color="000000"/>
            </w:tcBorders>
            <w:shd w:val="clear" w:color="auto" w:fill="auto"/>
          </w:tcPr>
          <w:p w14:paraId="3B874CB2" w14:textId="50AB4AF1" w:rsidR="00DC75F7" w:rsidRPr="00705F14" w:rsidRDefault="00DC75F7" w:rsidP="00E861A9">
            <w:pPr>
              <w:pStyle w:val="Tabletext0"/>
              <w:spacing w:before="20" w:after="20" w:line="240" w:lineRule="auto"/>
              <w:jc w:val="center"/>
              <w:rPr>
                <w:rFonts w:ascii="Verdana" w:hAnsi="Verdana"/>
                <w:sz w:val="18"/>
                <w:szCs w:val="18"/>
              </w:rPr>
            </w:pPr>
          </w:p>
        </w:tc>
        <w:tc>
          <w:tcPr>
            <w:tcW w:w="1794" w:type="dxa"/>
            <w:vMerge/>
            <w:tcBorders>
              <w:bottom w:val="single" w:sz="6" w:space="0" w:color="000000"/>
            </w:tcBorders>
            <w:shd w:val="clear" w:color="auto" w:fill="auto"/>
            <w:noWrap/>
          </w:tcPr>
          <w:p w14:paraId="50962580" w14:textId="5BE51FA5" w:rsidR="00DC75F7" w:rsidRPr="00705F14" w:rsidRDefault="00DC75F7" w:rsidP="00E861A9">
            <w:pPr>
              <w:pStyle w:val="Tabletext0"/>
              <w:spacing w:before="20" w:after="20" w:line="240" w:lineRule="auto"/>
              <w:rPr>
                <w:rFonts w:ascii="Verdana" w:hAnsi="Verdana"/>
                <w:sz w:val="18"/>
                <w:szCs w:val="18"/>
              </w:rPr>
            </w:pPr>
          </w:p>
        </w:tc>
      </w:tr>
    </w:tbl>
    <w:p w14:paraId="66289941" w14:textId="6F89A7E9" w:rsidR="00E861A9" w:rsidRPr="00705F14" w:rsidRDefault="00E861A9" w:rsidP="00E861A9">
      <w:pPr>
        <w:pStyle w:val="Source3"/>
        <w:spacing w:before="20"/>
      </w:pPr>
      <w:r w:rsidRPr="00E832D1">
        <w:t xml:space="preserve">Note: CDC = Centers for Disease Control and Prevention; HET = heterosexual; HIV = human immunodeficiency virus; MSM = men who have sex with men; N/A = not applicable; </w:t>
      </w:r>
      <w:r w:rsidR="00926907" w:rsidRPr="00E832D1">
        <w:t xml:space="preserve">NHANES = National Health and Nutrition Examination Survey; </w:t>
      </w:r>
      <w:r w:rsidRPr="00E832D1">
        <w:t xml:space="preserve">NHBS = National HIV Behavioral Surveillance; </w:t>
      </w:r>
      <w:r w:rsidRPr="00705F14">
        <w:t>PWID = people who inject drugs</w:t>
      </w:r>
    </w:p>
    <w:p w14:paraId="0EFB8A03" w14:textId="292FCB63" w:rsidR="00C90FE9" w:rsidRPr="00705F14" w:rsidRDefault="00C90FE9" w:rsidP="00C90A75">
      <w:pPr>
        <w:pStyle w:val="Source2"/>
        <w:spacing w:before="0"/>
      </w:pPr>
      <w:r w:rsidRPr="00705F14">
        <w:rPr>
          <w:vertAlign w:val="superscript"/>
        </w:rPr>
        <w:t>a</w:t>
      </w:r>
      <w:r w:rsidRPr="00705F14">
        <w:rPr>
          <w:vertAlign w:val="subscript"/>
        </w:rPr>
        <w:t xml:space="preserve">  </w:t>
      </w:r>
      <w:r w:rsidRPr="00705F14">
        <w:t xml:space="preserve">Determined by an unpublished RTI analysis of the percentage of HETS in NHANES </w:t>
      </w:r>
      <w:r w:rsidR="00C90A75" w:rsidRPr="00705F14">
        <w:t xml:space="preserve">waves </w:t>
      </w:r>
      <w:r w:rsidRPr="00705F14">
        <w:t xml:space="preserve">2009-2016 who met </w:t>
      </w:r>
      <w:r w:rsidR="00C90A75" w:rsidRPr="00705F14">
        <w:t xml:space="preserve">the following CDC </w:t>
      </w:r>
      <w:r w:rsidRPr="00705F14">
        <w:t xml:space="preserve">2017 </w:t>
      </w:r>
      <w:proofErr w:type="spellStart"/>
      <w:r w:rsidRPr="00705F14">
        <w:t>PrEP</w:t>
      </w:r>
      <w:proofErr w:type="spellEnd"/>
      <w:r w:rsidRPr="00705F14">
        <w:t xml:space="preserve"> eligibility </w:t>
      </w:r>
      <w:r w:rsidR="00C90A75" w:rsidRPr="00705F14">
        <w:t>criteria: (1</w:t>
      </w:r>
      <w:r w:rsidR="00A757CE" w:rsidRPr="00705F14">
        <w:t>)</w:t>
      </w:r>
      <w:r w:rsidR="0035118C" w:rsidRPr="00705F14">
        <w:t xml:space="preserve"> </w:t>
      </w:r>
      <w:r w:rsidR="00C90A75" w:rsidRPr="00705F14">
        <w:t>h</w:t>
      </w:r>
      <w:r w:rsidR="00A757CE" w:rsidRPr="00705F14">
        <w:t>ad not already been defined as MSM</w:t>
      </w:r>
      <w:r w:rsidR="0035118C" w:rsidRPr="00705F14">
        <w:t xml:space="preserve"> or PWID</w:t>
      </w:r>
      <w:r w:rsidR="00A757CE" w:rsidRPr="00705F14">
        <w:t xml:space="preserve">, and </w:t>
      </w:r>
      <w:r w:rsidR="00C90A75" w:rsidRPr="00705F14">
        <w:t>(</w:t>
      </w:r>
      <w:r w:rsidR="00A757CE" w:rsidRPr="00705F14">
        <w:t xml:space="preserve">2) </w:t>
      </w:r>
      <w:r w:rsidR="00C90A75" w:rsidRPr="00705F14">
        <w:t>h</w:t>
      </w:r>
      <w:r w:rsidR="00A757CE" w:rsidRPr="00705F14">
        <w:t>ad 2+ sex partners in the last 12 months, and either</w:t>
      </w:r>
      <w:r w:rsidR="00130D7A" w:rsidRPr="00705F14">
        <w:t xml:space="preserve"> h</w:t>
      </w:r>
      <w:r w:rsidR="00A757CE" w:rsidRPr="00705F14">
        <w:t xml:space="preserve">ad a bacterial STI, defined as gonorrhea, or </w:t>
      </w:r>
      <w:r w:rsidR="00130D7A" w:rsidRPr="00705F14">
        <w:t>h</w:t>
      </w:r>
      <w:r w:rsidR="00A757CE" w:rsidRPr="00705F14">
        <w:t xml:space="preserve">ad mostly </w:t>
      </w:r>
      <w:proofErr w:type="spellStart"/>
      <w:r w:rsidR="00A757CE" w:rsidRPr="00705F14">
        <w:t>condomless</w:t>
      </w:r>
      <w:proofErr w:type="spellEnd"/>
      <w:r w:rsidR="00A757CE" w:rsidRPr="00705F14">
        <w:t xml:space="preserve"> </w:t>
      </w:r>
      <w:r w:rsidR="00130D7A" w:rsidRPr="00705F14">
        <w:t xml:space="preserve">(more than half the time) </w:t>
      </w:r>
      <w:r w:rsidR="00A757CE" w:rsidRPr="00705F14">
        <w:t>sexual contacts in the last 12 months</w:t>
      </w:r>
      <w:r w:rsidR="00C90A75" w:rsidRPr="00705F14">
        <w:t xml:space="preserve"> (CDC, 2018</w:t>
      </w:r>
      <w:r w:rsidR="00DD6FBF" w:rsidRPr="00705F14">
        <w:t>d</w:t>
      </w:r>
      <w:r w:rsidR="00C90A75" w:rsidRPr="00705F14">
        <w:t>)</w:t>
      </w:r>
      <w:r w:rsidR="00A757CE" w:rsidRPr="00705F14">
        <w:t>.</w:t>
      </w:r>
    </w:p>
    <w:p w14:paraId="3E8C45B4" w14:textId="3631BF60" w:rsidR="00E861A9" w:rsidRPr="00705F14" w:rsidRDefault="00C90FE9" w:rsidP="00E861A9">
      <w:pPr>
        <w:pStyle w:val="Source2"/>
        <w:spacing w:before="0"/>
      </w:pPr>
      <w:r w:rsidRPr="00705F14">
        <w:rPr>
          <w:vertAlign w:val="superscript"/>
        </w:rPr>
        <w:t>b</w:t>
      </w:r>
      <w:r w:rsidRPr="00705F14">
        <w:rPr>
          <w:vertAlign w:val="subscript"/>
        </w:rPr>
        <w:t xml:space="preserve">  </w:t>
      </w:r>
      <w:r w:rsidR="00E861A9" w:rsidRPr="00705F14">
        <w:t>All PWID assumed to be high risk.</w:t>
      </w:r>
    </w:p>
    <w:p w14:paraId="265AE43B" w14:textId="456440E2" w:rsidR="00E861A9" w:rsidRPr="00705F14" w:rsidRDefault="00C90FE9" w:rsidP="00E861A9">
      <w:pPr>
        <w:pStyle w:val="Source2"/>
        <w:spacing w:before="0"/>
      </w:pPr>
      <w:r w:rsidRPr="00705F14">
        <w:rPr>
          <w:vertAlign w:val="superscript"/>
        </w:rPr>
        <w:t>c</w:t>
      </w:r>
      <w:r w:rsidRPr="00705F14">
        <w:t xml:space="preserve"> </w:t>
      </w:r>
      <w:r w:rsidR="00C90A75" w:rsidRPr="00705F14">
        <w:t>D</w:t>
      </w:r>
      <w:r w:rsidRPr="00705F14">
        <w:t>etermined by an</w:t>
      </w:r>
      <w:r w:rsidR="005C5A36" w:rsidRPr="00705F14">
        <w:t xml:space="preserve"> unpublished</w:t>
      </w:r>
      <w:r w:rsidRPr="00705F14">
        <w:t xml:space="preserve"> RTI</w:t>
      </w:r>
      <w:r w:rsidR="005C5A36" w:rsidRPr="00705F14">
        <w:t xml:space="preserve"> analysis of </w:t>
      </w:r>
      <w:r w:rsidRPr="00705F14">
        <w:t xml:space="preserve">the </w:t>
      </w:r>
      <w:r w:rsidR="005C5A36" w:rsidRPr="00705F14">
        <w:t>percentage of MSM</w:t>
      </w:r>
      <w:r w:rsidR="00C90A75" w:rsidRPr="00705F14">
        <w:t xml:space="preserve"> (defined as men who had any male sexual partners in the past 12 months)</w:t>
      </w:r>
      <w:r w:rsidR="005C5A36" w:rsidRPr="00705F14">
        <w:t xml:space="preserve"> in NHANES waves 2009-2016 </w:t>
      </w:r>
      <w:r w:rsidRPr="00705F14">
        <w:t>who met</w:t>
      </w:r>
      <w:r w:rsidR="005C5A36" w:rsidRPr="00705F14">
        <w:t xml:space="preserve"> </w:t>
      </w:r>
      <w:r w:rsidR="00C90A75" w:rsidRPr="00705F14">
        <w:t xml:space="preserve">the following CDC </w:t>
      </w:r>
      <w:r w:rsidR="005C5A36" w:rsidRPr="00705F14">
        <w:t xml:space="preserve">2017 </w:t>
      </w:r>
      <w:proofErr w:type="spellStart"/>
      <w:r w:rsidR="005C5A36" w:rsidRPr="00705F14">
        <w:t>PrEP</w:t>
      </w:r>
      <w:proofErr w:type="spellEnd"/>
      <w:r w:rsidR="005C5A36" w:rsidRPr="00705F14">
        <w:t xml:space="preserve"> eligibility criteria for MSM</w:t>
      </w:r>
      <w:r w:rsidRPr="00705F14">
        <w:t>:</w:t>
      </w:r>
      <w:r w:rsidR="005C5A36" w:rsidRPr="00705F14">
        <w:t xml:space="preserve"> </w:t>
      </w:r>
      <w:r w:rsidR="00C90A75" w:rsidRPr="00705F14">
        <w:t>(</w:t>
      </w:r>
      <w:r w:rsidR="005C5A36" w:rsidRPr="00705F14">
        <w:t xml:space="preserve">1) </w:t>
      </w:r>
      <w:r w:rsidR="00C90A75" w:rsidRPr="00705F14">
        <w:t>h</w:t>
      </w:r>
      <w:r w:rsidR="005C5A36" w:rsidRPr="00705F14">
        <w:t xml:space="preserve">ad 2+ anal sex partners in the last 12 months and </w:t>
      </w:r>
      <w:r w:rsidR="00C90A75" w:rsidRPr="00705F14">
        <w:t>(</w:t>
      </w:r>
      <w:r w:rsidR="005C5A36" w:rsidRPr="00705F14">
        <w:t xml:space="preserve">2) either had a bacterial </w:t>
      </w:r>
      <w:r w:rsidR="00C90A75" w:rsidRPr="00705F14">
        <w:t xml:space="preserve">sexually-transmitted infection with </w:t>
      </w:r>
      <w:r w:rsidR="005C5A36" w:rsidRPr="00705F14">
        <w:t xml:space="preserve">gonorrhea or chlamydia OR had any </w:t>
      </w:r>
      <w:proofErr w:type="spellStart"/>
      <w:r w:rsidR="005C5A36" w:rsidRPr="00705F14">
        <w:t>condomless</w:t>
      </w:r>
      <w:proofErr w:type="spellEnd"/>
      <w:r w:rsidR="005C5A36" w:rsidRPr="00705F14">
        <w:t xml:space="preserve"> sexual contacts within the past 12 months</w:t>
      </w:r>
      <w:r w:rsidR="00C90A75" w:rsidRPr="00705F14">
        <w:t xml:space="preserve"> (CDC, 2018</w:t>
      </w:r>
      <w:r w:rsidR="00DD6FBF" w:rsidRPr="00705F14">
        <w:t>d</w:t>
      </w:r>
      <w:r w:rsidR="00C90A75" w:rsidRPr="00705F14">
        <w:t>)</w:t>
      </w:r>
      <w:r w:rsidR="005C5A36" w:rsidRPr="00705F14">
        <w:t xml:space="preserve">. </w:t>
      </w:r>
    </w:p>
    <w:p w14:paraId="38C9BC6B" w14:textId="0BCE3A82" w:rsidR="006D7AEC" w:rsidRPr="00705F14" w:rsidRDefault="008E0803">
      <w:pPr>
        <w:pStyle w:val="Source2"/>
        <w:spacing w:before="0"/>
        <w:rPr>
          <w:vertAlign w:val="subscript"/>
        </w:rPr>
      </w:pPr>
      <w:r w:rsidRPr="00705F14">
        <w:rPr>
          <w:vertAlign w:val="superscript"/>
        </w:rPr>
        <w:t>d</w:t>
      </w:r>
      <w:r w:rsidRPr="00705F14">
        <w:t xml:space="preserve"> </w:t>
      </w:r>
      <w:r w:rsidR="008A577A" w:rsidRPr="00705F14">
        <w:t xml:space="preserve">Initial </w:t>
      </w:r>
      <w:r w:rsidR="0087188A" w:rsidRPr="00705F14">
        <w:t xml:space="preserve">total U.S. </w:t>
      </w:r>
      <w:r w:rsidR="008A577A" w:rsidRPr="00705F14">
        <w:t xml:space="preserve">population size inputs </w:t>
      </w:r>
      <w:r w:rsidR="0087188A" w:rsidRPr="00705F14">
        <w:t xml:space="preserve">used in HOPE </w:t>
      </w:r>
      <w:r w:rsidR="008A577A" w:rsidRPr="00705F14">
        <w:t>are stratified by age, sex, and race/ethnicity.</w:t>
      </w:r>
      <w:r w:rsidR="0087188A" w:rsidRPr="00705F14">
        <w:t xml:space="preserve"> For simplicity, the values reported here are totals by sex and race/ethnicity across all ages. </w:t>
      </w:r>
    </w:p>
    <w:p w14:paraId="2647A376" w14:textId="14E3D76C" w:rsidR="008E0803" w:rsidRPr="00705F14" w:rsidRDefault="008E0803" w:rsidP="00E861A9">
      <w:pPr>
        <w:pStyle w:val="Source2"/>
        <w:spacing w:before="0"/>
      </w:pPr>
      <w:r w:rsidRPr="00705F14">
        <w:rPr>
          <w:vertAlign w:val="superscript"/>
        </w:rPr>
        <w:t xml:space="preserve">e </w:t>
      </w:r>
      <w:r w:rsidRPr="00705F14">
        <w:t xml:space="preserve">The number of sexually-active HETs overall was determined by subtracting </w:t>
      </w:r>
      <w:r w:rsidR="003D4A45" w:rsidRPr="00705F14">
        <w:t xml:space="preserve">the number of </w:t>
      </w:r>
      <w:r w:rsidRPr="00705F14">
        <w:t>MSM and PWID from the total US population aged 13+, then multip</w:t>
      </w:r>
      <w:r w:rsidR="003D4A45" w:rsidRPr="00705F14">
        <w:t>lying the resulting number</w:t>
      </w:r>
      <w:r w:rsidRPr="00705F14">
        <w:t xml:space="preserve"> by the </w:t>
      </w:r>
      <w:r w:rsidR="003D4A45" w:rsidRPr="00705F14">
        <w:t>percentage</w:t>
      </w:r>
      <w:r w:rsidRPr="00705F14">
        <w:t xml:space="preserve"> of that population that is sexually active (88.9%)</w:t>
      </w:r>
      <w:r w:rsidR="003D4A45" w:rsidRPr="00705F14">
        <w:t xml:space="preserve">. The percentage of the population sexually active is </w:t>
      </w:r>
      <w:r w:rsidRPr="00705F14">
        <w:t xml:space="preserve">based on </w:t>
      </w:r>
      <w:r w:rsidR="003D4A45" w:rsidRPr="00705F14">
        <w:t xml:space="preserve">percentages of individuals </w:t>
      </w:r>
      <w:r w:rsidRPr="00705F14">
        <w:t>report</w:t>
      </w:r>
      <w:r w:rsidR="003D4A45" w:rsidRPr="00705F14">
        <w:t>ing</w:t>
      </w:r>
      <w:r w:rsidRPr="00705F14">
        <w:t xml:space="preserve"> sex with opposite partner</w:t>
      </w:r>
      <w:r w:rsidR="0035118C" w:rsidRPr="00705F14">
        <w:t xml:space="preserve"> in their lifetimes</w:t>
      </w:r>
      <w:r w:rsidRPr="00705F14">
        <w:t>, as estimated from Lansky et al. (2015). These numbers were then multiplied by the percentage of sexually-active HETs who are high-risk to get risk-level-specific counts of sexually-active HETs.</w:t>
      </w:r>
    </w:p>
    <w:p w14:paraId="3A3693B4" w14:textId="1D6A4D10" w:rsidR="00E861A9" w:rsidRPr="00705F14" w:rsidRDefault="006D7AEC" w:rsidP="00E861A9">
      <w:pPr>
        <w:pStyle w:val="Source2"/>
        <w:spacing w:before="0"/>
      </w:pPr>
      <w:r w:rsidRPr="00705F14">
        <w:rPr>
          <w:vertAlign w:val="superscript"/>
        </w:rPr>
        <w:t>f</w:t>
      </w:r>
      <w:r w:rsidR="00E861A9" w:rsidRPr="00705F14" w:rsidDel="00124A14">
        <w:rPr>
          <w:vertAlign w:val="superscript"/>
        </w:rPr>
        <w:t xml:space="preserve"> </w:t>
      </w:r>
      <w:proofErr w:type="spellStart"/>
      <w:r w:rsidR="00E861A9" w:rsidRPr="00705F14">
        <w:t>Tempalski</w:t>
      </w:r>
      <w:proofErr w:type="spellEnd"/>
      <w:r w:rsidR="00E861A9" w:rsidRPr="00705F14">
        <w:t xml:space="preserve"> et al. (2013), identified 1,595,929 total PWID in the US who had injected in their lifetime. An unpublished analysis of the 2015 NHBS IDU Cycle showed that PWID were distributed by gender as 72.1% males and 27.9% females. This distribution was applied to the overall PWID estimate from </w:t>
      </w:r>
      <w:proofErr w:type="spellStart"/>
      <w:r w:rsidR="00E861A9" w:rsidRPr="00705F14">
        <w:t>Tempalski</w:t>
      </w:r>
      <w:proofErr w:type="spellEnd"/>
      <w:r w:rsidR="00E861A9" w:rsidRPr="00705F14">
        <w:t xml:space="preserve"> to determine the size of the adult population that is PWID for each gender.</w:t>
      </w:r>
    </w:p>
    <w:p w14:paraId="5ACD21E0" w14:textId="07DDA75E" w:rsidR="00E861A9" w:rsidRPr="00705F14" w:rsidRDefault="006D7AEC" w:rsidP="00E861A9">
      <w:pPr>
        <w:pStyle w:val="Source2"/>
        <w:spacing w:before="0"/>
      </w:pPr>
      <w:r w:rsidRPr="00705F14">
        <w:rPr>
          <w:vertAlign w:val="superscript"/>
        </w:rPr>
        <w:t>g</w:t>
      </w:r>
      <w:r w:rsidR="00E861A9" w:rsidRPr="00705F14">
        <w:rPr>
          <w:vertAlign w:val="superscript"/>
        </w:rPr>
        <w:t xml:space="preserve"> </w:t>
      </w:r>
      <w:r w:rsidR="00E861A9" w:rsidRPr="00705F14">
        <w:t xml:space="preserve">Rosenberg et al. (2018) reported the estimated rates of new HIV diagnoses for MSM in the United States in 2014 by race/ethnicity. Reported numbers and rates per 100 of new HIV diagnoses among MSM, by race, and ethnicity were used to calculate total MSM population sizes. </w:t>
      </w:r>
    </w:p>
    <w:p w14:paraId="3E9565BC" w14:textId="7E6178E9" w:rsidR="00E861A9" w:rsidRPr="00705F14" w:rsidRDefault="009179D3" w:rsidP="00E861A9">
      <w:pPr>
        <w:pStyle w:val="Source2"/>
        <w:spacing w:before="0"/>
      </w:pPr>
      <w:r w:rsidRPr="00705F14">
        <w:rPr>
          <w:vertAlign w:val="superscript"/>
        </w:rPr>
        <w:t>h</w:t>
      </w:r>
      <w:r w:rsidR="00E861A9" w:rsidRPr="00705F14" w:rsidDel="001E46A1">
        <w:rPr>
          <w:vertAlign w:val="superscript"/>
        </w:rPr>
        <w:t xml:space="preserve"> </w:t>
      </w:r>
      <w:r w:rsidR="00DC75F7" w:rsidRPr="00705F14">
        <w:t xml:space="preserve">Estimated so that high-risk MSM prevalence equaled </w:t>
      </w:r>
      <w:r w:rsidR="009C3388" w:rsidRPr="00705F14">
        <w:t>23.5</w:t>
      </w:r>
      <w:r w:rsidR="00DC75F7" w:rsidRPr="00705F14">
        <w:t xml:space="preserve">%, approximating estimates of prevalence </w:t>
      </w:r>
      <w:r w:rsidR="00926907" w:rsidRPr="00705F14">
        <w:t>among</w:t>
      </w:r>
      <w:r w:rsidR="00DC75F7" w:rsidRPr="00705F14">
        <w:t xml:space="preserve"> high-risk MSM of </w:t>
      </w:r>
      <w:r w:rsidR="009C3388" w:rsidRPr="00705F14">
        <w:t>23</w:t>
      </w:r>
      <w:r w:rsidR="00DC75F7" w:rsidRPr="00705F14">
        <w:t>.</w:t>
      </w:r>
      <w:r w:rsidR="009C3388" w:rsidRPr="00705F14">
        <w:t>4</w:t>
      </w:r>
      <w:r w:rsidR="00DC75F7" w:rsidRPr="00705F14">
        <w:t xml:space="preserve">% from NHBS </w:t>
      </w:r>
      <w:r w:rsidR="007509A3" w:rsidRPr="00705F14">
        <w:t>2017 (CDC, 2019b)</w:t>
      </w:r>
      <w:r w:rsidR="008A2E83" w:rsidRPr="00705F14">
        <w:t>.</w:t>
      </w:r>
    </w:p>
    <w:p w14:paraId="039DE7E8" w14:textId="6D806D09" w:rsidR="00CC0ED6" w:rsidRPr="00E832D1" w:rsidRDefault="009179D3" w:rsidP="004B42E8">
      <w:pPr>
        <w:pStyle w:val="Source2"/>
        <w:spacing w:before="0"/>
      </w:pPr>
      <w:r w:rsidRPr="00705F14">
        <w:rPr>
          <w:vertAlign w:val="superscript"/>
        </w:rPr>
        <w:t xml:space="preserve">i </w:t>
      </w:r>
      <w:r w:rsidR="00DC75F7" w:rsidRPr="00705F14">
        <w:t>Estimated so that low-risk HET prevalence equaled 0.</w:t>
      </w:r>
      <w:r w:rsidR="000441D8" w:rsidRPr="00705F14">
        <w:t>0</w:t>
      </w:r>
      <w:r w:rsidR="00DC75F7" w:rsidRPr="00705F14">
        <w:t>6%, approximating es</w:t>
      </w:r>
      <w:r w:rsidR="00926907" w:rsidRPr="00705F14">
        <w:t>timates of prevalence among low-risk HETs (defined as no history of MSM contact or sexually transmitted diseases) of 0.</w:t>
      </w:r>
      <w:r w:rsidR="000441D8" w:rsidRPr="00705F14">
        <w:t>0</w:t>
      </w:r>
      <w:r w:rsidR="003513AF" w:rsidRPr="00705F14">
        <w:t>6</w:t>
      </w:r>
      <w:r w:rsidR="00926907" w:rsidRPr="00705F14">
        <w:t xml:space="preserve">% </w:t>
      </w:r>
      <w:r w:rsidR="003513AF" w:rsidRPr="00705F14">
        <w:t>Woodri</w:t>
      </w:r>
      <w:r w:rsidR="009A206E" w:rsidRPr="00705F14">
        <w:t>ng</w:t>
      </w:r>
      <w:r w:rsidR="003513AF" w:rsidRPr="00705F14">
        <w:t xml:space="preserve"> et al. (2015), using NHANES 2007-2012 data. </w:t>
      </w:r>
      <w:r w:rsidR="00F768BA" w:rsidRPr="00705F14">
        <w:t>R</w:t>
      </w:r>
      <w:r w:rsidR="00225A19" w:rsidRPr="00705F14">
        <w:t xml:space="preserve">elative prevalence values were differentiated by race, based on </w:t>
      </w:r>
      <w:r w:rsidR="00B961EA" w:rsidRPr="00705F14">
        <w:t>expert opinion</w:t>
      </w:r>
      <w:r w:rsidR="00225A19" w:rsidRPr="00705F14">
        <w:t>.</w:t>
      </w:r>
      <w:r w:rsidR="009A206E">
        <w:t xml:space="preserve"> </w:t>
      </w:r>
    </w:p>
    <w:p w14:paraId="5225852D" w14:textId="77777777" w:rsidR="00DC75F7" w:rsidRPr="00E832D1" w:rsidRDefault="00DC75F7" w:rsidP="004B42E8">
      <w:pPr>
        <w:pStyle w:val="Source2"/>
        <w:spacing w:before="0"/>
      </w:pPr>
    </w:p>
    <w:p w14:paraId="1CF9097E" w14:textId="71237AA6" w:rsidR="005F3906" w:rsidRPr="00E832D1" w:rsidRDefault="004F4E6D" w:rsidP="00E058F0">
      <w:pPr>
        <w:pStyle w:val="TableTitle"/>
      </w:pPr>
      <w:bookmarkStart w:id="15" w:name="_Toc89257584"/>
      <w:r w:rsidRPr="00E832D1">
        <w:lastRenderedPageBreak/>
        <w:t>Table 4.</w:t>
      </w:r>
      <w:r w:rsidR="00E861A9" w:rsidRPr="00E832D1">
        <w:t>2</w:t>
      </w:r>
      <w:r w:rsidR="005F3906" w:rsidRPr="00E832D1">
        <w:t>.</w:t>
      </w:r>
      <w:r w:rsidR="005F3906" w:rsidRPr="00E832D1">
        <w:tab/>
      </w:r>
      <w:r w:rsidR="00F13921" w:rsidRPr="00E832D1">
        <w:t>HIV</w:t>
      </w:r>
      <w:r w:rsidR="00034F27" w:rsidRPr="00E832D1">
        <w:t xml:space="preserve"> </w:t>
      </w:r>
      <w:r w:rsidR="00F13921" w:rsidRPr="00E832D1">
        <w:t>P</w:t>
      </w:r>
      <w:r w:rsidR="00034F27" w:rsidRPr="00E832D1">
        <w:t>revalence</w:t>
      </w:r>
      <w:r w:rsidR="00F64950" w:rsidRPr="00E832D1">
        <w:t xml:space="preserve"> in Initial Population</w:t>
      </w:r>
      <w:r w:rsidR="005F3906" w:rsidRPr="00E832D1">
        <w:t xml:space="preserve"> (</w:t>
      </w:r>
      <w:r w:rsidR="00E861A9" w:rsidRPr="00E832D1">
        <w:t>2010</w:t>
      </w:r>
      <w:r w:rsidR="005F3906" w:rsidRPr="00E832D1">
        <w:t>)</w:t>
      </w:r>
      <w:bookmarkEnd w:id="15"/>
    </w:p>
    <w:tbl>
      <w:tblPr>
        <w:tblW w:w="4991"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058"/>
        <w:gridCol w:w="1396"/>
        <w:gridCol w:w="1399"/>
        <w:gridCol w:w="1452"/>
        <w:gridCol w:w="1350"/>
        <w:gridCol w:w="1399"/>
        <w:gridCol w:w="1483"/>
        <w:gridCol w:w="2400"/>
      </w:tblGrid>
      <w:tr w:rsidR="005F3906" w:rsidRPr="00705F14" w14:paraId="224DD50C" w14:textId="77777777" w:rsidTr="004B42E8">
        <w:trPr>
          <w:tblHeader/>
        </w:trPr>
        <w:tc>
          <w:tcPr>
            <w:tcW w:w="2058" w:type="dxa"/>
            <w:vMerge w:val="restart"/>
            <w:tcBorders>
              <w:top w:val="single" w:sz="12" w:space="0" w:color="000000"/>
              <w:bottom w:val="single" w:sz="6" w:space="0" w:color="auto"/>
            </w:tcBorders>
            <w:shd w:val="clear" w:color="auto" w:fill="auto"/>
            <w:noWrap/>
            <w:vAlign w:val="bottom"/>
            <w:hideMark/>
          </w:tcPr>
          <w:p w14:paraId="18EDED35" w14:textId="73359967" w:rsidR="005F3906" w:rsidRPr="00705F14" w:rsidRDefault="00D51857" w:rsidP="00B70295">
            <w:pPr>
              <w:pStyle w:val="TableHeaders"/>
              <w:keepNext/>
              <w:spacing w:before="10" w:after="10"/>
            </w:pPr>
            <w:r w:rsidRPr="00705F14">
              <w:t>Transmission group / age</w:t>
            </w:r>
          </w:p>
        </w:tc>
        <w:tc>
          <w:tcPr>
            <w:tcW w:w="4247" w:type="dxa"/>
            <w:gridSpan w:val="3"/>
            <w:tcBorders>
              <w:top w:val="single" w:sz="12" w:space="0" w:color="000000"/>
              <w:bottom w:val="single" w:sz="6" w:space="0" w:color="auto"/>
            </w:tcBorders>
            <w:shd w:val="clear" w:color="auto" w:fill="auto"/>
            <w:noWrap/>
            <w:vAlign w:val="bottom"/>
            <w:hideMark/>
          </w:tcPr>
          <w:p w14:paraId="7AB1DA33" w14:textId="77777777" w:rsidR="005F3906" w:rsidRPr="00705F14" w:rsidRDefault="005F3906" w:rsidP="00B70295">
            <w:pPr>
              <w:pStyle w:val="TableHeaders"/>
              <w:keepNext/>
              <w:spacing w:before="10" w:after="10"/>
            </w:pPr>
            <w:r w:rsidRPr="00705F14">
              <w:t>Female</w:t>
            </w:r>
          </w:p>
        </w:tc>
        <w:tc>
          <w:tcPr>
            <w:tcW w:w="4232" w:type="dxa"/>
            <w:gridSpan w:val="3"/>
            <w:tcBorders>
              <w:top w:val="single" w:sz="12" w:space="0" w:color="000000"/>
              <w:bottom w:val="single" w:sz="6" w:space="0" w:color="auto"/>
            </w:tcBorders>
            <w:shd w:val="clear" w:color="auto" w:fill="auto"/>
            <w:noWrap/>
            <w:vAlign w:val="bottom"/>
            <w:hideMark/>
          </w:tcPr>
          <w:p w14:paraId="140CCF77" w14:textId="77777777" w:rsidR="005F3906" w:rsidRPr="00705F14" w:rsidRDefault="005F3906" w:rsidP="00B70295">
            <w:pPr>
              <w:pStyle w:val="TableHeaders"/>
              <w:keepNext/>
              <w:spacing w:before="10" w:after="10"/>
            </w:pPr>
            <w:r w:rsidRPr="00705F14">
              <w:t>Male</w:t>
            </w:r>
          </w:p>
        </w:tc>
        <w:tc>
          <w:tcPr>
            <w:tcW w:w="2400" w:type="dxa"/>
            <w:vMerge w:val="restart"/>
            <w:tcBorders>
              <w:top w:val="single" w:sz="12" w:space="0" w:color="000000"/>
              <w:bottom w:val="single" w:sz="6" w:space="0" w:color="000000"/>
            </w:tcBorders>
            <w:shd w:val="clear" w:color="auto" w:fill="auto"/>
            <w:noWrap/>
            <w:vAlign w:val="bottom"/>
            <w:hideMark/>
          </w:tcPr>
          <w:p w14:paraId="4A7FC24D" w14:textId="77777777" w:rsidR="005F3906" w:rsidRPr="00705F14" w:rsidRDefault="005F3906" w:rsidP="00B70295">
            <w:pPr>
              <w:pStyle w:val="TableHeaders"/>
              <w:keepNext/>
              <w:spacing w:before="10" w:after="10"/>
            </w:pPr>
            <w:r w:rsidRPr="00705F14">
              <w:t>Source</w:t>
            </w:r>
          </w:p>
        </w:tc>
      </w:tr>
      <w:tr w:rsidR="005F3906" w:rsidRPr="00705F14" w14:paraId="7A52AF9D" w14:textId="77777777" w:rsidTr="004B42E8">
        <w:trPr>
          <w:tblHeader/>
        </w:trPr>
        <w:tc>
          <w:tcPr>
            <w:tcW w:w="2058" w:type="dxa"/>
            <w:vMerge/>
            <w:tcBorders>
              <w:top w:val="single" w:sz="6" w:space="0" w:color="000000"/>
              <w:bottom w:val="single" w:sz="6" w:space="0" w:color="auto"/>
            </w:tcBorders>
            <w:shd w:val="clear" w:color="auto" w:fill="auto"/>
            <w:noWrap/>
            <w:vAlign w:val="bottom"/>
            <w:hideMark/>
          </w:tcPr>
          <w:p w14:paraId="1EF2F55E" w14:textId="77777777" w:rsidR="005F3906" w:rsidRPr="00705F14" w:rsidRDefault="005F3906" w:rsidP="00B70295">
            <w:pPr>
              <w:pStyle w:val="TableHeaders"/>
              <w:keepNext/>
              <w:spacing w:before="10" w:after="10"/>
            </w:pPr>
          </w:p>
        </w:tc>
        <w:tc>
          <w:tcPr>
            <w:tcW w:w="1396" w:type="dxa"/>
            <w:tcBorders>
              <w:top w:val="single" w:sz="6" w:space="0" w:color="auto"/>
              <w:bottom w:val="single" w:sz="6" w:space="0" w:color="auto"/>
            </w:tcBorders>
            <w:shd w:val="clear" w:color="auto" w:fill="auto"/>
            <w:noWrap/>
            <w:tcMar>
              <w:left w:w="29" w:type="dxa"/>
              <w:right w:w="29" w:type="dxa"/>
            </w:tcMar>
            <w:vAlign w:val="bottom"/>
            <w:hideMark/>
          </w:tcPr>
          <w:p w14:paraId="69BBDFFA" w14:textId="77777777" w:rsidR="005F3906" w:rsidRPr="00705F14" w:rsidRDefault="005F3906" w:rsidP="00B70295">
            <w:pPr>
              <w:pStyle w:val="TableHeaders"/>
              <w:keepNext/>
              <w:spacing w:before="10" w:after="10"/>
            </w:pPr>
            <w:r w:rsidRPr="00705F14">
              <w:t>Black</w:t>
            </w:r>
          </w:p>
        </w:tc>
        <w:tc>
          <w:tcPr>
            <w:tcW w:w="1399" w:type="dxa"/>
            <w:tcBorders>
              <w:top w:val="single" w:sz="6" w:space="0" w:color="auto"/>
              <w:bottom w:val="single" w:sz="6" w:space="0" w:color="auto"/>
            </w:tcBorders>
            <w:shd w:val="clear" w:color="auto" w:fill="auto"/>
            <w:noWrap/>
            <w:tcMar>
              <w:left w:w="29" w:type="dxa"/>
              <w:right w:w="29" w:type="dxa"/>
            </w:tcMar>
            <w:vAlign w:val="bottom"/>
            <w:hideMark/>
          </w:tcPr>
          <w:p w14:paraId="678C68F0" w14:textId="77777777" w:rsidR="005F3906" w:rsidRPr="00705F14" w:rsidRDefault="005F3906" w:rsidP="00B70295">
            <w:pPr>
              <w:pStyle w:val="TableHeaders"/>
              <w:keepNext/>
              <w:spacing w:before="10" w:after="10"/>
            </w:pPr>
            <w:r w:rsidRPr="00705F14">
              <w:t>Hispanic</w:t>
            </w:r>
          </w:p>
        </w:tc>
        <w:tc>
          <w:tcPr>
            <w:tcW w:w="1452" w:type="dxa"/>
            <w:tcBorders>
              <w:top w:val="single" w:sz="6" w:space="0" w:color="auto"/>
              <w:bottom w:val="single" w:sz="6" w:space="0" w:color="auto"/>
            </w:tcBorders>
            <w:shd w:val="clear" w:color="auto" w:fill="auto"/>
            <w:noWrap/>
            <w:tcMar>
              <w:left w:w="29" w:type="dxa"/>
              <w:right w:w="29" w:type="dxa"/>
            </w:tcMar>
            <w:vAlign w:val="bottom"/>
            <w:hideMark/>
          </w:tcPr>
          <w:p w14:paraId="10A2A757" w14:textId="2132DF2E" w:rsidR="005F3906" w:rsidRPr="00705F14" w:rsidRDefault="00896735" w:rsidP="00B70295">
            <w:pPr>
              <w:pStyle w:val="TableHeaders"/>
              <w:keepNext/>
              <w:spacing w:before="10" w:after="10"/>
            </w:pPr>
            <w:r w:rsidRPr="00705F14">
              <w:t>White/other</w:t>
            </w:r>
          </w:p>
        </w:tc>
        <w:tc>
          <w:tcPr>
            <w:tcW w:w="1350" w:type="dxa"/>
            <w:tcBorders>
              <w:top w:val="single" w:sz="6" w:space="0" w:color="auto"/>
              <w:bottom w:val="single" w:sz="6" w:space="0" w:color="auto"/>
            </w:tcBorders>
            <w:shd w:val="clear" w:color="auto" w:fill="auto"/>
            <w:noWrap/>
            <w:tcMar>
              <w:left w:w="29" w:type="dxa"/>
              <w:right w:w="29" w:type="dxa"/>
            </w:tcMar>
            <w:vAlign w:val="bottom"/>
            <w:hideMark/>
          </w:tcPr>
          <w:p w14:paraId="4AFA7A83" w14:textId="77777777" w:rsidR="005F3906" w:rsidRPr="00705F14" w:rsidRDefault="005F3906" w:rsidP="00B70295">
            <w:pPr>
              <w:pStyle w:val="TableHeaders"/>
              <w:keepNext/>
              <w:spacing w:before="10" w:after="10"/>
            </w:pPr>
            <w:r w:rsidRPr="00705F14">
              <w:t>Black</w:t>
            </w:r>
          </w:p>
        </w:tc>
        <w:tc>
          <w:tcPr>
            <w:tcW w:w="1399" w:type="dxa"/>
            <w:tcBorders>
              <w:top w:val="single" w:sz="6" w:space="0" w:color="auto"/>
              <w:bottom w:val="single" w:sz="6" w:space="0" w:color="auto"/>
            </w:tcBorders>
            <w:shd w:val="clear" w:color="auto" w:fill="auto"/>
            <w:noWrap/>
            <w:tcMar>
              <w:left w:w="29" w:type="dxa"/>
              <w:right w:w="29" w:type="dxa"/>
            </w:tcMar>
            <w:vAlign w:val="bottom"/>
            <w:hideMark/>
          </w:tcPr>
          <w:p w14:paraId="063ADF7E" w14:textId="77777777" w:rsidR="005F3906" w:rsidRPr="00705F14" w:rsidRDefault="005F3906" w:rsidP="00B70295">
            <w:pPr>
              <w:pStyle w:val="TableHeaders"/>
              <w:keepNext/>
              <w:spacing w:before="10" w:after="10"/>
            </w:pPr>
            <w:r w:rsidRPr="00705F14">
              <w:t>Hispanic</w:t>
            </w:r>
          </w:p>
        </w:tc>
        <w:tc>
          <w:tcPr>
            <w:tcW w:w="1483" w:type="dxa"/>
            <w:tcBorders>
              <w:top w:val="single" w:sz="6" w:space="0" w:color="auto"/>
              <w:bottom w:val="single" w:sz="6" w:space="0" w:color="auto"/>
            </w:tcBorders>
            <w:shd w:val="clear" w:color="auto" w:fill="auto"/>
            <w:noWrap/>
            <w:tcMar>
              <w:left w:w="29" w:type="dxa"/>
              <w:right w:w="29" w:type="dxa"/>
            </w:tcMar>
            <w:vAlign w:val="bottom"/>
            <w:hideMark/>
          </w:tcPr>
          <w:p w14:paraId="1B9C8778" w14:textId="37A8B590" w:rsidR="005F3906" w:rsidRPr="00705F14" w:rsidRDefault="00896735" w:rsidP="00B70295">
            <w:pPr>
              <w:pStyle w:val="TableHeaders"/>
              <w:keepNext/>
              <w:spacing w:before="10" w:after="10"/>
            </w:pPr>
            <w:r w:rsidRPr="00705F14">
              <w:t>White/other</w:t>
            </w:r>
          </w:p>
        </w:tc>
        <w:tc>
          <w:tcPr>
            <w:tcW w:w="2400" w:type="dxa"/>
            <w:vMerge/>
            <w:tcBorders>
              <w:top w:val="single" w:sz="6" w:space="0" w:color="000000"/>
              <w:bottom w:val="single" w:sz="6" w:space="0" w:color="auto"/>
            </w:tcBorders>
            <w:shd w:val="clear" w:color="auto" w:fill="auto"/>
            <w:noWrap/>
            <w:vAlign w:val="bottom"/>
            <w:hideMark/>
          </w:tcPr>
          <w:p w14:paraId="5F05BDE4" w14:textId="77777777" w:rsidR="005F3906" w:rsidRPr="00705F14" w:rsidRDefault="005F3906" w:rsidP="00B70295">
            <w:pPr>
              <w:pStyle w:val="TableHeaders"/>
              <w:keepNext/>
              <w:spacing w:before="10" w:after="10"/>
            </w:pPr>
          </w:p>
        </w:tc>
      </w:tr>
      <w:tr w:rsidR="00382287" w:rsidRPr="00705F14" w14:paraId="2EA8AB5B"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4F295D36" w14:textId="77777777" w:rsidR="00382287" w:rsidRPr="00705F14" w:rsidRDefault="00382287" w:rsidP="00B70295">
            <w:pPr>
              <w:pStyle w:val="Tabletextindented"/>
              <w:keepNext/>
              <w:spacing w:before="10" w:after="10" w:line="240" w:lineRule="auto"/>
              <w:rPr>
                <w:rFonts w:ascii="Verdana" w:hAnsi="Verdana"/>
                <w:sz w:val="18"/>
                <w:szCs w:val="18"/>
              </w:rPr>
            </w:pPr>
            <w:r w:rsidRPr="00705F14">
              <w:rPr>
                <w:rFonts w:ascii="Verdana" w:hAnsi="Verdana"/>
                <w:sz w:val="18"/>
                <w:szCs w:val="18"/>
              </w:rPr>
              <w:t>HET</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00E9C3E7"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30D1BE2"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48F371F6"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3E67CCF0"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F2DD7D3"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CBD7BD1" w14:textId="77777777" w:rsidR="00382287" w:rsidRPr="00705F14" w:rsidRDefault="00382287" w:rsidP="00B70295">
            <w:pPr>
              <w:pStyle w:val="Tabletext0"/>
              <w:keepNext/>
              <w:spacing w:before="10" w:after="10" w:line="240" w:lineRule="auto"/>
              <w:ind w:right="134"/>
              <w:jc w:val="right"/>
              <w:rPr>
                <w:rFonts w:ascii="Verdana" w:hAnsi="Verdana"/>
                <w:sz w:val="18"/>
                <w:szCs w:val="18"/>
              </w:rPr>
            </w:pP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5C43C350" w14:textId="77777777" w:rsidR="00382287" w:rsidRPr="00705F14" w:rsidRDefault="00382287" w:rsidP="00B70295">
            <w:pPr>
              <w:pStyle w:val="Tabletext0"/>
              <w:keepNext/>
              <w:spacing w:before="10" w:after="10" w:line="240" w:lineRule="auto"/>
              <w:rPr>
                <w:rFonts w:ascii="Verdana" w:hAnsi="Verdana" w:cs="Calibri"/>
                <w:b/>
                <w:bCs/>
                <w:color w:val="000000"/>
                <w:sz w:val="18"/>
                <w:szCs w:val="18"/>
              </w:rPr>
            </w:pPr>
          </w:p>
        </w:tc>
      </w:tr>
      <w:tr w:rsidR="00CC0ED6" w:rsidRPr="00705F14" w14:paraId="2FB83E4E"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17C28CFD" w14:textId="79251AE7" w:rsidR="00CC0ED6" w:rsidRPr="00705F14"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13-24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1DA791F7" w14:textId="02BC523F"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22</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0977238" w14:textId="72ACE375"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0.04%</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0D059EBF" w14:textId="6D9EF823"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0.02%</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BA7B50B" w14:textId="06A241A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0.04%</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5BD92E8D" w14:textId="7FB0B14E"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0.01%</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35DBC2F8" w14:textId="388EF67F"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0.00%</w:t>
            </w: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4AD38593" w14:textId="2E28B261" w:rsidR="00CC0ED6" w:rsidRPr="00705F14" w:rsidRDefault="00CC0ED6" w:rsidP="00CC0ED6">
            <w:pPr>
              <w:pStyle w:val="Tabletext0"/>
              <w:spacing w:before="10" w:after="10" w:line="240" w:lineRule="auto"/>
              <w:rPr>
                <w:rFonts w:ascii="Verdana" w:hAnsi="Verdana"/>
                <w:sz w:val="18"/>
                <w:szCs w:val="18"/>
              </w:rPr>
            </w:pPr>
            <w:r w:rsidRPr="00705F14">
              <w:rPr>
                <w:rFonts w:ascii="Verdana" w:hAnsi="Verdana"/>
                <w:sz w:val="18"/>
                <w:szCs w:val="18"/>
              </w:rPr>
              <w:t>CDC (2019</w:t>
            </w:r>
            <w:r w:rsidR="00880BA0" w:rsidRPr="00705F14">
              <w:rPr>
                <w:rFonts w:ascii="Verdana" w:hAnsi="Verdana"/>
                <w:sz w:val="18"/>
                <w:szCs w:val="18"/>
              </w:rPr>
              <w:t>a</w:t>
            </w:r>
            <w:r w:rsidR="00913283" w:rsidRPr="00705F14">
              <w:rPr>
                <w:rFonts w:ascii="Verdana" w:hAnsi="Verdana"/>
                <w:sz w:val="18"/>
                <w:szCs w:val="18"/>
              </w:rPr>
              <w:t>, 2018</w:t>
            </w:r>
            <w:r w:rsidR="00DD6FBF" w:rsidRPr="00705F14">
              <w:rPr>
                <w:rFonts w:ascii="Verdana" w:hAnsi="Verdana"/>
                <w:sz w:val="18"/>
                <w:szCs w:val="18"/>
              </w:rPr>
              <w:t>b</w:t>
            </w:r>
            <w:r w:rsidR="00913283" w:rsidRPr="00705F14">
              <w:rPr>
                <w:rFonts w:ascii="Verdana" w:hAnsi="Verdana"/>
                <w:sz w:val="18"/>
                <w:szCs w:val="18"/>
              </w:rPr>
              <w:t>, 2019e</w:t>
            </w:r>
            <w:r w:rsidRPr="00705F14">
              <w:rPr>
                <w:rFonts w:ascii="Verdana" w:hAnsi="Verdana"/>
                <w:sz w:val="18"/>
                <w:szCs w:val="18"/>
              </w:rPr>
              <w:t>)</w:t>
            </w:r>
            <w:r w:rsidRPr="00705F14">
              <w:rPr>
                <w:rFonts w:ascii="Verdana" w:hAnsi="Verdana"/>
                <w:sz w:val="18"/>
                <w:szCs w:val="18"/>
                <w:vertAlign w:val="superscript"/>
              </w:rPr>
              <w:t>a</w:t>
            </w:r>
          </w:p>
        </w:tc>
      </w:tr>
      <w:tr w:rsidR="00CC0ED6" w:rsidRPr="00705F14" w14:paraId="0B49457E"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4A3B1160" w14:textId="500AF620" w:rsidR="00CC0ED6" w:rsidRPr="00705F14"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25-34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57165DF3" w14:textId="0DABFE1A"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88</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101F1776" w14:textId="1A3FDC4E"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15</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13D3B7BA" w14:textId="1EF350F0"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05</w:t>
            </w:r>
            <w:r w:rsidRPr="00705F14">
              <w:rPr>
                <w:rFonts w:ascii="Verdana" w:hAnsi="Verdana"/>
                <w:sz w:val="18"/>
                <w:szCs w:val="18"/>
              </w:rPr>
              <w:t>%</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3C3C1457" w14:textId="7774CE4B"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21</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7E5292A" w14:textId="59D1F42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0.05%</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5D692F1C" w14:textId="668FE22A"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0.01%</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274132DE" w14:textId="2CEA137B" w:rsidR="00CC0ED6" w:rsidRPr="00705F14" w:rsidRDefault="00CC0ED6" w:rsidP="00CC0ED6">
            <w:pPr>
              <w:pStyle w:val="Tabletext0"/>
              <w:spacing w:before="10" w:after="10" w:line="240" w:lineRule="auto"/>
              <w:rPr>
                <w:rFonts w:ascii="Verdana" w:hAnsi="Verdana" w:cs="Calibri"/>
                <w:color w:val="000000"/>
                <w:sz w:val="18"/>
                <w:szCs w:val="18"/>
              </w:rPr>
            </w:pPr>
          </w:p>
        </w:tc>
      </w:tr>
      <w:tr w:rsidR="00CC0ED6" w:rsidRPr="00705F14" w14:paraId="61BD1DF5"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tcPr>
          <w:p w14:paraId="02A1C847" w14:textId="0DD12D06" w:rsidR="00CC0ED6" w:rsidRPr="00705F14" w:rsidDel="00F13921"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35-44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138CFAC7" w14:textId="571AFB8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1.</w:t>
            </w:r>
            <w:r w:rsidR="00E11FE4" w:rsidRPr="00705F14">
              <w:rPr>
                <w:rFonts w:ascii="Verdana" w:hAnsi="Verdana"/>
                <w:sz w:val="18"/>
                <w:szCs w:val="18"/>
              </w:rPr>
              <w:t>44</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27D5381" w14:textId="4130FDB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29</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3CF9309D" w14:textId="128D629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0.09%</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3ECACC14" w14:textId="0F81C60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66</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0503FB54" w14:textId="0097842B"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14</w:t>
            </w:r>
            <w:r w:rsidRPr="00705F14">
              <w:rPr>
                <w:rFonts w:ascii="Verdana" w:hAnsi="Verdana"/>
                <w:sz w:val="18"/>
                <w:szCs w:val="18"/>
              </w:rPr>
              <w:t>%</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4CD73C0" w14:textId="12FC8F3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0.03%</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58DE42FF" w14:textId="77777777" w:rsidR="00CC0ED6" w:rsidRPr="00705F14" w:rsidRDefault="00CC0ED6" w:rsidP="00CC0ED6">
            <w:pPr>
              <w:pStyle w:val="Tabletext0"/>
              <w:spacing w:before="10" w:after="10" w:line="240" w:lineRule="auto"/>
              <w:rPr>
                <w:rFonts w:ascii="Verdana" w:hAnsi="Verdana"/>
                <w:sz w:val="18"/>
                <w:szCs w:val="18"/>
              </w:rPr>
            </w:pPr>
          </w:p>
        </w:tc>
      </w:tr>
      <w:tr w:rsidR="00CC0ED6" w:rsidRPr="00705F14" w14:paraId="21AB4CC9"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tcPr>
          <w:p w14:paraId="099E8DDB" w14:textId="3DFBAC1C" w:rsidR="00CC0ED6" w:rsidRPr="00705F14" w:rsidDel="00F13921"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45-54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22B4CA79" w14:textId="4FB615E0"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1.</w:t>
            </w:r>
            <w:r w:rsidR="00E11FE4" w:rsidRPr="00705F14">
              <w:rPr>
                <w:rFonts w:ascii="Verdana" w:hAnsi="Verdana"/>
                <w:sz w:val="18"/>
                <w:szCs w:val="18"/>
              </w:rPr>
              <w:t>41</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0CC85B7A" w14:textId="17720B52"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41</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D6A10C9" w14:textId="0D28F8A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08</w:t>
            </w:r>
            <w:r w:rsidRPr="00705F14">
              <w:rPr>
                <w:rFonts w:ascii="Verdana" w:hAnsi="Verdana"/>
                <w:sz w:val="18"/>
                <w:szCs w:val="18"/>
              </w:rPr>
              <w:t>%</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6912FB6F" w14:textId="77D8949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1.</w:t>
            </w:r>
            <w:r w:rsidR="004C00B6" w:rsidRPr="00705F14">
              <w:rPr>
                <w:rFonts w:ascii="Verdana" w:hAnsi="Verdana"/>
                <w:sz w:val="18"/>
                <w:szCs w:val="18"/>
              </w:rPr>
              <w:t>23</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1844BA74" w14:textId="4AC8F783"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29</w:t>
            </w:r>
            <w:r w:rsidRPr="00705F14">
              <w:rPr>
                <w:rFonts w:ascii="Verdana" w:hAnsi="Verdana"/>
                <w:sz w:val="18"/>
                <w:szCs w:val="18"/>
              </w:rPr>
              <w:t>%</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1FB1A18D" w14:textId="1ACC3F46"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04</w:t>
            </w:r>
            <w:r w:rsidRPr="00705F14">
              <w:rPr>
                <w:rFonts w:ascii="Verdana" w:hAnsi="Verdana"/>
                <w:sz w:val="18"/>
                <w:szCs w:val="18"/>
              </w:rPr>
              <w:t>%</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7C8F548B" w14:textId="77777777" w:rsidR="00CC0ED6" w:rsidRPr="00705F14" w:rsidRDefault="00CC0ED6" w:rsidP="00CC0ED6">
            <w:pPr>
              <w:pStyle w:val="Tabletext0"/>
              <w:spacing w:before="10" w:after="10" w:line="240" w:lineRule="auto"/>
              <w:rPr>
                <w:rFonts w:ascii="Verdana" w:hAnsi="Verdana"/>
                <w:sz w:val="18"/>
                <w:szCs w:val="18"/>
              </w:rPr>
            </w:pPr>
          </w:p>
        </w:tc>
      </w:tr>
      <w:tr w:rsidR="00CC0ED6" w:rsidRPr="00705F14" w14:paraId="3CDF6496"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tcPr>
          <w:p w14:paraId="0F462F66" w14:textId="7291B2C9" w:rsidR="00CC0ED6" w:rsidRPr="00705F14" w:rsidDel="00F13921"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55-64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12950D6F" w14:textId="28A41C60"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65</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B3129B2" w14:textId="3AE14E57"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24</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281991B8" w14:textId="708733A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03</w:t>
            </w:r>
            <w:r w:rsidRPr="00705F14">
              <w:rPr>
                <w:rFonts w:ascii="Verdana" w:hAnsi="Verdana"/>
                <w:sz w:val="18"/>
                <w:szCs w:val="18"/>
              </w:rPr>
              <w:t>%</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77F803A7" w14:textId="0DD6460C"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55</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00B10646" w14:textId="7049F7DF"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21</w:t>
            </w:r>
            <w:r w:rsidRPr="00705F14">
              <w:rPr>
                <w:rFonts w:ascii="Verdana" w:hAnsi="Verdana"/>
                <w:sz w:val="18"/>
                <w:szCs w:val="18"/>
              </w:rPr>
              <w:t>%</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224A4E6C" w14:textId="0E9DEC9A"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0.03%</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17AF5869" w14:textId="77777777" w:rsidR="00CC0ED6" w:rsidRPr="00705F14" w:rsidRDefault="00CC0ED6" w:rsidP="00CC0ED6">
            <w:pPr>
              <w:pStyle w:val="Tabletext0"/>
              <w:spacing w:before="10" w:after="10" w:line="240" w:lineRule="auto"/>
              <w:rPr>
                <w:rFonts w:ascii="Verdana" w:hAnsi="Verdana"/>
                <w:sz w:val="18"/>
                <w:szCs w:val="18"/>
              </w:rPr>
            </w:pPr>
          </w:p>
        </w:tc>
      </w:tr>
      <w:tr w:rsidR="00CC0ED6" w:rsidRPr="00705F14" w14:paraId="6F1D5B7E"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tcPr>
          <w:p w14:paraId="4D01A599" w14:textId="390C6B45" w:rsidR="00CC0ED6" w:rsidRPr="00705F14" w:rsidDel="00F13921" w:rsidRDefault="00CC0ED6" w:rsidP="00D51857">
            <w:pPr>
              <w:pStyle w:val="Tabletextindented"/>
              <w:spacing w:before="10" w:after="10" w:line="240" w:lineRule="auto"/>
              <w:ind w:left="975"/>
              <w:rPr>
                <w:rFonts w:ascii="Verdana" w:hAnsi="Verdana"/>
                <w:sz w:val="18"/>
                <w:szCs w:val="18"/>
              </w:rPr>
            </w:pPr>
            <w:r w:rsidRPr="00705F14">
              <w:rPr>
                <w:rFonts w:ascii="Verdana" w:hAnsi="Verdana"/>
                <w:sz w:val="18"/>
                <w:szCs w:val="18"/>
              </w:rPr>
              <w:t>65+</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533AB067" w14:textId="60B72B15"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20</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0D8E46BF" w14:textId="6DFCB53E"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E11FE4" w:rsidRPr="00705F14">
              <w:rPr>
                <w:rFonts w:ascii="Verdana" w:hAnsi="Verdana"/>
                <w:sz w:val="18"/>
                <w:szCs w:val="18"/>
              </w:rPr>
              <w:t>09</w:t>
            </w:r>
            <w:r w:rsidRPr="00705F14">
              <w:rPr>
                <w:rFonts w:ascii="Verdana" w:hAnsi="Verdana"/>
                <w:sz w:val="18"/>
                <w:szCs w:val="18"/>
              </w:rPr>
              <w:t>%</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263CD35F" w14:textId="1B84CD3B"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0.01%</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0685B004" w14:textId="12C20BF4"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22</w:t>
            </w:r>
            <w:r w:rsidRPr="00705F14">
              <w:rPr>
                <w:rFonts w:ascii="Verdana" w:hAnsi="Verdana"/>
                <w:sz w:val="18"/>
                <w:szCs w:val="18"/>
              </w:rPr>
              <w:t>%</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51BE4E63" w14:textId="39515001"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w:t>
            </w:r>
            <w:r w:rsidR="004C00B6" w:rsidRPr="00705F14">
              <w:rPr>
                <w:rFonts w:ascii="Verdana" w:hAnsi="Verdana"/>
                <w:sz w:val="18"/>
                <w:szCs w:val="18"/>
              </w:rPr>
              <w:t>08</w:t>
            </w:r>
            <w:r w:rsidRPr="00705F14">
              <w:rPr>
                <w:rFonts w:ascii="Verdana" w:hAnsi="Verdana"/>
                <w:sz w:val="18"/>
                <w:szCs w:val="18"/>
              </w:rPr>
              <w:t>%</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CD20A01" w14:textId="5B8A99C0" w:rsidR="00CC0ED6" w:rsidRPr="00705F14" w:rsidRDefault="00CC0ED6" w:rsidP="00CC0ED6">
            <w:pPr>
              <w:pStyle w:val="Tabletext0"/>
              <w:spacing w:before="10" w:after="10" w:line="240" w:lineRule="auto"/>
              <w:ind w:right="134"/>
              <w:jc w:val="right"/>
              <w:rPr>
                <w:rFonts w:ascii="Verdana" w:hAnsi="Verdana"/>
                <w:sz w:val="18"/>
                <w:szCs w:val="18"/>
              </w:rPr>
            </w:pPr>
            <w:r w:rsidRPr="00705F14">
              <w:rPr>
                <w:rFonts w:ascii="Verdana" w:hAnsi="Verdana"/>
                <w:sz w:val="18"/>
                <w:szCs w:val="18"/>
              </w:rPr>
              <w:t>0.01%</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70D67A43" w14:textId="77777777" w:rsidR="00CC0ED6" w:rsidRPr="00705F14" w:rsidRDefault="00CC0ED6" w:rsidP="00CC0ED6">
            <w:pPr>
              <w:pStyle w:val="Tabletext0"/>
              <w:spacing w:before="10" w:after="10" w:line="240" w:lineRule="auto"/>
              <w:rPr>
                <w:rFonts w:ascii="Verdana" w:hAnsi="Verdana"/>
                <w:sz w:val="18"/>
                <w:szCs w:val="18"/>
              </w:rPr>
            </w:pPr>
          </w:p>
        </w:tc>
      </w:tr>
      <w:tr w:rsidR="00382287" w:rsidRPr="00705F14" w14:paraId="69B7FEC4"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14FBBA42" w14:textId="4C40ED96" w:rsidR="00382287" w:rsidRPr="00705F14" w:rsidRDefault="00F77D76" w:rsidP="00B70295">
            <w:pPr>
              <w:pStyle w:val="Tabletextindented"/>
              <w:spacing w:before="10" w:after="10" w:line="240" w:lineRule="auto"/>
              <w:rPr>
                <w:rFonts w:ascii="Verdana" w:hAnsi="Verdana"/>
                <w:sz w:val="18"/>
                <w:szCs w:val="18"/>
              </w:rPr>
            </w:pPr>
            <w:r w:rsidRPr="00705F14">
              <w:rPr>
                <w:rFonts w:ascii="Verdana" w:hAnsi="Verdana"/>
                <w:sz w:val="18"/>
                <w:szCs w:val="18"/>
              </w:rPr>
              <w:t>PWID</w:t>
            </w:r>
          </w:p>
        </w:tc>
        <w:tc>
          <w:tcPr>
            <w:tcW w:w="1396" w:type="dxa"/>
            <w:tcBorders>
              <w:top w:val="single" w:sz="4" w:space="0" w:color="808080" w:themeColor="background1" w:themeShade="80"/>
              <w:bottom w:val="single" w:sz="4" w:space="0" w:color="808080" w:themeColor="background1" w:themeShade="80"/>
            </w:tcBorders>
            <w:shd w:val="clear" w:color="auto" w:fill="auto"/>
            <w:noWrap/>
            <w:hideMark/>
          </w:tcPr>
          <w:p w14:paraId="18253465"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6657C5EE"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hideMark/>
          </w:tcPr>
          <w:p w14:paraId="505120FD"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hideMark/>
          </w:tcPr>
          <w:p w14:paraId="536B6878"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5A93A646"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1483" w:type="dxa"/>
            <w:tcBorders>
              <w:top w:val="single" w:sz="4" w:space="0" w:color="808080" w:themeColor="background1" w:themeShade="80"/>
              <w:bottom w:val="single" w:sz="4" w:space="0" w:color="808080" w:themeColor="background1" w:themeShade="80"/>
            </w:tcBorders>
            <w:shd w:val="clear" w:color="auto" w:fill="auto"/>
            <w:noWrap/>
            <w:hideMark/>
          </w:tcPr>
          <w:p w14:paraId="6D5EADBC" w14:textId="77777777" w:rsidR="00382287" w:rsidRPr="00705F14" w:rsidRDefault="00382287" w:rsidP="00B70295">
            <w:pPr>
              <w:pStyle w:val="Tabletext0"/>
              <w:spacing w:before="10" w:after="10" w:line="240" w:lineRule="auto"/>
              <w:ind w:right="134"/>
              <w:jc w:val="right"/>
              <w:rPr>
                <w:rFonts w:ascii="Verdana" w:hAnsi="Verdana"/>
                <w:sz w:val="18"/>
                <w:szCs w:val="18"/>
              </w:rPr>
            </w:pP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643BEB1F" w14:textId="77777777" w:rsidR="00382287" w:rsidRPr="00705F14" w:rsidRDefault="00382287" w:rsidP="00B70295">
            <w:pPr>
              <w:pStyle w:val="Tabletext0"/>
              <w:spacing w:before="10" w:after="10" w:line="240" w:lineRule="auto"/>
              <w:rPr>
                <w:rFonts w:ascii="Verdana" w:hAnsi="Verdana" w:cs="Calibri"/>
                <w:b/>
                <w:bCs/>
                <w:color w:val="000000"/>
                <w:sz w:val="18"/>
                <w:szCs w:val="18"/>
              </w:rPr>
            </w:pPr>
          </w:p>
        </w:tc>
      </w:tr>
      <w:tr w:rsidR="00913283" w:rsidRPr="00705F14" w14:paraId="7DA89E38"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52B5A4BB" w14:textId="2AFA202A"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13-24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1D7D799F" w14:textId="58B0B3D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4.78%</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1AF7A83" w14:textId="0DF0FF8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1.68%</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3FBE4CE" w14:textId="71869FA6"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1.18%</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1859E5C" w14:textId="54A78E7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1.43%</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1E18FC13" w14:textId="3B10C86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1.02%</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3F8B37C6" w14:textId="0DE46C6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0.64%</w:t>
            </w: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5AE77CB9" w14:textId="1CADC2F5" w:rsidR="00913283" w:rsidRPr="00705F14" w:rsidRDefault="00913283" w:rsidP="00913283">
            <w:pPr>
              <w:pStyle w:val="Tabletext0"/>
              <w:spacing w:before="10" w:after="10" w:line="240" w:lineRule="auto"/>
              <w:rPr>
                <w:rFonts w:ascii="Verdana" w:hAnsi="Verdana"/>
                <w:sz w:val="18"/>
                <w:szCs w:val="18"/>
              </w:rPr>
            </w:pPr>
            <w:r w:rsidRPr="00705F14">
              <w:rPr>
                <w:rFonts w:ascii="Verdana" w:hAnsi="Verdana"/>
                <w:sz w:val="18"/>
                <w:szCs w:val="18"/>
              </w:rPr>
              <w:t>CDC (2019</w:t>
            </w:r>
            <w:r w:rsidR="00880BA0" w:rsidRPr="00705F14">
              <w:rPr>
                <w:rFonts w:ascii="Verdana" w:hAnsi="Verdana"/>
                <w:sz w:val="18"/>
                <w:szCs w:val="18"/>
              </w:rPr>
              <w:t>a</w:t>
            </w:r>
            <w:r w:rsidRPr="00705F14">
              <w:rPr>
                <w:rFonts w:ascii="Verdana" w:hAnsi="Verdana"/>
                <w:sz w:val="18"/>
                <w:szCs w:val="18"/>
              </w:rPr>
              <w:t>, 2018</w:t>
            </w:r>
            <w:r w:rsidR="00DD6FBF" w:rsidRPr="00705F14">
              <w:rPr>
                <w:rFonts w:ascii="Verdana" w:hAnsi="Verdana"/>
                <w:sz w:val="18"/>
                <w:szCs w:val="18"/>
              </w:rPr>
              <w:t>b</w:t>
            </w:r>
            <w:r w:rsidRPr="00705F14">
              <w:rPr>
                <w:rFonts w:ascii="Verdana" w:hAnsi="Verdana"/>
                <w:sz w:val="18"/>
                <w:szCs w:val="18"/>
              </w:rPr>
              <w:t>, 2019e)</w:t>
            </w:r>
            <w:r w:rsidRPr="00705F14">
              <w:rPr>
                <w:rFonts w:ascii="Verdana" w:hAnsi="Verdana"/>
                <w:sz w:val="18"/>
                <w:szCs w:val="18"/>
                <w:vertAlign w:val="superscript"/>
              </w:rPr>
              <w:t>a</w:t>
            </w:r>
          </w:p>
        </w:tc>
      </w:tr>
      <w:tr w:rsidR="00913283" w:rsidRPr="00705F14" w14:paraId="26CEBB5C"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6BD6DB60" w14:textId="6E0CEE4B"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25-34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2CAAF5D3" w14:textId="1A37334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20.11%</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35A5748C" w14:textId="737656E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11.09%</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2774F0FC" w14:textId="574C392B"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9.26%</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4C4DAA05" w14:textId="33AC9CD7"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3.14%</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5A805DAD" w14:textId="2BA744EF"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4.81%</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996AA37" w14:textId="3956B65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2.04%</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740CB6D3"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1AD27441"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61A0D7FC" w14:textId="011E9807"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35-44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728AC040" w14:textId="52B74DFC"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18.62%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FFE520F" w14:textId="1DF0F5C0"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10.91%</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6A9ED832" w14:textId="223A09AE"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9.50%</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6AD8F2B1" w14:textId="0009A2D3"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7.81%</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1FE36C29" w14:textId="4B0C5C0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9.75%</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72B91E1C" w14:textId="4E9E2A2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4.57%</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42C5015F"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315BA15C"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6C09AD53" w14:textId="0DBB03DC"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45-54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4A4B34D4" w14:textId="5D37ADE9"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24.70%</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236742B" w14:textId="401076C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15.08%</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3E137694" w14:textId="279210A2"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14.00%</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0BB8E742" w14:textId="0CB82D6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17.43%</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F8C7A22" w14:textId="3433D5F5"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16.40%</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5B365C2B" w14:textId="24C31DD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8.45%</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4F7AB416"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6C0804C0"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70E09457" w14:textId="5A8FD50E"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55-64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72A7C8B6" w14:textId="3C17BD07"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24.28%</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9CBD8BE" w14:textId="52A99AB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11.09%</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0C46B6C9" w14:textId="2994E813"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7.35%</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0FDEF49F" w14:textId="10B29D77"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18.12%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75B22B1" w14:textId="43A3E82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8.79%</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7E4EE392" w14:textId="6C5D7402"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5.56%</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337D613C"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6D37DC64"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46AC3553" w14:textId="5AED6006"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65+</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578690FC" w14:textId="75BB9945"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13.83%</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074F999" w14:textId="4FA04F7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7.61%</w:t>
            </w: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02984B90" w14:textId="5097F6D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4.36%</w:t>
            </w: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79772C9" w14:textId="2F4FA595"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24.85%</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81B4795" w14:textId="020EEDD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11.88%</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499629AC" w14:textId="583870E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8.59%</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20C97FC8"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3305013B"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48CAC274" w14:textId="77777777" w:rsidR="00913283" w:rsidRPr="00705F14" w:rsidRDefault="00913283" w:rsidP="00913283">
            <w:pPr>
              <w:pStyle w:val="Tabletextindented"/>
              <w:spacing w:before="10" w:after="10" w:line="240" w:lineRule="auto"/>
              <w:rPr>
                <w:rFonts w:ascii="Verdana" w:hAnsi="Verdana"/>
                <w:sz w:val="18"/>
                <w:szCs w:val="18"/>
              </w:rPr>
            </w:pPr>
            <w:r w:rsidRPr="00705F14">
              <w:rPr>
                <w:rFonts w:ascii="Verdana" w:hAnsi="Verdana"/>
                <w:sz w:val="18"/>
                <w:szCs w:val="18"/>
              </w:rPr>
              <w:t>MSM</w:t>
            </w:r>
          </w:p>
        </w:tc>
        <w:tc>
          <w:tcPr>
            <w:tcW w:w="1396" w:type="dxa"/>
            <w:tcBorders>
              <w:top w:val="single" w:sz="4" w:space="0" w:color="808080" w:themeColor="background1" w:themeShade="80"/>
              <w:bottom w:val="single" w:sz="4" w:space="0" w:color="808080" w:themeColor="background1" w:themeShade="80"/>
            </w:tcBorders>
            <w:shd w:val="clear" w:color="auto" w:fill="auto"/>
            <w:noWrap/>
            <w:hideMark/>
          </w:tcPr>
          <w:p w14:paraId="2592BC93"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0959247A" w14:textId="6B2590CD"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hideMark/>
          </w:tcPr>
          <w:p w14:paraId="3BD92454"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hideMark/>
          </w:tcPr>
          <w:p w14:paraId="14537359"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607CE616"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83" w:type="dxa"/>
            <w:tcBorders>
              <w:top w:val="single" w:sz="4" w:space="0" w:color="808080" w:themeColor="background1" w:themeShade="80"/>
              <w:bottom w:val="single" w:sz="4" w:space="0" w:color="808080" w:themeColor="background1" w:themeShade="80"/>
            </w:tcBorders>
            <w:shd w:val="clear" w:color="auto" w:fill="auto"/>
            <w:noWrap/>
            <w:hideMark/>
          </w:tcPr>
          <w:p w14:paraId="3293C225"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698BCB59" w14:textId="77777777" w:rsidR="00913283" w:rsidRPr="00705F14" w:rsidRDefault="00913283" w:rsidP="00913283">
            <w:pPr>
              <w:pStyle w:val="Tabletext0"/>
              <w:spacing w:before="10" w:after="10" w:line="240" w:lineRule="auto"/>
              <w:rPr>
                <w:rFonts w:ascii="Verdana" w:hAnsi="Verdana" w:cs="Calibri"/>
                <w:b/>
                <w:bCs/>
                <w:color w:val="000000"/>
                <w:sz w:val="18"/>
                <w:szCs w:val="18"/>
              </w:rPr>
            </w:pPr>
          </w:p>
        </w:tc>
      </w:tr>
      <w:tr w:rsidR="00913283" w:rsidRPr="00705F14" w14:paraId="3B58BBBC"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620CFD7D" w14:textId="12000A63"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13-24</w:t>
            </w:r>
          </w:p>
        </w:tc>
        <w:tc>
          <w:tcPr>
            <w:tcW w:w="1396" w:type="dxa"/>
            <w:tcBorders>
              <w:top w:val="single" w:sz="4" w:space="0" w:color="808080" w:themeColor="background1" w:themeShade="80"/>
              <w:bottom w:val="single" w:sz="4" w:space="0" w:color="808080" w:themeColor="background1" w:themeShade="80"/>
            </w:tcBorders>
            <w:shd w:val="clear" w:color="auto" w:fill="auto"/>
            <w:noWrap/>
            <w:hideMark/>
          </w:tcPr>
          <w:p w14:paraId="27658213"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7C3BC853"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hideMark/>
          </w:tcPr>
          <w:p w14:paraId="1C81058D"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1CBEAD32" w14:textId="269B3A5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20.39%</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5A0708C4" w14:textId="2C1A65FD"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5.46%</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5AE82A7B" w14:textId="0BC765D8"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2.19%</w:t>
            </w:r>
          </w:p>
        </w:tc>
        <w:tc>
          <w:tcPr>
            <w:tcW w:w="2400" w:type="dxa"/>
            <w:tcBorders>
              <w:top w:val="single" w:sz="4" w:space="0" w:color="808080" w:themeColor="background1" w:themeShade="80"/>
              <w:bottom w:val="single" w:sz="4" w:space="0" w:color="808080" w:themeColor="background1" w:themeShade="80"/>
            </w:tcBorders>
            <w:shd w:val="clear" w:color="auto" w:fill="auto"/>
            <w:noWrap/>
            <w:hideMark/>
          </w:tcPr>
          <w:p w14:paraId="17B2A460" w14:textId="5D8A07F0" w:rsidR="00913283" w:rsidRPr="00705F14" w:rsidRDefault="00913283" w:rsidP="00913283">
            <w:pPr>
              <w:pStyle w:val="Tabletext0"/>
              <w:spacing w:before="10" w:after="10" w:line="240" w:lineRule="auto"/>
              <w:rPr>
                <w:rFonts w:ascii="Verdana" w:hAnsi="Verdana"/>
                <w:sz w:val="18"/>
                <w:szCs w:val="18"/>
              </w:rPr>
            </w:pPr>
            <w:r w:rsidRPr="00705F14">
              <w:rPr>
                <w:rFonts w:ascii="Verdana" w:hAnsi="Verdana"/>
                <w:sz w:val="18"/>
                <w:szCs w:val="18"/>
              </w:rPr>
              <w:t>CDC (2019</w:t>
            </w:r>
            <w:r w:rsidR="00880BA0" w:rsidRPr="00705F14">
              <w:rPr>
                <w:rFonts w:ascii="Verdana" w:hAnsi="Verdana"/>
                <w:sz w:val="18"/>
                <w:szCs w:val="18"/>
              </w:rPr>
              <w:t>a</w:t>
            </w:r>
            <w:r w:rsidRPr="00705F14">
              <w:rPr>
                <w:rFonts w:ascii="Verdana" w:hAnsi="Verdana"/>
                <w:sz w:val="18"/>
                <w:szCs w:val="18"/>
              </w:rPr>
              <w:t>, 2018</w:t>
            </w:r>
            <w:r w:rsidR="00DD6FBF" w:rsidRPr="00705F14">
              <w:rPr>
                <w:rFonts w:ascii="Verdana" w:hAnsi="Verdana"/>
                <w:sz w:val="18"/>
                <w:szCs w:val="18"/>
              </w:rPr>
              <w:t>b</w:t>
            </w:r>
            <w:r w:rsidRPr="00705F14">
              <w:rPr>
                <w:rFonts w:ascii="Verdana" w:hAnsi="Verdana"/>
                <w:sz w:val="18"/>
                <w:szCs w:val="18"/>
              </w:rPr>
              <w:t>, 2019e)</w:t>
            </w:r>
            <w:r w:rsidRPr="00705F14">
              <w:rPr>
                <w:rFonts w:ascii="Verdana" w:hAnsi="Verdana"/>
                <w:sz w:val="18"/>
                <w:szCs w:val="18"/>
                <w:vertAlign w:val="superscript"/>
              </w:rPr>
              <w:t>a</w:t>
            </w:r>
          </w:p>
        </w:tc>
      </w:tr>
      <w:tr w:rsidR="00913283" w:rsidRPr="00705F14" w14:paraId="07DBB0C4"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765C07C7" w14:textId="2A5183E7"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25-34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43A35A93"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CD687DA"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D2696D9"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4C760F52" w14:textId="68280CB9"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36.32%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836ACCE" w14:textId="1A2C3F0C"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14.60%</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149049E2" w14:textId="5102C5A0"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7.16%</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7E6F1DEB"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7DB25FD8"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0ECBBCAC" w14:textId="143E0D43"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35-44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3911BC85"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787A1055"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DD17ACC"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6860CFEE" w14:textId="637D0B2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38.88%</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6515C5FC" w14:textId="2E7B7F62"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22.33%</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0F593D4D" w14:textId="72647A77"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13.73%</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6D9163E6"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7605CA96" w14:textId="77777777" w:rsidTr="00F13921">
        <w:tc>
          <w:tcPr>
            <w:tcW w:w="2058" w:type="dxa"/>
            <w:tcBorders>
              <w:top w:val="single" w:sz="4" w:space="0" w:color="808080" w:themeColor="background1" w:themeShade="80"/>
              <w:bottom w:val="single" w:sz="4" w:space="0" w:color="808080" w:themeColor="background1" w:themeShade="80"/>
            </w:tcBorders>
            <w:shd w:val="clear" w:color="auto" w:fill="auto"/>
            <w:noWrap/>
          </w:tcPr>
          <w:p w14:paraId="6524B22C" w14:textId="2B8F7CBD"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45-54</w:t>
            </w:r>
          </w:p>
        </w:tc>
        <w:tc>
          <w:tcPr>
            <w:tcW w:w="1396" w:type="dxa"/>
            <w:tcBorders>
              <w:top w:val="single" w:sz="4" w:space="0" w:color="808080" w:themeColor="background1" w:themeShade="80"/>
              <w:bottom w:val="single" w:sz="4" w:space="0" w:color="808080" w:themeColor="background1" w:themeShade="80"/>
            </w:tcBorders>
            <w:shd w:val="clear" w:color="auto" w:fill="auto"/>
            <w:noWrap/>
          </w:tcPr>
          <w:p w14:paraId="4BD431DA"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689594E"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tcPr>
          <w:p w14:paraId="7E33C865"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39BBA56" w14:textId="4F216089"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38.62%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28484199" w14:textId="52D2AC24"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25.56%</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77094194" w14:textId="13BB244A"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17.89%</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3925B10B" w14:textId="77777777" w:rsidR="00913283" w:rsidRPr="00705F14" w:rsidRDefault="00913283" w:rsidP="00913283">
            <w:pPr>
              <w:pStyle w:val="Tabletext0"/>
              <w:spacing w:before="10" w:after="10" w:line="240" w:lineRule="auto"/>
              <w:rPr>
                <w:rFonts w:ascii="Verdana" w:hAnsi="Verdana"/>
                <w:sz w:val="18"/>
                <w:szCs w:val="18"/>
              </w:rPr>
            </w:pPr>
          </w:p>
        </w:tc>
      </w:tr>
      <w:tr w:rsidR="00913283" w:rsidRPr="00705F14" w14:paraId="6C1E40EA" w14:textId="77777777" w:rsidTr="004B42E8">
        <w:tc>
          <w:tcPr>
            <w:tcW w:w="2058" w:type="dxa"/>
            <w:tcBorders>
              <w:top w:val="single" w:sz="4" w:space="0" w:color="808080" w:themeColor="background1" w:themeShade="80"/>
              <w:bottom w:val="single" w:sz="4" w:space="0" w:color="808080" w:themeColor="background1" w:themeShade="80"/>
            </w:tcBorders>
            <w:shd w:val="clear" w:color="auto" w:fill="auto"/>
            <w:noWrap/>
            <w:hideMark/>
          </w:tcPr>
          <w:p w14:paraId="5626F25D" w14:textId="0E362B27"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55-64</w:t>
            </w:r>
          </w:p>
        </w:tc>
        <w:tc>
          <w:tcPr>
            <w:tcW w:w="1396" w:type="dxa"/>
            <w:tcBorders>
              <w:top w:val="single" w:sz="4" w:space="0" w:color="808080" w:themeColor="background1" w:themeShade="80"/>
              <w:bottom w:val="single" w:sz="4" w:space="0" w:color="808080" w:themeColor="background1" w:themeShade="80"/>
            </w:tcBorders>
            <w:shd w:val="clear" w:color="auto" w:fill="auto"/>
            <w:noWrap/>
            <w:hideMark/>
          </w:tcPr>
          <w:p w14:paraId="2F2CB62C"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4" w:space="0" w:color="808080" w:themeColor="background1" w:themeShade="80"/>
            </w:tcBorders>
            <w:shd w:val="clear" w:color="auto" w:fill="auto"/>
            <w:noWrap/>
            <w:hideMark/>
          </w:tcPr>
          <w:p w14:paraId="61558E66"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4" w:space="0" w:color="808080" w:themeColor="background1" w:themeShade="80"/>
            </w:tcBorders>
            <w:shd w:val="clear" w:color="auto" w:fill="auto"/>
            <w:noWrap/>
            <w:hideMark/>
          </w:tcPr>
          <w:p w14:paraId="2A44C5C8"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4" w:space="0" w:color="808080" w:themeColor="background1" w:themeShade="80"/>
            </w:tcBorders>
            <w:shd w:val="clear" w:color="auto" w:fill="auto"/>
            <w:noWrap/>
          </w:tcPr>
          <w:p w14:paraId="2B64649F" w14:textId="4F2234D5"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20.72%</w:t>
            </w:r>
          </w:p>
        </w:tc>
        <w:tc>
          <w:tcPr>
            <w:tcW w:w="1399" w:type="dxa"/>
            <w:tcBorders>
              <w:top w:val="single" w:sz="4" w:space="0" w:color="808080" w:themeColor="background1" w:themeShade="80"/>
              <w:bottom w:val="single" w:sz="4" w:space="0" w:color="808080" w:themeColor="background1" w:themeShade="80"/>
            </w:tcBorders>
            <w:shd w:val="clear" w:color="auto" w:fill="auto"/>
            <w:noWrap/>
          </w:tcPr>
          <w:p w14:paraId="4574EEDE" w14:textId="6E51BC06"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14.03%</w:t>
            </w:r>
          </w:p>
        </w:tc>
        <w:tc>
          <w:tcPr>
            <w:tcW w:w="1483" w:type="dxa"/>
            <w:tcBorders>
              <w:top w:val="single" w:sz="4" w:space="0" w:color="808080" w:themeColor="background1" w:themeShade="80"/>
              <w:bottom w:val="single" w:sz="4" w:space="0" w:color="808080" w:themeColor="background1" w:themeShade="80"/>
            </w:tcBorders>
            <w:shd w:val="clear" w:color="auto" w:fill="auto"/>
            <w:noWrap/>
          </w:tcPr>
          <w:p w14:paraId="31FCA2F3" w14:textId="50A71A8E"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8.19%</w:t>
            </w:r>
          </w:p>
        </w:tc>
        <w:tc>
          <w:tcPr>
            <w:tcW w:w="2400" w:type="dxa"/>
            <w:tcBorders>
              <w:top w:val="single" w:sz="4" w:space="0" w:color="808080" w:themeColor="background1" w:themeShade="80"/>
              <w:bottom w:val="single" w:sz="4" w:space="0" w:color="808080" w:themeColor="background1" w:themeShade="80"/>
            </w:tcBorders>
            <w:shd w:val="clear" w:color="auto" w:fill="auto"/>
            <w:noWrap/>
          </w:tcPr>
          <w:p w14:paraId="4404181F" w14:textId="1EF6CC76" w:rsidR="00913283" w:rsidRPr="00705F14" w:rsidRDefault="00913283" w:rsidP="00913283">
            <w:pPr>
              <w:pStyle w:val="Tabletext0"/>
              <w:spacing w:before="10" w:after="10" w:line="240" w:lineRule="auto"/>
              <w:rPr>
                <w:rFonts w:ascii="Verdana" w:hAnsi="Verdana" w:cs="Calibri"/>
                <w:color w:val="000000"/>
                <w:sz w:val="18"/>
                <w:szCs w:val="18"/>
              </w:rPr>
            </w:pPr>
          </w:p>
        </w:tc>
      </w:tr>
      <w:tr w:rsidR="00913283" w:rsidRPr="00C00335" w14:paraId="09BDFBA7" w14:textId="77777777" w:rsidTr="004B42E8">
        <w:tc>
          <w:tcPr>
            <w:tcW w:w="2058" w:type="dxa"/>
            <w:tcBorders>
              <w:top w:val="single" w:sz="4" w:space="0" w:color="808080" w:themeColor="background1" w:themeShade="80"/>
              <w:bottom w:val="single" w:sz="12" w:space="0" w:color="auto"/>
            </w:tcBorders>
            <w:shd w:val="clear" w:color="auto" w:fill="auto"/>
            <w:noWrap/>
            <w:hideMark/>
          </w:tcPr>
          <w:p w14:paraId="5FAD412D" w14:textId="7D0E90EC" w:rsidR="00913283" w:rsidRPr="00705F14" w:rsidRDefault="00913283" w:rsidP="00913283">
            <w:pPr>
              <w:pStyle w:val="Tabletextindented"/>
              <w:spacing w:before="10" w:after="10" w:line="240" w:lineRule="auto"/>
              <w:ind w:left="975"/>
              <w:rPr>
                <w:rFonts w:ascii="Verdana" w:hAnsi="Verdana"/>
                <w:sz w:val="18"/>
                <w:szCs w:val="18"/>
              </w:rPr>
            </w:pPr>
            <w:r w:rsidRPr="00705F14">
              <w:rPr>
                <w:rFonts w:ascii="Verdana" w:hAnsi="Verdana"/>
                <w:sz w:val="18"/>
                <w:szCs w:val="18"/>
              </w:rPr>
              <w:t>65+</w:t>
            </w:r>
          </w:p>
        </w:tc>
        <w:tc>
          <w:tcPr>
            <w:tcW w:w="1396" w:type="dxa"/>
            <w:tcBorders>
              <w:top w:val="single" w:sz="4" w:space="0" w:color="808080" w:themeColor="background1" w:themeShade="80"/>
              <w:bottom w:val="single" w:sz="12" w:space="0" w:color="auto"/>
            </w:tcBorders>
            <w:shd w:val="clear" w:color="auto" w:fill="auto"/>
            <w:noWrap/>
            <w:hideMark/>
          </w:tcPr>
          <w:p w14:paraId="14AA320B"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99" w:type="dxa"/>
            <w:tcBorders>
              <w:top w:val="single" w:sz="4" w:space="0" w:color="808080" w:themeColor="background1" w:themeShade="80"/>
              <w:bottom w:val="single" w:sz="12" w:space="0" w:color="auto"/>
            </w:tcBorders>
            <w:shd w:val="clear" w:color="auto" w:fill="auto"/>
            <w:noWrap/>
            <w:hideMark/>
          </w:tcPr>
          <w:p w14:paraId="604E898A"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452" w:type="dxa"/>
            <w:tcBorders>
              <w:top w:val="single" w:sz="4" w:space="0" w:color="808080" w:themeColor="background1" w:themeShade="80"/>
              <w:bottom w:val="single" w:sz="12" w:space="0" w:color="auto"/>
            </w:tcBorders>
            <w:shd w:val="clear" w:color="auto" w:fill="auto"/>
            <w:noWrap/>
            <w:hideMark/>
          </w:tcPr>
          <w:p w14:paraId="3FFF6027" w14:textId="77777777" w:rsidR="00913283" w:rsidRPr="00705F14" w:rsidRDefault="00913283" w:rsidP="00913283">
            <w:pPr>
              <w:pStyle w:val="Tabletext0"/>
              <w:spacing w:before="10" w:after="10" w:line="240" w:lineRule="auto"/>
              <w:ind w:right="134"/>
              <w:jc w:val="right"/>
              <w:rPr>
                <w:rFonts w:ascii="Verdana" w:hAnsi="Verdana"/>
                <w:sz w:val="18"/>
                <w:szCs w:val="18"/>
              </w:rPr>
            </w:pPr>
          </w:p>
        </w:tc>
        <w:tc>
          <w:tcPr>
            <w:tcW w:w="1350" w:type="dxa"/>
            <w:tcBorders>
              <w:top w:val="single" w:sz="4" w:space="0" w:color="808080" w:themeColor="background1" w:themeShade="80"/>
              <w:bottom w:val="single" w:sz="12" w:space="0" w:color="auto"/>
            </w:tcBorders>
            <w:shd w:val="clear" w:color="auto" w:fill="auto"/>
            <w:noWrap/>
          </w:tcPr>
          <w:p w14:paraId="43189D06" w14:textId="32DAA792"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8.65%</w:t>
            </w:r>
          </w:p>
        </w:tc>
        <w:tc>
          <w:tcPr>
            <w:tcW w:w="1399" w:type="dxa"/>
            <w:tcBorders>
              <w:top w:val="single" w:sz="4" w:space="0" w:color="808080" w:themeColor="background1" w:themeShade="80"/>
              <w:bottom w:val="single" w:sz="12" w:space="0" w:color="auto"/>
            </w:tcBorders>
            <w:shd w:val="clear" w:color="auto" w:fill="auto"/>
            <w:noWrap/>
          </w:tcPr>
          <w:p w14:paraId="224CB564" w14:textId="095B4D01" w:rsidR="00913283" w:rsidRPr="00705F14"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5.72%</w:t>
            </w:r>
          </w:p>
        </w:tc>
        <w:tc>
          <w:tcPr>
            <w:tcW w:w="1483" w:type="dxa"/>
            <w:tcBorders>
              <w:top w:val="single" w:sz="4" w:space="0" w:color="808080" w:themeColor="background1" w:themeShade="80"/>
              <w:bottom w:val="single" w:sz="12" w:space="0" w:color="auto"/>
            </w:tcBorders>
            <w:shd w:val="clear" w:color="auto" w:fill="auto"/>
            <w:noWrap/>
          </w:tcPr>
          <w:p w14:paraId="73D7785E" w14:textId="0EA5E55A" w:rsidR="00913283" w:rsidRPr="00E832D1" w:rsidRDefault="00913283" w:rsidP="00913283">
            <w:pPr>
              <w:pStyle w:val="Tabletext0"/>
              <w:spacing w:before="10" w:after="10" w:line="240" w:lineRule="auto"/>
              <w:ind w:right="134"/>
              <w:jc w:val="right"/>
              <w:rPr>
                <w:rFonts w:ascii="Verdana" w:hAnsi="Verdana"/>
                <w:sz w:val="18"/>
                <w:szCs w:val="18"/>
              </w:rPr>
            </w:pPr>
            <w:r w:rsidRPr="00705F14">
              <w:rPr>
                <w:rFonts w:ascii="Verdana" w:hAnsi="Verdana"/>
                <w:sz w:val="18"/>
                <w:szCs w:val="18"/>
              </w:rPr>
              <w:t>2.84%</w:t>
            </w:r>
          </w:p>
        </w:tc>
        <w:tc>
          <w:tcPr>
            <w:tcW w:w="2400" w:type="dxa"/>
            <w:tcBorders>
              <w:top w:val="single" w:sz="4" w:space="0" w:color="808080" w:themeColor="background1" w:themeShade="80"/>
              <w:bottom w:val="single" w:sz="12" w:space="0" w:color="auto"/>
            </w:tcBorders>
            <w:shd w:val="clear" w:color="auto" w:fill="auto"/>
            <w:noWrap/>
          </w:tcPr>
          <w:p w14:paraId="2C31B373" w14:textId="2A08FDAE" w:rsidR="00913283" w:rsidRPr="00C00335" w:rsidRDefault="00913283" w:rsidP="00913283">
            <w:pPr>
              <w:pStyle w:val="Tabletext0"/>
              <w:spacing w:before="10" w:after="10" w:line="240" w:lineRule="auto"/>
              <w:rPr>
                <w:rFonts w:ascii="Verdana" w:hAnsi="Verdana" w:cs="Calibri"/>
                <w:color w:val="000000"/>
                <w:sz w:val="18"/>
                <w:szCs w:val="18"/>
              </w:rPr>
            </w:pPr>
          </w:p>
        </w:tc>
      </w:tr>
    </w:tbl>
    <w:p w14:paraId="4D9B767B" w14:textId="6FCF002B" w:rsidR="00382287" w:rsidRPr="00C00335" w:rsidRDefault="00D4774B" w:rsidP="006705F3">
      <w:pPr>
        <w:pStyle w:val="Source3"/>
        <w:spacing w:before="20"/>
      </w:pPr>
      <w:r w:rsidRPr="00C00335">
        <w:t xml:space="preserve">Note: </w:t>
      </w:r>
      <w:r w:rsidR="00382287" w:rsidRPr="00C00335">
        <w:t>CDC</w:t>
      </w:r>
      <w:r w:rsidR="00E628BE" w:rsidRPr="00C00335">
        <w:t> = </w:t>
      </w:r>
      <w:r w:rsidR="00382287" w:rsidRPr="00C00335">
        <w:t>Centers for Disease Control and Prevention; HET</w:t>
      </w:r>
      <w:r w:rsidR="00E628BE" w:rsidRPr="00C00335">
        <w:t> = </w:t>
      </w:r>
      <w:r w:rsidR="00382287" w:rsidRPr="00C00335">
        <w:t>heterosexual; HIV</w:t>
      </w:r>
      <w:r w:rsidR="00E628BE" w:rsidRPr="00C00335">
        <w:t> = </w:t>
      </w:r>
      <w:r w:rsidR="00382287" w:rsidRPr="00C00335">
        <w:t>human immunodeficiency virus; MSM</w:t>
      </w:r>
      <w:r w:rsidR="00E628BE" w:rsidRPr="00C00335">
        <w:t> = </w:t>
      </w:r>
      <w:r w:rsidR="00382287" w:rsidRPr="00C00335">
        <w:t>men who have sex with men</w:t>
      </w:r>
      <w:r w:rsidR="00AF4912" w:rsidRPr="00C00335">
        <w:t xml:space="preserve">; </w:t>
      </w:r>
      <w:r w:rsidR="00A410B5" w:rsidRPr="00C00335">
        <w:t>N/A</w:t>
      </w:r>
      <w:r w:rsidR="00E628BE" w:rsidRPr="00C00335">
        <w:t> = </w:t>
      </w:r>
      <w:r w:rsidR="00CD5904" w:rsidRPr="00C00335">
        <w:t xml:space="preserve">not applicable; </w:t>
      </w:r>
      <w:r w:rsidR="00AF4912" w:rsidRPr="00C00335">
        <w:t>NHBS</w:t>
      </w:r>
      <w:r w:rsidR="00E628BE" w:rsidRPr="00C00335">
        <w:t> = </w:t>
      </w:r>
      <w:r w:rsidR="00AF4912" w:rsidRPr="00C00335">
        <w:t>National HIV Behavioral Surveillance</w:t>
      </w:r>
      <w:r w:rsidR="00F77D76" w:rsidRPr="00C00335">
        <w:t xml:space="preserve">; </w:t>
      </w:r>
      <w:r w:rsidR="0035118C">
        <w:t xml:space="preserve">PWH = people with HIV; </w:t>
      </w:r>
      <w:r w:rsidR="00F77D76" w:rsidRPr="00C00335">
        <w:t>PWID</w:t>
      </w:r>
      <w:r w:rsidR="00E628BE" w:rsidRPr="00C00335">
        <w:t> = </w:t>
      </w:r>
      <w:r w:rsidR="00F77D76" w:rsidRPr="00C00335">
        <w:t>people who inject drugs</w:t>
      </w:r>
    </w:p>
    <w:p w14:paraId="79E0E0BB" w14:textId="0231B91E" w:rsidR="003756BD" w:rsidRPr="00E832D1" w:rsidRDefault="00E861A9">
      <w:pPr>
        <w:pStyle w:val="Source2"/>
        <w:spacing w:before="0"/>
      </w:pPr>
      <w:r w:rsidRPr="00E832D1">
        <w:rPr>
          <w:vertAlign w:val="superscript"/>
        </w:rPr>
        <w:lastRenderedPageBreak/>
        <w:t>a</w:t>
      </w:r>
      <w:r w:rsidRPr="00E832D1" w:rsidDel="001E46A1">
        <w:rPr>
          <w:vertAlign w:val="superscript"/>
        </w:rPr>
        <w:t xml:space="preserve"> </w:t>
      </w:r>
      <w:r w:rsidRPr="00E832D1">
        <w:t>Surveillance data (CDC, 2019</w:t>
      </w:r>
      <w:r w:rsidR="00880BA0">
        <w:t>a</w:t>
      </w:r>
      <w:r w:rsidRPr="00E832D1">
        <w:t xml:space="preserve">) reported </w:t>
      </w:r>
      <w:r w:rsidR="00D51857" w:rsidRPr="00E832D1">
        <w:t xml:space="preserve">counts </w:t>
      </w:r>
      <w:r w:rsidRPr="00E832D1">
        <w:t xml:space="preserve">of </w:t>
      </w:r>
      <w:r w:rsidR="0079728B" w:rsidRPr="0079728B">
        <w:t>PWH</w:t>
      </w:r>
      <w:r w:rsidR="00682E2A" w:rsidRPr="0079728B">
        <w:t xml:space="preserve"> by</w:t>
      </w:r>
      <w:r w:rsidR="00682E2A" w:rsidRPr="00E832D1">
        <w:t xml:space="preserve"> age group (13-24, 25-34, 35-44, 45-54, and 55+)</w:t>
      </w:r>
      <w:r w:rsidR="00AA76BC" w:rsidRPr="00E832D1">
        <w:t xml:space="preserve">, </w:t>
      </w:r>
      <w:r w:rsidR="00682E2A" w:rsidRPr="00E832D1">
        <w:t>by sex</w:t>
      </w:r>
      <w:r w:rsidR="00AA76BC" w:rsidRPr="00E832D1">
        <w:t>, and by</w:t>
      </w:r>
      <w:r w:rsidR="00682E2A" w:rsidRPr="00E832D1">
        <w:t xml:space="preserve"> race/ethnicity (</w:t>
      </w:r>
      <w:r w:rsidR="005D351C">
        <w:t>B</w:t>
      </w:r>
      <w:r w:rsidR="005D351C" w:rsidRPr="00E832D1">
        <w:t>lack</w:t>
      </w:r>
      <w:r w:rsidR="00682E2A" w:rsidRPr="00E832D1">
        <w:t>, Hispanic, white, all races)</w:t>
      </w:r>
      <w:r w:rsidRPr="00E832D1">
        <w:t>.</w:t>
      </w:r>
      <w:r w:rsidR="00682E2A" w:rsidRPr="00E832D1">
        <w:t xml:space="preserve"> </w:t>
      </w:r>
      <w:r w:rsidR="00913283" w:rsidRPr="00E832D1">
        <w:t xml:space="preserve">Values for MSM by race/ethnicity and age </w:t>
      </w:r>
      <w:r w:rsidR="00AA76BC" w:rsidRPr="00E832D1">
        <w:t xml:space="preserve">group </w:t>
      </w:r>
      <w:r w:rsidR="00913283" w:rsidRPr="00E832D1">
        <w:t>were from surveillance data in CDC</w:t>
      </w:r>
      <w:r w:rsidR="00E47F44" w:rsidRPr="00E832D1">
        <w:t xml:space="preserve"> (</w:t>
      </w:r>
      <w:r w:rsidR="00913283" w:rsidRPr="00E832D1">
        <w:t>2019</w:t>
      </w:r>
      <w:r w:rsidR="00880BA0">
        <w:t>a</w:t>
      </w:r>
      <w:r w:rsidR="00E47F44" w:rsidRPr="00E832D1">
        <w:t>)</w:t>
      </w:r>
      <w:r w:rsidR="00682E2A" w:rsidRPr="00E832D1">
        <w:t>; MSM+PWID from 2019 surveillance data were allocated to the separate categories of MSM and PWID using age group and race/ethnicity-specific assumption</w:t>
      </w:r>
      <w:r w:rsidR="00AA76BC" w:rsidRPr="00E832D1">
        <w:t xml:space="preserve"> based on the percentage of MSM and MSM+PWID who were MSM alone</w:t>
      </w:r>
      <w:r w:rsidR="00913283" w:rsidRPr="00E832D1">
        <w:t xml:space="preserve">. Youth </w:t>
      </w:r>
      <w:r w:rsidR="00682E2A" w:rsidRPr="00E832D1">
        <w:t xml:space="preserve">(13-24 years) surveillance data </w:t>
      </w:r>
      <w:r w:rsidR="00913283" w:rsidRPr="00E832D1">
        <w:t>from CDC</w:t>
      </w:r>
      <w:r w:rsidR="00E47F44" w:rsidRPr="00E832D1">
        <w:t xml:space="preserve"> (</w:t>
      </w:r>
      <w:r w:rsidR="00913283" w:rsidRPr="00E832D1">
        <w:t>2018</w:t>
      </w:r>
      <w:r w:rsidR="00DD6FBF">
        <w:t>b</w:t>
      </w:r>
      <w:r w:rsidR="00E47F44" w:rsidRPr="00E832D1">
        <w:t>)</w:t>
      </w:r>
      <w:r w:rsidR="00913283" w:rsidRPr="00E832D1">
        <w:t xml:space="preserve"> were </w:t>
      </w:r>
      <w:r w:rsidR="00682E2A" w:rsidRPr="00E832D1">
        <w:t xml:space="preserve">used to estimate the allocation of </w:t>
      </w:r>
      <w:r w:rsidR="005D351C">
        <w:t>B</w:t>
      </w:r>
      <w:r w:rsidR="005D351C" w:rsidRPr="00E832D1">
        <w:t xml:space="preserve">lack </w:t>
      </w:r>
      <w:r w:rsidR="00AA76BC" w:rsidRPr="00E832D1">
        <w:t xml:space="preserve">and Hispanic </w:t>
      </w:r>
      <w:r w:rsidR="0079728B">
        <w:t>PWH</w:t>
      </w:r>
      <w:r w:rsidR="00682E2A" w:rsidRPr="00E832D1">
        <w:t xml:space="preserve"> in the </w:t>
      </w:r>
      <w:r w:rsidR="009B7808" w:rsidRPr="00E832D1">
        <w:t>13-24-year</w:t>
      </w:r>
      <w:r w:rsidR="00682E2A" w:rsidRPr="00E832D1">
        <w:t xml:space="preserve"> age group across </w:t>
      </w:r>
      <w:r w:rsidR="00E64A75" w:rsidRPr="00E832D1">
        <w:t xml:space="preserve">transmission groups </w:t>
      </w:r>
      <w:r w:rsidR="00A2443D" w:rsidRPr="00E832D1">
        <w:t xml:space="preserve">by </w:t>
      </w:r>
      <w:r w:rsidR="00E64A75" w:rsidRPr="00E832D1">
        <w:t>sex</w:t>
      </w:r>
      <w:r w:rsidR="00913283" w:rsidRPr="00E832D1">
        <w:t xml:space="preserve">. </w:t>
      </w:r>
      <w:r w:rsidR="00E64A75" w:rsidRPr="00E832D1">
        <w:t>Similarly, surveillance data for older adults (50+ years;</w:t>
      </w:r>
      <w:r w:rsidR="009B7808" w:rsidRPr="00E832D1">
        <w:t xml:space="preserve"> CDC, </w:t>
      </w:r>
      <w:r w:rsidR="00913283" w:rsidRPr="00E832D1">
        <w:t>2018</w:t>
      </w:r>
      <w:r w:rsidR="00DD6FBF">
        <w:t>c</w:t>
      </w:r>
      <w:r w:rsidR="00E47F44" w:rsidRPr="00E832D1">
        <w:t>)</w:t>
      </w:r>
      <w:r w:rsidR="00913283" w:rsidRPr="00E832D1">
        <w:t xml:space="preserve"> </w:t>
      </w:r>
      <w:r w:rsidR="00E64A75" w:rsidRPr="00E832D1">
        <w:t xml:space="preserve">were used to calculate the </w:t>
      </w:r>
      <w:r w:rsidR="00E64A75" w:rsidRPr="00705F14">
        <w:t xml:space="preserve">allocation of 55+ </w:t>
      </w:r>
      <w:r w:rsidR="005D351C" w:rsidRPr="00705F14">
        <w:t xml:space="preserve">Black </w:t>
      </w:r>
      <w:r w:rsidR="00AA76BC" w:rsidRPr="00705F14">
        <w:t xml:space="preserve">and Hispanic </w:t>
      </w:r>
      <w:r w:rsidR="0079728B" w:rsidRPr="00705F14">
        <w:t>PWH</w:t>
      </w:r>
      <w:r w:rsidR="00E64A75" w:rsidRPr="00705F14">
        <w:t xml:space="preserve"> across </w:t>
      </w:r>
      <w:r w:rsidR="00913283" w:rsidRPr="00705F14">
        <w:t>transmission group</w:t>
      </w:r>
      <w:r w:rsidR="00E64A75" w:rsidRPr="00705F14">
        <w:t>s by sex</w:t>
      </w:r>
      <w:r w:rsidR="00AA76BC" w:rsidRPr="00705F14">
        <w:t xml:space="preserve"> and by</w:t>
      </w:r>
      <w:r w:rsidR="00E64A75" w:rsidRPr="00705F14">
        <w:t xml:space="preserve"> age group (55-64 and 65+)</w:t>
      </w:r>
      <w:r w:rsidR="00913283" w:rsidRPr="00705F14">
        <w:t xml:space="preserve">. </w:t>
      </w:r>
      <w:r w:rsidR="00A2443D" w:rsidRPr="00705F14">
        <w:t>For ages 25-54, m</w:t>
      </w:r>
      <w:r w:rsidR="00E64A75" w:rsidRPr="00705F14">
        <w:t xml:space="preserve">ale </w:t>
      </w:r>
      <w:r w:rsidR="005D351C" w:rsidRPr="00705F14">
        <w:t xml:space="preserve">Black </w:t>
      </w:r>
      <w:r w:rsidR="007875CF" w:rsidRPr="00705F14">
        <w:t xml:space="preserve">and Hispanic </w:t>
      </w:r>
      <w:r w:rsidR="0079728B" w:rsidRPr="00705F14">
        <w:t>PWH</w:t>
      </w:r>
      <w:r w:rsidR="00A2443D" w:rsidRPr="00705F14">
        <w:t xml:space="preserve"> were allocated </w:t>
      </w:r>
      <w:r w:rsidR="00E64A75" w:rsidRPr="00705F14">
        <w:t xml:space="preserve">to HET and PWID transmission groups using percentage allocations to HET </w:t>
      </w:r>
      <w:r w:rsidR="007875CF" w:rsidRPr="00705F14">
        <w:t xml:space="preserve">by age group </w:t>
      </w:r>
      <w:r w:rsidR="00E64A75" w:rsidRPr="00705F14">
        <w:t xml:space="preserve">from surveillance data; female </w:t>
      </w:r>
      <w:r w:rsidR="005D351C" w:rsidRPr="00705F14">
        <w:t xml:space="preserve">Black </w:t>
      </w:r>
      <w:r w:rsidR="007875CF" w:rsidRPr="00705F14">
        <w:t xml:space="preserve">and Hispanic </w:t>
      </w:r>
      <w:r w:rsidR="0079728B" w:rsidRPr="00705F14">
        <w:t>PWH</w:t>
      </w:r>
      <w:r w:rsidR="00A2443D" w:rsidRPr="00705F14">
        <w:t xml:space="preserve"> were </w:t>
      </w:r>
      <w:r w:rsidR="007875CF" w:rsidRPr="00705F14">
        <w:t xml:space="preserve">similarly </w:t>
      </w:r>
      <w:r w:rsidR="00A2443D" w:rsidRPr="00705F14">
        <w:t xml:space="preserve">allocated </w:t>
      </w:r>
      <w:r w:rsidR="00E64A75" w:rsidRPr="00705F14">
        <w:t xml:space="preserve">to </w:t>
      </w:r>
      <w:r w:rsidR="007875CF" w:rsidRPr="00705F14">
        <w:t>HET or PWID transmission groups</w:t>
      </w:r>
      <w:r w:rsidR="00A2443D" w:rsidRPr="00705F14">
        <w:t xml:space="preserve">. </w:t>
      </w:r>
      <w:r w:rsidR="007875CF" w:rsidRPr="00705F14">
        <w:t xml:space="preserve">Counts </w:t>
      </w:r>
      <w:r w:rsidR="00AA76BC" w:rsidRPr="00705F14">
        <w:t xml:space="preserve">of the number of </w:t>
      </w:r>
      <w:r w:rsidR="007875CF" w:rsidRPr="00705F14">
        <w:t xml:space="preserve">other race </w:t>
      </w:r>
      <w:r w:rsidR="0079728B" w:rsidRPr="00705F14">
        <w:t>PWH</w:t>
      </w:r>
      <w:r w:rsidR="00AA76BC" w:rsidRPr="00705F14">
        <w:t xml:space="preserve"> </w:t>
      </w:r>
      <w:r w:rsidR="007875CF" w:rsidRPr="00705F14">
        <w:t xml:space="preserve">by sex, age group, and transmission group were obtained by subtracting </w:t>
      </w:r>
      <w:r w:rsidR="005D351C" w:rsidRPr="00705F14">
        <w:t xml:space="preserve">Black </w:t>
      </w:r>
      <w:r w:rsidR="007875CF" w:rsidRPr="00705F14">
        <w:t xml:space="preserve">and Hispanic counts from surveillance totals. Prevalence calculated as percentage of the U.S. population were calculated using sex, age group, race/ethnicity, and prevalence counts divided by the total </w:t>
      </w:r>
      <w:r w:rsidR="0035118C" w:rsidRPr="00705F14">
        <w:t xml:space="preserve">sexually-active </w:t>
      </w:r>
      <w:r w:rsidR="007875CF" w:rsidRPr="00705F14">
        <w:t xml:space="preserve">population sizes used in HOPE for each subpopulation defined by transmission group, sex, race/ethnicity, and age group. </w:t>
      </w:r>
      <w:r w:rsidR="0054633B" w:rsidRPr="00705F14">
        <w:t>For HETs and MSM, t</w:t>
      </w:r>
      <w:r w:rsidR="00D51857" w:rsidRPr="00705F14">
        <w:t xml:space="preserve">he </w:t>
      </w:r>
      <w:r w:rsidR="0054633B" w:rsidRPr="00705F14">
        <w:t>prevalence percentages overall were then used in conjunction with “Relative HIV prevalence for high- vs. low-risk levels” (Table</w:t>
      </w:r>
      <w:r w:rsidR="0054633B" w:rsidRPr="00E832D1">
        <w:t xml:space="preserve"> 4.1) to calculate HIV prevalence for low-risk and high-risk populations separately. </w:t>
      </w:r>
      <w:r w:rsidRPr="00E832D1">
        <w:t xml:space="preserve"> </w:t>
      </w:r>
    </w:p>
    <w:p w14:paraId="5F49029B" w14:textId="0EF5F051" w:rsidR="00E65C2B" w:rsidRDefault="00E65C2B" w:rsidP="003756BD">
      <w:pPr>
        <w:pStyle w:val="Source2"/>
        <w:spacing w:before="0"/>
      </w:pPr>
    </w:p>
    <w:p w14:paraId="0C111E82" w14:textId="77777777" w:rsidR="00E65C2B" w:rsidRDefault="00E65C2B" w:rsidP="003756BD">
      <w:pPr>
        <w:pStyle w:val="Source2"/>
        <w:spacing w:before="0"/>
      </w:pPr>
    </w:p>
    <w:p w14:paraId="65B252AD" w14:textId="24415830" w:rsidR="00E861A9" w:rsidRPr="00C00335" w:rsidRDefault="00E861A9" w:rsidP="00E861A9">
      <w:pPr>
        <w:pStyle w:val="Source2"/>
        <w:spacing w:before="0"/>
      </w:pPr>
    </w:p>
    <w:p w14:paraId="39892C93" w14:textId="77777777" w:rsidR="00AA77D8" w:rsidRPr="00C00335" w:rsidRDefault="00AA77D8" w:rsidP="00C77950">
      <w:pPr>
        <w:pStyle w:val="Source2"/>
        <w:spacing w:before="0"/>
        <w:ind w:left="0" w:firstLine="0"/>
      </w:pPr>
    </w:p>
    <w:p w14:paraId="53C72ABC" w14:textId="3D110486" w:rsidR="004557C4" w:rsidRPr="00C00335" w:rsidRDefault="004557C4" w:rsidP="005F3906">
      <w:pPr>
        <w:pStyle w:val="TableTitle"/>
        <w:sectPr w:rsidR="004557C4" w:rsidRPr="00C00335" w:rsidSect="006524BC">
          <w:headerReference w:type="even" r:id="rId36"/>
          <w:headerReference w:type="default" r:id="rId37"/>
          <w:footerReference w:type="even" r:id="rId38"/>
          <w:footerReference w:type="default" r:id="rId39"/>
          <w:endnotePr>
            <w:numFmt w:val="decimal"/>
          </w:endnotePr>
          <w:type w:val="evenPage"/>
          <w:pgSz w:w="15840" w:h="12240" w:orient="landscape"/>
          <w:pgMar w:top="1440" w:right="1440" w:bottom="1440" w:left="1440" w:header="720" w:footer="720" w:gutter="0"/>
          <w:pgNumType w:chapStyle="1"/>
          <w:cols w:space="720"/>
          <w:docGrid w:linePitch="360"/>
        </w:sectPr>
      </w:pPr>
    </w:p>
    <w:p w14:paraId="1ABF44EB" w14:textId="00253787" w:rsidR="00382287" w:rsidRPr="00C00335" w:rsidRDefault="004F4E6D" w:rsidP="000C5C78">
      <w:pPr>
        <w:pStyle w:val="TableTitle"/>
      </w:pPr>
      <w:bookmarkStart w:id="16" w:name="_Toc89257585"/>
      <w:r w:rsidRPr="00C77950">
        <w:lastRenderedPageBreak/>
        <w:t>Table 4.</w:t>
      </w:r>
      <w:r w:rsidR="00E861A9" w:rsidRPr="00C77950">
        <w:t>3</w:t>
      </w:r>
      <w:r w:rsidR="005F3906" w:rsidRPr="00C77950">
        <w:t>.</w:t>
      </w:r>
      <w:r w:rsidR="005F3906" w:rsidRPr="00C77950">
        <w:tab/>
      </w:r>
      <w:r w:rsidR="00382287" w:rsidRPr="00C77950">
        <w:t xml:space="preserve">Percentage Circumcised, and Percentage of </w:t>
      </w:r>
      <w:r w:rsidR="000D5EB4" w:rsidRPr="00C77950">
        <w:t>E</w:t>
      </w:r>
      <w:r w:rsidR="000C5C78" w:rsidRPr="00C77950">
        <w:t xml:space="preserve">ach Transmission Group </w:t>
      </w:r>
      <w:r w:rsidR="00382287" w:rsidRPr="00C77950">
        <w:t>Sexually Active</w:t>
      </w:r>
      <w:r w:rsidR="00C77950" w:rsidRPr="00C77950">
        <w:t xml:space="preserve"> in Initial Population (2010)</w:t>
      </w:r>
      <w:bookmarkEnd w:id="16"/>
    </w:p>
    <w:tbl>
      <w:tblPr>
        <w:tblW w:w="5000" w:type="pct"/>
        <w:tblInd w:w="-9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3768"/>
        <w:gridCol w:w="1156"/>
        <w:gridCol w:w="4436"/>
      </w:tblGrid>
      <w:tr w:rsidR="00382287" w:rsidRPr="00705F14" w14:paraId="2D601B68" w14:textId="77777777" w:rsidTr="00260D8A">
        <w:trPr>
          <w:tblHeader/>
        </w:trPr>
        <w:tc>
          <w:tcPr>
            <w:tcW w:w="3768" w:type="dxa"/>
            <w:tcBorders>
              <w:top w:val="single" w:sz="12" w:space="0" w:color="000000"/>
              <w:bottom w:val="single" w:sz="6" w:space="0" w:color="auto"/>
            </w:tcBorders>
            <w:shd w:val="clear" w:color="auto" w:fill="auto"/>
            <w:noWrap/>
            <w:vAlign w:val="bottom"/>
            <w:hideMark/>
          </w:tcPr>
          <w:p w14:paraId="36C39DF3" w14:textId="77777777" w:rsidR="00382287" w:rsidRPr="00705F14" w:rsidRDefault="00382287" w:rsidP="00AA77D8">
            <w:pPr>
              <w:pStyle w:val="TableHeaders"/>
              <w:spacing w:before="20" w:after="20"/>
            </w:pPr>
            <w:r w:rsidRPr="00705F14">
              <w:t>Parameter</w:t>
            </w:r>
          </w:p>
        </w:tc>
        <w:tc>
          <w:tcPr>
            <w:tcW w:w="1156" w:type="dxa"/>
            <w:tcBorders>
              <w:top w:val="single" w:sz="12" w:space="0" w:color="000000"/>
              <w:bottom w:val="single" w:sz="6" w:space="0" w:color="auto"/>
            </w:tcBorders>
            <w:shd w:val="clear" w:color="auto" w:fill="auto"/>
            <w:noWrap/>
            <w:vAlign w:val="bottom"/>
            <w:hideMark/>
          </w:tcPr>
          <w:p w14:paraId="098F3E0F" w14:textId="77777777" w:rsidR="00382287" w:rsidRPr="00705F14" w:rsidRDefault="00382287" w:rsidP="00AA77D8">
            <w:pPr>
              <w:pStyle w:val="TableHeaders"/>
              <w:spacing w:before="20" w:after="20"/>
            </w:pPr>
            <w:r w:rsidRPr="00705F14">
              <w:t>Value</w:t>
            </w:r>
          </w:p>
        </w:tc>
        <w:tc>
          <w:tcPr>
            <w:tcW w:w="4436" w:type="dxa"/>
            <w:tcBorders>
              <w:top w:val="single" w:sz="12" w:space="0" w:color="000000"/>
              <w:bottom w:val="single" w:sz="6" w:space="0" w:color="auto"/>
            </w:tcBorders>
            <w:shd w:val="clear" w:color="auto" w:fill="auto"/>
            <w:noWrap/>
            <w:vAlign w:val="bottom"/>
            <w:hideMark/>
          </w:tcPr>
          <w:p w14:paraId="574C8390" w14:textId="77777777" w:rsidR="00382287" w:rsidRPr="00705F14" w:rsidRDefault="00382287" w:rsidP="00AA77D8">
            <w:pPr>
              <w:pStyle w:val="TableHeaders"/>
              <w:spacing w:before="20" w:after="20"/>
            </w:pPr>
            <w:r w:rsidRPr="00705F14">
              <w:t>Source</w:t>
            </w:r>
          </w:p>
        </w:tc>
      </w:tr>
      <w:tr w:rsidR="005928B9" w:rsidRPr="00705F14" w14:paraId="080D420F" w14:textId="77777777" w:rsidTr="00260D8A">
        <w:trPr>
          <w:trHeight w:val="63"/>
        </w:trPr>
        <w:tc>
          <w:tcPr>
            <w:tcW w:w="3768" w:type="dxa"/>
            <w:tcBorders>
              <w:top w:val="single" w:sz="4" w:space="0" w:color="808080" w:themeColor="background1" w:themeShade="80"/>
              <w:bottom w:val="single" w:sz="4" w:space="0" w:color="808080" w:themeColor="background1" w:themeShade="80"/>
            </w:tcBorders>
            <w:shd w:val="clear" w:color="auto" w:fill="auto"/>
            <w:noWrap/>
            <w:hideMark/>
          </w:tcPr>
          <w:p w14:paraId="1D52AD77" w14:textId="77777777" w:rsidR="005928B9" w:rsidRPr="00705F14" w:rsidRDefault="005928B9" w:rsidP="00AA77D8">
            <w:pPr>
              <w:pStyle w:val="TableText"/>
              <w:spacing w:before="20" w:after="20"/>
            </w:pPr>
            <w:r w:rsidRPr="00705F14">
              <w:t>Percentage of males circumcised, by race/ethnicity</w:t>
            </w:r>
          </w:p>
        </w:tc>
        <w:tc>
          <w:tcPr>
            <w:tcW w:w="1156" w:type="dxa"/>
            <w:tcBorders>
              <w:top w:val="single" w:sz="4" w:space="0" w:color="808080" w:themeColor="background1" w:themeShade="80"/>
              <w:bottom w:val="single" w:sz="4" w:space="0" w:color="808080" w:themeColor="background1" w:themeShade="80"/>
            </w:tcBorders>
            <w:shd w:val="clear" w:color="auto" w:fill="auto"/>
            <w:noWrap/>
            <w:hideMark/>
          </w:tcPr>
          <w:p w14:paraId="07D56934" w14:textId="77777777" w:rsidR="005928B9" w:rsidRPr="00705F14" w:rsidRDefault="005928B9" w:rsidP="00AA77D8">
            <w:pPr>
              <w:pStyle w:val="TableText"/>
              <w:spacing w:before="20" w:after="20"/>
            </w:pPr>
          </w:p>
        </w:tc>
        <w:tc>
          <w:tcPr>
            <w:tcW w:w="4436"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2131A17F" w14:textId="77777777" w:rsidR="005928B9" w:rsidRPr="00705F14" w:rsidRDefault="005928B9" w:rsidP="00AA77D8">
            <w:pPr>
              <w:pStyle w:val="TableText"/>
              <w:spacing w:before="20" w:after="20"/>
            </w:pPr>
            <w:proofErr w:type="spellStart"/>
            <w:r w:rsidRPr="00705F14">
              <w:t>Introcaso</w:t>
            </w:r>
            <w:proofErr w:type="spellEnd"/>
            <w:r w:rsidRPr="00705F14">
              <w:t xml:space="preserve"> et al. (2013)</w:t>
            </w:r>
          </w:p>
        </w:tc>
      </w:tr>
      <w:tr w:rsidR="005928B9" w:rsidRPr="00705F14" w14:paraId="62339250" w14:textId="77777777" w:rsidTr="00260D8A">
        <w:tc>
          <w:tcPr>
            <w:tcW w:w="3768" w:type="dxa"/>
            <w:tcBorders>
              <w:top w:val="single" w:sz="4" w:space="0" w:color="808080" w:themeColor="background1" w:themeShade="80"/>
              <w:bottom w:val="single" w:sz="4" w:space="0" w:color="808080" w:themeColor="background1" w:themeShade="80"/>
            </w:tcBorders>
            <w:shd w:val="clear" w:color="auto" w:fill="auto"/>
            <w:noWrap/>
          </w:tcPr>
          <w:p w14:paraId="7FABE069" w14:textId="77777777" w:rsidR="005928B9" w:rsidRPr="00705F14" w:rsidRDefault="005928B9" w:rsidP="00AA77D8">
            <w:pPr>
              <w:pStyle w:val="TableText"/>
              <w:spacing w:before="20" w:after="20"/>
              <w:ind w:left="270"/>
            </w:pPr>
            <w:r w:rsidRPr="00705F14">
              <w:t>Black</w:t>
            </w:r>
          </w:p>
        </w:tc>
        <w:tc>
          <w:tcPr>
            <w:tcW w:w="1156" w:type="dxa"/>
            <w:tcBorders>
              <w:top w:val="single" w:sz="4" w:space="0" w:color="808080" w:themeColor="background1" w:themeShade="80"/>
              <w:bottom w:val="single" w:sz="4" w:space="0" w:color="808080" w:themeColor="background1" w:themeShade="80"/>
            </w:tcBorders>
            <w:shd w:val="clear" w:color="auto" w:fill="auto"/>
            <w:noWrap/>
          </w:tcPr>
          <w:p w14:paraId="7FCD075D" w14:textId="77777777" w:rsidR="005928B9" w:rsidRPr="00705F14" w:rsidRDefault="005928B9" w:rsidP="00AA77D8">
            <w:pPr>
              <w:pStyle w:val="TableTextDec"/>
              <w:tabs>
                <w:tab w:val="clear" w:pos="1015"/>
                <w:tab w:val="decimal" w:pos="545"/>
              </w:tabs>
              <w:spacing w:before="20" w:after="20"/>
            </w:pPr>
            <w:r w:rsidRPr="00705F14">
              <w:t>75.7%</w:t>
            </w:r>
          </w:p>
        </w:tc>
        <w:tc>
          <w:tcPr>
            <w:tcW w:w="4436" w:type="dxa"/>
            <w:vMerge/>
            <w:tcBorders>
              <w:top w:val="single" w:sz="4" w:space="0" w:color="808080" w:themeColor="background1" w:themeShade="80"/>
              <w:bottom w:val="single" w:sz="4" w:space="0" w:color="808080" w:themeColor="background1" w:themeShade="80"/>
            </w:tcBorders>
            <w:shd w:val="clear" w:color="auto" w:fill="auto"/>
            <w:noWrap/>
          </w:tcPr>
          <w:p w14:paraId="77A07849" w14:textId="77777777" w:rsidR="005928B9" w:rsidRPr="00705F14" w:rsidRDefault="005928B9" w:rsidP="00AA77D8">
            <w:pPr>
              <w:pStyle w:val="TableText"/>
              <w:spacing w:before="20" w:after="20"/>
            </w:pPr>
          </w:p>
        </w:tc>
      </w:tr>
      <w:tr w:rsidR="005928B9" w:rsidRPr="00705F14" w14:paraId="27C71BE9" w14:textId="77777777" w:rsidTr="00260D8A">
        <w:tc>
          <w:tcPr>
            <w:tcW w:w="3768" w:type="dxa"/>
            <w:tcBorders>
              <w:top w:val="single" w:sz="4" w:space="0" w:color="808080" w:themeColor="background1" w:themeShade="80"/>
              <w:bottom w:val="single" w:sz="4" w:space="0" w:color="808080" w:themeColor="background1" w:themeShade="80"/>
            </w:tcBorders>
            <w:shd w:val="clear" w:color="auto" w:fill="auto"/>
            <w:noWrap/>
          </w:tcPr>
          <w:p w14:paraId="6F80E266" w14:textId="77777777" w:rsidR="005928B9" w:rsidRPr="00705F14" w:rsidRDefault="005928B9" w:rsidP="00AA77D8">
            <w:pPr>
              <w:pStyle w:val="TableText"/>
              <w:spacing w:before="20" w:after="20"/>
              <w:ind w:left="270"/>
            </w:pPr>
            <w:r w:rsidRPr="00705F14">
              <w:t>Hispanic/Latino</w:t>
            </w:r>
          </w:p>
        </w:tc>
        <w:tc>
          <w:tcPr>
            <w:tcW w:w="1156" w:type="dxa"/>
            <w:tcBorders>
              <w:top w:val="single" w:sz="4" w:space="0" w:color="808080" w:themeColor="background1" w:themeShade="80"/>
              <w:bottom w:val="single" w:sz="4" w:space="0" w:color="808080" w:themeColor="background1" w:themeShade="80"/>
            </w:tcBorders>
            <w:shd w:val="clear" w:color="auto" w:fill="auto"/>
            <w:noWrap/>
          </w:tcPr>
          <w:p w14:paraId="3E7A4D01" w14:textId="77777777" w:rsidR="005928B9" w:rsidRPr="00705F14" w:rsidRDefault="005928B9" w:rsidP="00AA77D8">
            <w:pPr>
              <w:pStyle w:val="TableTextDec"/>
              <w:tabs>
                <w:tab w:val="clear" w:pos="1015"/>
                <w:tab w:val="decimal" w:pos="545"/>
              </w:tabs>
              <w:spacing w:before="20" w:after="20"/>
            </w:pPr>
            <w:r w:rsidRPr="00705F14">
              <w:t>44.0%</w:t>
            </w:r>
          </w:p>
        </w:tc>
        <w:tc>
          <w:tcPr>
            <w:tcW w:w="4436" w:type="dxa"/>
            <w:vMerge/>
            <w:tcBorders>
              <w:top w:val="single" w:sz="4" w:space="0" w:color="808080" w:themeColor="background1" w:themeShade="80"/>
              <w:bottom w:val="single" w:sz="4" w:space="0" w:color="808080" w:themeColor="background1" w:themeShade="80"/>
            </w:tcBorders>
            <w:shd w:val="clear" w:color="auto" w:fill="auto"/>
            <w:noWrap/>
          </w:tcPr>
          <w:p w14:paraId="74E8F335" w14:textId="77777777" w:rsidR="005928B9" w:rsidRPr="00705F14" w:rsidRDefault="005928B9" w:rsidP="00AA77D8">
            <w:pPr>
              <w:pStyle w:val="TableText"/>
              <w:spacing w:before="20" w:after="20"/>
            </w:pPr>
          </w:p>
        </w:tc>
      </w:tr>
      <w:tr w:rsidR="005928B9" w:rsidRPr="00705F14" w14:paraId="2C08921D" w14:textId="77777777" w:rsidTr="00260D8A">
        <w:tc>
          <w:tcPr>
            <w:tcW w:w="3768" w:type="dxa"/>
            <w:tcBorders>
              <w:top w:val="single" w:sz="4" w:space="0" w:color="808080" w:themeColor="background1" w:themeShade="80"/>
              <w:bottom w:val="single" w:sz="4" w:space="0" w:color="808080" w:themeColor="background1" w:themeShade="80"/>
            </w:tcBorders>
            <w:shd w:val="clear" w:color="auto" w:fill="auto"/>
            <w:noWrap/>
          </w:tcPr>
          <w:p w14:paraId="1C86839A" w14:textId="2A71393C" w:rsidR="005928B9" w:rsidRPr="00705F14" w:rsidRDefault="00896735" w:rsidP="00AA77D8">
            <w:pPr>
              <w:pStyle w:val="TableText"/>
              <w:spacing w:before="20" w:after="20"/>
              <w:ind w:left="270"/>
            </w:pPr>
            <w:r w:rsidRPr="00705F14">
              <w:t>White/other</w:t>
            </w:r>
          </w:p>
        </w:tc>
        <w:tc>
          <w:tcPr>
            <w:tcW w:w="1156" w:type="dxa"/>
            <w:tcBorders>
              <w:top w:val="single" w:sz="4" w:space="0" w:color="808080" w:themeColor="background1" w:themeShade="80"/>
              <w:bottom w:val="single" w:sz="4" w:space="0" w:color="808080" w:themeColor="background1" w:themeShade="80"/>
            </w:tcBorders>
            <w:shd w:val="clear" w:color="auto" w:fill="auto"/>
            <w:noWrap/>
          </w:tcPr>
          <w:p w14:paraId="6F736922" w14:textId="77777777" w:rsidR="005928B9" w:rsidRPr="00705F14" w:rsidRDefault="005928B9" w:rsidP="00AA77D8">
            <w:pPr>
              <w:pStyle w:val="TableTextDec"/>
              <w:tabs>
                <w:tab w:val="clear" w:pos="1015"/>
                <w:tab w:val="decimal" w:pos="545"/>
              </w:tabs>
              <w:spacing w:before="20" w:after="20"/>
            </w:pPr>
            <w:r w:rsidRPr="00705F14">
              <w:t>90.8%</w:t>
            </w:r>
          </w:p>
        </w:tc>
        <w:tc>
          <w:tcPr>
            <w:tcW w:w="4436" w:type="dxa"/>
            <w:vMerge/>
            <w:tcBorders>
              <w:top w:val="single" w:sz="4" w:space="0" w:color="808080" w:themeColor="background1" w:themeShade="80"/>
              <w:bottom w:val="single" w:sz="4" w:space="0" w:color="808080" w:themeColor="background1" w:themeShade="80"/>
            </w:tcBorders>
            <w:shd w:val="clear" w:color="auto" w:fill="auto"/>
            <w:noWrap/>
          </w:tcPr>
          <w:p w14:paraId="3995346A" w14:textId="77777777" w:rsidR="005928B9" w:rsidRPr="00705F14" w:rsidRDefault="005928B9" w:rsidP="00AA77D8">
            <w:pPr>
              <w:pStyle w:val="TableText"/>
              <w:spacing w:before="20" w:after="20"/>
            </w:pPr>
          </w:p>
        </w:tc>
      </w:tr>
      <w:tr w:rsidR="000C5C78" w:rsidRPr="00705F14" w14:paraId="30232E40" w14:textId="77777777" w:rsidTr="00260D8A">
        <w:tc>
          <w:tcPr>
            <w:tcW w:w="9360" w:type="dxa"/>
            <w:gridSpan w:val="3"/>
            <w:tcBorders>
              <w:top w:val="single" w:sz="4" w:space="0" w:color="808080" w:themeColor="background1" w:themeShade="80"/>
              <w:bottom w:val="single" w:sz="4" w:space="0" w:color="808080" w:themeColor="background1" w:themeShade="80"/>
            </w:tcBorders>
            <w:shd w:val="clear" w:color="auto" w:fill="auto"/>
            <w:noWrap/>
          </w:tcPr>
          <w:p w14:paraId="52555ED0" w14:textId="052EDC27" w:rsidR="000C5C78" w:rsidRPr="00705F14" w:rsidRDefault="000C5C78" w:rsidP="00AA77D8">
            <w:pPr>
              <w:pStyle w:val="TableText"/>
              <w:spacing w:before="20" w:after="20"/>
            </w:pPr>
            <w:r w:rsidRPr="00705F14">
              <w:t>Percentage of population sexually active, by transmission risk group</w:t>
            </w:r>
          </w:p>
        </w:tc>
      </w:tr>
      <w:tr w:rsidR="000C5C78" w:rsidRPr="00705F14" w14:paraId="4B1BA8DE" w14:textId="77777777" w:rsidTr="000B7100">
        <w:tc>
          <w:tcPr>
            <w:tcW w:w="3768" w:type="dxa"/>
            <w:tcBorders>
              <w:top w:val="single" w:sz="4" w:space="0" w:color="808080" w:themeColor="background1" w:themeShade="80"/>
              <w:bottom w:val="single" w:sz="4" w:space="0" w:color="808080" w:themeColor="background1" w:themeShade="80"/>
            </w:tcBorders>
            <w:shd w:val="clear" w:color="auto" w:fill="auto"/>
            <w:noWrap/>
          </w:tcPr>
          <w:p w14:paraId="5F0516AC" w14:textId="29C4BC66" w:rsidR="000C5C78" w:rsidRPr="00705F14" w:rsidRDefault="000C5C78" w:rsidP="00AA77D8">
            <w:pPr>
              <w:pStyle w:val="TableText"/>
              <w:spacing w:before="20" w:after="20"/>
              <w:ind w:left="270"/>
            </w:pPr>
            <w:r w:rsidRPr="00705F14">
              <w:t>HET</w:t>
            </w:r>
          </w:p>
        </w:tc>
        <w:tc>
          <w:tcPr>
            <w:tcW w:w="1156" w:type="dxa"/>
            <w:tcBorders>
              <w:top w:val="single" w:sz="4" w:space="0" w:color="808080" w:themeColor="background1" w:themeShade="80"/>
              <w:bottom w:val="single" w:sz="4" w:space="0" w:color="808080" w:themeColor="background1" w:themeShade="80"/>
            </w:tcBorders>
            <w:shd w:val="clear" w:color="auto" w:fill="auto"/>
            <w:noWrap/>
            <w:vAlign w:val="center"/>
          </w:tcPr>
          <w:p w14:paraId="61439BB3" w14:textId="04C2CC2C" w:rsidR="000C5C78" w:rsidRPr="00705F14" w:rsidRDefault="00782722" w:rsidP="00087186">
            <w:pPr>
              <w:pStyle w:val="TableTextDec"/>
              <w:tabs>
                <w:tab w:val="clear" w:pos="1015"/>
                <w:tab w:val="decimal" w:pos="545"/>
              </w:tabs>
              <w:spacing w:before="20" w:after="20"/>
            </w:pPr>
            <w:r w:rsidRPr="00705F14">
              <w:t>88.9</w:t>
            </w:r>
            <w:r w:rsidR="000C5C78" w:rsidRPr="00705F14">
              <w:t>%</w:t>
            </w:r>
          </w:p>
        </w:tc>
        <w:tc>
          <w:tcPr>
            <w:tcW w:w="4436" w:type="dxa"/>
            <w:tcBorders>
              <w:top w:val="single" w:sz="4" w:space="0" w:color="808080" w:themeColor="background1" w:themeShade="80"/>
              <w:bottom w:val="single" w:sz="4" w:space="0" w:color="808080" w:themeColor="background1" w:themeShade="80"/>
            </w:tcBorders>
            <w:shd w:val="clear" w:color="auto" w:fill="auto"/>
            <w:noWrap/>
          </w:tcPr>
          <w:p w14:paraId="79B90C59" w14:textId="218B0394" w:rsidR="000C5C78" w:rsidRPr="00705F14" w:rsidRDefault="00087186" w:rsidP="00AA77D8">
            <w:pPr>
              <w:pStyle w:val="TableText"/>
              <w:spacing w:before="20" w:after="20"/>
            </w:pPr>
            <w:r w:rsidRPr="00705F14">
              <w:t xml:space="preserve">Percentage calculated from Lansky </w:t>
            </w:r>
            <w:r w:rsidR="000C5C78" w:rsidRPr="00705F14">
              <w:t xml:space="preserve">et al., </w:t>
            </w:r>
            <w:r w:rsidRPr="00705F14">
              <w:t>(</w:t>
            </w:r>
            <w:r w:rsidR="00C64024" w:rsidRPr="00705F14">
              <w:t>201</w:t>
            </w:r>
            <w:r w:rsidRPr="00705F14">
              <w:t>5</w:t>
            </w:r>
            <w:r w:rsidR="000C5C78" w:rsidRPr="00705F14">
              <w:t>)</w:t>
            </w:r>
            <w:r w:rsidR="003D04E4" w:rsidRPr="00705F14">
              <w:rPr>
                <w:vertAlign w:val="superscript"/>
              </w:rPr>
              <w:t>a</w:t>
            </w:r>
          </w:p>
        </w:tc>
      </w:tr>
      <w:tr w:rsidR="000C5C78" w:rsidRPr="00705F14" w14:paraId="5734E47A" w14:textId="77777777" w:rsidTr="00260D8A">
        <w:tc>
          <w:tcPr>
            <w:tcW w:w="3768" w:type="dxa"/>
            <w:tcBorders>
              <w:top w:val="single" w:sz="4" w:space="0" w:color="808080" w:themeColor="background1" w:themeShade="80"/>
              <w:bottom w:val="single" w:sz="4" w:space="0" w:color="808080" w:themeColor="background1" w:themeShade="80"/>
            </w:tcBorders>
            <w:shd w:val="clear" w:color="auto" w:fill="auto"/>
            <w:noWrap/>
          </w:tcPr>
          <w:p w14:paraId="51E5713B" w14:textId="293F895F" w:rsidR="000C5C78" w:rsidRPr="00705F14" w:rsidRDefault="000C5C78" w:rsidP="00AA77D8">
            <w:pPr>
              <w:pStyle w:val="TableText"/>
              <w:spacing w:before="20" w:after="20"/>
              <w:ind w:left="270"/>
            </w:pPr>
            <w:r w:rsidRPr="00705F14">
              <w:t>MSM</w:t>
            </w:r>
          </w:p>
        </w:tc>
        <w:tc>
          <w:tcPr>
            <w:tcW w:w="1156" w:type="dxa"/>
            <w:tcBorders>
              <w:top w:val="single" w:sz="4" w:space="0" w:color="808080" w:themeColor="background1" w:themeShade="80"/>
              <w:bottom w:val="single" w:sz="4" w:space="0" w:color="808080" w:themeColor="background1" w:themeShade="80"/>
            </w:tcBorders>
            <w:shd w:val="clear" w:color="auto" w:fill="auto"/>
            <w:noWrap/>
          </w:tcPr>
          <w:p w14:paraId="6A35C1F1" w14:textId="33D7B9C7" w:rsidR="000C5C78" w:rsidRPr="00705F14" w:rsidRDefault="000C5C78" w:rsidP="00AA77D8">
            <w:pPr>
              <w:pStyle w:val="TableTextDec"/>
              <w:tabs>
                <w:tab w:val="clear" w:pos="1015"/>
                <w:tab w:val="decimal" w:pos="545"/>
              </w:tabs>
              <w:spacing w:before="20" w:after="20"/>
            </w:pPr>
            <w:r w:rsidRPr="00705F14">
              <w:t>100%</w:t>
            </w:r>
          </w:p>
        </w:tc>
        <w:tc>
          <w:tcPr>
            <w:tcW w:w="4436" w:type="dxa"/>
            <w:tcBorders>
              <w:top w:val="single" w:sz="4" w:space="0" w:color="808080" w:themeColor="background1" w:themeShade="80"/>
              <w:bottom w:val="single" w:sz="4" w:space="0" w:color="808080" w:themeColor="background1" w:themeShade="80"/>
            </w:tcBorders>
            <w:shd w:val="clear" w:color="auto" w:fill="auto"/>
            <w:noWrap/>
          </w:tcPr>
          <w:p w14:paraId="2B5E2EC4" w14:textId="5491DEC4" w:rsidR="000C5C78" w:rsidRPr="00705F14" w:rsidRDefault="000C5C78" w:rsidP="00AA77D8">
            <w:pPr>
              <w:pStyle w:val="TableText"/>
              <w:spacing w:before="20" w:after="20"/>
            </w:pPr>
            <w:r w:rsidRPr="00705F14">
              <w:t>Assumption</w:t>
            </w:r>
          </w:p>
        </w:tc>
      </w:tr>
      <w:tr w:rsidR="000C5C78" w:rsidRPr="00705F14" w14:paraId="1583AED9" w14:textId="77777777" w:rsidTr="00260D8A">
        <w:tc>
          <w:tcPr>
            <w:tcW w:w="3768" w:type="dxa"/>
            <w:tcBorders>
              <w:top w:val="single" w:sz="4" w:space="0" w:color="808080" w:themeColor="background1" w:themeShade="80"/>
              <w:bottom w:val="single" w:sz="12" w:space="0" w:color="000000"/>
            </w:tcBorders>
            <w:shd w:val="clear" w:color="auto" w:fill="auto"/>
            <w:noWrap/>
          </w:tcPr>
          <w:p w14:paraId="379B2B91" w14:textId="7BE4F8BA" w:rsidR="000C5C78" w:rsidRPr="00705F14" w:rsidRDefault="000C5C78" w:rsidP="00AA77D8">
            <w:pPr>
              <w:pStyle w:val="TableText"/>
              <w:spacing w:before="20" w:after="20"/>
              <w:ind w:left="270"/>
            </w:pPr>
            <w:r w:rsidRPr="00705F14">
              <w:t>PWID</w:t>
            </w:r>
          </w:p>
        </w:tc>
        <w:tc>
          <w:tcPr>
            <w:tcW w:w="1156" w:type="dxa"/>
            <w:tcBorders>
              <w:top w:val="single" w:sz="4" w:space="0" w:color="808080" w:themeColor="background1" w:themeShade="80"/>
              <w:bottom w:val="single" w:sz="12" w:space="0" w:color="000000"/>
            </w:tcBorders>
            <w:shd w:val="clear" w:color="auto" w:fill="auto"/>
            <w:noWrap/>
          </w:tcPr>
          <w:p w14:paraId="56E33816" w14:textId="45C02E4E" w:rsidR="000C5C78" w:rsidRPr="00705F14" w:rsidRDefault="000C5C78" w:rsidP="00AA77D8">
            <w:pPr>
              <w:pStyle w:val="TableTextDec"/>
              <w:tabs>
                <w:tab w:val="clear" w:pos="1015"/>
                <w:tab w:val="decimal" w:pos="545"/>
              </w:tabs>
              <w:spacing w:before="20" w:after="20"/>
            </w:pPr>
            <w:r w:rsidRPr="00705F14">
              <w:t>100%</w:t>
            </w:r>
          </w:p>
        </w:tc>
        <w:tc>
          <w:tcPr>
            <w:tcW w:w="4436" w:type="dxa"/>
            <w:tcBorders>
              <w:top w:val="single" w:sz="4" w:space="0" w:color="808080" w:themeColor="background1" w:themeShade="80"/>
              <w:bottom w:val="single" w:sz="12" w:space="0" w:color="000000"/>
            </w:tcBorders>
            <w:shd w:val="clear" w:color="auto" w:fill="auto"/>
            <w:noWrap/>
          </w:tcPr>
          <w:p w14:paraId="65EB78BC" w14:textId="10BBC96E" w:rsidR="000C5C78" w:rsidRPr="00705F14" w:rsidRDefault="000C5C78" w:rsidP="00AA77D8">
            <w:pPr>
              <w:pStyle w:val="TableText"/>
              <w:spacing w:before="20" w:after="20"/>
            </w:pPr>
            <w:r w:rsidRPr="00705F14">
              <w:t>Assumption</w:t>
            </w:r>
          </w:p>
        </w:tc>
      </w:tr>
    </w:tbl>
    <w:p w14:paraId="50B21B2D" w14:textId="44ABC1BD" w:rsidR="00382287" w:rsidRPr="00705F14" w:rsidRDefault="00D4774B" w:rsidP="00F82809">
      <w:pPr>
        <w:pStyle w:val="Source2"/>
      </w:pPr>
      <w:r w:rsidRPr="00705F14">
        <w:t xml:space="preserve">Note: </w:t>
      </w:r>
      <w:r w:rsidR="00382287" w:rsidRPr="00705F14">
        <w:t>HET</w:t>
      </w:r>
      <w:r w:rsidR="00E628BE" w:rsidRPr="00705F14">
        <w:t> = </w:t>
      </w:r>
      <w:r w:rsidR="00382287" w:rsidRPr="00705F14">
        <w:t xml:space="preserve">heterosexual; </w:t>
      </w:r>
      <w:r w:rsidR="006E2C52" w:rsidRPr="00705F14">
        <w:t>NHANES</w:t>
      </w:r>
      <w:r w:rsidR="00E628BE" w:rsidRPr="00705F14">
        <w:t> = </w:t>
      </w:r>
      <w:r w:rsidR="006E2C52" w:rsidRPr="00705F14">
        <w:t>National health and Nutrition Examination Survey</w:t>
      </w:r>
      <w:r w:rsidR="003F2CEE" w:rsidRPr="00705F14">
        <w:t>; MSM = men who have sex with men; PWID = people who inject drugs</w:t>
      </w:r>
    </w:p>
    <w:p w14:paraId="05EFF19A" w14:textId="27456A80" w:rsidR="00FF5BE6" w:rsidRPr="00705F14" w:rsidRDefault="003D04E4" w:rsidP="00AA77D8">
      <w:pPr>
        <w:pStyle w:val="Source2"/>
        <w:spacing w:before="60"/>
      </w:pPr>
      <w:r w:rsidRPr="00705F14">
        <w:rPr>
          <w:vertAlign w:val="superscript"/>
        </w:rPr>
        <w:t>a</w:t>
      </w:r>
      <w:r w:rsidRPr="00705F14">
        <w:t xml:space="preserve"> </w:t>
      </w:r>
      <w:r w:rsidR="00087186" w:rsidRPr="00705F14">
        <w:t>Lansky et al. (2015) estimated that 86.7% of the US population</w:t>
      </w:r>
      <w:r w:rsidR="000B7100" w:rsidRPr="00705F14">
        <w:t xml:space="preserve"> aged 13 years and older</w:t>
      </w:r>
      <w:r w:rsidR="00087186" w:rsidRPr="00705F14">
        <w:t xml:space="preserve"> is sexually active heterosexuals (</w:t>
      </w:r>
      <w:r w:rsidR="000612A9" w:rsidRPr="00705F14">
        <w:t>individuals who</w:t>
      </w:r>
      <w:r w:rsidR="00087186" w:rsidRPr="00705F14">
        <w:t xml:space="preserve"> report</w:t>
      </w:r>
      <w:r w:rsidR="000612A9" w:rsidRPr="00705F14">
        <w:t>ed</w:t>
      </w:r>
      <w:r w:rsidR="00087186" w:rsidRPr="00705F14">
        <w:t xml:space="preserve"> having an opposite sex partner within lifetime</w:t>
      </w:r>
      <w:r w:rsidR="000612A9" w:rsidRPr="00705F14">
        <w:t xml:space="preserve"> but not having had same-sex intercourse with a man or injected drugs</w:t>
      </w:r>
      <w:r w:rsidR="00087186" w:rsidRPr="00705F14">
        <w:t xml:space="preserve">). </w:t>
      </w:r>
      <w:r w:rsidR="000612A9" w:rsidRPr="00705F14">
        <w:t xml:space="preserve">The percentage of HETs who are sexually active was calculated based on </w:t>
      </w:r>
      <w:r w:rsidR="00087186" w:rsidRPr="00705F14">
        <w:t xml:space="preserve">that percentage, 2010 Census </w:t>
      </w:r>
      <w:r w:rsidR="0035118C" w:rsidRPr="00705F14">
        <w:t>estimates of number of individuals</w:t>
      </w:r>
      <w:r w:rsidR="003D79CC" w:rsidRPr="00705F14">
        <w:t xml:space="preserve"> ages 13+ (U.S. Census Bureau </w:t>
      </w:r>
      <w:r w:rsidR="0035118C" w:rsidRPr="00705F14">
        <w:t>[</w:t>
      </w:r>
      <w:r w:rsidR="003D79CC" w:rsidRPr="00705F14">
        <w:t>2010</w:t>
      </w:r>
      <w:r w:rsidR="0035118C" w:rsidRPr="00705F14">
        <w:t>]</w:t>
      </w:r>
      <w:r w:rsidR="003D79CC" w:rsidRPr="00705F14">
        <w:t>)</w:t>
      </w:r>
      <w:r w:rsidR="00087186" w:rsidRPr="00705F14">
        <w:t>, and total HET population size</w:t>
      </w:r>
      <w:r w:rsidR="000B7100" w:rsidRPr="00705F14">
        <w:t xml:space="preserve"> (where total HET population estimate is described in Table 4.1)</w:t>
      </w:r>
      <w:r w:rsidR="00087186" w:rsidRPr="00705F14">
        <w:t xml:space="preserve">. </w:t>
      </w:r>
    </w:p>
    <w:p w14:paraId="57FE7451" w14:textId="0DAD16B3" w:rsidR="00382287" w:rsidRPr="00F5043F" w:rsidRDefault="004F4E6D" w:rsidP="004557C4">
      <w:pPr>
        <w:pStyle w:val="TableTitle"/>
      </w:pPr>
      <w:bookmarkStart w:id="17" w:name="_Toc89257586"/>
      <w:r w:rsidRPr="00705F14">
        <w:t>Table 4.</w:t>
      </w:r>
      <w:r w:rsidR="00E32D85" w:rsidRPr="00705F14">
        <w:t>4</w:t>
      </w:r>
      <w:r w:rsidR="004557C4" w:rsidRPr="00705F14">
        <w:t>.</w:t>
      </w:r>
      <w:r w:rsidR="004557C4" w:rsidRPr="00705F14">
        <w:tab/>
      </w:r>
      <w:r w:rsidR="00382287" w:rsidRPr="00705F14">
        <w:t>Distribution of Initial</w:t>
      </w:r>
      <w:r w:rsidR="00E631C3" w:rsidRPr="00705F14">
        <w:t xml:space="preserve"> HIV-I</w:t>
      </w:r>
      <w:r w:rsidR="00382287" w:rsidRPr="00705F14">
        <w:t>nfected Population</w:t>
      </w:r>
      <w:r w:rsidR="00382287" w:rsidRPr="00F5043F">
        <w:t xml:space="preserve"> across Continuum-of-Care Stages by Race/Ethnicity</w:t>
      </w:r>
      <w:r w:rsidR="003F2CEE" w:rsidRPr="00F5043F">
        <w:t xml:space="preserve"> for All Subpopulations besides MSM ages 13-34</w:t>
      </w:r>
      <w:r w:rsidR="000C5C78" w:rsidRPr="00F5043F">
        <w:t xml:space="preserve"> (</w:t>
      </w:r>
      <w:r w:rsidR="00A404E4" w:rsidRPr="00F5043F">
        <w:t>2010</w:t>
      </w:r>
      <w:r w:rsidR="000C5C78" w:rsidRPr="00F5043F">
        <w:t>)</w:t>
      </w:r>
      <w:bookmarkEnd w:id="17"/>
    </w:p>
    <w:tbl>
      <w:tblPr>
        <w:tblW w:w="4989" w:type="pct"/>
        <w:tblInd w:w="86" w:type="dxa"/>
        <w:tblBorders>
          <w:top w:val="single" w:sz="12" w:space="0" w:color="000000"/>
          <w:bottom w:val="single" w:sz="12" w:space="0" w:color="000000"/>
          <w:insideH w:val="single" w:sz="2" w:space="0" w:color="DDDDDD"/>
        </w:tblBorders>
        <w:tblLayout w:type="fixed"/>
        <w:tblCellMar>
          <w:left w:w="58" w:type="dxa"/>
          <w:right w:w="58" w:type="dxa"/>
        </w:tblCellMar>
        <w:tblLook w:val="04A0" w:firstRow="1" w:lastRow="0" w:firstColumn="1" w:lastColumn="0" w:noHBand="0" w:noVBand="1"/>
      </w:tblPr>
      <w:tblGrid>
        <w:gridCol w:w="2399"/>
        <w:gridCol w:w="968"/>
        <w:gridCol w:w="1143"/>
        <w:gridCol w:w="1056"/>
        <w:gridCol w:w="3767"/>
        <w:gridCol w:w="6"/>
      </w:tblGrid>
      <w:tr w:rsidR="00382287" w:rsidRPr="00F5043F" w14:paraId="3D5D081C" w14:textId="77777777" w:rsidTr="001F1C46">
        <w:trPr>
          <w:gridAfter w:val="1"/>
          <w:wAfter w:w="6" w:type="dxa"/>
          <w:tblHeader/>
        </w:trPr>
        <w:tc>
          <w:tcPr>
            <w:tcW w:w="2399" w:type="dxa"/>
            <w:tcBorders>
              <w:top w:val="single" w:sz="12" w:space="0" w:color="000000"/>
              <w:bottom w:val="single" w:sz="6" w:space="0" w:color="auto"/>
            </w:tcBorders>
            <w:shd w:val="clear" w:color="auto" w:fill="auto"/>
            <w:noWrap/>
            <w:vAlign w:val="bottom"/>
            <w:hideMark/>
          </w:tcPr>
          <w:p w14:paraId="57C126CF" w14:textId="77777777" w:rsidR="00382287" w:rsidRPr="00F5043F" w:rsidRDefault="00BA76A6" w:rsidP="00AA77D8">
            <w:pPr>
              <w:pStyle w:val="TableHeaders"/>
            </w:pPr>
            <w:r w:rsidRPr="00F5043F">
              <w:t xml:space="preserve">Continuum-of-Care </w:t>
            </w:r>
            <w:r w:rsidR="003B19DD" w:rsidRPr="00F5043F">
              <w:t>Stage</w:t>
            </w:r>
          </w:p>
        </w:tc>
        <w:tc>
          <w:tcPr>
            <w:tcW w:w="968" w:type="dxa"/>
            <w:tcBorders>
              <w:top w:val="single" w:sz="12" w:space="0" w:color="000000"/>
              <w:bottom w:val="single" w:sz="6" w:space="0" w:color="auto"/>
            </w:tcBorders>
            <w:shd w:val="clear" w:color="auto" w:fill="auto"/>
            <w:vAlign w:val="bottom"/>
          </w:tcPr>
          <w:p w14:paraId="27FAB5CF" w14:textId="77777777" w:rsidR="00382287" w:rsidRPr="00F5043F" w:rsidRDefault="00382287" w:rsidP="00AA77D8">
            <w:pPr>
              <w:pStyle w:val="TableHeaders"/>
            </w:pPr>
            <w:r w:rsidRPr="00F5043F">
              <w:t>Black</w:t>
            </w:r>
          </w:p>
        </w:tc>
        <w:tc>
          <w:tcPr>
            <w:tcW w:w="1143" w:type="dxa"/>
            <w:tcBorders>
              <w:top w:val="single" w:sz="12" w:space="0" w:color="000000"/>
              <w:bottom w:val="single" w:sz="6" w:space="0" w:color="auto"/>
            </w:tcBorders>
            <w:shd w:val="clear" w:color="auto" w:fill="auto"/>
            <w:vAlign w:val="bottom"/>
          </w:tcPr>
          <w:p w14:paraId="581D7B2C" w14:textId="77777777" w:rsidR="00382287" w:rsidRPr="00F5043F" w:rsidRDefault="00382287" w:rsidP="00AA77D8">
            <w:pPr>
              <w:pStyle w:val="TableHeaders"/>
            </w:pPr>
            <w:r w:rsidRPr="00F5043F">
              <w:t>Hispanic/</w:t>
            </w:r>
            <w:r w:rsidR="006776CF" w:rsidRPr="00F5043F">
              <w:t xml:space="preserve"> </w:t>
            </w:r>
            <w:r w:rsidRPr="00F5043F">
              <w:t>Latino</w:t>
            </w:r>
          </w:p>
        </w:tc>
        <w:tc>
          <w:tcPr>
            <w:tcW w:w="1056" w:type="dxa"/>
            <w:tcBorders>
              <w:top w:val="single" w:sz="12" w:space="0" w:color="000000"/>
              <w:bottom w:val="single" w:sz="6" w:space="0" w:color="auto"/>
            </w:tcBorders>
            <w:shd w:val="clear" w:color="auto" w:fill="auto"/>
            <w:vAlign w:val="bottom"/>
          </w:tcPr>
          <w:p w14:paraId="7E0B30EE" w14:textId="1ED41397" w:rsidR="00382287" w:rsidRPr="00F5043F" w:rsidRDefault="00896735" w:rsidP="00715A5A">
            <w:pPr>
              <w:pStyle w:val="TableHeaders"/>
            </w:pPr>
            <w:r w:rsidRPr="00F5043F">
              <w:t>White/</w:t>
            </w:r>
            <w:r w:rsidR="00715A5A" w:rsidRPr="00F5043F">
              <w:t xml:space="preserve"> </w:t>
            </w:r>
            <w:r w:rsidR="007F5675" w:rsidRPr="00F5043F">
              <w:t>O</w:t>
            </w:r>
            <w:r w:rsidRPr="00F5043F">
              <w:t>ther</w:t>
            </w:r>
          </w:p>
        </w:tc>
        <w:tc>
          <w:tcPr>
            <w:tcW w:w="3767" w:type="dxa"/>
            <w:tcBorders>
              <w:top w:val="single" w:sz="12" w:space="0" w:color="000000"/>
              <w:bottom w:val="single" w:sz="6" w:space="0" w:color="auto"/>
            </w:tcBorders>
            <w:shd w:val="clear" w:color="auto" w:fill="auto"/>
            <w:noWrap/>
            <w:vAlign w:val="bottom"/>
            <w:hideMark/>
          </w:tcPr>
          <w:p w14:paraId="0E611486" w14:textId="77777777" w:rsidR="00382287" w:rsidRPr="00F5043F" w:rsidRDefault="00382287" w:rsidP="00AA77D8">
            <w:pPr>
              <w:pStyle w:val="TableHeaders"/>
            </w:pPr>
            <w:r w:rsidRPr="00F5043F">
              <w:t>Source</w:t>
            </w:r>
          </w:p>
        </w:tc>
      </w:tr>
      <w:tr w:rsidR="001F1C46" w:rsidRPr="00F5043F" w14:paraId="7E340FAE" w14:textId="77777777" w:rsidTr="001F1C46">
        <w:tc>
          <w:tcPr>
            <w:tcW w:w="2399" w:type="dxa"/>
            <w:tcBorders>
              <w:top w:val="single" w:sz="6" w:space="0" w:color="auto"/>
              <w:bottom w:val="single" w:sz="4" w:space="0" w:color="808080" w:themeColor="background1" w:themeShade="80"/>
            </w:tcBorders>
            <w:shd w:val="clear" w:color="auto" w:fill="auto"/>
            <w:noWrap/>
            <w:hideMark/>
          </w:tcPr>
          <w:p w14:paraId="350CF330" w14:textId="02BFA890" w:rsidR="001F1C46" w:rsidRPr="00F5043F" w:rsidRDefault="001F1C46" w:rsidP="005F5DDA">
            <w:pPr>
              <w:pStyle w:val="TableText"/>
            </w:pPr>
            <w:r w:rsidRPr="00F5043F">
              <w:t>Unaware (</w:t>
            </w:r>
            <w:r w:rsidRPr="00F5043F">
              <w:rPr>
                <w:i/>
                <w:iCs/>
              </w:rPr>
              <w:t>r</w:t>
            </w:r>
            <w:r w:rsidRPr="00F5043F">
              <w:t> = 1)</w:t>
            </w:r>
          </w:p>
        </w:tc>
        <w:tc>
          <w:tcPr>
            <w:tcW w:w="968" w:type="dxa"/>
            <w:tcBorders>
              <w:top w:val="single" w:sz="6" w:space="0" w:color="auto"/>
              <w:bottom w:val="single" w:sz="4" w:space="0" w:color="808080" w:themeColor="background1" w:themeShade="80"/>
            </w:tcBorders>
          </w:tcPr>
          <w:p w14:paraId="4CDA4A2F" w14:textId="3B39DF5F" w:rsidR="001F1C46" w:rsidRPr="00F5043F" w:rsidRDefault="00BE1595" w:rsidP="004557C4">
            <w:pPr>
              <w:pStyle w:val="TableText"/>
              <w:jc w:val="center"/>
            </w:pPr>
            <w:r w:rsidRPr="00F5043F">
              <w:t>16.7</w:t>
            </w:r>
            <w:r w:rsidR="001F1C46" w:rsidRPr="00F5043F">
              <w:t>%</w:t>
            </w:r>
          </w:p>
        </w:tc>
        <w:tc>
          <w:tcPr>
            <w:tcW w:w="1143" w:type="dxa"/>
            <w:tcBorders>
              <w:top w:val="single" w:sz="6" w:space="0" w:color="auto"/>
              <w:bottom w:val="single" w:sz="4" w:space="0" w:color="808080" w:themeColor="background1" w:themeShade="80"/>
            </w:tcBorders>
          </w:tcPr>
          <w:p w14:paraId="6D5CCD6E" w14:textId="363B098B" w:rsidR="001F1C46" w:rsidRPr="00F5043F" w:rsidRDefault="00BE1595" w:rsidP="004557C4">
            <w:pPr>
              <w:pStyle w:val="TableText"/>
              <w:jc w:val="center"/>
            </w:pPr>
            <w:r w:rsidRPr="00F5043F">
              <w:t>17.4%</w:t>
            </w:r>
          </w:p>
        </w:tc>
        <w:tc>
          <w:tcPr>
            <w:tcW w:w="1056" w:type="dxa"/>
            <w:tcBorders>
              <w:top w:val="single" w:sz="6" w:space="0" w:color="auto"/>
              <w:bottom w:val="single" w:sz="4" w:space="0" w:color="808080" w:themeColor="background1" w:themeShade="80"/>
            </w:tcBorders>
          </w:tcPr>
          <w:p w14:paraId="1C41E56E" w14:textId="11E9DEA8" w:rsidR="001F1C46" w:rsidRPr="00F5043F" w:rsidRDefault="00BE1595" w:rsidP="004557C4">
            <w:pPr>
              <w:pStyle w:val="TableText"/>
              <w:jc w:val="center"/>
            </w:pPr>
            <w:r w:rsidRPr="00F5043F">
              <w:t>13.9%</w:t>
            </w:r>
          </w:p>
        </w:tc>
        <w:tc>
          <w:tcPr>
            <w:tcW w:w="3773" w:type="dxa"/>
            <w:gridSpan w:val="2"/>
            <w:vMerge w:val="restart"/>
            <w:tcBorders>
              <w:top w:val="single" w:sz="6" w:space="0" w:color="auto"/>
            </w:tcBorders>
            <w:shd w:val="clear" w:color="auto" w:fill="auto"/>
            <w:noWrap/>
            <w:hideMark/>
          </w:tcPr>
          <w:p w14:paraId="32C8999A" w14:textId="6DD94184" w:rsidR="001F1C46" w:rsidRPr="00F5043F" w:rsidRDefault="001F1C46" w:rsidP="00A15A22">
            <w:pPr>
              <w:pStyle w:val="TableText"/>
            </w:pPr>
            <w:r w:rsidRPr="00F5043F">
              <w:t xml:space="preserve">Percentages calculated from Gardner et al. (2011) </w:t>
            </w:r>
            <w:r w:rsidRPr="00F5043F">
              <w:rPr>
                <w:vertAlign w:val="superscript"/>
              </w:rPr>
              <w:t>a</w:t>
            </w:r>
            <w:r w:rsidRPr="00F5043F" w:rsidDel="001F1C46">
              <w:t xml:space="preserve"> </w:t>
            </w:r>
          </w:p>
          <w:p w14:paraId="54B97A2B" w14:textId="484B6878" w:rsidR="001F1C46" w:rsidRPr="00F5043F" w:rsidRDefault="001F1C46" w:rsidP="003F5A30">
            <w:pPr>
              <w:pStyle w:val="TableText"/>
            </w:pPr>
          </w:p>
          <w:p w14:paraId="270B792A" w14:textId="0F16C692" w:rsidR="001F1C46" w:rsidRPr="00F5043F" w:rsidRDefault="001F1C46" w:rsidP="009268A7">
            <w:pPr>
              <w:pStyle w:val="TableText"/>
            </w:pPr>
          </w:p>
        </w:tc>
      </w:tr>
      <w:tr w:rsidR="001F1C46" w:rsidRPr="00F5043F" w14:paraId="5E043A5E" w14:textId="77777777" w:rsidTr="001F1C46">
        <w:tc>
          <w:tcPr>
            <w:tcW w:w="2399" w:type="dxa"/>
            <w:tcBorders>
              <w:top w:val="single" w:sz="4" w:space="0" w:color="808080" w:themeColor="background1" w:themeShade="80"/>
              <w:bottom w:val="single" w:sz="4" w:space="0" w:color="808080" w:themeColor="background1" w:themeShade="80"/>
            </w:tcBorders>
            <w:shd w:val="clear" w:color="auto" w:fill="auto"/>
            <w:noWrap/>
            <w:hideMark/>
          </w:tcPr>
          <w:p w14:paraId="2E4A74BB" w14:textId="0E8614B9" w:rsidR="001F1C46" w:rsidRPr="00F5043F" w:rsidRDefault="001F1C46" w:rsidP="005F5DDA">
            <w:pPr>
              <w:pStyle w:val="TableText"/>
            </w:pPr>
            <w:r w:rsidRPr="00F5043F">
              <w:t>Aware (</w:t>
            </w:r>
            <w:r w:rsidRPr="00F5043F">
              <w:rPr>
                <w:i/>
                <w:iCs/>
              </w:rPr>
              <w:t>r</w:t>
            </w:r>
            <w:r w:rsidRPr="00F5043F">
              <w:t> = 2)</w:t>
            </w:r>
          </w:p>
        </w:tc>
        <w:tc>
          <w:tcPr>
            <w:tcW w:w="968" w:type="dxa"/>
            <w:tcBorders>
              <w:top w:val="single" w:sz="4" w:space="0" w:color="808080" w:themeColor="background1" w:themeShade="80"/>
              <w:bottom w:val="single" w:sz="4" w:space="0" w:color="808080" w:themeColor="background1" w:themeShade="80"/>
            </w:tcBorders>
          </w:tcPr>
          <w:p w14:paraId="796D00C6" w14:textId="77CC801D" w:rsidR="001F1C46" w:rsidRPr="00F5043F" w:rsidRDefault="00BE1595" w:rsidP="004557C4">
            <w:pPr>
              <w:pStyle w:val="TableText"/>
              <w:jc w:val="center"/>
            </w:pPr>
            <w:r w:rsidRPr="00F5043F">
              <w:t>32.6%</w:t>
            </w:r>
          </w:p>
        </w:tc>
        <w:tc>
          <w:tcPr>
            <w:tcW w:w="1143" w:type="dxa"/>
            <w:tcBorders>
              <w:top w:val="single" w:sz="4" w:space="0" w:color="808080" w:themeColor="background1" w:themeShade="80"/>
              <w:bottom w:val="single" w:sz="4" w:space="0" w:color="808080" w:themeColor="background1" w:themeShade="80"/>
            </w:tcBorders>
          </w:tcPr>
          <w:p w14:paraId="65C399C6" w14:textId="7B5BD7C3" w:rsidR="001F1C46" w:rsidRPr="00F5043F" w:rsidRDefault="00BE1595" w:rsidP="004557C4">
            <w:pPr>
              <w:pStyle w:val="TableText"/>
              <w:jc w:val="center"/>
            </w:pPr>
            <w:r w:rsidRPr="00F5043F">
              <w:t>30.4%</w:t>
            </w:r>
          </w:p>
        </w:tc>
        <w:tc>
          <w:tcPr>
            <w:tcW w:w="1056" w:type="dxa"/>
            <w:tcBorders>
              <w:top w:val="single" w:sz="4" w:space="0" w:color="808080" w:themeColor="background1" w:themeShade="80"/>
              <w:bottom w:val="single" w:sz="4" w:space="0" w:color="808080" w:themeColor="background1" w:themeShade="80"/>
            </w:tcBorders>
          </w:tcPr>
          <w:p w14:paraId="1BEF25DC" w14:textId="0D713E2B" w:rsidR="001F1C46" w:rsidRPr="00F5043F" w:rsidRDefault="00BE1595" w:rsidP="004557C4">
            <w:pPr>
              <w:pStyle w:val="TableText"/>
              <w:jc w:val="center"/>
            </w:pPr>
            <w:r w:rsidRPr="00F5043F">
              <w:t>28.5%</w:t>
            </w:r>
          </w:p>
        </w:tc>
        <w:tc>
          <w:tcPr>
            <w:tcW w:w="3773" w:type="dxa"/>
            <w:gridSpan w:val="2"/>
            <w:vMerge/>
            <w:shd w:val="clear" w:color="auto" w:fill="auto"/>
            <w:noWrap/>
            <w:hideMark/>
          </w:tcPr>
          <w:p w14:paraId="408C3619" w14:textId="3BA13705" w:rsidR="001F1C46" w:rsidRPr="00F5043F" w:rsidRDefault="001F1C46" w:rsidP="009268A7">
            <w:pPr>
              <w:pStyle w:val="TableText"/>
            </w:pPr>
          </w:p>
        </w:tc>
      </w:tr>
      <w:tr w:rsidR="001F1C46" w:rsidRPr="00F5043F" w14:paraId="7D32AC65" w14:textId="77777777" w:rsidTr="001F1C46">
        <w:tc>
          <w:tcPr>
            <w:tcW w:w="2399" w:type="dxa"/>
            <w:tcBorders>
              <w:top w:val="single" w:sz="4" w:space="0" w:color="808080" w:themeColor="background1" w:themeShade="80"/>
              <w:bottom w:val="single" w:sz="4" w:space="0" w:color="808080" w:themeColor="background1" w:themeShade="80"/>
            </w:tcBorders>
            <w:shd w:val="clear" w:color="auto" w:fill="auto"/>
            <w:noWrap/>
          </w:tcPr>
          <w:p w14:paraId="63400775" w14:textId="2B975346" w:rsidR="001F1C46" w:rsidRPr="00F5043F" w:rsidRDefault="001F1C46" w:rsidP="005F5DDA">
            <w:pPr>
              <w:pStyle w:val="TableText"/>
            </w:pPr>
            <w:r w:rsidRPr="00F5043F">
              <w:t>Linked to HIV care (</w:t>
            </w:r>
            <w:r w:rsidRPr="00F5043F">
              <w:rPr>
                <w:i/>
                <w:iCs/>
              </w:rPr>
              <w:t>r</w:t>
            </w:r>
            <w:r w:rsidRPr="00F5043F">
              <w:t> = 3)</w:t>
            </w:r>
          </w:p>
        </w:tc>
        <w:tc>
          <w:tcPr>
            <w:tcW w:w="968" w:type="dxa"/>
            <w:tcBorders>
              <w:top w:val="single" w:sz="4" w:space="0" w:color="808080" w:themeColor="background1" w:themeShade="80"/>
              <w:bottom w:val="single" w:sz="4" w:space="0" w:color="808080" w:themeColor="background1" w:themeShade="80"/>
            </w:tcBorders>
          </w:tcPr>
          <w:p w14:paraId="2A6AEF25" w14:textId="4C6AA181" w:rsidR="001F1C46" w:rsidRPr="00F5043F" w:rsidRDefault="00BE1595" w:rsidP="001A7FD1">
            <w:pPr>
              <w:pStyle w:val="TableText"/>
              <w:jc w:val="center"/>
            </w:pPr>
            <w:r w:rsidRPr="00F5043F">
              <w:t>20.9%</w:t>
            </w:r>
          </w:p>
        </w:tc>
        <w:tc>
          <w:tcPr>
            <w:tcW w:w="1143" w:type="dxa"/>
            <w:tcBorders>
              <w:top w:val="single" w:sz="4" w:space="0" w:color="808080" w:themeColor="background1" w:themeShade="80"/>
              <w:bottom w:val="single" w:sz="4" w:space="0" w:color="808080" w:themeColor="background1" w:themeShade="80"/>
            </w:tcBorders>
          </w:tcPr>
          <w:p w14:paraId="63651789" w14:textId="31C2C04F" w:rsidR="001F1C46" w:rsidRPr="00F5043F" w:rsidRDefault="00BE1595" w:rsidP="001A7FD1">
            <w:pPr>
              <w:pStyle w:val="TableText"/>
              <w:jc w:val="center"/>
            </w:pPr>
            <w:r w:rsidRPr="00F5043F">
              <w:t>18.1%</w:t>
            </w:r>
          </w:p>
        </w:tc>
        <w:tc>
          <w:tcPr>
            <w:tcW w:w="1056" w:type="dxa"/>
            <w:tcBorders>
              <w:top w:val="single" w:sz="4" w:space="0" w:color="808080" w:themeColor="background1" w:themeShade="80"/>
              <w:bottom w:val="single" w:sz="4" w:space="0" w:color="808080" w:themeColor="background1" w:themeShade="80"/>
            </w:tcBorders>
          </w:tcPr>
          <w:p w14:paraId="3844CC58" w14:textId="17586680" w:rsidR="001F1C46" w:rsidRPr="00F5043F" w:rsidRDefault="00BE1595" w:rsidP="001A7FD1">
            <w:pPr>
              <w:pStyle w:val="TableText"/>
              <w:jc w:val="center"/>
            </w:pPr>
            <w:r w:rsidRPr="00F5043F">
              <w:t>22.1%</w:t>
            </w:r>
          </w:p>
        </w:tc>
        <w:tc>
          <w:tcPr>
            <w:tcW w:w="3773" w:type="dxa"/>
            <w:gridSpan w:val="2"/>
            <w:vMerge/>
            <w:shd w:val="clear" w:color="auto" w:fill="auto"/>
            <w:noWrap/>
            <w:hideMark/>
          </w:tcPr>
          <w:p w14:paraId="4260232F" w14:textId="125A5A0F" w:rsidR="001F1C46" w:rsidRPr="00F5043F" w:rsidRDefault="001F1C46" w:rsidP="009268A7">
            <w:pPr>
              <w:pStyle w:val="TableText"/>
            </w:pPr>
          </w:p>
        </w:tc>
      </w:tr>
      <w:tr w:rsidR="001F1C46" w:rsidRPr="00F5043F" w14:paraId="501B32D1" w14:textId="77777777" w:rsidTr="001F1C46">
        <w:tc>
          <w:tcPr>
            <w:tcW w:w="2399" w:type="dxa"/>
            <w:tcBorders>
              <w:top w:val="single" w:sz="4" w:space="0" w:color="808080" w:themeColor="background1" w:themeShade="80"/>
              <w:bottom w:val="single" w:sz="4" w:space="0" w:color="808080" w:themeColor="background1" w:themeShade="80"/>
            </w:tcBorders>
            <w:shd w:val="clear" w:color="auto" w:fill="auto"/>
            <w:noWrap/>
          </w:tcPr>
          <w:p w14:paraId="1C0C953B" w14:textId="4D6F436D" w:rsidR="001F1C46" w:rsidRPr="00F5043F" w:rsidRDefault="001F1C46" w:rsidP="005F5DDA">
            <w:pPr>
              <w:pStyle w:val="TableText"/>
            </w:pPr>
            <w:r w:rsidRPr="00F5043F">
              <w:t>ART-not-VLS (</w:t>
            </w:r>
            <w:r w:rsidRPr="00F5043F">
              <w:rPr>
                <w:i/>
                <w:iCs/>
              </w:rPr>
              <w:t>r</w:t>
            </w:r>
            <w:r w:rsidRPr="00F5043F">
              <w:t> = 4)</w:t>
            </w:r>
          </w:p>
        </w:tc>
        <w:tc>
          <w:tcPr>
            <w:tcW w:w="968" w:type="dxa"/>
            <w:tcBorders>
              <w:top w:val="single" w:sz="4" w:space="0" w:color="808080" w:themeColor="background1" w:themeShade="80"/>
              <w:bottom w:val="single" w:sz="4" w:space="0" w:color="808080" w:themeColor="background1" w:themeShade="80"/>
            </w:tcBorders>
          </w:tcPr>
          <w:p w14:paraId="29C5B9B3" w14:textId="35610123" w:rsidR="001F1C46" w:rsidRPr="00F5043F" w:rsidRDefault="00BE1595" w:rsidP="004557C4">
            <w:pPr>
              <w:pStyle w:val="TableText"/>
              <w:jc w:val="center"/>
            </w:pPr>
            <w:r w:rsidRPr="00F5043F">
              <w:t>8.2%</w:t>
            </w:r>
          </w:p>
        </w:tc>
        <w:tc>
          <w:tcPr>
            <w:tcW w:w="1143" w:type="dxa"/>
            <w:tcBorders>
              <w:top w:val="single" w:sz="4" w:space="0" w:color="808080" w:themeColor="background1" w:themeShade="80"/>
              <w:bottom w:val="single" w:sz="4" w:space="0" w:color="808080" w:themeColor="background1" w:themeShade="80"/>
            </w:tcBorders>
          </w:tcPr>
          <w:p w14:paraId="2171C386" w14:textId="65755DE0" w:rsidR="001F1C46" w:rsidRPr="00F5043F" w:rsidRDefault="00BE1595" w:rsidP="001A7FD1">
            <w:pPr>
              <w:pStyle w:val="TableText"/>
              <w:jc w:val="center"/>
            </w:pPr>
            <w:r w:rsidRPr="00F5043F">
              <w:t>7.2%</w:t>
            </w:r>
          </w:p>
        </w:tc>
        <w:tc>
          <w:tcPr>
            <w:tcW w:w="1056" w:type="dxa"/>
            <w:tcBorders>
              <w:top w:val="single" w:sz="4" w:space="0" w:color="808080" w:themeColor="background1" w:themeShade="80"/>
              <w:bottom w:val="single" w:sz="4" w:space="0" w:color="808080" w:themeColor="background1" w:themeShade="80"/>
            </w:tcBorders>
          </w:tcPr>
          <w:p w14:paraId="2466A7B3" w14:textId="629F431F" w:rsidR="001F1C46" w:rsidRPr="00F5043F" w:rsidRDefault="00BE1595" w:rsidP="001A7FD1">
            <w:pPr>
              <w:pStyle w:val="TableText"/>
              <w:jc w:val="center"/>
            </w:pPr>
            <w:r w:rsidRPr="00F5043F">
              <w:t>5.1%</w:t>
            </w:r>
          </w:p>
        </w:tc>
        <w:tc>
          <w:tcPr>
            <w:tcW w:w="3773" w:type="dxa"/>
            <w:gridSpan w:val="2"/>
            <w:vMerge/>
            <w:shd w:val="clear" w:color="auto" w:fill="auto"/>
            <w:noWrap/>
          </w:tcPr>
          <w:p w14:paraId="113C4477" w14:textId="1EB4A276" w:rsidR="001F1C46" w:rsidRPr="00F5043F" w:rsidRDefault="001F1C46" w:rsidP="009268A7">
            <w:pPr>
              <w:pStyle w:val="TableText"/>
            </w:pPr>
          </w:p>
        </w:tc>
      </w:tr>
      <w:tr w:rsidR="001F1C46" w:rsidRPr="00F5043F" w14:paraId="6F27D17A" w14:textId="77777777" w:rsidTr="001F1C46">
        <w:tc>
          <w:tcPr>
            <w:tcW w:w="2399" w:type="dxa"/>
            <w:tcBorders>
              <w:top w:val="single" w:sz="4" w:space="0" w:color="808080" w:themeColor="background1" w:themeShade="80"/>
              <w:bottom w:val="single" w:sz="12" w:space="0" w:color="000000"/>
            </w:tcBorders>
            <w:shd w:val="clear" w:color="auto" w:fill="auto"/>
            <w:noWrap/>
          </w:tcPr>
          <w:p w14:paraId="3E794E7F" w14:textId="1DE3E357" w:rsidR="001F1C46" w:rsidRPr="00F5043F" w:rsidRDefault="001F1C46" w:rsidP="004557C4">
            <w:pPr>
              <w:pStyle w:val="TableText"/>
            </w:pPr>
            <w:r w:rsidRPr="00F5043F">
              <w:t>VLS (</w:t>
            </w:r>
            <w:r w:rsidRPr="00F5043F">
              <w:rPr>
                <w:i/>
                <w:iCs/>
              </w:rPr>
              <w:t>r</w:t>
            </w:r>
            <w:r w:rsidRPr="00F5043F">
              <w:t> = 5)</w:t>
            </w:r>
          </w:p>
        </w:tc>
        <w:tc>
          <w:tcPr>
            <w:tcW w:w="968" w:type="dxa"/>
            <w:tcBorders>
              <w:top w:val="single" w:sz="4" w:space="0" w:color="808080" w:themeColor="background1" w:themeShade="80"/>
              <w:bottom w:val="single" w:sz="12" w:space="0" w:color="000000"/>
            </w:tcBorders>
            <w:shd w:val="clear" w:color="auto" w:fill="auto"/>
          </w:tcPr>
          <w:p w14:paraId="4EC53E6B" w14:textId="12DEF9EB" w:rsidR="001F1C46" w:rsidRPr="00F5043F" w:rsidRDefault="00BE1595" w:rsidP="004557C4">
            <w:pPr>
              <w:pStyle w:val="TableText"/>
              <w:jc w:val="center"/>
            </w:pPr>
            <w:r w:rsidRPr="00F5043F">
              <w:t>21.6%</w:t>
            </w:r>
          </w:p>
        </w:tc>
        <w:tc>
          <w:tcPr>
            <w:tcW w:w="1143" w:type="dxa"/>
            <w:tcBorders>
              <w:top w:val="single" w:sz="4" w:space="0" w:color="808080" w:themeColor="background1" w:themeShade="80"/>
              <w:bottom w:val="single" w:sz="12" w:space="0" w:color="000000"/>
            </w:tcBorders>
            <w:shd w:val="clear" w:color="auto" w:fill="auto"/>
          </w:tcPr>
          <w:p w14:paraId="7FF8785E" w14:textId="0F26774D" w:rsidR="001F1C46" w:rsidRPr="00F5043F" w:rsidRDefault="00BE1595" w:rsidP="004557C4">
            <w:pPr>
              <w:pStyle w:val="TableText"/>
              <w:jc w:val="center"/>
            </w:pPr>
            <w:r w:rsidRPr="00F5043F">
              <w:t>26.9%</w:t>
            </w:r>
          </w:p>
        </w:tc>
        <w:tc>
          <w:tcPr>
            <w:tcW w:w="1056" w:type="dxa"/>
            <w:tcBorders>
              <w:top w:val="single" w:sz="4" w:space="0" w:color="808080" w:themeColor="background1" w:themeShade="80"/>
              <w:bottom w:val="single" w:sz="12" w:space="0" w:color="000000"/>
            </w:tcBorders>
            <w:shd w:val="clear" w:color="auto" w:fill="auto"/>
          </w:tcPr>
          <w:p w14:paraId="7A2EA4C2" w14:textId="51BB9106" w:rsidR="001F1C46" w:rsidRPr="00F5043F" w:rsidRDefault="00BE1595" w:rsidP="004557C4">
            <w:pPr>
              <w:pStyle w:val="TableText"/>
              <w:jc w:val="center"/>
            </w:pPr>
            <w:r w:rsidRPr="00F5043F">
              <w:t>30.4%</w:t>
            </w:r>
          </w:p>
        </w:tc>
        <w:tc>
          <w:tcPr>
            <w:tcW w:w="3773" w:type="dxa"/>
            <w:gridSpan w:val="2"/>
            <w:vMerge/>
            <w:tcBorders>
              <w:bottom w:val="single" w:sz="12" w:space="0" w:color="000000"/>
            </w:tcBorders>
            <w:shd w:val="clear" w:color="auto" w:fill="auto"/>
            <w:noWrap/>
          </w:tcPr>
          <w:p w14:paraId="6A7394FE" w14:textId="3B269C23" w:rsidR="001F1C46" w:rsidRPr="00F5043F" w:rsidRDefault="001F1C46" w:rsidP="009268A7">
            <w:pPr>
              <w:pStyle w:val="TableText"/>
            </w:pPr>
          </w:p>
        </w:tc>
      </w:tr>
    </w:tbl>
    <w:p w14:paraId="659C232A" w14:textId="7DF8B226" w:rsidR="00382287" w:rsidRPr="00F5043F" w:rsidRDefault="00D4774B" w:rsidP="00D4774B">
      <w:pPr>
        <w:pStyle w:val="Source3"/>
      </w:pPr>
      <w:r w:rsidRPr="00F5043F">
        <w:t xml:space="preserve">Note: </w:t>
      </w:r>
      <w:r w:rsidR="00382287" w:rsidRPr="00F5043F">
        <w:t>ART</w:t>
      </w:r>
      <w:r w:rsidR="00E628BE" w:rsidRPr="00F5043F">
        <w:t> = </w:t>
      </w:r>
      <w:r w:rsidR="00382287" w:rsidRPr="00F5043F">
        <w:t xml:space="preserve">antiretroviral therapy; </w:t>
      </w:r>
      <w:r w:rsidR="001A7FD1" w:rsidRPr="00F5043F">
        <w:t>VLS</w:t>
      </w:r>
      <w:r w:rsidR="00E628BE" w:rsidRPr="00F5043F">
        <w:t> = </w:t>
      </w:r>
      <w:r w:rsidR="001A7FD1" w:rsidRPr="00F5043F">
        <w:t>viral load suppressed</w:t>
      </w:r>
    </w:p>
    <w:p w14:paraId="73496588" w14:textId="2BED9E1E" w:rsidR="001F1C46" w:rsidRPr="00F5043F" w:rsidRDefault="00F36478" w:rsidP="00B70295">
      <w:pPr>
        <w:pStyle w:val="Source2"/>
        <w:spacing w:before="60"/>
      </w:pPr>
      <w:proofErr w:type="spellStart"/>
      <w:r w:rsidRPr="00F5043F">
        <w:rPr>
          <w:vertAlign w:val="superscript"/>
        </w:rPr>
        <w:t>a</w:t>
      </w:r>
      <w:proofErr w:type="spellEnd"/>
      <w:r w:rsidR="00786610" w:rsidRPr="00F5043F">
        <w:rPr>
          <w:vertAlign w:val="superscript"/>
        </w:rPr>
        <w:t xml:space="preserve"> </w:t>
      </w:r>
      <w:r w:rsidR="001F1C46" w:rsidRPr="00F5043F">
        <w:t>The non-race</w:t>
      </w:r>
      <w:r w:rsidR="00C77950" w:rsidRPr="00F5043F">
        <w:t>-</w:t>
      </w:r>
      <w:r w:rsidR="001F1C46" w:rsidRPr="00F5043F">
        <w:t>specific data from Gardner et al. (2011) was adjusted to be race-specific by calculating the relative proportion of the race in each of these stages using the race-specific distribution of population in 2010. The weighted average was set to equal the original Gardner (2011) value.</w:t>
      </w:r>
    </w:p>
    <w:p w14:paraId="226B474C" w14:textId="77777777" w:rsidR="00ED6A40" w:rsidRDefault="00ED6A40" w:rsidP="00A404E4">
      <w:pPr>
        <w:pStyle w:val="TableTitle"/>
        <w:sectPr w:rsidR="00ED6A40" w:rsidSect="006524BC">
          <w:headerReference w:type="even" r:id="rId40"/>
          <w:headerReference w:type="default" r:id="rId41"/>
          <w:footerReference w:type="even" r:id="rId42"/>
          <w:footerReference w:type="default" r:id="rId43"/>
          <w:headerReference w:type="first" r:id="rId44"/>
          <w:footerReference w:type="first" r:id="rId45"/>
          <w:type w:val="oddPage"/>
          <w:pgSz w:w="12240" w:h="15840" w:code="1"/>
          <w:pgMar w:top="1440" w:right="1440" w:bottom="1440" w:left="1440" w:header="720" w:footer="720" w:gutter="0"/>
          <w:pgNumType w:chapStyle="1"/>
          <w:cols w:space="720"/>
          <w:docGrid w:linePitch="360"/>
        </w:sectPr>
      </w:pPr>
    </w:p>
    <w:p w14:paraId="7FAE51B2" w14:textId="17077A26" w:rsidR="00A404E4" w:rsidRPr="00F5043F" w:rsidRDefault="00A404E4" w:rsidP="00A404E4">
      <w:pPr>
        <w:pStyle w:val="TableTitle"/>
      </w:pPr>
      <w:bookmarkStart w:id="18" w:name="_Toc89257587"/>
      <w:r w:rsidRPr="00F5043F">
        <w:lastRenderedPageBreak/>
        <w:t>Table 4.</w:t>
      </w:r>
      <w:r w:rsidR="00E32D85" w:rsidRPr="00F5043F">
        <w:t>5</w:t>
      </w:r>
      <w:r w:rsidRPr="00F5043F">
        <w:t>.</w:t>
      </w:r>
      <w:r w:rsidRPr="00F5043F">
        <w:tab/>
      </w:r>
      <w:r w:rsidR="003F2CEE" w:rsidRPr="00F5043F">
        <w:t>Distribution of Initial HIV-Infected Population across Continuum-of-Care Stages by Race/Ethnicity for MSM ages 13-34 (2010)</w:t>
      </w:r>
      <w:bookmarkEnd w:id="18"/>
    </w:p>
    <w:tbl>
      <w:tblPr>
        <w:tblW w:w="5149" w:type="pct"/>
        <w:tblInd w:w="86" w:type="dxa"/>
        <w:tblBorders>
          <w:top w:val="single" w:sz="12" w:space="0" w:color="000000"/>
          <w:bottom w:val="single" w:sz="12" w:space="0" w:color="000000"/>
          <w:insideH w:val="single" w:sz="2" w:space="0" w:color="DDDDDD"/>
        </w:tblBorders>
        <w:tblLayout w:type="fixed"/>
        <w:tblCellMar>
          <w:left w:w="58" w:type="dxa"/>
          <w:right w:w="58" w:type="dxa"/>
        </w:tblCellMar>
        <w:tblLook w:val="04A0" w:firstRow="1" w:lastRow="0" w:firstColumn="1" w:lastColumn="0" w:noHBand="0" w:noVBand="1"/>
      </w:tblPr>
      <w:tblGrid>
        <w:gridCol w:w="2096"/>
        <w:gridCol w:w="972"/>
        <w:gridCol w:w="896"/>
        <w:gridCol w:w="1170"/>
        <w:gridCol w:w="1080"/>
        <w:gridCol w:w="1440"/>
        <w:gridCol w:w="1350"/>
        <w:gridCol w:w="4342"/>
      </w:tblGrid>
      <w:tr w:rsidR="00ED6A40" w:rsidRPr="00F5043F" w14:paraId="1FF2D50A" w14:textId="77777777" w:rsidTr="003F2CEE">
        <w:trPr>
          <w:trHeight w:val="658"/>
          <w:tblHeader/>
        </w:trPr>
        <w:tc>
          <w:tcPr>
            <w:tcW w:w="2096" w:type="dxa"/>
            <w:tcBorders>
              <w:top w:val="single" w:sz="12" w:space="0" w:color="000000"/>
              <w:bottom w:val="single" w:sz="6" w:space="0" w:color="auto"/>
            </w:tcBorders>
            <w:shd w:val="clear" w:color="auto" w:fill="auto"/>
            <w:noWrap/>
            <w:vAlign w:val="bottom"/>
            <w:hideMark/>
          </w:tcPr>
          <w:p w14:paraId="5D8121A8" w14:textId="77777777" w:rsidR="00ED6A40" w:rsidRPr="00F5043F" w:rsidRDefault="00ED6A40" w:rsidP="005510DB">
            <w:pPr>
              <w:pStyle w:val="TableHeaders"/>
            </w:pPr>
            <w:r w:rsidRPr="00F5043F">
              <w:t>Continuum-of-Care Stage</w:t>
            </w:r>
          </w:p>
        </w:tc>
        <w:tc>
          <w:tcPr>
            <w:tcW w:w="972" w:type="dxa"/>
            <w:tcBorders>
              <w:top w:val="single" w:sz="12" w:space="0" w:color="000000"/>
              <w:bottom w:val="single" w:sz="6" w:space="0" w:color="auto"/>
            </w:tcBorders>
            <w:shd w:val="clear" w:color="auto" w:fill="auto"/>
            <w:vAlign w:val="bottom"/>
          </w:tcPr>
          <w:p w14:paraId="7D7456DE" w14:textId="77777777" w:rsidR="000B1690" w:rsidRPr="00F5043F" w:rsidRDefault="00ED6A40" w:rsidP="000B1690">
            <w:pPr>
              <w:pStyle w:val="TableHeaders"/>
            </w:pPr>
            <w:r w:rsidRPr="00F5043F">
              <w:t xml:space="preserve">Black </w:t>
            </w:r>
          </w:p>
          <w:p w14:paraId="3DF51DF2" w14:textId="2BABEB73" w:rsidR="00ED6A40" w:rsidRPr="00F5043F" w:rsidRDefault="00ED6A40" w:rsidP="005510DB">
            <w:pPr>
              <w:pStyle w:val="TableHeaders"/>
            </w:pPr>
            <w:r w:rsidRPr="00F5043F">
              <w:t>13-24</w:t>
            </w:r>
          </w:p>
        </w:tc>
        <w:tc>
          <w:tcPr>
            <w:tcW w:w="896" w:type="dxa"/>
            <w:tcBorders>
              <w:top w:val="single" w:sz="12" w:space="0" w:color="000000"/>
              <w:bottom w:val="single" w:sz="6" w:space="0" w:color="auto"/>
            </w:tcBorders>
            <w:vAlign w:val="bottom"/>
          </w:tcPr>
          <w:p w14:paraId="395C7972" w14:textId="77777777" w:rsidR="000B1690" w:rsidRPr="00F5043F" w:rsidRDefault="00ED6A40" w:rsidP="000B1690">
            <w:pPr>
              <w:pStyle w:val="TableHeaders"/>
            </w:pPr>
            <w:r w:rsidRPr="00F5043F">
              <w:t xml:space="preserve">Black </w:t>
            </w:r>
          </w:p>
          <w:p w14:paraId="180A5F71" w14:textId="6FCD7DB5" w:rsidR="00ED6A40" w:rsidRPr="00F5043F" w:rsidRDefault="00ED6A40" w:rsidP="005510DB">
            <w:pPr>
              <w:pStyle w:val="TableHeaders"/>
            </w:pPr>
            <w:r w:rsidRPr="00F5043F">
              <w:t>25-34</w:t>
            </w:r>
          </w:p>
        </w:tc>
        <w:tc>
          <w:tcPr>
            <w:tcW w:w="1170" w:type="dxa"/>
            <w:tcBorders>
              <w:top w:val="single" w:sz="12" w:space="0" w:color="000000"/>
              <w:bottom w:val="single" w:sz="6" w:space="0" w:color="auto"/>
            </w:tcBorders>
            <w:shd w:val="clear" w:color="auto" w:fill="auto"/>
            <w:vAlign w:val="bottom"/>
          </w:tcPr>
          <w:p w14:paraId="1FFE6229" w14:textId="7D087032" w:rsidR="000B1690" w:rsidRPr="00F5043F" w:rsidRDefault="00ED6A40">
            <w:pPr>
              <w:pStyle w:val="TableHeaders"/>
            </w:pPr>
            <w:r w:rsidRPr="00F5043F">
              <w:t>Hispanic/ Latino</w:t>
            </w:r>
          </w:p>
          <w:p w14:paraId="7F8AA6AD" w14:textId="4D21AD33" w:rsidR="00ED6A40" w:rsidRPr="00F5043F" w:rsidRDefault="000B1690">
            <w:pPr>
              <w:pStyle w:val="TableHeaders"/>
            </w:pPr>
            <w:r w:rsidRPr="00F5043F">
              <w:t>13-24</w:t>
            </w:r>
          </w:p>
        </w:tc>
        <w:tc>
          <w:tcPr>
            <w:tcW w:w="1080" w:type="dxa"/>
            <w:tcBorders>
              <w:top w:val="single" w:sz="12" w:space="0" w:color="000000"/>
              <w:bottom w:val="single" w:sz="6" w:space="0" w:color="auto"/>
            </w:tcBorders>
            <w:vAlign w:val="bottom"/>
          </w:tcPr>
          <w:p w14:paraId="663B90C6" w14:textId="47C51BEF" w:rsidR="000B1690" w:rsidRPr="00F5043F" w:rsidRDefault="000B1690">
            <w:pPr>
              <w:pStyle w:val="TableHeaders"/>
            </w:pPr>
            <w:r w:rsidRPr="00F5043F">
              <w:t>Hispanic/ Latino</w:t>
            </w:r>
          </w:p>
          <w:p w14:paraId="25CDF898" w14:textId="02789011" w:rsidR="00ED6A40" w:rsidRPr="00F5043F" w:rsidRDefault="000B1690">
            <w:pPr>
              <w:pStyle w:val="TableHeaders"/>
            </w:pPr>
            <w:r w:rsidRPr="00F5043F">
              <w:t>25-34</w:t>
            </w:r>
          </w:p>
        </w:tc>
        <w:tc>
          <w:tcPr>
            <w:tcW w:w="1440" w:type="dxa"/>
            <w:tcBorders>
              <w:top w:val="single" w:sz="12" w:space="0" w:color="000000"/>
              <w:bottom w:val="single" w:sz="6" w:space="0" w:color="auto"/>
            </w:tcBorders>
            <w:shd w:val="clear" w:color="auto" w:fill="auto"/>
            <w:vAlign w:val="bottom"/>
          </w:tcPr>
          <w:p w14:paraId="0B6BBE4D" w14:textId="77777777" w:rsidR="00ED6A40" w:rsidRPr="00F5043F" w:rsidRDefault="00ED6A40">
            <w:pPr>
              <w:pStyle w:val="TableHeaders"/>
            </w:pPr>
            <w:r w:rsidRPr="00F5043F">
              <w:t>White/ Other</w:t>
            </w:r>
          </w:p>
          <w:p w14:paraId="05292BEB" w14:textId="33F3BCC4" w:rsidR="000B1690" w:rsidRPr="00F5043F" w:rsidRDefault="000B1690">
            <w:pPr>
              <w:pStyle w:val="TableHeaders"/>
            </w:pPr>
            <w:r w:rsidRPr="00F5043F">
              <w:t>13-24</w:t>
            </w:r>
          </w:p>
        </w:tc>
        <w:tc>
          <w:tcPr>
            <w:tcW w:w="1350" w:type="dxa"/>
            <w:tcBorders>
              <w:top w:val="single" w:sz="12" w:space="0" w:color="000000"/>
              <w:bottom w:val="single" w:sz="6" w:space="0" w:color="auto"/>
            </w:tcBorders>
            <w:vAlign w:val="bottom"/>
          </w:tcPr>
          <w:p w14:paraId="12077010" w14:textId="77777777" w:rsidR="000B1690" w:rsidRPr="00F5043F" w:rsidRDefault="000B1690">
            <w:pPr>
              <w:pStyle w:val="TableHeaders"/>
            </w:pPr>
            <w:r w:rsidRPr="00F5043F">
              <w:t>White/ Other</w:t>
            </w:r>
          </w:p>
          <w:p w14:paraId="6F2F3152" w14:textId="5945DD98" w:rsidR="00ED6A40" w:rsidRPr="00F5043F" w:rsidRDefault="000B1690">
            <w:pPr>
              <w:pStyle w:val="TableHeaders"/>
            </w:pPr>
            <w:r w:rsidRPr="00F5043F">
              <w:t>25-34</w:t>
            </w:r>
          </w:p>
        </w:tc>
        <w:tc>
          <w:tcPr>
            <w:tcW w:w="4342" w:type="dxa"/>
            <w:tcBorders>
              <w:top w:val="single" w:sz="12" w:space="0" w:color="000000"/>
              <w:bottom w:val="single" w:sz="6" w:space="0" w:color="auto"/>
            </w:tcBorders>
            <w:shd w:val="clear" w:color="auto" w:fill="auto"/>
            <w:noWrap/>
            <w:vAlign w:val="bottom"/>
            <w:hideMark/>
          </w:tcPr>
          <w:p w14:paraId="17868D99" w14:textId="5A3CF27B" w:rsidR="00ED6A40" w:rsidRPr="00F5043F" w:rsidRDefault="00ED6A40" w:rsidP="00FE1A57">
            <w:pPr>
              <w:pStyle w:val="TableHeaders"/>
            </w:pPr>
            <w:r w:rsidRPr="00F5043F">
              <w:t>Source</w:t>
            </w:r>
          </w:p>
        </w:tc>
      </w:tr>
      <w:tr w:rsidR="00ED6A40" w:rsidRPr="00F5043F" w14:paraId="2313395D" w14:textId="77777777" w:rsidTr="003F2CEE">
        <w:trPr>
          <w:trHeight w:val="362"/>
        </w:trPr>
        <w:tc>
          <w:tcPr>
            <w:tcW w:w="2096" w:type="dxa"/>
            <w:tcBorders>
              <w:top w:val="single" w:sz="6" w:space="0" w:color="auto"/>
              <w:bottom w:val="single" w:sz="4" w:space="0" w:color="808080" w:themeColor="background1" w:themeShade="80"/>
            </w:tcBorders>
            <w:shd w:val="clear" w:color="auto" w:fill="auto"/>
            <w:noWrap/>
            <w:hideMark/>
          </w:tcPr>
          <w:p w14:paraId="41E3ABC9" w14:textId="77777777" w:rsidR="00ED6A40" w:rsidRPr="00F5043F" w:rsidRDefault="00ED6A40" w:rsidP="00FE1A57">
            <w:pPr>
              <w:pStyle w:val="TableText"/>
            </w:pPr>
            <w:r w:rsidRPr="00F5043F">
              <w:t>Unaware (</w:t>
            </w:r>
            <w:r w:rsidRPr="00F5043F">
              <w:rPr>
                <w:i/>
                <w:iCs/>
              </w:rPr>
              <w:t>r</w:t>
            </w:r>
            <w:r w:rsidRPr="00F5043F">
              <w:t> = 1)</w:t>
            </w:r>
          </w:p>
        </w:tc>
        <w:tc>
          <w:tcPr>
            <w:tcW w:w="972" w:type="dxa"/>
            <w:tcBorders>
              <w:top w:val="single" w:sz="6" w:space="0" w:color="auto"/>
              <w:bottom w:val="single" w:sz="4" w:space="0" w:color="808080" w:themeColor="background1" w:themeShade="80"/>
            </w:tcBorders>
          </w:tcPr>
          <w:p w14:paraId="56421EFA" w14:textId="21C16CBC" w:rsidR="00ED6A40" w:rsidRPr="00F5043F" w:rsidRDefault="000B1690" w:rsidP="003F2CEE">
            <w:pPr>
              <w:jc w:val="center"/>
              <w:outlineLvl w:val="0"/>
              <w:rPr>
                <w:rFonts w:ascii="Calibri" w:eastAsia="Times New Roman" w:hAnsi="Calibri" w:cs="Calibri"/>
                <w:sz w:val="22"/>
                <w:lang w:eastAsia="en-US"/>
              </w:rPr>
            </w:pPr>
            <w:r w:rsidRPr="00F5043F">
              <w:rPr>
                <w:rFonts w:ascii="Calibri" w:hAnsi="Calibri" w:cs="Calibri"/>
                <w:sz w:val="22"/>
              </w:rPr>
              <w:t>62.7%</w:t>
            </w:r>
          </w:p>
        </w:tc>
        <w:tc>
          <w:tcPr>
            <w:tcW w:w="896" w:type="dxa"/>
            <w:tcBorders>
              <w:top w:val="single" w:sz="6" w:space="0" w:color="auto"/>
              <w:bottom w:val="single" w:sz="4" w:space="0" w:color="808080" w:themeColor="background1" w:themeShade="80"/>
            </w:tcBorders>
          </w:tcPr>
          <w:p w14:paraId="4815513A" w14:textId="069D20AD" w:rsidR="00ED6A40" w:rsidRPr="00F5043F" w:rsidRDefault="000B1690" w:rsidP="00FE1A57">
            <w:pPr>
              <w:pStyle w:val="TableText"/>
              <w:jc w:val="center"/>
            </w:pPr>
            <w:r w:rsidRPr="00F5043F">
              <w:t>26.8%</w:t>
            </w:r>
          </w:p>
        </w:tc>
        <w:tc>
          <w:tcPr>
            <w:tcW w:w="1170" w:type="dxa"/>
            <w:tcBorders>
              <w:top w:val="single" w:sz="6" w:space="0" w:color="auto"/>
              <w:bottom w:val="single" w:sz="4" w:space="0" w:color="808080" w:themeColor="background1" w:themeShade="80"/>
            </w:tcBorders>
          </w:tcPr>
          <w:p w14:paraId="41AB384F" w14:textId="7F4BC5E9" w:rsidR="00ED6A40" w:rsidRPr="00F5043F" w:rsidRDefault="000B1690" w:rsidP="00FE1A57">
            <w:pPr>
              <w:pStyle w:val="TableText"/>
              <w:jc w:val="center"/>
            </w:pPr>
            <w:r w:rsidRPr="00F5043F">
              <w:t>70.0%</w:t>
            </w:r>
          </w:p>
        </w:tc>
        <w:tc>
          <w:tcPr>
            <w:tcW w:w="1080" w:type="dxa"/>
            <w:tcBorders>
              <w:top w:val="single" w:sz="6" w:space="0" w:color="auto"/>
              <w:bottom w:val="single" w:sz="4" w:space="0" w:color="808080" w:themeColor="background1" w:themeShade="80"/>
            </w:tcBorders>
          </w:tcPr>
          <w:p w14:paraId="034C98F3" w14:textId="78C3B8B8" w:rsidR="00ED6A40" w:rsidRPr="00F5043F" w:rsidRDefault="000B1690" w:rsidP="00FE1A57">
            <w:pPr>
              <w:pStyle w:val="TableText"/>
              <w:jc w:val="center"/>
            </w:pPr>
            <w:r w:rsidRPr="00F5043F">
              <w:t>34.7%</w:t>
            </w:r>
          </w:p>
        </w:tc>
        <w:tc>
          <w:tcPr>
            <w:tcW w:w="1440" w:type="dxa"/>
            <w:tcBorders>
              <w:top w:val="single" w:sz="6" w:space="0" w:color="auto"/>
              <w:bottom w:val="single" w:sz="4" w:space="0" w:color="808080" w:themeColor="background1" w:themeShade="80"/>
            </w:tcBorders>
          </w:tcPr>
          <w:p w14:paraId="609C0038" w14:textId="7EE5200F" w:rsidR="00ED6A40" w:rsidRPr="00F5043F" w:rsidRDefault="000B1690" w:rsidP="00FE1A57">
            <w:pPr>
              <w:pStyle w:val="TableText"/>
              <w:jc w:val="center"/>
            </w:pPr>
            <w:r w:rsidRPr="00F5043F">
              <w:t>70.3%</w:t>
            </w:r>
          </w:p>
        </w:tc>
        <w:tc>
          <w:tcPr>
            <w:tcW w:w="1350" w:type="dxa"/>
            <w:tcBorders>
              <w:top w:val="single" w:sz="6" w:space="0" w:color="auto"/>
              <w:bottom w:val="single" w:sz="4" w:space="0" w:color="808080" w:themeColor="background1" w:themeShade="80"/>
            </w:tcBorders>
            <w:vAlign w:val="center"/>
          </w:tcPr>
          <w:p w14:paraId="65C387FB" w14:textId="4CBC2627" w:rsidR="00ED6A40" w:rsidRPr="00F5043F" w:rsidRDefault="000B1690" w:rsidP="003F2CEE">
            <w:pPr>
              <w:pStyle w:val="TableText"/>
              <w:jc w:val="center"/>
              <w:rPr>
                <w:szCs w:val="18"/>
              </w:rPr>
            </w:pPr>
            <w:r w:rsidRPr="00F5043F">
              <w:rPr>
                <w:szCs w:val="18"/>
              </w:rPr>
              <w:t>19.8%</w:t>
            </w:r>
          </w:p>
        </w:tc>
        <w:tc>
          <w:tcPr>
            <w:tcW w:w="4342" w:type="dxa"/>
            <w:tcBorders>
              <w:top w:val="single" w:sz="6" w:space="0" w:color="auto"/>
              <w:bottom w:val="single" w:sz="4" w:space="0" w:color="808080" w:themeColor="background1" w:themeShade="80"/>
            </w:tcBorders>
            <w:shd w:val="clear" w:color="auto" w:fill="auto"/>
            <w:noWrap/>
            <w:hideMark/>
          </w:tcPr>
          <w:p w14:paraId="5BC15629" w14:textId="0387BFA1" w:rsidR="00ED6A40" w:rsidRPr="00F5043F" w:rsidRDefault="000B1690" w:rsidP="00FE1A57">
            <w:pPr>
              <w:pStyle w:val="TableText"/>
            </w:pPr>
            <w:r w:rsidRPr="00F5043F">
              <w:t>CDC (2019</w:t>
            </w:r>
            <w:r w:rsidR="00880BA0">
              <w:t>a</w:t>
            </w:r>
            <w:r w:rsidRPr="00F5043F">
              <w:t>)</w:t>
            </w:r>
            <w:r w:rsidR="00ED6A40" w:rsidRPr="00F5043F">
              <w:rPr>
                <w:vertAlign w:val="superscript"/>
              </w:rPr>
              <w:t>a</w:t>
            </w:r>
          </w:p>
        </w:tc>
      </w:tr>
      <w:tr w:rsidR="000B1690" w:rsidRPr="00F5043F" w14:paraId="7512EFBA" w14:textId="77777777" w:rsidTr="003F2CEE">
        <w:trPr>
          <w:trHeight w:val="305"/>
        </w:trPr>
        <w:tc>
          <w:tcPr>
            <w:tcW w:w="2096" w:type="dxa"/>
            <w:tcBorders>
              <w:top w:val="single" w:sz="4" w:space="0" w:color="808080" w:themeColor="background1" w:themeShade="80"/>
              <w:bottom w:val="single" w:sz="4" w:space="0" w:color="808080" w:themeColor="background1" w:themeShade="80"/>
            </w:tcBorders>
            <w:shd w:val="clear" w:color="auto" w:fill="auto"/>
            <w:noWrap/>
            <w:hideMark/>
          </w:tcPr>
          <w:p w14:paraId="338C6FCA" w14:textId="77777777" w:rsidR="000B1690" w:rsidRPr="00F5043F" w:rsidRDefault="000B1690" w:rsidP="00FE1A57">
            <w:pPr>
              <w:pStyle w:val="TableText"/>
            </w:pPr>
            <w:r w:rsidRPr="00F5043F">
              <w:t>Aware (</w:t>
            </w:r>
            <w:r w:rsidRPr="00F5043F">
              <w:rPr>
                <w:i/>
                <w:iCs/>
              </w:rPr>
              <w:t>r</w:t>
            </w:r>
            <w:r w:rsidRPr="00F5043F">
              <w:t> = 2)</w:t>
            </w:r>
          </w:p>
        </w:tc>
        <w:tc>
          <w:tcPr>
            <w:tcW w:w="972" w:type="dxa"/>
            <w:tcBorders>
              <w:top w:val="single" w:sz="4" w:space="0" w:color="808080" w:themeColor="background1" w:themeShade="80"/>
              <w:bottom w:val="single" w:sz="4" w:space="0" w:color="808080" w:themeColor="background1" w:themeShade="80"/>
            </w:tcBorders>
          </w:tcPr>
          <w:p w14:paraId="2DA96B68" w14:textId="53996A76" w:rsidR="000B1690" w:rsidRPr="00F5043F" w:rsidRDefault="000B1690" w:rsidP="00FE1A57">
            <w:pPr>
              <w:pStyle w:val="TableText"/>
              <w:jc w:val="center"/>
            </w:pPr>
            <w:r w:rsidRPr="00F5043F">
              <w:t>14.5%</w:t>
            </w:r>
          </w:p>
        </w:tc>
        <w:tc>
          <w:tcPr>
            <w:tcW w:w="896" w:type="dxa"/>
            <w:tcBorders>
              <w:top w:val="single" w:sz="4" w:space="0" w:color="808080" w:themeColor="background1" w:themeShade="80"/>
              <w:bottom w:val="single" w:sz="4" w:space="0" w:color="808080" w:themeColor="background1" w:themeShade="80"/>
            </w:tcBorders>
          </w:tcPr>
          <w:p w14:paraId="693C34FC" w14:textId="341E7639" w:rsidR="000B1690" w:rsidRPr="00F5043F" w:rsidRDefault="000B1690" w:rsidP="00FE1A57">
            <w:pPr>
              <w:pStyle w:val="TableText"/>
              <w:jc w:val="center"/>
            </w:pPr>
            <w:r w:rsidRPr="00F5043F">
              <w:t>26.2%</w:t>
            </w:r>
          </w:p>
        </w:tc>
        <w:tc>
          <w:tcPr>
            <w:tcW w:w="1170" w:type="dxa"/>
            <w:tcBorders>
              <w:top w:val="single" w:sz="4" w:space="0" w:color="808080" w:themeColor="background1" w:themeShade="80"/>
              <w:bottom w:val="single" w:sz="4" w:space="0" w:color="808080" w:themeColor="background1" w:themeShade="80"/>
            </w:tcBorders>
          </w:tcPr>
          <w:p w14:paraId="578A3225" w14:textId="28CF2A2E" w:rsidR="000B1690" w:rsidRPr="00F5043F" w:rsidRDefault="000B1690" w:rsidP="00FE1A57">
            <w:pPr>
              <w:pStyle w:val="TableText"/>
              <w:jc w:val="center"/>
            </w:pPr>
            <w:r w:rsidRPr="00F5043F">
              <w:t>10.3%</w:t>
            </w:r>
          </w:p>
        </w:tc>
        <w:tc>
          <w:tcPr>
            <w:tcW w:w="1080" w:type="dxa"/>
            <w:tcBorders>
              <w:top w:val="single" w:sz="4" w:space="0" w:color="808080" w:themeColor="background1" w:themeShade="80"/>
              <w:bottom w:val="single" w:sz="4" w:space="0" w:color="808080" w:themeColor="background1" w:themeShade="80"/>
            </w:tcBorders>
          </w:tcPr>
          <w:p w14:paraId="52D87135" w14:textId="3FEDF1CA" w:rsidR="000B1690" w:rsidRPr="00F5043F" w:rsidRDefault="000B1690" w:rsidP="00FE1A57">
            <w:pPr>
              <w:pStyle w:val="TableText"/>
              <w:jc w:val="center"/>
            </w:pPr>
            <w:r w:rsidRPr="00F5043F">
              <w:t>19.2%</w:t>
            </w:r>
          </w:p>
        </w:tc>
        <w:tc>
          <w:tcPr>
            <w:tcW w:w="1440" w:type="dxa"/>
            <w:tcBorders>
              <w:top w:val="single" w:sz="4" w:space="0" w:color="808080" w:themeColor="background1" w:themeShade="80"/>
              <w:bottom w:val="single" w:sz="4" w:space="0" w:color="808080" w:themeColor="background1" w:themeShade="80"/>
            </w:tcBorders>
          </w:tcPr>
          <w:p w14:paraId="6BB2AC93" w14:textId="1C25A9E1" w:rsidR="000B1690" w:rsidRPr="00F5043F" w:rsidRDefault="000B1690" w:rsidP="00FE1A57">
            <w:pPr>
              <w:pStyle w:val="TableText"/>
              <w:jc w:val="center"/>
            </w:pPr>
            <w:r w:rsidRPr="00F5043F">
              <w:t>9.4%</w:t>
            </w:r>
          </w:p>
        </w:tc>
        <w:tc>
          <w:tcPr>
            <w:tcW w:w="1350" w:type="dxa"/>
            <w:tcBorders>
              <w:top w:val="single" w:sz="4" w:space="0" w:color="808080" w:themeColor="background1" w:themeShade="80"/>
              <w:bottom w:val="single" w:sz="4" w:space="0" w:color="808080" w:themeColor="background1" w:themeShade="80"/>
            </w:tcBorders>
            <w:vAlign w:val="center"/>
          </w:tcPr>
          <w:p w14:paraId="796FE16F" w14:textId="10FD1D9D" w:rsidR="000B1690" w:rsidRPr="00F5043F" w:rsidRDefault="000B1690" w:rsidP="003F2CEE">
            <w:pPr>
              <w:pStyle w:val="Tabletext0"/>
              <w:jc w:val="center"/>
              <w:rPr>
                <w:rFonts w:ascii="Verdana" w:hAnsi="Verdana"/>
                <w:sz w:val="18"/>
                <w:szCs w:val="18"/>
              </w:rPr>
            </w:pPr>
            <w:r w:rsidRPr="00F5043F">
              <w:rPr>
                <w:rFonts w:ascii="Verdana" w:hAnsi="Verdana"/>
                <w:sz w:val="18"/>
                <w:szCs w:val="18"/>
              </w:rPr>
              <w:t>21.6%</w:t>
            </w:r>
          </w:p>
        </w:tc>
        <w:tc>
          <w:tcPr>
            <w:tcW w:w="4342" w:type="dxa"/>
            <w:vMerge w:val="restart"/>
            <w:tcBorders>
              <w:top w:val="single" w:sz="4" w:space="0" w:color="808080" w:themeColor="background1" w:themeShade="80"/>
            </w:tcBorders>
            <w:shd w:val="clear" w:color="auto" w:fill="auto"/>
            <w:noWrap/>
            <w:hideMark/>
          </w:tcPr>
          <w:p w14:paraId="40937C43" w14:textId="6D6E0640" w:rsidR="000B1690" w:rsidRPr="00F5043F" w:rsidRDefault="000B1690" w:rsidP="00FE1A57">
            <w:pPr>
              <w:pStyle w:val="TableText"/>
            </w:pPr>
            <w:r w:rsidRPr="00F5043F">
              <w:t>Calculated</w:t>
            </w:r>
            <w:r w:rsidRPr="00F5043F">
              <w:rPr>
                <w:vertAlign w:val="superscript"/>
              </w:rPr>
              <w:t xml:space="preserve"> b</w:t>
            </w:r>
          </w:p>
        </w:tc>
      </w:tr>
      <w:tr w:rsidR="000B1690" w:rsidRPr="00F5043F" w14:paraId="0E8D6BC2" w14:textId="77777777" w:rsidTr="003F2CEE">
        <w:trPr>
          <w:trHeight w:val="362"/>
        </w:trPr>
        <w:tc>
          <w:tcPr>
            <w:tcW w:w="2096" w:type="dxa"/>
            <w:tcBorders>
              <w:top w:val="single" w:sz="4" w:space="0" w:color="808080" w:themeColor="background1" w:themeShade="80"/>
              <w:bottom w:val="single" w:sz="4" w:space="0" w:color="808080" w:themeColor="background1" w:themeShade="80"/>
            </w:tcBorders>
            <w:shd w:val="clear" w:color="auto" w:fill="auto"/>
            <w:noWrap/>
          </w:tcPr>
          <w:p w14:paraId="7283A728" w14:textId="77777777" w:rsidR="000B1690" w:rsidRPr="00F5043F" w:rsidRDefault="000B1690" w:rsidP="00FE1A57">
            <w:pPr>
              <w:pStyle w:val="TableText"/>
            </w:pPr>
            <w:r w:rsidRPr="00F5043F">
              <w:t>Linked to HIV care (</w:t>
            </w:r>
            <w:r w:rsidRPr="00F5043F">
              <w:rPr>
                <w:i/>
                <w:iCs/>
              </w:rPr>
              <w:t>r</w:t>
            </w:r>
            <w:r w:rsidRPr="00F5043F">
              <w:t> = 3)</w:t>
            </w:r>
          </w:p>
        </w:tc>
        <w:tc>
          <w:tcPr>
            <w:tcW w:w="972" w:type="dxa"/>
            <w:tcBorders>
              <w:top w:val="single" w:sz="4" w:space="0" w:color="808080" w:themeColor="background1" w:themeShade="80"/>
              <w:bottom w:val="single" w:sz="4" w:space="0" w:color="808080" w:themeColor="background1" w:themeShade="80"/>
            </w:tcBorders>
          </w:tcPr>
          <w:p w14:paraId="3FB09BA6" w14:textId="21552E0F" w:rsidR="000B1690" w:rsidRPr="00F5043F" w:rsidRDefault="000B1690" w:rsidP="00FE1A57">
            <w:pPr>
              <w:pStyle w:val="TableText"/>
              <w:jc w:val="center"/>
            </w:pPr>
            <w:r w:rsidRPr="00F5043F">
              <w:t>9.3%</w:t>
            </w:r>
          </w:p>
        </w:tc>
        <w:tc>
          <w:tcPr>
            <w:tcW w:w="896" w:type="dxa"/>
            <w:tcBorders>
              <w:top w:val="single" w:sz="4" w:space="0" w:color="808080" w:themeColor="background1" w:themeShade="80"/>
              <w:bottom w:val="single" w:sz="4" w:space="0" w:color="808080" w:themeColor="background1" w:themeShade="80"/>
            </w:tcBorders>
          </w:tcPr>
          <w:p w14:paraId="6485BECC" w14:textId="38312BC3" w:rsidR="000B1690" w:rsidRPr="00F5043F" w:rsidRDefault="000B1690" w:rsidP="00FE1A57">
            <w:pPr>
              <w:pStyle w:val="TableText"/>
              <w:jc w:val="center"/>
            </w:pPr>
            <w:r w:rsidRPr="00F5043F">
              <w:t>16.7%</w:t>
            </w:r>
          </w:p>
        </w:tc>
        <w:tc>
          <w:tcPr>
            <w:tcW w:w="1170" w:type="dxa"/>
            <w:tcBorders>
              <w:top w:val="single" w:sz="4" w:space="0" w:color="808080" w:themeColor="background1" w:themeShade="80"/>
              <w:bottom w:val="single" w:sz="4" w:space="0" w:color="808080" w:themeColor="background1" w:themeShade="80"/>
            </w:tcBorders>
          </w:tcPr>
          <w:p w14:paraId="754FFB5B" w14:textId="613CC45B" w:rsidR="000B1690" w:rsidRPr="00F5043F" w:rsidRDefault="000B1690" w:rsidP="00FE1A57">
            <w:pPr>
              <w:pStyle w:val="TableText"/>
              <w:jc w:val="center"/>
            </w:pPr>
            <w:r w:rsidRPr="00F5043F">
              <w:t>6.1%</w:t>
            </w:r>
          </w:p>
        </w:tc>
        <w:tc>
          <w:tcPr>
            <w:tcW w:w="1080" w:type="dxa"/>
            <w:tcBorders>
              <w:top w:val="single" w:sz="4" w:space="0" w:color="808080" w:themeColor="background1" w:themeShade="80"/>
              <w:bottom w:val="single" w:sz="4" w:space="0" w:color="808080" w:themeColor="background1" w:themeShade="80"/>
            </w:tcBorders>
          </w:tcPr>
          <w:p w14:paraId="2FE40DF5" w14:textId="2DD55D1E" w:rsidR="000B1690" w:rsidRPr="00F5043F" w:rsidRDefault="000B1690" w:rsidP="00FE1A57">
            <w:pPr>
              <w:pStyle w:val="TableText"/>
              <w:jc w:val="center"/>
            </w:pPr>
            <w:r w:rsidRPr="00F5043F">
              <w:t>11.4%</w:t>
            </w:r>
          </w:p>
        </w:tc>
        <w:tc>
          <w:tcPr>
            <w:tcW w:w="1440" w:type="dxa"/>
            <w:tcBorders>
              <w:top w:val="single" w:sz="4" w:space="0" w:color="808080" w:themeColor="background1" w:themeShade="80"/>
              <w:bottom w:val="single" w:sz="4" w:space="0" w:color="808080" w:themeColor="background1" w:themeShade="80"/>
            </w:tcBorders>
          </w:tcPr>
          <w:p w14:paraId="186AB9E9" w14:textId="48B4B482" w:rsidR="000B1690" w:rsidRPr="00F5043F" w:rsidRDefault="000B1690" w:rsidP="00FE1A57">
            <w:pPr>
              <w:pStyle w:val="TableText"/>
              <w:jc w:val="center"/>
            </w:pPr>
            <w:r w:rsidRPr="00F5043F">
              <w:t>7.3%</w:t>
            </w:r>
          </w:p>
        </w:tc>
        <w:tc>
          <w:tcPr>
            <w:tcW w:w="1350" w:type="dxa"/>
            <w:tcBorders>
              <w:top w:val="single" w:sz="4" w:space="0" w:color="808080" w:themeColor="background1" w:themeShade="80"/>
              <w:bottom w:val="single" w:sz="4" w:space="0" w:color="808080" w:themeColor="background1" w:themeShade="80"/>
            </w:tcBorders>
            <w:vAlign w:val="center"/>
          </w:tcPr>
          <w:p w14:paraId="2C24CCF2" w14:textId="57B4598B" w:rsidR="000B1690" w:rsidRPr="00F5043F" w:rsidRDefault="000B1690" w:rsidP="003F2CEE">
            <w:pPr>
              <w:pStyle w:val="Tabletext0"/>
              <w:jc w:val="center"/>
              <w:rPr>
                <w:rFonts w:ascii="Verdana" w:hAnsi="Verdana"/>
                <w:sz w:val="18"/>
                <w:szCs w:val="18"/>
              </w:rPr>
            </w:pPr>
            <w:r w:rsidRPr="00F5043F">
              <w:rPr>
                <w:rFonts w:ascii="Verdana" w:hAnsi="Verdana"/>
                <w:sz w:val="18"/>
                <w:szCs w:val="18"/>
              </w:rPr>
              <w:t>16.7%</w:t>
            </w:r>
          </w:p>
        </w:tc>
        <w:tc>
          <w:tcPr>
            <w:tcW w:w="4342" w:type="dxa"/>
            <w:vMerge/>
            <w:shd w:val="clear" w:color="auto" w:fill="auto"/>
            <w:noWrap/>
            <w:hideMark/>
          </w:tcPr>
          <w:p w14:paraId="516AF031" w14:textId="5399D86C" w:rsidR="000B1690" w:rsidRPr="00F5043F" w:rsidRDefault="000B1690" w:rsidP="00FE1A57">
            <w:pPr>
              <w:pStyle w:val="TableText"/>
            </w:pPr>
          </w:p>
        </w:tc>
      </w:tr>
      <w:tr w:rsidR="000B1690" w:rsidRPr="00F5043F" w14:paraId="4921E5DB" w14:textId="77777777" w:rsidTr="003F2CEE">
        <w:trPr>
          <w:trHeight w:val="609"/>
        </w:trPr>
        <w:tc>
          <w:tcPr>
            <w:tcW w:w="2096" w:type="dxa"/>
            <w:tcBorders>
              <w:top w:val="single" w:sz="4" w:space="0" w:color="808080" w:themeColor="background1" w:themeShade="80"/>
              <w:bottom w:val="single" w:sz="4" w:space="0" w:color="808080" w:themeColor="background1" w:themeShade="80"/>
            </w:tcBorders>
            <w:shd w:val="clear" w:color="auto" w:fill="auto"/>
            <w:noWrap/>
          </w:tcPr>
          <w:p w14:paraId="626BB0CA" w14:textId="77777777" w:rsidR="000B1690" w:rsidRPr="00F5043F" w:rsidRDefault="000B1690" w:rsidP="00FE1A57">
            <w:pPr>
              <w:pStyle w:val="TableText"/>
            </w:pPr>
            <w:r w:rsidRPr="00F5043F">
              <w:t>ART-not-VLS (</w:t>
            </w:r>
            <w:r w:rsidRPr="00F5043F">
              <w:rPr>
                <w:i/>
                <w:iCs/>
              </w:rPr>
              <w:t>r</w:t>
            </w:r>
            <w:r w:rsidRPr="00F5043F">
              <w:t> = 4)</w:t>
            </w:r>
          </w:p>
        </w:tc>
        <w:tc>
          <w:tcPr>
            <w:tcW w:w="972" w:type="dxa"/>
            <w:tcBorders>
              <w:top w:val="single" w:sz="4" w:space="0" w:color="808080" w:themeColor="background1" w:themeShade="80"/>
              <w:bottom w:val="single" w:sz="4" w:space="0" w:color="808080" w:themeColor="background1" w:themeShade="80"/>
            </w:tcBorders>
          </w:tcPr>
          <w:p w14:paraId="586A21E1" w14:textId="0F1DD5D0" w:rsidR="000B1690" w:rsidRPr="00F5043F" w:rsidRDefault="001139EE" w:rsidP="00FE1A57">
            <w:pPr>
              <w:pStyle w:val="TableText"/>
              <w:jc w:val="center"/>
            </w:pPr>
            <w:r w:rsidRPr="00F5043F">
              <w:t>3.7%</w:t>
            </w:r>
          </w:p>
        </w:tc>
        <w:tc>
          <w:tcPr>
            <w:tcW w:w="896" w:type="dxa"/>
            <w:tcBorders>
              <w:top w:val="single" w:sz="4" w:space="0" w:color="808080" w:themeColor="background1" w:themeShade="80"/>
              <w:bottom w:val="single" w:sz="4" w:space="0" w:color="808080" w:themeColor="background1" w:themeShade="80"/>
            </w:tcBorders>
          </w:tcPr>
          <w:p w14:paraId="5DC44807" w14:textId="3B370812" w:rsidR="000B1690" w:rsidRPr="00F5043F" w:rsidRDefault="001139EE" w:rsidP="00FE1A57">
            <w:pPr>
              <w:pStyle w:val="TableText"/>
              <w:jc w:val="center"/>
            </w:pPr>
            <w:r w:rsidRPr="00F5043F">
              <w:t>6.6%</w:t>
            </w:r>
          </w:p>
        </w:tc>
        <w:tc>
          <w:tcPr>
            <w:tcW w:w="1170" w:type="dxa"/>
            <w:tcBorders>
              <w:top w:val="single" w:sz="4" w:space="0" w:color="808080" w:themeColor="background1" w:themeShade="80"/>
              <w:bottom w:val="single" w:sz="4" w:space="0" w:color="808080" w:themeColor="background1" w:themeShade="80"/>
            </w:tcBorders>
          </w:tcPr>
          <w:p w14:paraId="7AA28F2C" w14:textId="4FB63B5F" w:rsidR="000B1690" w:rsidRPr="00F5043F" w:rsidRDefault="001139EE" w:rsidP="00FE1A57">
            <w:pPr>
              <w:pStyle w:val="TableText"/>
              <w:jc w:val="center"/>
            </w:pPr>
            <w:r w:rsidRPr="00F5043F">
              <w:t>2.5%</w:t>
            </w:r>
          </w:p>
        </w:tc>
        <w:tc>
          <w:tcPr>
            <w:tcW w:w="1080" w:type="dxa"/>
            <w:tcBorders>
              <w:top w:val="single" w:sz="4" w:space="0" w:color="808080" w:themeColor="background1" w:themeShade="80"/>
              <w:bottom w:val="single" w:sz="4" w:space="0" w:color="808080" w:themeColor="background1" w:themeShade="80"/>
            </w:tcBorders>
          </w:tcPr>
          <w:p w14:paraId="024CB41C" w14:textId="281A8E72" w:rsidR="000B1690" w:rsidRPr="00F5043F" w:rsidRDefault="001139EE" w:rsidP="00FE1A57">
            <w:pPr>
              <w:pStyle w:val="TableText"/>
              <w:jc w:val="center"/>
            </w:pPr>
            <w:r w:rsidRPr="00F5043F">
              <w:t>4.6%</w:t>
            </w:r>
          </w:p>
        </w:tc>
        <w:tc>
          <w:tcPr>
            <w:tcW w:w="1440" w:type="dxa"/>
            <w:tcBorders>
              <w:top w:val="single" w:sz="4" w:space="0" w:color="808080" w:themeColor="background1" w:themeShade="80"/>
              <w:bottom w:val="single" w:sz="4" w:space="0" w:color="808080" w:themeColor="background1" w:themeShade="80"/>
            </w:tcBorders>
          </w:tcPr>
          <w:p w14:paraId="495B9467" w14:textId="12648AE5" w:rsidR="000B1690" w:rsidRPr="00F5043F" w:rsidRDefault="001139EE" w:rsidP="00FE1A57">
            <w:pPr>
              <w:pStyle w:val="TableText"/>
              <w:jc w:val="center"/>
            </w:pPr>
            <w:r w:rsidRPr="00F5043F">
              <w:t>1.7%</w:t>
            </w:r>
          </w:p>
        </w:tc>
        <w:tc>
          <w:tcPr>
            <w:tcW w:w="1350" w:type="dxa"/>
            <w:tcBorders>
              <w:top w:val="single" w:sz="4" w:space="0" w:color="808080" w:themeColor="background1" w:themeShade="80"/>
              <w:bottom w:val="single" w:sz="4" w:space="0" w:color="808080" w:themeColor="background1" w:themeShade="80"/>
            </w:tcBorders>
            <w:vAlign w:val="center"/>
          </w:tcPr>
          <w:p w14:paraId="4CB2DF97" w14:textId="739477D8" w:rsidR="000B1690" w:rsidRPr="00F5043F" w:rsidRDefault="001139EE" w:rsidP="003F2CEE">
            <w:pPr>
              <w:pStyle w:val="TableText"/>
              <w:jc w:val="center"/>
              <w:rPr>
                <w:szCs w:val="18"/>
              </w:rPr>
            </w:pPr>
            <w:r w:rsidRPr="00F5043F">
              <w:rPr>
                <w:szCs w:val="18"/>
              </w:rPr>
              <w:t>3.8%</w:t>
            </w:r>
          </w:p>
        </w:tc>
        <w:tc>
          <w:tcPr>
            <w:tcW w:w="4342" w:type="dxa"/>
            <w:vMerge/>
            <w:tcBorders>
              <w:bottom w:val="single" w:sz="4" w:space="0" w:color="808080" w:themeColor="background1" w:themeShade="80"/>
            </w:tcBorders>
            <w:shd w:val="clear" w:color="auto" w:fill="auto"/>
            <w:noWrap/>
            <w:hideMark/>
          </w:tcPr>
          <w:p w14:paraId="5959125A" w14:textId="1C2578F2" w:rsidR="000B1690" w:rsidRPr="00F5043F" w:rsidRDefault="000B1690" w:rsidP="00FE1A57">
            <w:pPr>
              <w:pStyle w:val="TableText"/>
            </w:pPr>
          </w:p>
        </w:tc>
      </w:tr>
      <w:tr w:rsidR="00ED6A40" w:rsidRPr="00F5043F" w14:paraId="4C7F90AA" w14:textId="77777777" w:rsidTr="003F2CEE">
        <w:trPr>
          <w:trHeight w:val="362"/>
        </w:trPr>
        <w:tc>
          <w:tcPr>
            <w:tcW w:w="2096" w:type="dxa"/>
            <w:tcBorders>
              <w:top w:val="single" w:sz="4" w:space="0" w:color="808080" w:themeColor="background1" w:themeShade="80"/>
              <w:bottom w:val="single" w:sz="12" w:space="0" w:color="000000"/>
            </w:tcBorders>
            <w:shd w:val="clear" w:color="auto" w:fill="auto"/>
            <w:noWrap/>
          </w:tcPr>
          <w:p w14:paraId="347BD043" w14:textId="77777777" w:rsidR="00ED6A40" w:rsidRPr="00F5043F" w:rsidRDefault="00ED6A40" w:rsidP="00FE1A57">
            <w:pPr>
              <w:pStyle w:val="TableText"/>
            </w:pPr>
            <w:r w:rsidRPr="00F5043F">
              <w:t>VLS (</w:t>
            </w:r>
            <w:r w:rsidRPr="00F5043F">
              <w:rPr>
                <w:i/>
                <w:iCs/>
              </w:rPr>
              <w:t>r</w:t>
            </w:r>
            <w:r w:rsidRPr="00F5043F">
              <w:t> = 5)</w:t>
            </w:r>
          </w:p>
        </w:tc>
        <w:tc>
          <w:tcPr>
            <w:tcW w:w="972" w:type="dxa"/>
            <w:tcBorders>
              <w:top w:val="single" w:sz="4" w:space="0" w:color="808080" w:themeColor="background1" w:themeShade="80"/>
              <w:bottom w:val="single" w:sz="12" w:space="0" w:color="000000"/>
            </w:tcBorders>
            <w:shd w:val="clear" w:color="auto" w:fill="auto"/>
          </w:tcPr>
          <w:p w14:paraId="0CF15BAE" w14:textId="31D4B579" w:rsidR="00ED6A40" w:rsidRPr="00F5043F" w:rsidRDefault="001139EE" w:rsidP="00FE1A57">
            <w:pPr>
              <w:pStyle w:val="TableText"/>
              <w:jc w:val="center"/>
            </w:pPr>
            <w:r w:rsidRPr="00F5043F">
              <w:t>9.8%</w:t>
            </w:r>
          </w:p>
        </w:tc>
        <w:tc>
          <w:tcPr>
            <w:tcW w:w="896" w:type="dxa"/>
            <w:tcBorders>
              <w:top w:val="single" w:sz="4" w:space="0" w:color="808080" w:themeColor="background1" w:themeShade="80"/>
              <w:bottom w:val="single" w:sz="12" w:space="0" w:color="000000"/>
            </w:tcBorders>
          </w:tcPr>
          <w:p w14:paraId="3FEC9323" w14:textId="3D79249B" w:rsidR="00ED6A40" w:rsidRPr="00F5043F" w:rsidRDefault="001139EE" w:rsidP="00FE1A57">
            <w:pPr>
              <w:pStyle w:val="TableText"/>
              <w:jc w:val="center"/>
            </w:pPr>
            <w:r w:rsidRPr="00F5043F">
              <w:t>23.6%</w:t>
            </w:r>
          </w:p>
        </w:tc>
        <w:tc>
          <w:tcPr>
            <w:tcW w:w="1170" w:type="dxa"/>
            <w:tcBorders>
              <w:top w:val="single" w:sz="4" w:space="0" w:color="808080" w:themeColor="background1" w:themeShade="80"/>
              <w:bottom w:val="single" w:sz="12" w:space="0" w:color="000000"/>
            </w:tcBorders>
            <w:shd w:val="clear" w:color="auto" w:fill="auto"/>
          </w:tcPr>
          <w:p w14:paraId="2256E4AD" w14:textId="049F382C" w:rsidR="00ED6A40" w:rsidRPr="00F5043F" w:rsidRDefault="001139EE" w:rsidP="00FE1A57">
            <w:pPr>
              <w:pStyle w:val="TableText"/>
              <w:jc w:val="center"/>
            </w:pPr>
            <w:r w:rsidRPr="00F5043F">
              <w:t>11.1%</w:t>
            </w:r>
          </w:p>
        </w:tc>
        <w:tc>
          <w:tcPr>
            <w:tcW w:w="1080" w:type="dxa"/>
            <w:tcBorders>
              <w:top w:val="single" w:sz="4" w:space="0" w:color="808080" w:themeColor="background1" w:themeShade="80"/>
              <w:bottom w:val="single" w:sz="12" w:space="0" w:color="000000"/>
            </w:tcBorders>
          </w:tcPr>
          <w:p w14:paraId="2E21EE72" w14:textId="4A3317A9" w:rsidR="00ED6A40" w:rsidRPr="00F5043F" w:rsidRDefault="001139EE" w:rsidP="00FE1A57">
            <w:pPr>
              <w:pStyle w:val="TableText"/>
              <w:jc w:val="center"/>
            </w:pPr>
            <w:r w:rsidRPr="00F5043F">
              <w:t>30.0%</w:t>
            </w:r>
          </w:p>
        </w:tc>
        <w:tc>
          <w:tcPr>
            <w:tcW w:w="1440" w:type="dxa"/>
            <w:tcBorders>
              <w:top w:val="single" w:sz="4" w:space="0" w:color="808080" w:themeColor="background1" w:themeShade="80"/>
              <w:bottom w:val="single" w:sz="12" w:space="0" w:color="000000"/>
            </w:tcBorders>
            <w:shd w:val="clear" w:color="auto" w:fill="auto"/>
          </w:tcPr>
          <w:p w14:paraId="7A8F78BE" w14:textId="13EBABC2" w:rsidR="00ED6A40" w:rsidRPr="00F5043F" w:rsidRDefault="001139EE" w:rsidP="00FE1A57">
            <w:pPr>
              <w:pStyle w:val="TableText"/>
              <w:jc w:val="center"/>
            </w:pPr>
            <w:r w:rsidRPr="00F5043F">
              <w:t>11.3%</w:t>
            </w:r>
          </w:p>
        </w:tc>
        <w:tc>
          <w:tcPr>
            <w:tcW w:w="1350" w:type="dxa"/>
            <w:tcBorders>
              <w:top w:val="single" w:sz="4" w:space="0" w:color="808080" w:themeColor="background1" w:themeShade="80"/>
              <w:bottom w:val="single" w:sz="12" w:space="0" w:color="000000"/>
            </w:tcBorders>
            <w:vAlign w:val="center"/>
          </w:tcPr>
          <w:p w14:paraId="6110204B" w14:textId="5414A3B9" w:rsidR="00ED6A40" w:rsidRPr="00F5043F" w:rsidRDefault="001139EE" w:rsidP="003F2CEE">
            <w:pPr>
              <w:pStyle w:val="TableText"/>
              <w:jc w:val="center"/>
              <w:rPr>
                <w:szCs w:val="18"/>
              </w:rPr>
            </w:pPr>
            <w:r w:rsidRPr="00F5043F">
              <w:rPr>
                <w:szCs w:val="18"/>
              </w:rPr>
              <w:t>38.0%</w:t>
            </w:r>
          </w:p>
        </w:tc>
        <w:tc>
          <w:tcPr>
            <w:tcW w:w="4342" w:type="dxa"/>
            <w:tcBorders>
              <w:top w:val="single" w:sz="4" w:space="0" w:color="808080" w:themeColor="background1" w:themeShade="80"/>
              <w:bottom w:val="single" w:sz="12" w:space="0" w:color="000000"/>
            </w:tcBorders>
            <w:shd w:val="clear" w:color="auto" w:fill="auto"/>
            <w:noWrap/>
          </w:tcPr>
          <w:p w14:paraId="6D17FE31" w14:textId="5326D4D3" w:rsidR="00ED6A40" w:rsidRPr="00F5043F" w:rsidRDefault="00244C0D" w:rsidP="00FE1A57">
            <w:pPr>
              <w:pStyle w:val="TableText"/>
            </w:pPr>
            <w:r w:rsidRPr="00F5043F">
              <w:t xml:space="preserve">Unpublished CDC </w:t>
            </w:r>
            <w:proofErr w:type="spellStart"/>
            <w:r w:rsidRPr="00F5043F">
              <w:t>data</w:t>
            </w:r>
            <w:r w:rsidR="005D195A" w:rsidRPr="00F5043F">
              <w:rPr>
                <w:vertAlign w:val="superscript"/>
              </w:rPr>
              <w:t>c</w:t>
            </w:r>
            <w:proofErr w:type="spellEnd"/>
          </w:p>
        </w:tc>
      </w:tr>
    </w:tbl>
    <w:p w14:paraId="54DDB521" w14:textId="77777777" w:rsidR="00A404E4" w:rsidRPr="00F5043F" w:rsidRDefault="00A404E4" w:rsidP="00A404E4">
      <w:pPr>
        <w:pStyle w:val="Source3"/>
      </w:pPr>
      <w:r w:rsidRPr="00F5043F">
        <w:t>Note: ART = antiretroviral therapy; HIV = human immunodeficiency virus; VLS = viral load suppressed</w:t>
      </w:r>
    </w:p>
    <w:p w14:paraId="587A97FE" w14:textId="090E40F3" w:rsidR="00A404E4" w:rsidRPr="00F5043F" w:rsidRDefault="00A404E4" w:rsidP="00A404E4">
      <w:pPr>
        <w:pStyle w:val="Source2"/>
        <w:spacing w:before="60"/>
      </w:pPr>
      <w:proofErr w:type="spellStart"/>
      <w:r w:rsidRPr="00F5043F">
        <w:rPr>
          <w:vertAlign w:val="superscript"/>
        </w:rPr>
        <w:t>a</w:t>
      </w:r>
      <w:proofErr w:type="spellEnd"/>
      <w:r w:rsidRPr="00F5043F">
        <w:rPr>
          <w:vertAlign w:val="superscript"/>
        </w:rPr>
        <w:t xml:space="preserve"> </w:t>
      </w:r>
      <w:r w:rsidR="000B1690" w:rsidRPr="00F5043F">
        <w:t>Estimates provided for 13-24 and 25-34. Assumed same rates for ages 13-17 and 18-24. Derived values for "</w:t>
      </w:r>
      <w:r w:rsidR="008A60F3">
        <w:t>White/</w:t>
      </w:r>
      <w:r w:rsidR="000B1690" w:rsidRPr="00F5043F">
        <w:t xml:space="preserve">Other" race based on overall, </w:t>
      </w:r>
      <w:r w:rsidR="005D351C">
        <w:t>B</w:t>
      </w:r>
      <w:r w:rsidR="005D351C" w:rsidRPr="00F5043F">
        <w:t>lack</w:t>
      </w:r>
      <w:r w:rsidR="000B1690" w:rsidRPr="00F5043F">
        <w:t>, and Hispanic</w:t>
      </w:r>
    </w:p>
    <w:p w14:paraId="10C513B3" w14:textId="44CE7014" w:rsidR="00386BA9" w:rsidRPr="00F5043F" w:rsidRDefault="00386BA9" w:rsidP="00386BA9">
      <w:pPr>
        <w:pStyle w:val="Source2"/>
        <w:spacing w:before="60"/>
      </w:pPr>
      <w:r w:rsidRPr="00F5043F">
        <w:rPr>
          <w:vertAlign w:val="superscript"/>
        </w:rPr>
        <w:t xml:space="preserve">b </w:t>
      </w:r>
      <w:r w:rsidRPr="00F5043F">
        <w:t xml:space="preserve">Determined the values for rows 2-4 by subtracting the % VLS from the overall percent diagnosed and proportioning the values consistent with the overall continuum of care proportions by race. </w:t>
      </w:r>
    </w:p>
    <w:p w14:paraId="361A6338" w14:textId="12CAE717" w:rsidR="005D195A" w:rsidRDefault="005D195A" w:rsidP="005D195A">
      <w:pPr>
        <w:pStyle w:val="Source2"/>
        <w:spacing w:before="60"/>
      </w:pPr>
      <w:r w:rsidRPr="00F5043F">
        <w:rPr>
          <w:vertAlign w:val="superscript"/>
        </w:rPr>
        <w:t>c</w:t>
      </w:r>
      <w:r w:rsidRPr="00F5043F">
        <w:t xml:space="preserve"> </w:t>
      </w:r>
      <w:bookmarkStart w:id="19" w:name="_Hlk20215364"/>
      <w:r w:rsidRPr="00F5043F">
        <w:t xml:space="preserve">Percent VLS calculated from internal analyses by the Quantitative Sciences and Data Management Branch using </w:t>
      </w:r>
      <w:r w:rsidR="002844F2" w:rsidRPr="00F5043F">
        <w:t>surveillance</w:t>
      </w:r>
      <w:r w:rsidRPr="00F5043F">
        <w:t xml:space="preserve"> data. Based on HIV viral suppression at most recent viral load test 2010-2016, among males aged </w:t>
      </w:r>
      <w:r w:rsidRPr="00F5043F">
        <w:rPr>
          <w:rFonts w:ascii="Arial" w:hAnsi="Arial" w:cs="Arial"/>
        </w:rPr>
        <w:t>≥</w:t>
      </w:r>
      <w:r w:rsidRPr="00F5043F">
        <w:t>13 years with HIV infection attributed to male-to-male sexual contact, from 19 jurisdictions.</w:t>
      </w:r>
      <w:bookmarkEnd w:id="19"/>
    </w:p>
    <w:p w14:paraId="2D5D3449" w14:textId="77777777" w:rsidR="005D195A" w:rsidRDefault="005D195A" w:rsidP="005D195A">
      <w:pPr>
        <w:pStyle w:val="Source2"/>
        <w:spacing w:before="60"/>
      </w:pPr>
    </w:p>
    <w:p w14:paraId="3EAE92C5" w14:textId="7E6AF44B" w:rsidR="005D195A" w:rsidRPr="004D745B" w:rsidRDefault="005D195A" w:rsidP="005D195A">
      <w:pPr>
        <w:pStyle w:val="Source2"/>
        <w:spacing w:before="60"/>
        <w:rPr>
          <w:highlight w:val="green"/>
        </w:rPr>
      </w:pPr>
    </w:p>
    <w:p w14:paraId="3EBA6BC4" w14:textId="77777777" w:rsidR="00386BA9" w:rsidRPr="003F2CEE" w:rsidRDefault="00386BA9" w:rsidP="00A404E4">
      <w:pPr>
        <w:pStyle w:val="Source2"/>
        <w:spacing w:before="60"/>
        <w:rPr>
          <w:highlight w:val="green"/>
        </w:rPr>
      </w:pPr>
    </w:p>
    <w:p w14:paraId="60E23FD1" w14:textId="77777777" w:rsidR="002A08CE" w:rsidRPr="00C00335" w:rsidRDefault="002A08CE">
      <w:pPr>
        <w:rPr>
          <w:b/>
        </w:rPr>
      </w:pPr>
      <w:r w:rsidRPr="00C00335">
        <w:br w:type="page"/>
      </w:r>
    </w:p>
    <w:p w14:paraId="3B447C1E" w14:textId="77777777" w:rsidR="00ED6A40" w:rsidRDefault="00ED6A40" w:rsidP="004557C4">
      <w:pPr>
        <w:pStyle w:val="TableTitle"/>
        <w:sectPr w:rsidR="00ED6A40" w:rsidSect="003F2CEE">
          <w:type w:val="oddPage"/>
          <w:pgSz w:w="15840" w:h="12240" w:orient="landscape" w:code="1"/>
          <w:pgMar w:top="1440" w:right="1440" w:bottom="1440" w:left="1440" w:header="720" w:footer="720" w:gutter="0"/>
          <w:pgNumType w:chapStyle="1"/>
          <w:cols w:space="720"/>
          <w:docGrid w:linePitch="360"/>
        </w:sectPr>
      </w:pPr>
    </w:p>
    <w:p w14:paraId="76010951" w14:textId="3D340BFC" w:rsidR="00382287" w:rsidRPr="00F5043F" w:rsidRDefault="00382287" w:rsidP="004557C4">
      <w:pPr>
        <w:pStyle w:val="TableTitle"/>
      </w:pPr>
      <w:bookmarkStart w:id="20" w:name="_Toc89257588"/>
      <w:r w:rsidRPr="00F5043F">
        <w:lastRenderedPageBreak/>
        <w:t xml:space="preserve">Table </w:t>
      </w:r>
      <w:r w:rsidR="00F36478" w:rsidRPr="00F5043F">
        <w:t>4</w:t>
      </w:r>
      <w:r w:rsidR="00740DFC" w:rsidRPr="00F5043F">
        <w:t>.</w:t>
      </w:r>
      <w:r w:rsidR="00E32D85" w:rsidRPr="00F5043F">
        <w:t>6</w:t>
      </w:r>
      <w:r w:rsidR="004557C4" w:rsidRPr="00F5043F">
        <w:t>.</w:t>
      </w:r>
      <w:r w:rsidR="004557C4" w:rsidRPr="00F5043F">
        <w:tab/>
      </w:r>
      <w:r w:rsidR="00E631C3" w:rsidRPr="00F5043F">
        <w:t>Distribution of Initial HIV-I</w:t>
      </w:r>
      <w:r w:rsidRPr="00F5043F">
        <w:t>nfected Population across HIV Stages</w:t>
      </w:r>
      <w:r w:rsidR="00295112" w:rsidRPr="00F5043F">
        <w:t>, by Continuum-of-Care Stage</w:t>
      </w:r>
      <w:r w:rsidR="005D195A" w:rsidRPr="00F5043F">
        <w:t xml:space="preserve"> (2010)</w:t>
      </w:r>
      <w:bookmarkEnd w:id="20"/>
    </w:p>
    <w:tbl>
      <w:tblPr>
        <w:tblW w:w="5000" w:type="pct"/>
        <w:tblInd w:w="-90" w:type="dxa"/>
        <w:tblBorders>
          <w:top w:val="single" w:sz="12" w:space="0" w:color="000000"/>
          <w:bottom w:val="single" w:sz="12" w:space="0" w:color="000000"/>
          <w:insideH w:val="single" w:sz="2" w:space="0" w:color="DDDDDD"/>
        </w:tblBorders>
        <w:tblLayout w:type="fixed"/>
        <w:tblCellMar>
          <w:left w:w="58" w:type="dxa"/>
          <w:right w:w="58" w:type="dxa"/>
        </w:tblCellMar>
        <w:tblLook w:val="04A0" w:firstRow="1" w:lastRow="0" w:firstColumn="1" w:lastColumn="0" w:noHBand="0" w:noVBand="1"/>
      </w:tblPr>
      <w:tblGrid>
        <w:gridCol w:w="1922"/>
        <w:gridCol w:w="1032"/>
        <w:gridCol w:w="1032"/>
        <w:gridCol w:w="1032"/>
        <w:gridCol w:w="1032"/>
        <w:gridCol w:w="1032"/>
        <w:gridCol w:w="2278"/>
      </w:tblGrid>
      <w:tr w:rsidR="006776CF" w:rsidRPr="00F5043F" w14:paraId="535A2E14" w14:textId="77777777" w:rsidTr="00260D8A">
        <w:trPr>
          <w:cantSplit/>
          <w:tblHeader/>
        </w:trPr>
        <w:tc>
          <w:tcPr>
            <w:tcW w:w="1922" w:type="dxa"/>
            <w:tcBorders>
              <w:top w:val="single" w:sz="12" w:space="0" w:color="000000"/>
              <w:bottom w:val="single" w:sz="2" w:space="0" w:color="auto"/>
            </w:tcBorders>
            <w:shd w:val="clear" w:color="auto" w:fill="auto"/>
            <w:noWrap/>
            <w:vAlign w:val="bottom"/>
            <w:hideMark/>
          </w:tcPr>
          <w:p w14:paraId="20CF6E2D" w14:textId="77777777" w:rsidR="00382287" w:rsidRPr="00F5043F" w:rsidRDefault="00BA76A6" w:rsidP="009508BA">
            <w:pPr>
              <w:pStyle w:val="TableHeaders"/>
              <w:keepNext/>
            </w:pPr>
            <w:r w:rsidRPr="00F5043F">
              <w:t xml:space="preserve">Continuum-of-Care </w:t>
            </w:r>
            <w:r w:rsidR="003B19DD" w:rsidRPr="00F5043F">
              <w:t>Stage</w:t>
            </w:r>
          </w:p>
        </w:tc>
        <w:tc>
          <w:tcPr>
            <w:tcW w:w="1032" w:type="dxa"/>
            <w:tcBorders>
              <w:top w:val="single" w:sz="12" w:space="0" w:color="000000"/>
              <w:bottom w:val="single" w:sz="2" w:space="0" w:color="auto"/>
            </w:tcBorders>
            <w:shd w:val="clear" w:color="auto" w:fill="auto"/>
            <w:noWrap/>
            <w:vAlign w:val="bottom"/>
            <w:hideMark/>
          </w:tcPr>
          <w:p w14:paraId="50C270AA" w14:textId="07FE34BE" w:rsidR="00382287" w:rsidRPr="00F5043F" w:rsidRDefault="00382287" w:rsidP="009508BA">
            <w:pPr>
              <w:pStyle w:val="TableHeaders"/>
              <w:keepNext/>
            </w:pPr>
            <w:r w:rsidRPr="00F5043F">
              <w:t>Acute</w:t>
            </w:r>
          </w:p>
        </w:tc>
        <w:tc>
          <w:tcPr>
            <w:tcW w:w="1032" w:type="dxa"/>
            <w:tcBorders>
              <w:top w:val="single" w:sz="12" w:space="0" w:color="000000"/>
              <w:bottom w:val="single" w:sz="2" w:space="0" w:color="auto"/>
            </w:tcBorders>
            <w:shd w:val="clear" w:color="auto" w:fill="auto"/>
            <w:noWrap/>
            <w:vAlign w:val="bottom"/>
            <w:hideMark/>
          </w:tcPr>
          <w:p w14:paraId="4E690C10" w14:textId="4AFDDAEA" w:rsidR="00382287" w:rsidRPr="00F5043F" w:rsidRDefault="00382287" w:rsidP="009508BA">
            <w:pPr>
              <w:pStyle w:val="TableHeaders"/>
              <w:keepNext/>
            </w:pPr>
            <w:r w:rsidRPr="00F5043F">
              <w:t xml:space="preserve">CD4 </w:t>
            </w:r>
            <w:r w:rsidR="00B70295" w:rsidRPr="00F5043F">
              <w:br/>
            </w:r>
            <w:r w:rsidRPr="00F5043F">
              <w:t>&gt; 500</w:t>
            </w:r>
          </w:p>
        </w:tc>
        <w:tc>
          <w:tcPr>
            <w:tcW w:w="1032" w:type="dxa"/>
            <w:tcBorders>
              <w:top w:val="single" w:sz="12" w:space="0" w:color="000000"/>
              <w:bottom w:val="single" w:sz="2" w:space="0" w:color="auto"/>
            </w:tcBorders>
            <w:shd w:val="clear" w:color="auto" w:fill="auto"/>
            <w:noWrap/>
            <w:vAlign w:val="bottom"/>
            <w:hideMark/>
          </w:tcPr>
          <w:p w14:paraId="2F00A7A4" w14:textId="77777777" w:rsidR="00382287" w:rsidRPr="00F5043F" w:rsidRDefault="00382287" w:rsidP="009508BA">
            <w:pPr>
              <w:pStyle w:val="TableHeaders"/>
              <w:keepNext/>
            </w:pPr>
            <w:r w:rsidRPr="00F5043F">
              <w:t>CD4 350</w:t>
            </w:r>
            <w:r w:rsidR="008E0A3C" w:rsidRPr="00F5043F">
              <w:t>–</w:t>
            </w:r>
            <w:r w:rsidRPr="00F5043F">
              <w:t>500</w:t>
            </w:r>
          </w:p>
        </w:tc>
        <w:tc>
          <w:tcPr>
            <w:tcW w:w="1032" w:type="dxa"/>
            <w:tcBorders>
              <w:top w:val="single" w:sz="12" w:space="0" w:color="000000"/>
              <w:bottom w:val="single" w:sz="2" w:space="0" w:color="auto"/>
            </w:tcBorders>
            <w:shd w:val="clear" w:color="auto" w:fill="auto"/>
            <w:noWrap/>
            <w:vAlign w:val="bottom"/>
            <w:hideMark/>
          </w:tcPr>
          <w:p w14:paraId="472C12A6" w14:textId="3E3A15AB" w:rsidR="00382287" w:rsidRPr="00F5043F" w:rsidRDefault="00382287" w:rsidP="009508BA">
            <w:pPr>
              <w:pStyle w:val="TableHeaders"/>
              <w:keepNext/>
            </w:pPr>
            <w:r w:rsidRPr="00F5043F">
              <w:t xml:space="preserve">CD4 </w:t>
            </w:r>
            <w:r w:rsidR="00B70295" w:rsidRPr="00F5043F">
              <w:br/>
            </w:r>
            <w:r w:rsidRPr="00F5043F">
              <w:t>200</w:t>
            </w:r>
            <w:r w:rsidR="008E0A3C" w:rsidRPr="00F5043F">
              <w:t>–</w:t>
            </w:r>
            <w:r w:rsidRPr="00F5043F">
              <w:t>350</w:t>
            </w:r>
          </w:p>
        </w:tc>
        <w:tc>
          <w:tcPr>
            <w:tcW w:w="1032" w:type="dxa"/>
            <w:tcBorders>
              <w:top w:val="single" w:sz="12" w:space="0" w:color="000000"/>
              <w:bottom w:val="single" w:sz="2" w:space="0" w:color="auto"/>
            </w:tcBorders>
            <w:shd w:val="clear" w:color="auto" w:fill="auto"/>
            <w:noWrap/>
            <w:vAlign w:val="bottom"/>
            <w:hideMark/>
          </w:tcPr>
          <w:p w14:paraId="00D43C81" w14:textId="555E273F" w:rsidR="00382287" w:rsidRPr="00F5043F" w:rsidRDefault="00382287" w:rsidP="009508BA">
            <w:pPr>
              <w:pStyle w:val="TableHeaders"/>
              <w:keepNext/>
            </w:pPr>
            <w:r w:rsidRPr="00F5043F">
              <w:t xml:space="preserve">CD4 </w:t>
            </w:r>
            <w:r w:rsidR="00B70295" w:rsidRPr="00F5043F">
              <w:br/>
            </w:r>
            <w:r w:rsidRPr="00F5043F">
              <w:t>&lt; 200</w:t>
            </w:r>
          </w:p>
        </w:tc>
        <w:tc>
          <w:tcPr>
            <w:tcW w:w="2278" w:type="dxa"/>
            <w:tcBorders>
              <w:top w:val="single" w:sz="12" w:space="0" w:color="000000"/>
              <w:bottom w:val="single" w:sz="2" w:space="0" w:color="auto"/>
            </w:tcBorders>
            <w:shd w:val="clear" w:color="auto" w:fill="auto"/>
            <w:noWrap/>
            <w:vAlign w:val="bottom"/>
            <w:hideMark/>
          </w:tcPr>
          <w:p w14:paraId="6921DE4D" w14:textId="77777777" w:rsidR="00382287" w:rsidRPr="00F5043F" w:rsidRDefault="00382287" w:rsidP="009508BA">
            <w:pPr>
              <w:pStyle w:val="TableHeaders"/>
              <w:keepNext/>
            </w:pPr>
            <w:r w:rsidRPr="00F5043F">
              <w:t>Source</w:t>
            </w:r>
          </w:p>
        </w:tc>
      </w:tr>
      <w:tr w:rsidR="000A713A" w:rsidRPr="00F5043F" w14:paraId="7BDEB611" w14:textId="77777777" w:rsidTr="00260D8A">
        <w:trPr>
          <w:cantSplit/>
        </w:trPr>
        <w:tc>
          <w:tcPr>
            <w:tcW w:w="1922" w:type="dxa"/>
            <w:tcBorders>
              <w:top w:val="single" w:sz="2" w:space="0" w:color="auto"/>
              <w:bottom w:val="single" w:sz="2" w:space="0" w:color="808080" w:themeColor="background1" w:themeShade="80"/>
            </w:tcBorders>
            <w:shd w:val="clear" w:color="auto" w:fill="auto"/>
            <w:noWrap/>
            <w:hideMark/>
          </w:tcPr>
          <w:p w14:paraId="45A68F1B" w14:textId="1AB32274" w:rsidR="000A713A" w:rsidRPr="00F5043F" w:rsidRDefault="000A713A" w:rsidP="000A713A">
            <w:pPr>
              <w:pStyle w:val="TableText"/>
            </w:pPr>
            <w:r w:rsidRPr="00F5043F">
              <w:t xml:space="preserve">Unaware </w:t>
            </w:r>
            <w:r w:rsidRPr="00F5043F">
              <w:br/>
              <w:t>(</w:t>
            </w:r>
            <w:r w:rsidRPr="00F5043F">
              <w:rPr>
                <w:i/>
                <w:iCs/>
              </w:rPr>
              <w:t>r</w:t>
            </w:r>
            <w:r w:rsidRPr="00F5043F">
              <w:t> = 1)</w:t>
            </w:r>
          </w:p>
        </w:tc>
        <w:tc>
          <w:tcPr>
            <w:tcW w:w="1032" w:type="dxa"/>
            <w:tcBorders>
              <w:top w:val="single" w:sz="2" w:space="0" w:color="auto"/>
              <w:bottom w:val="single" w:sz="2" w:space="0" w:color="808080" w:themeColor="background1" w:themeShade="80"/>
            </w:tcBorders>
            <w:shd w:val="clear" w:color="auto" w:fill="auto"/>
            <w:noWrap/>
            <w:hideMark/>
          </w:tcPr>
          <w:p w14:paraId="4966D813" w14:textId="25E469A7" w:rsidR="000A713A" w:rsidRPr="00F5043F" w:rsidRDefault="000A713A" w:rsidP="000A713A">
            <w:pPr>
              <w:pStyle w:val="TableText"/>
              <w:jc w:val="center"/>
            </w:pPr>
            <w:r w:rsidRPr="00F5043F">
              <w:t>2.0%</w:t>
            </w:r>
          </w:p>
        </w:tc>
        <w:tc>
          <w:tcPr>
            <w:tcW w:w="1032" w:type="dxa"/>
            <w:tcBorders>
              <w:top w:val="single" w:sz="2" w:space="0" w:color="auto"/>
              <w:bottom w:val="single" w:sz="2" w:space="0" w:color="808080" w:themeColor="background1" w:themeShade="80"/>
            </w:tcBorders>
            <w:shd w:val="clear" w:color="auto" w:fill="auto"/>
            <w:noWrap/>
            <w:hideMark/>
          </w:tcPr>
          <w:p w14:paraId="79C300BD" w14:textId="46B5F28D" w:rsidR="000A713A" w:rsidRPr="00F5043F" w:rsidRDefault="000A713A" w:rsidP="000A713A">
            <w:pPr>
              <w:pStyle w:val="TableText"/>
              <w:jc w:val="center"/>
            </w:pPr>
            <w:r w:rsidRPr="00F5043F">
              <w:t>23.0%</w:t>
            </w:r>
          </w:p>
        </w:tc>
        <w:tc>
          <w:tcPr>
            <w:tcW w:w="1032" w:type="dxa"/>
            <w:tcBorders>
              <w:top w:val="single" w:sz="2" w:space="0" w:color="auto"/>
              <w:bottom w:val="single" w:sz="2" w:space="0" w:color="808080" w:themeColor="background1" w:themeShade="80"/>
            </w:tcBorders>
            <w:shd w:val="clear" w:color="auto" w:fill="auto"/>
            <w:noWrap/>
            <w:hideMark/>
          </w:tcPr>
          <w:p w14:paraId="2A63F209" w14:textId="4D26DE9E" w:rsidR="000A713A" w:rsidRPr="00F5043F" w:rsidRDefault="000A713A" w:rsidP="000A713A">
            <w:pPr>
              <w:pStyle w:val="TableText"/>
              <w:jc w:val="center"/>
            </w:pPr>
            <w:r w:rsidRPr="00F5043F">
              <w:t>18.5%</w:t>
            </w:r>
          </w:p>
        </w:tc>
        <w:tc>
          <w:tcPr>
            <w:tcW w:w="1032" w:type="dxa"/>
            <w:tcBorders>
              <w:top w:val="single" w:sz="2" w:space="0" w:color="auto"/>
              <w:bottom w:val="single" w:sz="2" w:space="0" w:color="808080" w:themeColor="background1" w:themeShade="80"/>
            </w:tcBorders>
            <w:shd w:val="clear" w:color="auto" w:fill="auto"/>
            <w:noWrap/>
            <w:hideMark/>
          </w:tcPr>
          <w:p w14:paraId="26796030" w14:textId="6737339B" w:rsidR="000A713A" w:rsidRPr="00F5043F" w:rsidRDefault="000A713A" w:rsidP="000A713A">
            <w:pPr>
              <w:pStyle w:val="TableText"/>
              <w:jc w:val="center"/>
            </w:pPr>
            <w:r w:rsidRPr="00F5043F">
              <w:t>20.5%</w:t>
            </w:r>
          </w:p>
        </w:tc>
        <w:tc>
          <w:tcPr>
            <w:tcW w:w="1032" w:type="dxa"/>
            <w:tcBorders>
              <w:top w:val="single" w:sz="2" w:space="0" w:color="auto"/>
              <w:bottom w:val="single" w:sz="2" w:space="0" w:color="808080" w:themeColor="background1" w:themeShade="80"/>
            </w:tcBorders>
            <w:shd w:val="clear" w:color="auto" w:fill="auto"/>
            <w:noWrap/>
            <w:hideMark/>
          </w:tcPr>
          <w:p w14:paraId="5A144CA6" w14:textId="4BC3A3D7" w:rsidR="000A713A" w:rsidRPr="00F5043F" w:rsidRDefault="000A713A" w:rsidP="000A713A">
            <w:pPr>
              <w:pStyle w:val="TableText"/>
              <w:jc w:val="center"/>
            </w:pPr>
            <w:r w:rsidRPr="00F5043F">
              <w:t>36%</w:t>
            </w:r>
          </w:p>
        </w:tc>
        <w:tc>
          <w:tcPr>
            <w:tcW w:w="2278" w:type="dxa"/>
            <w:tcBorders>
              <w:top w:val="single" w:sz="2" w:space="0" w:color="auto"/>
              <w:bottom w:val="single" w:sz="2" w:space="0" w:color="808080" w:themeColor="background1" w:themeShade="80"/>
            </w:tcBorders>
            <w:shd w:val="clear" w:color="auto" w:fill="auto"/>
            <w:noWrap/>
          </w:tcPr>
          <w:p w14:paraId="57CD5911" w14:textId="2B71437A" w:rsidR="000A713A" w:rsidRPr="00F5043F" w:rsidRDefault="00124E46" w:rsidP="000A713A">
            <w:pPr>
              <w:pStyle w:val="TableText"/>
            </w:pPr>
            <w:r w:rsidRPr="00F5043F">
              <w:t>Buchacz et al. (2012)</w:t>
            </w:r>
            <w:r w:rsidRPr="00F5043F">
              <w:rPr>
                <w:vertAlign w:val="superscript"/>
              </w:rPr>
              <w:t>a</w:t>
            </w:r>
            <w:r w:rsidRPr="00F5043F">
              <w:t xml:space="preserve"> </w:t>
            </w:r>
          </w:p>
        </w:tc>
      </w:tr>
      <w:tr w:rsidR="000A713A" w:rsidRPr="00F5043F" w14:paraId="07A44C1D" w14:textId="77777777" w:rsidTr="00260D8A">
        <w:trPr>
          <w:cantSplit/>
        </w:trPr>
        <w:tc>
          <w:tcPr>
            <w:tcW w:w="1922" w:type="dxa"/>
            <w:tcBorders>
              <w:top w:val="single" w:sz="2" w:space="0" w:color="808080" w:themeColor="background1" w:themeShade="80"/>
              <w:bottom w:val="single" w:sz="2" w:space="0" w:color="808080" w:themeColor="background1" w:themeShade="80"/>
            </w:tcBorders>
            <w:shd w:val="clear" w:color="auto" w:fill="auto"/>
            <w:noWrap/>
          </w:tcPr>
          <w:p w14:paraId="3B3DD9A8" w14:textId="047F0914" w:rsidR="000A713A" w:rsidRPr="00F5043F" w:rsidRDefault="000A713A" w:rsidP="000A713A">
            <w:pPr>
              <w:pStyle w:val="TableText"/>
            </w:pPr>
            <w:r w:rsidRPr="00F5043F">
              <w:t xml:space="preserve">Aware </w:t>
            </w:r>
            <w:r w:rsidRPr="00F5043F">
              <w:br/>
              <w:t>(</w:t>
            </w:r>
            <w:r w:rsidRPr="00F5043F">
              <w:rPr>
                <w:i/>
                <w:iCs/>
              </w:rPr>
              <w:t>r</w:t>
            </w:r>
            <w:r w:rsidRPr="00F5043F">
              <w:t> = 2)</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4ED3C9F6" w14:textId="33366707" w:rsidR="000A713A" w:rsidRPr="00F5043F" w:rsidRDefault="000A713A" w:rsidP="000A713A">
            <w:pPr>
              <w:pStyle w:val="TableText"/>
              <w:jc w:val="center"/>
            </w:pPr>
            <w:r w:rsidRPr="00F5043F">
              <w:t>2.0%</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2DF7CA98" w14:textId="491B4ADD" w:rsidR="000A713A" w:rsidRPr="00F5043F" w:rsidRDefault="000A713A" w:rsidP="000A713A">
            <w:pPr>
              <w:pStyle w:val="TableText"/>
              <w:jc w:val="center"/>
            </w:pPr>
            <w:r w:rsidRPr="00F5043F">
              <w:t>41.0%</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1623F619" w14:textId="3713D987" w:rsidR="000A713A" w:rsidRPr="00F5043F" w:rsidRDefault="000A713A" w:rsidP="000A713A">
            <w:pPr>
              <w:pStyle w:val="TableText"/>
              <w:jc w:val="center"/>
            </w:pPr>
            <w:r w:rsidRPr="00F5043F">
              <w:t>18.5%</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7CA4DE7E" w14:textId="0F8CD056" w:rsidR="000A713A" w:rsidRPr="00F5043F" w:rsidRDefault="000A713A" w:rsidP="000A713A">
            <w:pPr>
              <w:pStyle w:val="TableText"/>
              <w:jc w:val="center"/>
            </w:pPr>
            <w:r w:rsidRPr="00F5043F">
              <w:t>20.5%</w:t>
            </w:r>
          </w:p>
        </w:tc>
        <w:tc>
          <w:tcPr>
            <w:tcW w:w="1032" w:type="dxa"/>
            <w:tcBorders>
              <w:top w:val="single" w:sz="2" w:space="0" w:color="808080" w:themeColor="background1" w:themeShade="80"/>
              <w:bottom w:val="single" w:sz="2" w:space="0" w:color="808080" w:themeColor="background1" w:themeShade="80"/>
            </w:tcBorders>
            <w:shd w:val="clear" w:color="auto" w:fill="auto"/>
            <w:noWrap/>
          </w:tcPr>
          <w:p w14:paraId="5BF87791" w14:textId="282120E0" w:rsidR="000A713A" w:rsidRPr="00F5043F" w:rsidRDefault="000A713A" w:rsidP="000A713A">
            <w:pPr>
              <w:pStyle w:val="TableText"/>
              <w:jc w:val="center"/>
            </w:pPr>
            <w:r w:rsidRPr="00F5043F">
              <w:t>18.0%</w:t>
            </w:r>
          </w:p>
        </w:tc>
        <w:tc>
          <w:tcPr>
            <w:tcW w:w="2278" w:type="dxa"/>
            <w:tcBorders>
              <w:top w:val="single" w:sz="2" w:space="0" w:color="808080" w:themeColor="background1" w:themeShade="80"/>
              <w:bottom w:val="single" w:sz="2" w:space="0" w:color="808080" w:themeColor="background1" w:themeShade="80"/>
            </w:tcBorders>
            <w:shd w:val="clear" w:color="auto" w:fill="auto"/>
            <w:noWrap/>
          </w:tcPr>
          <w:p w14:paraId="660FCFD0" w14:textId="0FA11E11" w:rsidR="000A713A" w:rsidRPr="00F5043F" w:rsidRDefault="00124E46" w:rsidP="000A713A">
            <w:pPr>
              <w:pStyle w:val="TableText"/>
            </w:pPr>
            <w:r w:rsidRPr="00F5043F">
              <w:t>Buchacz et al. (2012)</w:t>
            </w:r>
            <w:r w:rsidRPr="00F5043F">
              <w:rPr>
                <w:vertAlign w:val="superscript"/>
              </w:rPr>
              <w:t>b</w:t>
            </w:r>
          </w:p>
        </w:tc>
      </w:tr>
      <w:tr w:rsidR="000A713A" w:rsidRPr="00F5043F" w14:paraId="0D2D4E91" w14:textId="77777777" w:rsidTr="00ED525E">
        <w:trPr>
          <w:cantSplit/>
        </w:trPr>
        <w:tc>
          <w:tcPr>
            <w:tcW w:w="1922" w:type="dxa"/>
            <w:tcBorders>
              <w:top w:val="single" w:sz="2" w:space="0" w:color="808080" w:themeColor="background1" w:themeShade="80"/>
              <w:bottom w:val="single" w:sz="2" w:space="0" w:color="808080" w:themeColor="background1" w:themeShade="80"/>
            </w:tcBorders>
            <w:shd w:val="clear" w:color="auto" w:fill="auto"/>
            <w:noWrap/>
            <w:hideMark/>
          </w:tcPr>
          <w:p w14:paraId="5A6B4E40" w14:textId="2952D688" w:rsidR="000A713A" w:rsidRPr="00F5043F" w:rsidRDefault="000A713A" w:rsidP="000A713A">
            <w:pPr>
              <w:pStyle w:val="TableText"/>
            </w:pPr>
            <w:r w:rsidRPr="00F5043F">
              <w:t>Linked to HIV care</w:t>
            </w:r>
            <w:r w:rsidRPr="00F5043F" w:rsidDel="005F5DDA">
              <w:t xml:space="preserve"> </w:t>
            </w:r>
            <w:r w:rsidRPr="00F5043F">
              <w:t>(</w:t>
            </w:r>
            <w:r w:rsidRPr="00F5043F">
              <w:rPr>
                <w:i/>
                <w:iCs/>
              </w:rPr>
              <w:t>r</w:t>
            </w:r>
            <w:r w:rsidRPr="00F5043F">
              <w:t> = 3)</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61A5D912" w14:textId="19F6FC9B" w:rsidR="000A713A" w:rsidRPr="00F5043F" w:rsidRDefault="000A713A" w:rsidP="000A713A">
            <w:pPr>
              <w:pStyle w:val="TableText"/>
              <w:jc w:val="center"/>
            </w:pPr>
            <w:r w:rsidRPr="00F5043F">
              <w:t>0.0%</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32856FFE" w14:textId="334587DF" w:rsidR="000A713A" w:rsidRPr="00F5043F" w:rsidRDefault="000A713A" w:rsidP="000A713A">
            <w:pPr>
              <w:pStyle w:val="TableText"/>
              <w:jc w:val="center"/>
            </w:pPr>
            <w:r w:rsidRPr="00F5043F">
              <w:t>37.5%</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44261EB1" w14:textId="0D7A4D62" w:rsidR="000A713A" w:rsidRPr="00F5043F" w:rsidRDefault="000A713A" w:rsidP="000A713A">
            <w:pPr>
              <w:pStyle w:val="TableText"/>
              <w:jc w:val="center"/>
            </w:pPr>
            <w:r w:rsidRPr="00F5043F">
              <w:t>37.5%</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057447B8" w14:textId="27F75423" w:rsidR="000A713A" w:rsidRPr="00F5043F" w:rsidRDefault="000A713A" w:rsidP="000A713A">
            <w:pPr>
              <w:pStyle w:val="TableText"/>
              <w:jc w:val="center"/>
            </w:pPr>
            <w:r w:rsidRPr="00F5043F">
              <w:t>15.0%</w:t>
            </w:r>
          </w:p>
        </w:tc>
        <w:tc>
          <w:tcPr>
            <w:tcW w:w="1032" w:type="dxa"/>
            <w:tcBorders>
              <w:top w:val="single" w:sz="2" w:space="0" w:color="808080" w:themeColor="background1" w:themeShade="80"/>
              <w:bottom w:val="single" w:sz="2" w:space="0" w:color="808080" w:themeColor="background1" w:themeShade="80"/>
            </w:tcBorders>
            <w:shd w:val="clear" w:color="auto" w:fill="auto"/>
            <w:noWrap/>
            <w:hideMark/>
          </w:tcPr>
          <w:p w14:paraId="58F00208" w14:textId="4D678CD9" w:rsidR="000A713A" w:rsidRPr="00F5043F" w:rsidRDefault="000A713A" w:rsidP="000A713A">
            <w:pPr>
              <w:pStyle w:val="TableText"/>
              <w:jc w:val="center"/>
            </w:pPr>
            <w:r w:rsidRPr="00F5043F">
              <w:t>10.0%</w:t>
            </w:r>
          </w:p>
        </w:tc>
        <w:tc>
          <w:tcPr>
            <w:tcW w:w="2278" w:type="dxa"/>
            <w:tcBorders>
              <w:top w:val="single" w:sz="2" w:space="0" w:color="808080" w:themeColor="background1" w:themeShade="80"/>
              <w:bottom w:val="single" w:sz="2" w:space="0" w:color="808080" w:themeColor="background1" w:themeShade="80"/>
            </w:tcBorders>
            <w:shd w:val="clear" w:color="auto" w:fill="auto"/>
            <w:noWrap/>
          </w:tcPr>
          <w:p w14:paraId="0A8AE2D9" w14:textId="43CAC42B" w:rsidR="000A713A" w:rsidRPr="00F5043F" w:rsidRDefault="00124E46" w:rsidP="000A713A">
            <w:pPr>
              <w:pStyle w:val="TableText"/>
            </w:pPr>
            <w:proofErr w:type="spellStart"/>
            <w:r w:rsidRPr="00F5043F">
              <w:t>Assumption</w:t>
            </w:r>
            <w:r w:rsidRPr="00F5043F">
              <w:rPr>
                <w:vertAlign w:val="superscript"/>
              </w:rPr>
              <w:t>c</w:t>
            </w:r>
            <w:proofErr w:type="spellEnd"/>
          </w:p>
        </w:tc>
      </w:tr>
      <w:tr w:rsidR="000A713A" w:rsidRPr="00F5043F" w14:paraId="61504E5D" w14:textId="77777777" w:rsidTr="00ED525E">
        <w:trPr>
          <w:cantSplit/>
        </w:trPr>
        <w:tc>
          <w:tcPr>
            <w:tcW w:w="1922" w:type="dxa"/>
            <w:tcBorders>
              <w:top w:val="single" w:sz="2" w:space="0" w:color="808080" w:themeColor="background1" w:themeShade="80"/>
              <w:bottom w:val="single" w:sz="4" w:space="0" w:color="808080" w:themeColor="background1" w:themeShade="80"/>
            </w:tcBorders>
            <w:shd w:val="clear" w:color="auto" w:fill="auto"/>
            <w:noWrap/>
            <w:hideMark/>
          </w:tcPr>
          <w:p w14:paraId="1E2BB8D7" w14:textId="67E3C0C2" w:rsidR="000A713A" w:rsidRPr="00F5043F" w:rsidRDefault="000A713A" w:rsidP="000A713A">
            <w:pPr>
              <w:pStyle w:val="TableText"/>
            </w:pPr>
            <w:r w:rsidRPr="00F5043F">
              <w:t>ART-not-VLS (</w:t>
            </w:r>
            <w:r w:rsidRPr="00F5043F">
              <w:rPr>
                <w:i/>
                <w:iCs/>
              </w:rPr>
              <w:t>r</w:t>
            </w:r>
            <w:r w:rsidRPr="00F5043F">
              <w:t> = 4)</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0E5ED15F" w14:textId="77777777" w:rsidR="000A713A" w:rsidRPr="00F5043F" w:rsidRDefault="000A713A" w:rsidP="000A713A">
            <w:pPr>
              <w:pStyle w:val="TableText"/>
              <w:jc w:val="center"/>
            </w:pPr>
            <w:r w:rsidRPr="00F5043F">
              <w:t>0.0%</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6692E501" w14:textId="54D4727F" w:rsidR="000A713A" w:rsidRPr="00F5043F" w:rsidRDefault="000A713A" w:rsidP="000A713A">
            <w:pPr>
              <w:pStyle w:val="TableText"/>
              <w:jc w:val="center"/>
            </w:pPr>
            <w:r w:rsidRPr="00F5043F">
              <w:t>27.8%</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2C6839BF" w14:textId="753959E9" w:rsidR="000A713A" w:rsidRPr="00F5043F" w:rsidRDefault="000A713A" w:rsidP="000A713A">
            <w:pPr>
              <w:pStyle w:val="TableText"/>
              <w:jc w:val="center"/>
            </w:pPr>
            <w:r w:rsidRPr="00F5043F">
              <w:t>34.4%</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357C1AD2" w14:textId="343B2F70" w:rsidR="000A713A" w:rsidRPr="00F5043F" w:rsidRDefault="000A713A" w:rsidP="000A713A">
            <w:pPr>
              <w:pStyle w:val="TableText"/>
              <w:jc w:val="center"/>
            </w:pPr>
            <w:r w:rsidRPr="00F5043F">
              <w:t>24.4%</w:t>
            </w:r>
          </w:p>
        </w:tc>
        <w:tc>
          <w:tcPr>
            <w:tcW w:w="1032" w:type="dxa"/>
            <w:tcBorders>
              <w:top w:val="single" w:sz="2" w:space="0" w:color="808080" w:themeColor="background1" w:themeShade="80"/>
              <w:bottom w:val="single" w:sz="4" w:space="0" w:color="808080" w:themeColor="background1" w:themeShade="80"/>
            </w:tcBorders>
            <w:shd w:val="clear" w:color="auto" w:fill="auto"/>
            <w:noWrap/>
            <w:hideMark/>
          </w:tcPr>
          <w:p w14:paraId="751DBA3C" w14:textId="5D97B5D3" w:rsidR="000A713A" w:rsidRPr="00F5043F" w:rsidRDefault="000A713A" w:rsidP="000A713A">
            <w:pPr>
              <w:pStyle w:val="TableText"/>
              <w:jc w:val="center"/>
            </w:pPr>
            <w:r w:rsidRPr="00F5043F">
              <w:t>13.4%</w:t>
            </w:r>
          </w:p>
        </w:tc>
        <w:tc>
          <w:tcPr>
            <w:tcW w:w="2278" w:type="dxa"/>
            <w:tcBorders>
              <w:top w:val="single" w:sz="2" w:space="0" w:color="808080" w:themeColor="background1" w:themeShade="80"/>
              <w:bottom w:val="single" w:sz="4" w:space="0" w:color="808080" w:themeColor="background1" w:themeShade="80"/>
            </w:tcBorders>
            <w:shd w:val="clear" w:color="auto" w:fill="auto"/>
            <w:noWrap/>
          </w:tcPr>
          <w:p w14:paraId="107E88BC" w14:textId="0ADB4831" w:rsidR="000A713A" w:rsidRPr="00F5043F" w:rsidRDefault="00124E46" w:rsidP="000A713A">
            <w:pPr>
              <w:pStyle w:val="TableText"/>
            </w:pPr>
            <w:r w:rsidRPr="00F5043F">
              <w:t>CDC (2014)</w:t>
            </w:r>
            <w:r w:rsidRPr="00F5043F">
              <w:rPr>
                <w:vertAlign w:val="superscript"/>
              </w:rPr>
              <w:t>d</w:t>
            </w:r>
          </w:p>
        </w:tc>
      </w:tr>
      <w:tr w:rsidR="000A713A" w:rsidRPr="00F5043F" w14:paraId="2BDBF629" w14:textId="77777777" w:rsidTr="00260D8A">
        <w:trPr>
          <w:cantSplit/>
        </w:trPr>
        <w:tc>
          <w:tcPr>
            <w:tcW w:w="1922" w:type="dxa"/>
            <w:tcBorders>
              <w:top w:val="single" w:sz="4" w:space="0" w:color="808080" w:themeColor="background1" w:themeShade="80"/>
              <w:bottom w:val="single" w:sz="12" w:space="0" w:color="000000"/>
            </w:tcBorders>
            <w:shd w:val="clear" w:color="auto" w:fill="auto"/>
            <w:noWrap/>
          </w:tcPr>
          <w:p w14:paraId="60DB3D38" w14:textId="11FEC371" w:rsidR="000A713A" w:rsidRPr="00F5043F" w:rsidRDefault="000A713A" w:rsidP="000A713A">
            <w:pPr>
              <w:pStyle w:val="TableText"/>
            </w:pPr>
            <w:r w:rsidRPr="00F5043F">
              <w:t>VLS (</w:t>
            </w:r>
            <w:r w:rsidRPr="00F5043F">
              <w:rPr>
                <w:i/>
                <w:iCs/>
              </w:rPr>
              <w:t>r</w:t>
            </w:r>
            <w:r w:rsidRPr="00F5043F">
              <w:t> = 5)</w:t>
            </w:r>
          </w:p>
        </w:tc>
        <w:tc>
          <w:tcPr>
            <w:tcW w:w="1032" w:type="dxa"/>
            <w:tcBorders>
              <w:top w:val="single" w:sz="4" w:space="0" w:color="808080" w:themeColor="background1" w:themeShade="80"/>
              <w:bottom w:val="single" w:sz="12" w:space="0" w:color="000000"/>
            </w:tcBorders>
            <w:shd w:val="clear" w:color="auto" w:fill="auto"/>
            <w:noWrap/>
          </w:tcPr>
          <w:p w14:paraId="55C87BB6" w14:textId="77777777" w:rsidR="000A713A" w:rsidRPr="00F5043F" w:rsidRDefault="000A713A" w:rsidP="000A713A">
            <w:pPr>
              <w:pStyle w:val="TableText"/>
              <w:jc w:val="center"/>
            </w:pPr>
            <w:r w:rsidRPr="00F5043F">
              <w:t>0.0%</w:t>
            </w:r>
          </w:p>
        </w:tc>
        <w:tc>
          <w:tcPr>
            <w:tcW w:w="1032" w:type="dxa"/>
            <w:tcBorders>
              <w:top w:val="single" w:sz="4" w:space="0" w:color="808080" w:themeColor="background1" w:themeShade="80"/>
              <w:bottom w:val="single" w:sz="12" w:space="0" w:color="000000"/>
            </w:tcBorders>
            <w:shd w:val="clear" w:color="auto" w:fill="auto"/>
            <w:noWrap/>
          </w:tcPr>
          <w:p w14:paraId="073EE451" w14:textId="2F6B800D" w:rsidR="000A713A" w:rsidRPr="00F5043F" w:rsidRDefault="000A713A" w:rsidP="000A713A">
            <w:pPr>
              <w:pStyle w:val="TableText"/>
              <w:jc w:val="center"/>
            </w:pPr>
            <w:r w:rsidRPr="00F5043F">
              <w:t>46.4%</w:t>
            </w:r>
          </w:p>
        </w:tc>
        <w:tc>
          <w:tcPr>
            <w:tcW w:w="1032" w:type="dxa"/>
            <w:tcBorders>
              <w:top w:val="single" w:sz="4" w:space="0" w:color="808080" w:themeColor="background1" w:themeShade="80"/>
              <w:bottom w:val="single" w:sz="12" w:space="0" w:color="000000"/>
            </w:tcBorders>
            <w:shd w:val="clear" w:color="auto" w:fill="auto"/>
            <w:noWrap/>
          </w:tcPr>
          <w:p w14:paraId="12C999D2" w14:textId="4A1C3063" w:rsidR="000A713A" w:rsidRPr="00F5043F" w:rsidRDefault="000A713A" w:rsidP="000A713A">
            <w:pPr>
              <w:pStyle w:val="TableText"/>
              <w:jc w:val="center"/>
            </w:pPr>
            <w:r w:rsidRPr="00F5043F">
              <w:t>22.8%</w:t>
            </w:r>
          </w:p>
        </w:tc>
        <w:tc>
          <w:tcPr>
            <w:tcW w:w="1032" w:type="dxa"/>
            <w:tcBorders>
              <w:top w:val="single" w:sz="4" w:space="0" w:color="808080" w:themeColor="background1" w:themeShade="80"/>
              <w:bottom w:val="single" w:sz="12" w:space="0" w:color="000000"/>
            </w:tcBorders>
            <w:shd w:val="clear" w:color="auto" w:fill="auto"/>
            <w:noWrap/>
          </w:tcPr>
          <w:p w14:paraId="5B1ECF13" w14:textId="3679329D" w:rsidR="000A713A" w:rsidRPr="00F5043F" w:rsidRDefault="000A713A" w:rsidP="000A713A">
            <w:pPr>
              <w:pStyle w:val="TableText"/>
              <w:jc w:val="center"/>
            </w:pPr>
            <w:r w:rsidRPr="00F5043F">
              <w:t>17.4%</w:t>
            </w:r>
          </w:p>
        </w:tc>
        <w:tc>
          <w:tcPr>
            <w:tcW w:w="1032" w:type="dxa"/>
            <w:tcBorders>
              <w:top w:val="single" w:sz="4" w:space="0" w:color="808080" w:themeColor="background1" w:themeShade="80"/>
              <w:bottom w:val="single" w:sz="12" w:space="0" w:color="000000"/>
            </w:tcBorders>
            <w:shd w:val="clear" w:color="auto" w:fill="auto"/>
            <w:noWrap/>
          </w:tcPr>
          <w:p w14:paraId="47FAF82C" w14:textId="6297730C" w:rsidR="000A713A" w:rsidRPr="00F5043F" w:rsidRDefault="000A713A" w:rsidP="000A713A">
            <w:pPr>
              <w:pStyle w:val="TableText"/>
              <w:jc w:val="center"/>
            </w:pPr>
            <w:r w:rsidRPr="00F5043F">
              <w:t>13.4%</w:t>
            </w:r>
          </w:p>
        </w:tc>
        <w:tc>
          <w:tcPr>
            <w:tcW w:w="2278" w:type="dxa"/>
            <w:tcBorders>
              <w:top w:val="single" w:sz="4" w:space="0" w:color="808080" w:themeColor="background1" w:themeShade="80"/>
              <w:bottom w:val="single" w:sz="12" w:space="0" w:color="000000"/>
            </w:tcBorders>
            <w:shd w:val="clear" w:color="auto" w:fill="auto"/>
            <w:noWrap/>
          </w:tcPr>
          <w:p w14:paraId="020F9BE3" w14:textId="196D32D4" w:rsidR="000A713A" w:rsidRPr="00F5043F" w:rsidRDefault="00124E46" w:rsidP="000A713A">
            <w:pPr>
              <w:pStyle w:val="TableText"/>
            </w:pPr>
            <w:r w:rsidRPr="00F5043F">
              <w:t>CDC (2014)</w:t>
            </w:r>
            <w:r w:rsidRPr="00F5043F">
              <w:rPr>
                <w:vertAlign w:val="superscript"/>
              </w:rPr>
              <w:t xml:space="preserve"> e</w:t>
            </w:r>
          </w:p>
        </w:tc>
      </w:tr>
    </w:tbl>
    <w:p w14:paraId="3C34F12F" w14:textId="3F436433" w:rsidR="009D5AF4" w:rsidRPr="00F5043F" w:rsidRDefault="00323667" w:rsidP="005D195A">
      <w:pPr>
        <w:pStyle w:val="Source2"/>
      </w:pPr>
      <w:r w:rsidRPr="00F5043F">
        <w:t xml:space="preserve">Note: </w:t>
      </w:r>
      <w:r w:rsidR="00382287" w:rsidRPr="00F5043F">
        <w:t>ART</w:t>
      </w:r>
      <w:r w:rsidR="00E628BE" w:rsidRPr="00F5043F">
        <w:t> = </w:t>
      </w:r>
      <w:r w:rsidR="00382287" w:rsidRPr="00F5043F">
        <w:t xml:space="preserve">antiretroviral therapy; </w:t>
      </w:r>
      <w:r w:rsidR="001A7FD1" w:rsidRPr="00F5043F">
        <w:t>VLS</w:t>
      </w:r>
      <w:r w:rsidR="00E628BE" w:rsidRPr="00F5043F">
        <w:t> = </w:t>
      </w:r>
      <w:r w:rsidR="001A7FD1" w:rsidRPr="00F5043F">
        <w:t>viral load suppressed</w:t>
      </w:r>
    </w:p>
    <w:p w14:paraId="24D9513B" w14:textId="40EFE073" w:rsidR="00C64024" w:rsidRPr="00F5043F" w:rsidRDefault="00124E46" w:rsidP="00ED525E">
      <w:pPr>
        <w:pStyle w:val="Source2"/>
        <w:rPr>
          <w:szCs w:val="18"/>
        </w:rPr>
      </w:pPr>
      <w:proofErr w:type="spellStart"/>
      <w:r w:rsidRPr="00F5043F">
        <w:rPr>
          <w:szCs w:val="18"/>
          <w:vertAlign w:val="superscript"/>
        </w:rPr>
        <w:t>a</w:t>
      </w:r>
      <w:r w:rsidRPr="00F5043F">
        <w:rPr>
          <w:szCs w:val="18"/>
        </w:rPr>
        <w:t>Buchacz</w:t>
      </w:r>
      <w:proofErr w:type="spellEnd"/>
      <w:r w:rsidRPr="00F5043F">
        <w:rPr>
          <w:szCs w:val="18"/>
        </w:rPr>
        <w:t xml:space="preserve"> et al. (2012)</w:t>
      </w:r>
      <w:r w:rsidR="005D195A" w:rsidRPr="00F5043F">
        <w:rPr>
          <w:szCs w:val="18"/>
        </w:rPr>
        <w:t xml:space="preserve"> reported</w:t>
      </w:r>
      <w:r w:rsidRPr="00F5043F">
        <w:rPr>
          <w:szCs w:val="18"/>
        </w:rPr>
        <w:t xml:space="preserve"> CD4 count of HOPS participants diagnosed with HIV infection during 2000-2009</w:t>
      </w:r>
      <w:r w:rsidR="005D195A" w:rsidRPr="00F5043F">
        <w:rPr>
          <w:szCs w:val="18"/>
        </w:rPr>
        <w:t xml:space="preserve">: </w:t>
      </w:r>
      <w:r w:rsidRPr="00F5043F">
        <w:rPr>
          <w:szCs w:val="18"/>
        </w:rPr>
        <w:t>25% had CD4&gt;500, 19% CD4 350-500, 21% CD4 200-350, and 36% CD4&lt;200.  Assumed 2% of the 25% with CD4&gt;500 were acute. Adjusted values for CD4 200-500 slightly so that 36% had CD4&lt;200.</w:t>
      </w:r>
    </w:p>
    <w:p w14:paraId="3315EB5A" w14:textId="3B5072E8" w:rsidR="00124E46" w:rsidRPr="00F5043F" w:rsidRDefault="00124E46" w:rsidP="00ED525E">
      <w:pPr>
        <w:pStyle w:val="Source2"/>
        <w:rPr>
          <w:szCs w:val="18"/>
        </w:rPr>
      </w:pPr>
      <w:r w:rsidRPr="00F5043F">
        <w:rPr>
          <w:szCs w:val="18"/>
          <w:vertAlign w:val="superscript"/>
        </w:rPr>
        <w:t>b</w:t>
      </w:r>
      <w:r w:rsidRPr="00F5043F">
        <w:t xml:space="preserve"> </w:t>
      </w:r>
      <w:r w:rsidRPr="00F5043F">
        <w:rPr>
          <w:szCs w:val="18"/>
        </w:rPr>
        <w:t xml:space="preserve">Applied same source as for </w:t>
      </w:r>
      <w:r w:rsidR="008D6621" w:rsidRPr="00F5043F">
        <w:rPr>
          <w:szCs w:val="18"/>
        </w:rPr>
        <w:t>unaware</w:t>
      </w:r>
      <w:r w:rsidRPr="00F5043F">
        <w:rPr>
          <w:szCs w:val="18"/>
        </w:rPr>
        <w:t xml:space="preserve"> (Buchacz et al. [2012]), but assumed that half of individuals with AIDS would have been linked to care, therefore shifting the distribution toward higher CD4 counts; that was reflected by increasing the </w:t>
      </w:r>
      <w:r w:rsidR="008D6621" w:rsidRPr="00F5043F">
        <w:rPr>
          <w:szCs w:val="18"/>
        </w:rPr>
        <w:t>percentage</w:t>
      </w:r>
      <w:r w:rsidRPr="00F5043F">
        <w:rPr>
          <w:szCs w:val="18"/>
        </w:rPr>
        <w:t xml:space="preserve"> with CD4&gt;500.</w:t>
      </w:r>
    </w:p>
    <w:p w14:paraId="095C0EBE" w14:textId="039B6BFA" w:rsidR="008D6621" w:rsidRPr="00F5043F" w:rsidRDefault="00124E46" w:rsidP="00ED525E">
      <w:pPr>
        <w:pStyle w:val="Source2"/>
        <w:rPr>
          <w:szCs w:val="18"/>
        </w:rPr>
      </w:pPr>
      <w:r w:rsidRPr="00F5043F">
        <w:rPr>
          <w:szCs w:val="18"/>
          <w:vertAlign w:val="superscript"/>
        </w:rPr>
        <w:t>c</w:t>
      </w:r>
      <w:r w:rsidRPr="00F5043F">
        <w:t xml:space="preserve"> </w:t>
      </w:r>
      <w:r w:rsidRPr="00F5043F">
        <w:rPr>
          <w:szCs w:val="18"/>
        </w:rPr>
        <w:t xml:space="preserve">Assumed that none had acute, a small amount (10%) had AIDS, the vast majority (75%) would be in earlier non-symptomatic stages of HIV, and the remainder would have CD4 200-350. </w:t>
      </w:r>
    </w:p>
    <w:p w14:paraId="7C8A13EF" w14:textId="0D43BD3F" w:rsidR="008D6621" w:rsidRPr="00F5043F" w:rsidRDefault="008D6621" w:rsidP="00ED525E">
      <w:pPr>
        <w:pStyle w:val="Source2"/>
        <w:rPr>
          <w:szCs w:val="18"/>
        </w:rPr>
      </w:pPr>
      <w:r w:rsidRPr="00F5043F">
        <w:rPr>
          <w:szCs w:val="18"/>
          <w:vertAlign w:val="superscript"/>
        </w:rPr>
        <w:t>d</w:t>
      </w:r>
      <w:r w:rsidRPr="00F5043F">
        <w:t xml:space="preserve"> </w:t>
      </w:r>
      <w:r w:rsidRPr="00F5043F">
        <w:rPr>
          <w:szCs w:val="18"/>
        </w:rPr>
        <w:t>Assumed same distribution as VLS from CDC (2014), but based on the recommendations in 2010, fewer people with CD4&gt;500 would have been prescribed ART. Therefore, 25% of CD4&gt;500+ reported in CDC (2014c) were shifted to 350-500, and 15% of CD4&gt;500+ to 200-350</w:t>
      </w:r>
    </w:p>
    <w:p w14:paraId="0412EBB9" w14:textId="7ABFBF46" w:rsidR="008D6621" w:rsidRPr="00F5043F" w:rsidRDefault="008D6621" w:rsidP="00ED525E">
      <w:pPr>
        <w:pStyle w:val="Source2"/>
        <w:rPr>
          <w:szCs w:val="18"/>
        </w:rPr>
      </w:pPr>
      <w:r w:rsidRPr="00F5043F">
        <w:rPr>
          <w:szCs w:val="18"/>
          <w:vertAlign w:val="superscript"/>
        </w:rPr>
        <w:t>e</w:t>
      </w:r>
      <w:r w:rsidRPr="00F5043F">
        <w:t xml:space="preserve"> </w:t>
      </w:r>
      <w:r w:rsidRPr="00F5043F">
        <w:rPr>
          <w:szCs w:val="18"/>
        </w:rPr>
        <w:t>From CDC (2014) Table 3 "Stage of disease and CD4 counts of patients during the 12 months before the interview—Medical Monitoring Project, United States, 2010." Used percentage of patients with geometric mean CD4 count in each range. The MMP population includes adult HIV-infected adults who received care from known providers of outpatient HIV medical care in the United States.</w:t>
      </w:r>
    </w:p>
    <w:p w14:paraId="6AF2BA07" w14:textId="7CEC1E87" w:rsidR="00124E46" w:rsidRPr="005D195A" w:rsidRDefault="00124E46" w:rsidP="00ED525E">
      <w:pPr>
        <w:pStyle w:val="Source2"/>
        <w:rPr>
          <w:szCs w:val="18"/>
          <w:highlight w:val="green"/>
        </w:rPr>
        <w:sectPr w:rsidR="00124E46" w:rsidRPr="005D195A" w:rsidSect="00ED6A40">
          <w:pgSz w:w="12240" w:h="15840" w:code="1"/>
          <w:pgMar w:top="1440" w:right="1440" w:bottom="1440" w:left="1440" w:header="720" w:footer="720" w:gutter="0"/>
          <w:pgNumType w:chapStyle="1"/>
          <w:cols w:space="720"/>
          <w:docGrid w:linePitch="360"/>
        </w:sectPr>
      </w:pPr>
      <w:r w:rsidRPr="005D195A">
        <w:rPr>
          <w:szCs w:val="18"/>
          <w:highlight w:val="green"/>
        </w:rPr>
        <w:t xml:space="preserve"> </w:t>
      </w:r>
    </w:p>
    <w:p w14:paraId="56157A3B" w14:textId="65170DC6" w:rsidR="00382287" w:rsidRPr="00C00335" w:rsidRDefault="009D5AF4" w:rsidP="009D5AF4">
      <w:pPr>
        <w:pStyle w:val="Heading1"/>
      </w:pPr>
      <w:bookmarkStart w:id="21" w:name="_Toc398293112"/>
      <w:bookmarkStart w:id="22" w:name="_Toc89257533"/>
      <w:r w:rsidRPr="00C00335">
        <w:lastRenderedPageBreak/>
        <w:t xml:space="preserve">Movement into and out of </w:t>
      </w:r>
      <w:r w:rsidR="005A0921" w:rsidRPr="00C00335">
        <w:t>the Model, between Subpopulations, b</w:t>
      </w:r>
      <w:r w:rsidRPr="00C00335">
        <w:t xml:space="preserve">etween Compartments </w:t>
      </w:r>
      <w:r w:rsidR="005A0921" w:rsidRPr="00C00335">
        <w:t>(Except Due to Infection), and w</w:t>
      </w:r>
      <w:r w:rsidRPr="00C00335">
        <w:t>ithin Compartments</w:t>
      </w:r>
      <w:bookmarkEnd w:id="21"/>
      <w:bookmarkEnd w:id="22"/>
    </w:p>
    <w:p w14:paraId="10FF0154" w14:textId="5179054B" w:rsidR="009D5AF4" w:rsidRPr="00C00335" w:rsidRDefault="009D5AF4" w:rsidP="00194198">
      <w:pPr>
        <w:pStyle w:val="BodyText"/>
      </w:pPr>
      <w:r w:rsidRPr="00C00335">
        <w:t xml:space="preserve">The number of individuals in the model’s population changes over time by individuals aging into the population, dying from AIDS, or dying from other causes. Individuals move between subpopulations solely due to aging. They move between compartments due to disease progression and progression along the HIV </w:t>
      </w:r>
      <w:r w:rsidR="003F2DC6" w:rsidRPr="00C00335">
        <w:t>care continuum</w:t>
      </w:r>
      <w:r w:rsidRPr="00C00335">
        <w:t>. The values of the parameters that affect these d</w:t>
      </w:r>
      <w:r w:rsidR="009508BA" w:rsidRPr="00C00335">
        <w:t xml:space="preserve">ynamics are specified in </w:t>
      </w:r>
      <w:r w:rsidR="00871E69" w:rsidRPr="00C00335">
        <w:t>Tables </w:t>
      </w:r>
      <w:r w:rsidR="00F36478" w:rsidRPr="00C00335">
        <w:t>5</w:t>
      </w:r>
      <w:r w:rsidR="00CC1362" w:rsidRPr="00C00335">
        <w:t>.</w:t>
      </w:r>
      <w:r w:rsidRPr="00C00335">
        <w:t xml:space="preserve">1 through </w:t>
      </w:r>
      <w:r w:rsidR="00F36478" w:rsidRPr="00C00335">
        <w:t>5</w:t>
      </w:r>
      <w:r w:rsidR="00CC1362" w:rsidRPr="00C00335">
        <w:t>.</w:t>
      </w:r>
      <w:r w:rsidR="007006E8">
        <w:t>5</w:t>
      </w:r>
      <w:r w:rsidRPr="00C00335">
        <w:t>.</w:t>
      </w:r>
      <w:r w:rsidR="00A304C3" w:rsidRPr="00C00335">
        <w:t xml:space="preserve"> Many of these parameter values were calibrated within</w:t>
      </w:r>
      <w:r w:rsidR="009640A6" w:rsidRPr="00C00335">
        <w:t xml:space="preserve"> defined ranges</w:t>
      </w:r>
      <w:r w:rsidR="00A304C3" w:rsidRPr="00C00335">
        <w:t xml:space="preserve"> to match specific target outcomes</w:t>
      </w:r>
      <w:r w:rsidR="009640A6" w:rsidRPr="00C00335">
        <w:t>; further det</w:t>
      </w:r>
      <w:r w:rsidR="00B71A0D" w:rsidRPr="00C00335">
        <w:t xml:space="preserve">ails on the calibration process are </w:t>
      </w:r>
      <w:r w:rsidR="00194198" w:rsidRPr="00C00335">
        <w:t xml:space="preserve">provided </w:t>
      </w:r>
      <w:r w:rsidR="00B71A0D" w:rsidRPr="00C00335">
        <w:t xml:space="preserve">in </w:t>
      </w:r>
      <w:r w:rsidR="00CA2896" w:rsidRPr="00C00335">
        <w:t>Section </w:t>
      </w:r>
      <w:r w:rsidR="00B71A0D" w:rsidRPr="00C00335">
        <w:t>10.1</w:t>
      </w:r>
      <w:r w:rsidR="009640A6" w:rsidRPr="00C00335">
        <w:t>.</w:t>
      </w:r>
    </w:p>
    <w:p w14:paraId="21E2A977" w14:textId="4F71BE19" w:rsidR="009D5AF4" w:rsidRPr="00C00335" w:rsidRDefault="009D5AF4" w:rsidP="009D5AF4">
      <w:pPr>
        <w:pStyle w:val="Heading2"/>
      </w:pPr>
      <w:bookmarkStart w:id="23" w:name="_Toc398293113"/>
      <w:bookmarkStart w:id="24" w:name="_Toc89257534"/>
      <w:r w:rsidRPr="00C00335">
        <w:t xml:space="preserve">Transitions </w:t>
      </w:r>
      <w:r w:rsidR="00AA77D8" w:rsidRPr="00C00335">
        <w:t xml:space="preserve">into </w:t>
      </w:r>
      <w:r w:rsidRPr="00C00335">
        <w:t xml:space="preserve">and </w:t>
      </w:r>
      <w:r w:rsidR="00AA77D8" w:rsidRPr="00C00335">
        <w:t xml:space="preserve">out </w:t>
      </w:r>
      <w:r w:rsidRPr="00C00335">
        <w:t>of the Model</w:t>
      </w:r>
      <w:bookmarkEnd w:id="23"/>
      <w:bookmarkEnd w:id="24"/>
    </w:p>
    <w:p w14:paraId="2D8CA12B" w14:textId="1928EB9B" w:rsidR="00B45E5E" w:rsidRPr="000C15F8" w:rsidRDefault="003C150A" w:rsidP="00B45E5E">
      <w:pPr>
        <w:pStyle w:val="BodyText"/>
      </w:pPr>
      <w:r w:rsidRPr="00C00335">
        <w:t xml:space="preserve">Individuals can only </w:t>
      </w:r>
      <w:r w:rsidR="00083309" w:rsidRPr="00C00335">
        <w:t>enter</w:t>
      </w:r>
      <w:r w:rsidRPr="00C00335">
        <w:t xml:space="preserve"> the model by aging into the population (</w:t>
      </w:r>
      <w:r w:rsidR="007052BB" w:rsidRPr="00C00335">
        <w:t xml:space="preserve">at either age 13 or 18, </w:t>
      </w:r>
      <w:r w:rsidR="007052BB" w:rsidRPr="000C15F8">
        <w:t xml:space="preserve">depending </w:t>
      </w:r>
      <w:r w:rsidRPr="000C15F8">
        <w:t>on user settings</w:t>
      </w:r>
      <w:r w:rsidR="007052BB" w:rsidRPr="000C15F8">
        <w:t xml:space="preserve"> about whether age 13</w:t>
      </w:r>
      <w:r w:rsidR="00740DFC" w:rsidRPr="000C15F8">
        <w:t>–1</w:t>
      </w:r>
      <w:r w:rsidR="007052BB" w:rsidRPr="000C15F8">
        <w:t>7 is included in the population</w:t>
      </w:r>
      <w:r w:rsidRPr="000C15F8">
        <w:t xml:space="preserve">). </w:t>
      </w:r>
      <w:r w:rsidR="009D5AF4" w:rsidRPr="000C15F8">
        <w:t xml:space="preserve">All enter the </w:t>
      </w:r>
      <w:r w:rsidR="001E0A32" w:rsidRPr="000C15F8">
        <w:t xml:space="preserve">susceptible (and not on </w:t>
      </w:r>
      <w:proofErr w:type="spellStart"/>
      <w:r w:rsidR="001E0A32" w:rsidRPr="000C15F8">
        <w:t>PrEP</w:t>
      </w:r>
      <w:proofErr w:type="spellEnd"/>
      <w:r w:rsidR="001E0A32" w:rsidRPr="000C15F8">
        <w:t>)</w:t>
      </w:r>
      <w:r w:rsidR="00EA00B7" w:rsidRPr="000C15F8">
        <w:t xml:space="preserve"> </w:t>
      </w:r>
      <w:r w:rsidR="009D5AF4" w:rsidRPr="000C15F8">
        <w:t>stage (</w:t>
      </w:r>
      <w:r w:rsidR="00D02115" w:rsidRPr="000C15F8">
        <w:rPr>
          <w:i/>
          <w:iCs/>
        </w:rPr>
        <w:t>c</w:t>
      </w:r>
      <w:r w:rsidR="00D02115" w:rsidRPr="000C15F8">
        <w:t> </w:t>
      </w:r>
      <w:r w:rsidR="00E628BE" w:rsidRPr="000C15F8">
        <w:t>= </w:t>
      </w:r>
      <w:r w:rsidR="001E0A32" w:rsidRPr="000C15F8">
        <w:t>1</w:t>
      </w:r>
      <w:r w:rsidR="009D5AF4" w:rsidRPr="000C15F8">
        <w:t xml:space="preserve">). </w:t>
      </w:r>
    </w:p>
    <w:p w14:paraId="157DA12A" w14:textId="4A39287B" w:rsidR="00B45E5E" w:rsidRPr="00F5043F" w:rsidRDefault="00B45E5E" w:rsidP="00B45E5E">
      <w:pPr>
        <w:pStyle w:val="BodyText"/>
      </w:pPr>
      <w:r w:rsidRPr="00F5043F">
        <w:t xml:space="preserve">The number entering </w:t>
      </w:r>
      <w:r w:rsidR="005F122E" w:rsidRPr="00F5043F">
        <w:t xml:space="preserve">the population </w:t>
      </w:r>
      <w:r w:rsidRPr="00F5043F">
        <w:t xml:space="preserve">by transmission group, sex, race/ethnicity, and risk level will vary over time and </w:t>
      </w:r>
      <w:r w:rsidR="00715A5A" w:rsidRPr="00F5043F">
        <w:t xml:space="preserve">will </w:t>
      </w:r>
      <w:r w:rsidRPr="00F5043F">
        <w:t xml:space="preserve">be determined as the product of </w:t>
      </w:r>
      <w:r w:rsidR="00715A5A" w:rsidRPr="00F5043F">
        <w:t>(1</w:t>
      </w:r>
      <w:r w:rsidRPr="00F5043F">
        <w:t>) the current number of susceptible individuals in the youngest age group of th</w:t>
      </w:r>
      <w:r w:rsidR="00521132" w:rsidRPr="00F5043F">
        <w:t>e</w:t>
      </w:r>
      <w:r w:rsidRPr="00F5043F">
        <w:t xml:space="preserve"> same sex and race/ethnicity, risk level, </w:t>
      </w:r>
      <w:r w:rsidR="00521132" w:rsidRPr="00F5043F">
        <w:t xml:space="preserve">and </w:t>
      </w:r>
      <w:r w:rsidRPr="00F5043F">
        <w:t>circumcision status (as determined by inputs specified in Section 4)</w:t>
      </w:r>
      <w:r w:rsidR="00715A5A" w:rsidRPr="00F5043F">
        <w:t>;</w:t>
      </w:r>
      <w:r w:rsidRPr="00F5043F">
        <w:t xml:space="preserve"> </w:t>
      </w:r>
      <w:r w:rsidR="00715A5A" w:rsidRPr="00F5043F">
        <w:t>(2</w:t>
      </w:r>
      <w:r w:rsidRPr="00F5043F">
        <w:t>) an overall entry rate</w:t>
      </w:r>
      <w:r w:rsidR="00715A5A" w:rsidRPr="00F5043F">
        <w:t>;</w:t>
      </w:r>
      <w:r w:rsidRPr="00F5043F">
        <w:t xml:space="preserve"> and </w:t>
      </w:r>
      <w:r w:rsidR="00715A5A" w:rsidRPr="00F5043F">
        <w:t>(3</w:t>
      </w:r>
      <w:r w:rsidRPr="00F5043F">
        <w:t>) relative adjustment values to annual overall entry rate by sex and race/ethnicity</w:t>
      </w:r>
      <w:r w:rsidR="00521132" w:rsidRPr="00F5043F">
        <w:t>.</w:t>
      </w:r>
    </w:p>
    <w:p w14:paraId="5773185C" w14:textId="47A2C906" w:rsidR="00365D0A" w:rsidRPr="009335CD" w:rsidRDefault="009D5AF4" w:rsidP="00D02115">
      <w:pPr>
        <w:pStyle w:val="BodyText"/>
      </w:pPr>
      <w:r w:rsidRPr="00F5043F">
        <w:t xml:space="preserve">If </w:t>
      </w:r>
      <w:r w:rsidR="003C150A" w:rsidRPr="00F5043F">
        <w:t xml:space="preserve">the </w:t>
      </w:r>
      <w:r w:rsidRPr="00F5043F">
        <w:t>13</w:t>
      </w:r>
      <w:r w:rsidR="00715A5A" w:rsidRPr="00F5043F">
        <w:t>–</w:t>
      </w:r>
      <w:r w:rsidRPr="00F5043F">
        <w:t>17</w:t>
      </w:r>
      <w:r w:rsidR="005B1CD9" w:rsidRPr="00F5043F">
        <w:t>-</w:t>
      </w:r>
      <w:r w:rsidR="003C150A" w:rsidRPr="00F5043F">
        <w:t>year</w:t>
      </w:r>
      <w:r w:rsidR="005B1CD9" w:rsidRPr="00F5043F">
        <w:t>-</w:t>
      </w:r>
      <w:r w:rsidR="003C150A" w:rsidRPr="00F5043F">
        <w:t>old</w:t>
      </w:r>
      <w:r w:rsidRPr="00F5043F">
        <w:t xml:space="preserve"> </w:t>
      </w:r>
      <w:r w:rsidR="003C150A" w:rsidRPr="00F5043F">
        <w:t xml:space="preserve">age group is </w:t>
      </w:r>
      <w:r w:rsidRPr="00F5043F">
        <w:t xml:space="preserve">included in the </w:t>
      </w:r>
      <w:r w:rsidR="003C150A" w:rsidRPr="00F5043F">
        <w:t xml:space="preserve">modeled </w:t>
      </w:r>
      <w:r w:rsidRPr="00F5043F">
        <w:t xml:space="preserve">population, the </w:t>
      </w:r>
      <w:r w:rsidR="00B45E5E" w:rsidRPr="00F5043F">
        <w:t xml:space="preserve">overall </w:t>
      </w:r>
      <w:r w:rsidRPr="00F5043F">
        <w:t>rate of aging into the population is equal to 0.2</w:t>
      </w:r>
      <w:r w:rsidR="0000135C" w:rsidRPr="00F5043F">
        <w:t>2</w:t>
      </w:r>
      <w:r w:rsidR="003C150A" w:rsidRPr="00F5043F">
        <w:t xml:space="preserve"> per person in the 13</w:t>
      </w:r>
      <w:r w:rsidR="005B1CD9" w:rsidRPr="00F5043F">
        <w:t xml:space="preserve"> to </w:t>
      </w:r>
      <w:r w:rsidR="003C150A" w:rsidRPr="00F5043F">
        <w:t>17 age group in the initial population</w:t>
      </w:r>
      <w:r w:rsidR="009C3DBF" w:rsidRPr="00F5043F">
        <w:t xml:space="preserve"> (Table 5.1)</w:t>
      </w:r>
      <w:r w:rsidR="003C150A" w:rsidRPr="00F5043F">
        <w:t xml:space="preserve">. This is calculated as </w:t>
      </w:r>
      <w:r w:rsidRPr="00F5043F">
        <w:t>1</w:t>
      </w:r>
      <w:r w:rsidR="009508BA" w:rsidRPr="00F5043F">
        <w:t> </w:t>
      </w:r>
      <w:r w:rsidRPr="00F5043F">
        <w:t>÷ 5 years in the 13</w:t>
      </w:r>
      <w:r w:rsidR="005B1CD9" w:rsidRPr="00F5043F">
        <w:t xml:space="preserve"> to </w:t>
      </w:r>
      <w:r w:rsidRPr="00F5043F">
        <w:t>17 age group</w:t>
      </w:r>
      <w:r w:rsidR="009F6EDB" w:rsidRPr="00F5043F">
        <w:t xml:space="preserve">, </w:t>
      </w:r>
      <w:r w:rsidR="003C150A" w:rsidRPr="00F5043F">
        <w:t xml:space="preserve">and </w:t>
      </w:r>
      <w:r w:rsidR="009F6EDB" w:rsidRPr="00F5043F">
        <w:t>then adjusted slightly to keep the population stable over time</w:t>
      </w:r>
      <w:r w:rsidR="003C150A" w:rsidRPr="00F5043F">
        <w:t>. I</w:t>
      </w:r>
      <w:r w:rsidRPr="00F5043F">
        <w:t>f</w:t>
      </w:r>
      <w:r w:rsidR="003C150A" w:rsidRPr="00F5043F">
        <w:t xml:space="preserve"> the 13</w:t>
      </w:r>
      <w:r w:rsidR="005B1CD9" w:rsidRPr="00F5043F">
        <w:t xml:space="preserve"> to </w:t>
      </w:r>
      <w:r w:rsidR="003C150A" w:rsidRPr="00F5043F">
        <w:t>17 age group is not included</w:t>
      </w:r>
      <w:r w:rsidRPr="00F5043F">
        <w:t xml:space="preserve">, the </w:t>
      </w:r>
      <w:r w:rsidR="00B45E5E" w:rsidRPr="00F5043F">
        <w:t xml:space="preserve">overall </w:t>
      </w:r>
      <w:r w:rsidRPr="00F5043F">
        <w:t>rate of</w:t>
      </w:r>
      <w:r w:rsidR="009508BA" w:rsidRPr="00F5043F">
        <w:t xml:space="preserve"> aging in is equal to 0.1429 </w:t>
      </w:r>
      <w:r w:rsidR="00F02AF9" w:rsidRPr="00F5043F">
        <w:t>per person in the 18</w:t>
      </w:r>
      <w:r w:rsidR="005B1CD9" w:rsidRPr="00F5043F">
        <w:t xml:space="preserve"> to </w:t>
      </w:r>
      <w:r w:rsidR="00F02AF9" w:rsidRPr="00F5043F">
        <w:t xml:space="preserve">24 age group </w:t>
      </w:r>
      <w:r w:rsidR="00F02AF9" w:rsidRPr="00087186">
        <w:t>in the initial population</w:t>
      </w:r>
      <w:r w:rsidR="003C150A" w:rsidRPr="009335CD">
        <w:t xml:space="preserve"> (where 0.1429 = 1 ÷</w:t>
      </w:r>
      <w:r w:rsidR="003C150A" w:rsidRPr="009335CD" w:rsidDel="009B126F">
        <w:t xml:space="preserve"> </w:t>
      </w:r>
      <w:r w:rsidR="003C150A" w:rsidRPr="009335CD">
        <w:t>7 years in the 18</w:t>
      </w:r>
      <w:r w:rsidR="005B1CD9" w:rsidRPr="009335CD">
        <w:t xml:space="preserve"> to </w:t>
      </w:r>
      <w:r w:rsidR="003C150A" w:rsidRPr="009335CD">
        <w:t>24 age group)</w:t>
      </w:r>
      <w:r w:rsidR="009C3DBF" w:rsidRPr="009335CD">
        <w:t xml:space="preserve"> (Table 5.1)</w:t>
      </w:r>
      <w:r w:rsidRPr="009335CD">
        <w:t xml:space="preserve">. </w:t>
      </w:r>
    </w:p>
    <w:p w14:paraId="0F8C0BAE" w14:textId="1C9B68F1" w:rsidR="000F420A" w:rsidRPr="000C15F8" w:rsidRDefault="00B45E5E">
      <w:pPr>
        <w:pStyle w:val="BodyText"/>
      </w:pPr>
      <w:r w:rsidRPr="00083309">
        <w:t>The relative adjustment</w:t>
      </w:r>
      <w:r w:rsidR="00CF5ADE" w:rsidRPr="00083309">
        <w:t>s</w:t>
      </w:r>
      <w:r w:rsidRPr="00083309">
        <w:t xml:space="preserve"> to </w:t>
      </w:r>
      <w:r w:rsidR="00CF5ADE" w:rsidRPr="00083309">
        <w:t xml:space="preserve">the </w:t>
      </w:r>
      <w:r w:rsidRPr="00083309">
        <w:t xml:space="preserve">annual overall entry rate by sex and race/ethnicity (Table 5.1) were determined so that the total population </w:t>
      </w:r>
      <w:r w:rsidRPr="002C691B">
        <w:t xml:space="preserve">sizes in 2016 by sex and race/ethnicity </w:t>
      </w:r>
      <w:r w:rsidR="005F122E" w:rsidRPr="002C691B">
        <w:t xml:space="preserve">approximately </w:t>
      </w:r>
      <w:r w:rsidRPr="002C691B">
        <w:t>matched 2016</w:t>
      </w:r>
      <w:r w:rsidR="00361785" w:rsidRPr="002C691B">
        <w:t xml:space="preserve"> population estimates for those same categories in U</w:t>
      </w:r>
      <w:r w:rsidR="005F4FE3" w:rsidRPr="002C691B">
        <w:t>.</w:t>
      </w:r>
      <w:r w:rsidR="00361785" w:rsidRPr="002C691B">
        <w:t>S</w:t>
      </w:r>
      <w:r w:rsidR="005F4FE3" w:rsidRPr="002C691B">
        <w:t>.</w:t>
      </w:r>
      <w:r w:rsidR="00361785" w:rsidRPr="002C691B">
        <w:t xml:space="preserve"> census data. </w:t>
      </w:r>
      <w:r w:rsidRPr="002C691B">
        <w:t xml:space="preserve"> </w:t>
      </w:r>
      <w:r w:rsidR="009D5AF4" w:rsidRPr="002C691B">
        <w:t xml:space="preserve">As a result of this calculation method, the distribution </w:t>
      </w:r>
      <w:r w:rsidR="003C150A" w:rsidRPr="002C691B">
        <w:t xml:space="preserve">of individuals across </w:t>
      </w:r>
      <w:r w:rsidR="009D5AF4" w:rsidRPr="002C691B">
        <w:t xml:space="preserve">demographic subpopulations </w:t>
      </w:r>
      <w:r w:rsidR="00CF5ADE" w:rsidRPr="002C691B">
        <w:t>approximately reflects the changing</w:t>
      </w:r>
      <w:r w:rsidR="003C150A" w:rsidRPr="002C691B">
        <w:t xml:space="preserve"> </w:t>
      </w:r>
      <w:r w:rsidR="00CF5ADE" w:rsidRPr="002C691B">
        <w:t>race/ethnicity</w:t>
      </w:r>
      <w:r w:rsidR="009D5AF4" w:rsidRPr="002C691B">
        <w:t xml:space="preserve"> distribution of the </w:t>
      </w:r>
      <w:r w:rsidR="00CF5ADE" w:rsidRPr="002C691B">
        <w:t>U</w:t>
      </w:r>
      <w:r w:rsidR="005F4FE3" w:rsidRPr="002C691B">
        <w:t>.</w:t>
      </w:r>
      <w:r w:rsidR="00CF5ADE" w:rsidRPr="002C691B">
        <w:t>S</w:t>
      </w:r>
      <w:r w:rsidR="005F4FE3" w:rsidRPr="002C691B">
        <w:t>.</w:t>
      </w:r>
      <w:r w:rsidR="00CF5ADE" w:rsidRPr="002C691B">
        <w:t xml:space="preserve"> </w:t>
      </w:r>
      <w:r w:rsidR="009D5AF4" w:rsidRPr="002C691B">
        <w:t>population.</w:t>
      </w:r>
    </w:p>
    <w:p w14:paraId="6A3D1668" w14:textId="67A81DE2" w:rsidR="002C41E9" w:rsidRPr="00C00335" w:rsidRDefault="00DD4719" w:rsidP="00892014">
      <w:pPr>
        <w:pStyle w:val="BodyText"/>
      </w:pPr>
      <w:r w:rsidRPr="000C15F8">
        <w:t>Individuals leave the model by dying (from AIDS or other causes).</w:t>
      </w:r>
      <w:r w:rsidR="00DD6F0A" w:rsidRPr="000C15F8">
        <w:t xml:space="preserve"> </w:t>
      </w:r>
      <w:r w:rsidR="002C41E9" w:rsidRPr="000C15F8">
        <w:t>Death leads them to either the “AIDS Death” (if they had AIDS at death) or “Non-AIDS Death” states (if they did not have AIDS at death); individuals move to the “AIDS Death” stage o</w:t>
      </w:r>
      <w:r w:rsidR="002C41E9" w:rsidRPr="00C00335">
        <w:t xml:space="preserve">nly from the AIDS </w:t>
      </w:r>
      <w:r w:rsidR="002C41E9" w:rsidRPr="00C00335">
        <w:lastRenderedPageBreak/>
        <w:t xml:space="preserve">stage (CD4 &lt; 200; </w:t>
      </w:r>
      <w:r w:rsidR="002C41E9" w:rsidRPr="00C00335">
        <w:rPr>
          <w:i/>
          <w:iCs/>
        </w:rPr>
        <w:t>h</w:t>
      </w:r>
      <w:r w:rsidR="002C41E9" w:rsidRPr="00C00335">
        <w:t xml:space="preserve"> = 5). Mortality rates are determined by </w:t>
      </w:r>
      <w:r w:rsidR="00892014" w:rsidRPr="00C00335">
        <w:t xml:space="preserve">four methods; the </w:t>
      </w:r>
      <w:r w:rsidR="00D5314C" w:rsidRPr="00C00335">
        <w:t xml:space="preserve">values and sources for the </w:t>
      </w:r>
      <w:r w:rsidR="002C41E9" w:rsidRPr="00C00335">
        <w:t>inputs</w:t>
      </w:r>
      <w:r w:rsidR="00892014" w:rsidRPr="00C00335">
        <w:t xml:space="preserve"> used to calculate th</w:t>
      </w:r>
      <w:r w:rsidR="00891907" w:rsidRPr="00C00335">
        <w:t xml:space="preserve">ose rates are listed in </w:t>
      </w:r>
      <w:r w:rsidR="00871E69" w:rsidRPr="00C00335">
        <w:t>Table 5.</w:t>
      </w:r>
      <w:r w:rsidR="00892014" w:rsidRPr="00C00335">
        <w:t>1</w:t>
      </w:r>
      <w:r w:rsidR="002C41E9" w:rsidRPr="00C00335">
        <w:t>:</w:t>
      </w:r>
    </w:p>
    <w:p w14:paraId="2B9D01B4" w14:textId="38F9EED4" w:rsidR="001F5372" w:rsidRPr="00C00335" w:rsidRDefault="002C41E9" w:rsidP="002B1372">
      <w:pPr>
        <w:pStyle w:val="bullets"/>
      </w:pPr>
      <w:r w:rsidRPr="00C00335">
        <w:t xml:space="preserve">For individuals </w:t>
      </w:r>
      <w:r w:rsidR="00A76B90" w:rsidRPr="00C00335">
        <w:t>with</w:t>
      </w:r>
      <w:r w:rsidRPr="00C00335">
        <w:t xml:space="preserve"> CD4&lt;200</w:t>
      </w:r>
      <w:r w:rsidR="000723F7" w:rsidRPr="00C00335">
        <w:t xml:space="preserve"> (AIDS)</w:t>
      </w:r>
      <w:r w:rsidRPr="00C00335">
        <w:t xml:space="preserve"> and not </w:t>
      </w:r>
      <w:r w:rsidR="000965E6" w:rsidRPr="00C00335">
        <w:t>prescribed ART</w:t>
      </w:r>
      <w:r w:rsidR="005E1DEB" w:rsidRPr="00C00335">
        <w:t xml:space="preserve"> (</w:t>
      </w:r>
      <w:bookmarkStart w:id="25" w:name="_Hlk523733178"/>
      <w:r w:rsidR="005E1DEB" w:rsidRPr="00C00335">
        <w:rPr>
          <w:i/>
          <w:iCs/>
        </w:rPr>
        <w:t>c</w:t>
      </w:r>
      <w:r w:rsidR="005E1DEB" w:rsidRPr="00C00335">
        <w:t xml:space="preserve"> = 21 to 23</w:t>
      </w:r>
      <w:bookmarkEnd w:id="25"/>
      <w:r w:rsidR="005E1DEB" w:rsidRPr="00C00335">
        <w:t>)</w:t>
      </w:r>
      <w:r w:rsidRPr="00C00335">
        <w:t xml:space="preserve">, their mortality rate is equal to 1 / the number of years spent with AIDS under natural history disease progression, as specified by </w:t>
      </w:r>
      <w:r w:rsidRPr="00C00335">
        <w:rPr>
          <w:i/>
          <w:iCs/>
        </w:rPr>
        <w:t xml:space="preserve">Number of years in each stage if HIV infected and not </w:t>
      </w:r>
      <w:r w:rsidR="000965E6" w:rsidRPr="00C00335">
        <w:rPr>
          <w:i/>
          <w:iCs/>
        </w:rPr>
        <w:t>prescribed ART</w:t>
      </w:r>
      <w:r w:rsidRPr="00C00335">
        <w:t xml:space="preserve"> for CD4&lt;200</w:t>
      </w:r>
      <w:r w:rsidR="00891907" w:rsidRPr="00C00335">
        <w:t>.</w:t>
      </w:r>
    </w:p>
    <w:p w14:paraId="48EDAF97" w14:textId="77777777" w:rsidR="001F5372" w:rsidRPr="00C00335" w:rsidRDefault="00BD02BA" w:rsidP="002B1372">
      <w:pPr>
        <w:pStyle w:val="bullets"/>
      </w:pPr>
      <w:r w:rsidRPr="00C00335">
        <w:t>For individuals who are HIV-infected and VLS (</w:t>
      </w:r>
      <w:r w:rsidRPr="00C00335">
        <w:rPr>
          <w:i/>
          <w:iCs/>
        </w:rPr>
        <w:t>c</w:t>
      </w:r>
      <w:r w:rsidRPr="00C00335">
        <w:t xml:space="preserve"> = 10, 15, 20, 25), their mortality rates are</w:t>
      </w:r>
      <w:r w:rsidR="00892014" w:rsidRPr="00C00335">
        <w:t xml:space="preserve"> equal to </w:t>
      </w:r>
      <w:r w:rsidR="00892014" w:rsidRPr="00C00335">
        <w:rPr>
          <w:i/>
          <w:iCs/>
        </w:rPr>
        <w:t>Annual probability of death if HIV infected and VLS, by disease stage</w:t>
      </w:r>
      <w:r w:rsidR="00891907" w:rsidRPr="00C00335">
        <w:rPr>
          <w:i/>
          <w:iCs/>
        </w:rPr>
        <w:t>.</w:t>
      </w:r>
    </w:p>
    <w:p w14:paraId="0AD28200" w14:textId="77777777" w:rsidR="001F5372" w:rsidRPr="00C00335" w:rsidRDefault="002C41E9" w:rsidP="002B1372">
      <w:pPr>
        <w:pStyle w:val="bullets"/>
      </w:pPr>
      <w:r w:rsidRPr="00C00335">
        <w:t>For all other individuals who are HIV-infected</w:t>
      </w:r>
      <w:r w:rsidR="00BD02BA" w:rsidRPr="00C00335">
        <w:t xml:space="preserve"> (</w:t>
      </w:r>
      <w:r w:rsidR="00BD02BA" w:rsidRPr="00C00335">
        <w:rPr>
          <w:i/>
          <w:iCs/>
        </w:rPr>
        <w:t>c</w:t>
      </w:r>
      <w:r w:rsidR="00BD02BA" w:rsidRPr="00C00335">
        <w:t xml:space="preserve"> = 3 to 9, 11 to 14, 16 to 19, 24)</w:t>
      </w:r>
      <w:r w:rsidRPr="00C00335">
        <w:t>, their mortality rate</w:t>
      </w:r>
      <w:r w:rsidR="00892014" w:rsidRPr="00C00335">
        <w:t>s</w:t>
      </w:r>
      <w:r w:rsidRPr="00C00335">
        <w:t xml:space="preserve"> </w:t>
      </w:r>
      <w:r w:rsidR="00892014" w:rsidRPr="00C00335">
        <w:t>are equal to</w:t>
      </w:r>
      <w:r w:rsidRPr="00C00335">
        <w:t xml:space="preserve"> </w:t>
      </w:r>
      <w:r w:rsidR="00892014" w:rsidRPr="00C00335">
        <w:rPr>
          <w:i/>
          <w:iCs/>
        </w:rPr>
        <w:t>Annual probability of death if HIV infected and VLS, by disease stage</w:t>
      </w:r>
      <w:r w:rsidR="00892014" w:rsidRPr="00C00335">
        <w:t xml:space="preserve"> times a multiplier that is specific to the</w:t>
      </w:r>
      <w:r w:rsidRPr="00C00335">
        <w:t xml:space="preserve"> continuum-of-care stage (</w:t>
      </w:r>
      <w:r w:rsidRPr="00C00335">
        <w:rPr>
          <w:i/>
          <w:iCs/>
        </w:rPr>
        <w:t>r</w:t>
      </w:r>
      <w:r w:rsidRPr="00C00335">
        <w:t>).</w:t>
      </w:r>
    </w:p>
    <w:p w14:paraId="3C9875FB" w14:textId="61761A0E" w:rsidR="002C41E9" w:rsidRPr="00C00335" w:rsidRDefault="002C41E9" w:rsidP="002B1372">
      <w:pPr>
        <w:pStyle w:val="bullets"/>
      </w:pPr>
      <w:r w:rsidRPr="00C00335">
        <w:t xml:space="preserve">For all individuals who are </w:t>
      </w:r>
      <w:r w:rsidR="00892014" w:rsidRPr="00C00335">
        <w:t>susceptible</w:t>
      </w:r>
      <w:r w:rsidR="00D5314C" w:rsidRPr="00C00335">
        <w:t xml:space="preserve"> (</w:t>
      </w:r>
      <w:r w:rsidR="00D5314C" w:rsidRPr="00C00335">
        <w:rPr>
          <w:i/>
          <w:iCs/>
        </w:rPr>
        <w:t>c</w:t>
      </w:r>
      <w:r w:rsidR="00D5314C" w:rsidRPr="00C00335">
        <w:t xml:space="preserve"> = 1, 2)</w:t>
      </w:r>
      <w:r w:rsidRPr="00C00335">
        <w:t xml:space="preserve">, mortality is assumed to be based on </w:t>
      </w:r>
      <w:r w:rsidR="00D51F33" w:rsidRPr="00C00335">
        <w:t>Life Tables in Arias (2008)</w:t>
      </w:r>
      <w:r w:rsidRPr="00C00335">
        <w:t xml:space="preserve">, as specified by </w:t>
      </w:r>
      <w:r w:rsidRPr="00C00335">
        <w:rPr>
          <w:i/>
          <w:iCs/>
        </w:rPr>
        <w:t>Annual probability of death if HIV uninfected</w:t>
      </w:r>
      <w:r w:rsidR="00D51F33" w:rsidRPr="00C00335">
        <w:rPr>
          <w:i/>
          <w:iCs/>
        </w:rPr>
        <w:t>.</w:t>
      </w:r>
    </w:p>
    <w:p w14:paraId="0DDC1017" w14:textId="77777777" w:rsidR="009508BA" w:rsidRPr="00C00335" w:rsidRDefault="009508BA" w:rsidP="009D5AF4">
      <w:pPr>
        <w:pStyle w:val="BodyText"/>
      </w:pPr>
    </w:p>
    <w:p w14:paraId="2A467C26" w14:textId="77777777" w:rsidR="00A57EF2" w:rsidRPr="00C00335" w:rsidRDefault="00A57EF2" w:rsidP="009D5AF4">
      <w:pPr>
        <w:pStyle w:val="Heading2"/>
        <w:sectPr w:rsidR="00A57EF2" w:rsidRPr="00C00335" w:rsidSect="00610AD9">
          <w:headerReference w:type="default" r:id="rId46"/>
          <w:footerReference w:type="default" r:id="rId47"/>
          <w:headerReference w:type="first" r:id="rId48"/>
          <w:footerReference w:type="first" r:id="rId49"/>
          <w:endnotePr>
            <w:numFmt w:val="decimal"/>
          </w:endnotePr>
          <w:type w:val="oddPage"/>
          <w:pgSz w:w="12240" w:h="15840" w:code="1"/>
          <w:pgMar w:top="1440" w:right="1440" w:bottom="1440" w:left="1440" w:header="720" w:footer="720" w:gutter="0"/>
          <w:pgNumType w:start="1" w:chapStyle="1"/>
          <w:cols w:space="720"/>
          <w:titlePg/>
          <w:docGrid w:linePitch="360"/>
        </w:sectPr>
      </w:pPr>
      <w:bookmarkStart w:id="26" w:name="_Toc398293115"/>
    </w:p>
    <w:p w14:paraId="6D158CB4" w14:textId="4E13A8F3" w:rsidR="00A57EF2" w:rsidRPr="00C00335" w:rsidRDefault="004F4E6D" w:rsidP="00260D8A">
      <w:pPr>
        <w:pStyle w:val="TableTitle"/>
        <w:spacing w:before="0"/>
        <w:ind w:left="1530"/>
      </w:pPr>
      <w:bookmarkStart w:id="27" w:name="_Toc89257589"/>
      <w:bookmarkStart w:id="28" w:name="_Hlk524436682"/>
      <w:r w:rsidRPr="00C00335">
        <w:lastRenderedPageBreak/>
        <w:t>Table 5.</w:t>
      </w:r>
      <w:r w:rsidR="00A57EF2" w:rsidRPr="00C00335">
        <w:t>1.</w:t>
      </w:r>
      <w:r w:rsidR="00A57EF2" w:rsidRPr="00C00335">
        <w:tab/>
        <w:t>Rate of Aging into Population</w:t>
      </w:r>
      <w:r w:rsidR="00952170" w:rsidRPr="00C00335">
        <w:t xml:space="preserve"> and Inputs that Determine</w:t>
      </w:r>
      <w:r w:rsidR="00A57EF2" w:rsidRPr="00C00335">
        <w:t xml:space="preserve"> </w:t>
      </w:r>
      <w:r w:rsidR="00952170" w:rsidRPr="00C00335">
        <w:t xml:space="preserve">All HIV Progression and </w:t>
      </w:r>
      <w:r w:rsidR="00A57EF2" w:rsidRPr="00C00335">
        <w:t>Death</w:t>
      </w:r>
      <w:r w:rsidR="00952170" w:rsidRPr="00C00335">
        <w:t xml:space="preserve"> Rates</w:t>
      </w:r>
      <w:bookmarkEnd w:id="27"/>
    </w:p>
    <w:tbl>
      <w:tblPr>
        <w:tblW w:w="5000"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870"/>
        <w:gridCol w:w="835"/>
        <w:gridCol w:w="836"/>
        <w:gridCol w:w="835"/>
        <w:gridCol w:w="836"/>
        <w:gridCol w:w="835"/>
        <w:gridCol w:w="836"/>
        <w:gridCol w:w="836"/>
        <w:gridCol w:w="4241"/>
      </w:tblGrid>
      <w:tr w:rsidR="001D4CB7" w:rsidRPr="00C00335" w14:paraId="5CD44F92" w14:textId="77777777" w:rsidTr="00CB2861">
        <w:trPr>
          <w:cantSplit/>
          <w:tblHeader/>
        </w:trPr>
        <w:tc>
          <w:tcPr>
            <w:tcW w:w="2870" w:type="dxa"/>
            <w:tcBorders>
              <w:top w:val="single" w:sz="12" w:space="0" w:color="000000"/>
              <w:bottom w:val="single" w:sz="6" w:space="0" w:color="auto"/>
            </w:tcBorders>
            <w:shd w:val="clear" w:color="auto" w:fill="auto"/>
            <w:noWrap/>
            <w:vAlign w:val="bottom"/>
            <w:hideMark/>
          </w:tcPr>
          <w:p w14:paraId="6EC3D07F" w14:textId="77777777" w:rsidR="001D4CB7" w:rsidRPr="00C00335" w:rsidRDefault="001D4CB7" w:rsidP="001D4CB7">
            <w:pPr>
              <w:pStyle w:val="TableHeaders"/>
            </w:pPr>
            <w:r w:rsidRPr="00C00335">
              <w:t>Parameter</w:t>
            </w:r>
          </w:p>
        </w:tc>
        <w:tc>
          <w:tcPr>
            <w:tcW w:w="835" w:type="dxa"/>
            <w:tcBorders>
              <w:top w:val="single" w:sz="12" w:space="0" w:color="000000"/>
              <w:bottom w:val="single" w:sz="6" w:space="0" w:color="auto"/>
            </w:tcBorders>
            <w:shd w:val="clear" w:color="auto" w:fill="auto"/>
            <w:noWrap/>
            <w:tcMar>
              <w:left w:w="29" w:type="dxa"/>
              <w:right w:w="29" w:type="dxa"/>
            </w:tcMar>
            <w:vAlign w:val="bottom"/>
            <w:hideMark/>
          </w:tcPr>
          <w:p w14:paraId="692282C2" w14:textId="77777777" w:rsidR="001D4CB7" w:rsidRPr="00C00335" w:rsidRDefault="001D4CB7" w:rsidP="001D4CB7">
            <w:pPr>
              <w:pStyle w:val="TableHeaders"/>
            </w:pPr>
            <w:r w:rsidRPr="00C00335">
              <w:t>13–17 Years</w:t>
            </w:r>
          </w:p>
        </w:tc>
        <w:tc>
          <w:tcPr>
            <w:tcW w:w="836" w:type="dxa"/>
            <w:tcBorders>
              <w:top w:val="single" w:sz="12" w:space="0" w:color="000000"/>
              <w:bottom w:val="single" w:sz="6" w:space="0" w:color="auto"/>
            </w:tcBorders>
            <w:shd w:val="clear" w:color="auto" w:fill="auto"/>
            <w:noWrap/>
            <w:tcMar>
              <w:left w:w="29" w:type="dxa"/>
              <w:right w:w="29" w:type="dxa"/>
            </w:tcMar>
            <w:vAlign w:val="bottom"/>
            <w:hideMark/>
          </w:tcPr>
          <w:p w14:paraId="6BFF3899" w14:textId="77777777" w:rsidR="001D4CB7" w:rsidRPr="00C00335" w:rsidRDefault="001D4CB7" w:rsidP="001D4CB7">
            <w:pPr>
              <w:pStyle w:val="TableHeaders"/>
            </w:pPr>
            <w:r w:rsidRPr="00C00335">
              <w:t>18–24 Years</w:t>
            </w:r>
          </w:p>
        </w:tc>
        <w:tc>
          <w:tcPr>
            <w:tcW w:w="835" w:type="dxa"/>
            <w:tcBorders>
              <w:top w:val="single" w:sz="12" w:space="0" w:color="000000"/>
              <w:bottom w:val="single" w:sz="6" w:space="0" w:color="auto"/>
            </w:tcBorders>
            <w:shd w:val="clear" w:color="auto" w:fill="auto"/>
            <w:noWrap/>
            <w:tcMar>
              <w:left w:w="29" w:type="dxa"/>
              <w:right w:w="29" w:type="dxa"/>
            </w:tcMar>
            <w:vAlign w:val="bottom"/>
            <w:hideMark/>
          </w:tcPr>
          <w:p w14:paraId="392B238B" w14:textId="77777777" w:rsidR="001D4CB7" w:rsidRPr="00C00335" w:rsidRDefault="001D4CB7" w:rsidP="001D4CB7">
            <w:pPr>
              <w:pStyle w:val="TableHeaders"/>
            </w:pPr>
            <w:r w:rsidRPr="00C00335">
              <w:t>25–34 Years</w:t>
            </w:r>
          </w:p>
        </w:tc>
        <w:tc>
          <w:tcPr>
            <w:tcW w:w="836" w:type="dxa"/>
            <w:tcBorders>
              <w:top w:val="single" w:sz="12" w:space="0" w:color="000000"/>
              <w:bottom w:val="single" w:sz="6" w:space="0" w:color="auto"/>
            </w:tcBorders>
            <w:shd w:val="clear" w:color="auto" w:fill="auto"/>
            <w:noWrap/>
            <w:tcMar>
              <w:left w:w="29" w:type="dxa"/>
              <w:right w:w="29" w:type="dxa"/>
            </w:tcMar>
            <w:vAlign w:val="bottom"/>
            <w:hideMark/>
          </w:tcPr>
          <w:p w14:paraId="46FF5CF1" w14:textId="77777777" w:rsidR="001D4CB7" w:rsidRPr="00C00335" w:rsidRDefault="001D4CB7" w:rsidP="001D4CB7">
            <w:pPr>
              <w:pStyle w:val="TableHeaders"/>
            </w:pPr>
            <w:r w:rsidRPr="00C00335">
              <w:t>35–44 Years</w:t>
            </w:r>
          </w:p>
        </w:tc>
        <w:tc>
          <w:tcPr>
            <w:tcW w:w="835" w:type="dxa"/>
            <w:tcBorders>
              <w:top w:val="single" w:sz="12" w:space="0" w:color="000000"/>
              <w:bottom w:val="single" w:sz="6" w:space="0" w:color="auto"/>
            </w:tcBorders>
            <w:shd w:val="clear" w:color="auto" w:fill="auto"/>
            <w:noWrap/>
            <w:tcMar>
              <w:left w:w="29" w:type="dxa"/>
              <w:right w:w="29" w:type="dxa"/>
            </w:tcMar>
            <w:hideMark/>
          </w:tcPr>
          <w:p w14:paraId="0B05C9A0" w14:textId="0FB84F5B" w:rsidR="001D4CB7" w:rsidRPr="00C00335" w:rsidRDefault="001D4CB7" w:rsidP="001D4CB7">
            <w:pPr>
              <w:pStyle w:val="TableHeaders"/>
            </w:pPr>
            <w:r w:rsidRPr="00ED1C6D">
              <w:t>45–54 Years</w:t>
            </w:r>
          </w:p>
        </w:tc>
        <w:tc>
          <w:tcPr>
            <w:tcW w:w="836" w:type="dxa"/>
            <w:tcBorders>
              <w:top w:val="single" w:sz="12" w:space="0" w:color="000000"/>
              <w:bottom w:val="single" w:sz="6" w:space="0" w:color="auto"/>
            </w:tcBorders>
            <w:shd w:val="clear" w:color="auto" w:fill="auto"/>
            <w:tcMar>
              <w:left w:w="29" w:type="dxa"/>
              <w:right w:w="29" w:type="dxa"/>
            </w:tcMar>
          </w:tcPr>
          <w:p w14:paraId="7814B4D8" w14:textId="61E8D70A" w:rsidR="001D4CB7" w:rsidRPr="00C00335" w:rsidRDefault="001D4CB7" w:rsidP="001D4CB7">
            <w:pPr>
              <w:pStyle w:val="TableHeaders"/>
            </w:pPr>
            <w:r w:rsidRPr="00ED1C6D">
              <w:t>55–64 Years</w:t>
            </w:r>
          </w:p>
        </w:tc>
        <w:tc>
          <w:tcPr>
            <w:tcW w:w="836" w:type="dxa"/>
            <w:tcBorders>
              <w:top w:val="single" w:sz="12" w:space="0" w:color="000000"/>
              <w:bottom w:val="single" w:sz="6" w:space="0" w:color="auto"/>
            </w:tcBorders>
            <w:shd w:val="clear" w:color="auto" w:fill="auto"/>
            <w:tcMar>
              <w:left w:w="29" w:type="dxa"/>
              <w:right w:w="29" w:type="dxa"/>
            </w:tcMar>
          </w:tcPr>
          <w:p w14:paraId="4D9D7466" w14:textId="4284D33D" w:rsidR="001D4CB7" w:rsidRPr="00C00335" w:rsidRDefault="001D4CB7" w:rsidP="001D4CB7">
            <w:pPr>
              <w:pStyle w:val="TableHeaders"/>
            </w:pPr>
            <w:r w:rsidRPr="00ED1C6D">
              <w:t>65+ Years</w:t>
            </w:r>
          </w:p>
        </w:tc>
        <w:tc>
          <w:tcPr>
            <w:tcW w:w="4241" w:type="dxa"/>
            <w:tcBorders>
              <w:top w:val="single" w:sz="12" w:space="0" w:color="000000"/>
              <w:bottom w:val="single" w:sz="6" w:space="0" w:color="auto"/>
            </w:tcBorders>
            <w:shd w:val="clear" w:color="auto" w:fill="auto"/>
            <w:noWrap/>
            <w:vAlign w:val="bottom"/>
            <w:hideMark/>
          </w:tcPr>
          <w:p w14:paraId="2C8747A5" w14:textId="77777777" w:rsidR="001D4CB7" w:rsidRPr="00C00335" w:rsidRDefault="001D4CB7" w:rsidP="001D4CB7">
            <w:pPr>
              <w:pStyle w:val="TableHeaders"/>
            </w:pPr>
            <w:r w:rsidRPr="00C00335">
              <w:t>Source</w:t>
            </w:r>
          </w:p>
        </w:tc>
      </w:tr>
      <w:tr w:rsidR="00A57EF2" w:rsidRPr="00C00335" w14:paraId="2FEEA81A" w14:textId="77777777" w:rsidTr="00361785">
        <w:trPr>
          <w:cantSplit/>
        </w:trPr>
        <w:tc>
          <w:tcPr>
            <w:tcW w:w="12960" w:type="dxa"/>
            <w:gridSpan w:val="9"/>
            <w:tcBorders>
              <w:top w:val="single" w:sz="6" w:space="0" w:color="auto"/>
              <w:bottom w:val="single" w:sz="4" w:space="0" w:color="808080" w:themeColor="background1" w:themeShade="80"/>
            </w:tcBorders>
            <w:shd w:val="clear" w:color="auto" w:fill="auto"/>
            <w:noWrap/>
            <w:hideMark/>
          </w:tcPr>
          <w:p w14:paraId="57FD6A95" w14:textId="3C8E858E" w:rsidR="00A57EF2" w:rsidRPr="00F5043F" w:rsidRDefault="00A57EF2" w:rsidP="006705F3">
            <w:pPr>
              <w:pStyle w:val="TableText"/>
              <w:spacing w:before="40" w:after="20"/>
            </w:pPr>
            <w:r w:rsidRPr="00F5043F">
              <w:t xml:space="preserve">Annual </w:t>
            </w:r>
            <w:r w:rsidR="007F3BCC" w:rsidRPr="00F5043F">
              <w:t xml:space="preserve">overall </w:t>
            </w:r>
            <w:r w:rsidRPr="00F5043F">
              <w:t xml:space="preserve">rate of aging into population per person in youngest age group </w:t>
            </w:r>
          </w:p>
        </w:tc>
      </w:tr>
      <w:tr w:rsidR="006330C5" w:rsidRPr="00C00335" w14:paraId="2EBE6E9F"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71B3BC58" w14:textId="77777777" w:rsidR="006330C5" w:rsidRPr="00C00335" w:rsidRDefault="006330C5" w:rsidP="006705F3">
            <w:pPr>
              <w:pStyle w:val="TableText"/>
              <w:spacing w:before="40" w:after="20"/>
            </w:pP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39429EA3" w14:textId="306565E1" w:rsidR="006330C5" w:rsidRPr="00F5043F" w:rsidRDefault="006330C5" w:rsidP="006705F3">
            <w:pPr>
              <w:pStyle w:val="TableText"/>
              <w:spacing w:before="40" w:after="20"/>
              <w:jc w:val="center"/>
              <w:rPr>
                <w:b/>
                <w:kern w:val="28"/>
                <w:szCs w:val="18"/>
              </w:rPr>
            </w:pPr>
            <w:r w:rsidRPr="00F5043F">
              <w:t>------------0.2</w:t>
            </w:r>
            <w:r w:rsidR="00DB506C" w:rsidRPr="00F5043F">
              <w:t>2</w:t>
            </w:r>
            <w:r w:rsidRPr="00F5043F">
              <w:t xml:space="preserve"> if youngest age group = 13</w:t>
            </w:r>
            <w:r w:rsidR="005B1CD9" w:rsidRPr="00F5043F">
              <w:t>–</w:t>
            </w:r>
            <w:r w:rsidRPr="00F5043F">
              <w:t>17-------------</w:t>
            </w:r>
          </w:p>
          <w:p w14:paraId="5970E73F" w14:textId="5E6B055E" w:rsidR="006330C5" w:rsidRPr="00F5043F" w:rsidRDefault="006330C5" w:rsidP="006705F3">
            <w:pPr>
              <w:pStyle w:val="TableText"/>
              <w:spacing w:before="40" w:after="20"/>
              <w:jc w:val="center"/>
            </w:pPr>
            <w:r w:rsidRPr="00F5043F">
              <w:t>-------------0.1429 if youngest age group = 18</w:t>
            </w:r>
            <w:r w:rsidR="005B1CD9" w:rsidRPr="00F5043F">
              <w:t>–</w:t>
            </w:r>
            <w:r w:rsidRPr="00F5043F">
              <w:t>24------------</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5B6437D3" w14:textId="77777777" w:rsidR="006330C5" w:rsidRPr="00C00335" w:rsidRDefault="006330C5" w:rsidP="006705F3">
            <w:pPr>
              <w:pStyle w:val="TableText"/>
              <w:spacing w:before="40" w:after="20"/>
            </w:pPr>
            <w:proofErr w:type="spellStart"/>
            <w:r w:rsidRPr="00C00335">
              <w:t>Assumed</w:t>
            </w:r>
            <w:r w:rsidRPr="00C00335">
              <w:rPr>
                <w:vertAlign w:val="superscript"/>
              </w:rPr>
              <w:t>a</w:t>
            </w:r>
            <w:proofErr w:type="spellEnd"/>
          </w:p>
        </w:tc>
      </w:tr>
      <w:tr w:rsidR="00361785" w:rsidRPr="00D1233C" w14:paraId="6D5D4F22" w14:textId="77777777" w:rsidTr="00361785">
        <w:trPr>
          <w:cantSplit/>
        </w:trPr>
        <w:tc>
          <w:tcPr>
            <w:tcW w:w="12960" w:type="dxa"/>
            <w:gridSpan w:val="9"/>
            <w:tcBorders>
              <w:top w:val="single" w:sz="6" w:space="0" w:color="auto"/>
              <w:bottom w:val="single" w:sz="4" w:space="0" w:color="808080" w:themeColor="background1" w:themeShade="80"/>
            </w:tcBorders>
            <w:shd w:val="clear" w:color="auto" w:fill="auto"/>
            <w:noWrap/>
            <w:hideMark/>
          </w:tcPr>
          <w:p w14:paraId="4B21DE63" w14:textId="249380C9" w:rsidR="00361785" w:rsidRPr="00083309" w:rsidRDefault="00361785" w:rsidP="007A340F">
            <w:pPr>
              <w:pStyle w:val="TableText"/>
              <w:spacing w:before="40" w:after="20"/>
            </w:pPr>
            <w:r w:rsidRPr="00083309">
              <w:t>Relative adjustment to annual overall entry rate by sex and race/ethnicity</w:t>
            </w:r>
          </w:p>
        </w:tc>
      </w:tr>
      <w:tr w:rsidR="00361785" w:rsidRPr="00C00335" w14:paraId="1F8ABA3F"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2FB1BD05" w14:textId="77777777" w:rsidR="00361785" w:rsidRPr="00083309" w:rsidRDefault="00361785" w:rsidP="007A340F">
            <w:pPr>
              <w:pStyle w:val="TableText"/>
              <w:spacing w:before="40" w:after="20"/>
            </w:pP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44C0DE83" w14:textId="3CD3AE46" w:rsidR="00361785" w:rsidRPr="00083309" w:rsidRDefault="00FC1403" w:rsidP="00361785">
            <w:pPr>
              <w:pStyle w:val="TableText"/>
              <w:spacing w:before="40" w:after="20"/>
              <w:jc w:val="center"/>
            </w:pPr>
            <w:bookmarkStart w:id="29" w:name="_Hlk523138343"/>
            <w:r w:rsidRPr="00083309">
              <w:t xml:space="preserve">Black males: </w:t>
            </w:r>
            <w:r w:rsidR="00E861A9" w:rsidRPr="00083309">
              <w:t>-7.5</w:t>
            </w:r>
            <w:r w:rsidR="00181DB4" w:rsidRPr="00083309">
              <w:t>%</w:t>
            </w:r>
          </w:p>
          <w:p w14:paraId="53952596" w14:textId="1FD17B07" w:rsidR="0079113C" w:rsidRPr="00083309" w:rsidRDefault="0079113C" w:rsidP="00361785">
            <w:pPr>
              <w:pStyle w:val="TableText"/>
              <w:spacing w:before="40" w:after="20"/>
              <w:jc w:val="center"/>
            </w:pPr>
            <w:r w:rsidRPr="00083309">
              <w:t xml:space="preserve">Hispanic/Latino males: </w:t>
            </w:r>
            <w:r w:rsidR="00710852" w:rsidRPr="00083309">
              <w:t>5</w:t>
            </w:r>
            <w:r w:rsidR="00181DB4" w:rsidRPr="00083309">
              <w:t>.0%</w:t>
            </w:r>
          </w:p>
          <w:p w14:paraId="0F5F655F" w14:textId="622840BC" w:rsidR="0079113C" w:rsidRPr="00083309" w:rsidRDefault="00896735" w:rsidP="00361785">
            <w:pPr>
              <w:pStyle w:val="TableText"/>
              <w:spacing w:before="40" w:after="20"/>
              <w:jc w:val="center"/>
            </w:pPr>
            <w:r w:rsidRPr="00083309">
              <w:t>White/other</w:t>
            </w:r>
            <w:r w:rsidR="0079113C" w:rsidRPr="00083309">
              <w:t xml:space="preserve"> males: </w:t>
            </w:r>
            <w:r w:rsidR="007457BD" w:rsidRPr="00083309">
              <w:t>−</w:t>
            </w:r>
            <w:r w:rsidR="001E69E4" w:rsidRPr="00083309">
              <w:t>1</w:t>
            </w:r>
            <w:r w:rsidR="00710852" w:rsidRPr="00083309">
              <w:t>.5</w:t>
            </w:r>
            <w:r w:rsidR="00181DB4" w:rsidRPr="00083309">
              <w:t>%</w:t>
            </w:r>
          </w:p>
          <w:p w14:paraId="00B0D280" w14:textId="3D4867A1" w:rsidR="0079113C" w:rsidRPr="00083309" w:rsidRDefault="0079113C" w:rsidP="0079113C">
            <w:pPr>
              <w:pStyle w:val="TableText"/>
              <w:spacing w:before="40" w:after="20"/>
              <w:jc w:val="center"/>
            </w:pPr>
            <w:r w:rsidRPr="00083309">
              <w:t xml:space="preserve">Black females: </w:t>
            </w:r>
            <w:r w:rsidR="007457BD" w:rsidRPr="00083309">
              <w:t>−</w:t>
            </w:r>
            <w:r w:rsidR="00710852" w:rsidRPr="00083309">
              <w:t>2.0</w:t>
            </w:r>
            <w:r w:rsidR="00181DB4" w:rsidRPr="00083309">
              <w:t>%</w:t>
            </w:r>
          </w:p>
          <w:p w14:paraId="1A883665" w14:textId="1DBC6495" w:rsidR="0079113C" w:rsidRPr="00083309" w:rsidRDefault="0079113C" w:rsidP="0079113C">
            <w:pPr>
              <w:pStyle w:val="TableText"/>
              <w:spacing w:before="40" w:after="20"/>
              <w:jc w:val="center"/>
            </w:pPr>
            <w:r w:rsidRPr="00083309">
              <w:t xml:space="preserve">Hispanic/Latino females: </w:t>
            </w:r>
            <w:r w:rsidR="00710852" w:rsidRPr="00083309">
              <w:t>9.0</w:t>
            </w:r>
            <w:r w:rsidR="00181DB4" w:rsidRPr="00083309">
              <w:t>%</w:t>
            </w:r>
          </w:p>
          <w:p w14:paraId="1F4DD673" w14:textId="3CEF692D" w:rsidR="0079113C" w:rsidRPr="00083309" w:rsidRDefault="00896735" w:rsidP="0079113C">
            <w:pPr>
              <w:pStyle w:val="TableText"/>
              <w:spacing w:before="40" w:after="20"/>
              <w:jc w:val="center"/>
            </w:pPr>
            <w:r w:rsidRPr="00083309">
              <w:t>White/other</w:t>
            </w:r>
            <w:r w:rsidR="0079113C" w:rsidRPr="00083309">
              <w:t xml:space="preserve"> females: </w:t>
            </w:r>
            <w:bookmarkEnd w:id="29"/>
            <w:r w:rsidR="00181DB4" w:rsidRPr="00083309">
              <w:t>-</w:t>
            </w:r>
            <w:r w:rsidR="00710852" w:rsidRPr="00083309">
              <w:t>1.5</w:t>
            </w:r>
            <w:r w:rsidR="00181DB4" w:rsidRPr="00083309">
              <w:t>%</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0828C7EE" w14:textId="044DBF53" w:rsidR="00361785" w:rsidRPr="00083309" w:rsidRDefault="0079113C" w:rsidP="007A340F">
            <w:pPr>
              <w:pStyle w:val="TableText"/>
              <w:spacing w:before="40" w:after="20"/>
            </w:pPr>
            <w:r w:rsidRPr="00083309">
              <w:t xml:space="preserve">Determined so that the total population sizes </w:t>
            </w:r>
            <w:r w:rsidR="005F122E" w:rsidRPr="00083309">
              <w:t xml:space="preserve">projected </w:t>
            </w:r>
            <w:r w:rsidRPr="00083309">
              <w:t>in HOPE in 2016 by sex and race/ethnicity approximated 2016 population estimates for those same categories in U</w:t>
            </w:r>
            <w:r w:rsidR="005F4FE3" w:rsidRPr="00083309">
              <w:t>.</w:t>
            </w:r>
            <w:r w:rsidRPr="00083309">
              <w:t>S</w:t>
            </w:r>
            <w:r w:rsidR="005F4FE3" w:rsidRPr="00083309">
              <w:t>.</w:t>
            </w:r>
            <w:r w:rsidRPr="00083309">
              <w:t xml:space="preserve"> census data</w:t>
            </w:r>
            <w:r w:rsidR="005F122E" w:rsidRPr="00083309">
              <w:t>, adjusting to include only sexually</w:t>
            </w:r>
            <w:r w:rsidR="007457BD" w:rsidRPr="00083309">
              <w:t xml:space="preserve"> </w:t>
            </w:r>
            <w:r w:rsidR="005F122E" w:rsidRPr="00083309">
              <w:t xml:space="preserve">active individuals </w:t>
            </w:r>
            <w:r w:rsidR="00CF5ADE" w:rsidRPr="00083309">
              <w:t>(</w:t>
            </w:r>
            <w:r w:rsidR="00CB2861" w:rsidRPr="00083309">
              <w:t>U.S. Census Bureau, 2017</w:t>
            </w:r>
            <w:r w:rsidR="00CF5ADE" w:rsidRPr="00083309">
              <w:t>)</w:t>
            </w:r>
            <w:r w:rsidRPr="00083309">
              <w:rPr>
                <w:vertAlign w:val="superscript"/>
              </w:rPr>
              <w:t>b</w:t>
            </w:r>
            <w:r w:rsidRPr="00083309">
              <w:t xml:space="preserve"> </w:t>
            </w:r>
          </w:p>
        </w:tc>
      </w:tr>
      <w:tr w:rsidR="00A57EF2" w:rsidRPr="00C00335" w14:paraId="45C25DE9" w14:textId="77777777" w:rsidTr="00361785">
        <w:trPr>
          <w:cantSplit/>
        </w:trPr>
        <w:tc>
          <w:tcPr>
            <w:tcW w:w="12960" w:type="dxa"/>
            <w:gridSpan w:val="9"/>
            <w:tcBorders>
              <w:top w:val="single" w:sz="4" w:space="0" w:color="808080" w:themeColor="background1" w:themeShade="80"/>
              <w:bottom w:val="single" w:sz="4" w:space="0" w:color="808080" w:themeColor="background1" w:themeShade="80"/>
            </w:tcBorders>
            <w:shd w:val="clear" w:color="auto" w:fill="auto"/>
            <w:noWrap/>
            <w:hideMark/>
          </w:tcPr>
          <w:p w14:paraId="5AA6A2DA" w14:textId="2296305B" w:rsidR="00A57EF2" w:rsidRPr="00C00335" w:rsidRDefault="00A57EF2" w:rsidP="006705F3">
            <w:pPr>
              <w:pStyle w:val="TableText"/>
              <w:spacing w:before="40" w:after="20"/>
            </w:pPr>
            <w:r w:rsidRPr="00C00335">
              <w:t xml:space="preserve">Number of years in each stage if HIV infected and not </w:t>
            </w:r>
            <w:r w:rsidR="000965E6" w:rsidRPr="00C00335">
              <w:t>prescribed ART</w:t>
            </w:r>
            <w:r w:rsidR="009F6EDB" w:rsidRPr="00C00335">
              <w:t xml:space="preserve"> (</w:t>
            </w:r>
            <w:r w:rsidR="009F6EDB" w:rsidRPr="00C00335">
              <w:rPr>
                <w:i/>
                <w:iCs/>
              </w:rPr>
              <w:t>r</w:t>
            </w:r>
            <w:r w:rsidR="00782A6B" w:rsidRPr="00C00335">
              <w:t xml:space="preserve"> = 1, </w:t>
            </w:r>
            <w:r w:rsidR="009F6EDB" w:rsidRPr="00C00335">
              <w:t>2</w:t>
            </w:r>
            <w:r w:rsidR="00782A6B" w:rsidRPr="00C00335">
              <w:t>, 3</w:t>
            </w:r>
            <w:r w:rsidR="009F6EDB" w:rsidRPr="00C00335">
              <w:t>)</w:t>
            </w:r>
          </w:p>
        </w:tc>
      </w:tr>
      <w:tr w:rsidR="00A57EF2" w:rsidRPr="00C00335" w14:paraId="2273E583"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4C998FE1" w14:textId="77777777" w:rsidR="00A57EF2" w:rsidRPr="00C00335" w:rsidRDefault="00A57EF2" w:rsidP="006705F3">
            <w:pPr>
              <w:pStyle w:val="TableText"/>
              <w:spacing w:before="40" w:after="20"/>
              <w:ind w:left="270"/>
            </w:pPr>
            <w:r w:rsidRPr="00C00335">
              <w:t>Acute</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3A319B95" w14:textId="4AB9E002" w:rsidR="00A57EF2" w:rsidRPr="00C00335" w:rsidRDefault="00A57EF2" w:rsidP="006705F3">
            <w:pPr>
              <w:pStyle w:val="TableText"/>
              <w:spacing w:before="40" w:after="20"/>
            </w:pPr>
            <w:r w:rsidRPr="00C00335">
              <w:t>-----------------------------0.17----------------------------------</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1C2A6BBD" w14:textId="77777777" w:rsidR="00A57EF2" w:rsidRPr="00C00335" w:rsidRDefault="00A57EF2" w:rsidP="006705F3">
            <w:pPr>
              <w:pStyle w:val="TableText"/>
              <w:spacing w:before="40" w:after="20"/>
            </w:pPr>
            <w:proofErr w:type="spellStart"/>
            <w:r w:rsidRPr="00C00335">
              <w:t>Fiebig</w:t>
            </w:r>
            <w:proofErr w:type="spellEnd"/>
            <w:r w:rsidRPr="00C00335">
              <w:t xml:space="preserve"> et al. (2003)</w:t>
            </w:r>
          </w:p>
        </w:tc>
      </w:tr>
      <w:tr w:rsidR="00A57EF2" w:rsidRPr="00C00335" w14:paraId="0127AA1F"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5338A0BD" w14:textId="77777777" w:rsidR="00A57EF2" w:rsidRPr="00C00335" w:rsidRDefault="00A57EF2" w:rsidP="006705F3">
            <w:pPr>
              <w:pStyle w:val="TableText"/>
              <w:spacing w:before="40" w:after="20"/>
              <w:ind w:left="270"/>
            </w:pPr>
            <w:r w:rsidRPr="00C00335">
              <w:t>CD4 &gt; 500</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3E7B5DCF" w14:textId="57D3860A" w:rsidR="00A57EF2" w:rsidRPr="00C00335" w:rsidRDefault="00A57EF2" w:rsidP="006705F3">
            <w:pPr>
              <w:pStyle w:val="TableText"/>
              <w:spacing w:before="40" w:after="20"/>
            </w:pPr>
            <w:r w:rsidRPr="00C00335">
              <w:t>-----------------------------3.50----------------------------------</w:t>
            </w:r>
          </w:p>
        </w:tc>
        <w:tc>
          <w:tcPr>
            <w:tcW w:w="4241" w:type="dxa"/>
            <w:vMerge w:val="restart"/>
            <w:tcBorders>
              <w:top w:val="single" w:sz="4" w:space="0" w:color="808080" w:themeColor="background1" w:themeShade="80"/>
              <w:bottom w:val="single" w:sz="4" w:space="0" w:color="808080" w:themeColor="background1" w:themeShade="80"/>
            </w:tcBorders>
            <w:shd w:val="clear" w:color="auto" w:fill="auto"/>
            <w:noWrap/>
          </w:tcPr>
          <w:p w14:paraId="1DCA9E4D" w14:textId="21937389" w:rsidR="00A57EF2" w:rsidRPr="00C00335" w:rsidRDefault="00A57EF2" w:rsidP="006705F3">
            <w:pPr>
              <w:pStyle w:val="TableText"/>
              <w:spacing w:before="40" w:after="20"/>
              <w:rPr>
                <w:rFonts w:cs="Arial"/>
              </w:rPr>
            </w:pPr>
            <w:r w:rsidRPr="00C00335">
              <w:rPr>
                <w:rFonts w:cs="Arial"/>
              </w:rPr>
              <w:t>Assumed 7 years in latent asymptomatic state</w:t>
            </w:r>
            <w:r w:rsidR="008E1C17" w:rsidRPr="00C00335">
              <w:rPr>
                <w:rFonts w:cs="Arial"/>
              </w:rPr>
              <w:t xml:space="preserve"> (non-acute, CD4 &gt;350) distributed evenly between CD4 350</w:t>
            </w:r>
            <w:r w:rsidR="00740DFC" w:rsidRPr="00C00335">
              <w:rPr>
                <w:rFonts w:cs="Arial"/>
              </w:rPr>
              <w:t>–5</w:t>
            </w:r>
            <w:r w:rsidR="008E1C17" w:rsidRPr="00C00335">
              <w:rPr>
                <w:rFonts w:cs="Arial"/>
              </w:rPr>
              <w:t>00 and CD4 &gt; 500</w:t>
            </w:r>
            <w:r w:rsidRPr="00C00335">
              <w:rPr>
                <w:rFonts w:cs="Arial"/>
              </w:rPr>
              <w:t xml:space="preserve"> based on </w:t>
            </w:r>
            <w:proofErr w:type="spellStart"/>
            <w:r w:rsidRPr="00C00335">
              <w:rPr>
                <w:rFonts w:cs="Arial"/>
              </w:rPr>
              <w:t>Dorrucci</w:t>
            </w:r>
            <w:proofErr w:type="spellEnd"/>
            <w:r w:rsidRPr="00C00335">
              <w:rPr>
                <w:rFonts w:cs="Arial"/>
              </w:rPr>
              <w:t xml:space="preserve"> et al. (2007); CGAIHS (2000); </w:t>
            </w:r>
            <w:proofErr w:type="spellStart"/>
            <w:r w:rsidRPr="00C00335">
              <w:rPr>
                <w:rFonts w:cs="Arial"/>
              </w:rPr>
              <w:t>Mellors</w:t>
            </w:r>
            <w:proofErr w:type="spellEnd"/>
            <w:r w:rsidRPr="00C00335">
              <w:rPr>
                <w:rFonts w:cs="Arial"/>
              </w:rPr>
              <w:t xml:space="preserve"> et al. (1997); Antiretroviral Therapy Cohort Collaboration (2007)</w:t>
            </w:r>
          </w:p>
        </w:tc>
      </w:tr>
      <w:tr w:rsidR="00A57EF2" w:rsidRPr="00C00335" w14:paraId="43F6B0A3"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69B618F0" w14:textId="77777777" w:rsidR="00A57EF2" w:rsidRPr="00C00335" w:rsidRDefault="00A57EF2" w:rsidP="006705F3">
            <w:pPr>
              <w:pStyle w:val="TableText"/>
              <w:spacing w:before="40" w:after="20"/>
              <w:ind w:left="270"/>
            </w:pPr>
            <w:r w:rsidRPr="00C00335">
              <w:t>CD4 350–500</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09E79971" w14:textId="68CA1B40" w:rsidR="00A57EF2" w:rsidRPr="00C00335" w:rsidRDefault="00A57EF2" w:rsidP="006705F3">
            <w:pPr>
              <w:pStyle w:val="TableText"/>
              <w:spacing w:before="40" w:after="20"/>
            </w:pPr>
            <w:r w:rsidRPr="00C00335">
              <w:t>-----------------------------3.50----------------------------------</w:t>
            </w:r>
          </w:p>
        </w:tc>
        <w:tc>
          <w:tcPr>
            <w:tcW w:w="4241" w:type="dxa"/>
            <w:vMerge/>
            <w:tcBorders>
              <w:top w:val="single" w:sz="4" w:space="0" w:color="808080" w:themeColor="background1" w:themeShade="80"/>
              <w:bottom w:val="single" w:sz="4" w:space="0" w:color="808080" w:themeColor="background1" w:themeShade="80"/>
            </w:tcBorders>
            <w:shd w:val="clear" w:color="auto" w:fill="auto"/>
            <w:noWrap/>
          </w:tcPr>
          <w:p w14:paraId="14F6325C" w14:textId="77777777" w:rsidR="00A57EF2" w:rsidRPr="00C00335" w:rsidRDefault="00A57EF2" w:rsidP="006705F3">
            <w:pPr>
              <w:pStyle w:val="TableText"/>
              <w:spacing w:before="40" w:after="20"/>
            </w:pPr>
          </w:p>
        </w:tc>
      </w:tr>
      <w:tr w:rsidR="00A57EF2" w:rsidRPr="00C00335" w14:paraId="17467872"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69E34669" w14:textId="77777777" w:rsidR="00A57EF2" w:rsidRPr="00C00335" w:rsidRDefault="00A57EF2" w:rsidP="006705F3">
            <w:pPr>
              <w:pStyle w:val="TableText"/>
              <w:spacing w:before="40" w:after="20"/>
              <w:ind w:left="270"/>
            </w:pPr>
            <w:r w:rsidRPr="00C00335">
              <w:t>CD4 200–350</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4F112B3F" w14:textId="6CDCF303" w:rsidR="00A57EF2" w:rsidRPr="00C00335" w:rsidRDefault="00A57EF2" w:rsidP="006705F3">
            <w:pPr>
              <w:pStyle w:val="TableText"/>
              <w:spacing w:before="40" w:after="20"/>
            </w:pPr>
            <w:r w:rsidRPr="00C00335">
              <w:t>-----------------------------3.00---</w:t>
            </w:r>
            <w:r w:rsidR="00194198" w:rsidRPr="00C00335">
              <w:t>-------------------------------</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60B4E873" w14:textId="77777777" w:rsidR="00A57EF2" w:rsidRPr="00C00335" w:rsidRDefault="00A57EF2" w:rsidP="006705F3">
            <w:pPr>
              <w:pStyle w:val="TableText"/>
              <w:spacing w:before="40" w:after="20"/>
            </w:pPr>
            <w:proofErr w:type="spellStart"/>
            <w:r w:rsidRPr="00C00335">
              <w:t>Juusola</w:t>
            </w:r>
            <w:proofErr w:type="spellEnd"/>
            <w:r w:rsidRPr="00C00335">
              <w:t xml:space="preserve"> et al. (2012) </w:t>
            </w:r>
            <w:r w:rsidR="00C0269A" w:rsidRPr="00C00335">
              <w:t xml:space="preserve">applied </w:t>
            </w:r>
            <w:r w:rsidRPr="00C00335">
              <w:t xml:space="preserve">3 years in </w:t>
            </w:r>
            <w:r w:rsidR="00D25FAD" w:rsidRPr="00C00335">
              <w:t>l</w:t>
            </w:r>
            <w:r w:rsidRPr="00C00335">
              <w:t xml:space="preserve">ate </w:t>
            </w:r>
            <w:r w:rsidR="00D25FAD" w:rsidRPr="00C00335">
              <w:t>s</w:t>
            </w:r>
            <w:r w:rsidRPr="00C00335">
              <w:t>ymptomatic stage, citing Long et al. (2009</w:t>
            </w:r>
            <w:r w:rsidR="00D25FAD" w:rsidRPr="00C00335">
              <w:t>, 2010</w:t>
            </w:r>
            <w:r w:rsidRPr="00C00335">
              <w:t xml:space="preserve">); </w:t>
            </w:r>
            <w:proofErr w:type="spellStart"/>
            <w:r w:rsidRPr="00C00335">
              <w:t>Mellors</w:t>
            </w:r>
            <w:proofErr w:type="spellEnd"/>
            <w:r w:rsidRPr="00C00335">
              <w:t xml:space="preserve"> et al. (1997); </w:t>
            </w:r>
            <w:r w:rsidR="00D25FAD" w:rsidRPr="00C00335">
              <w:t xml:space="preserve">and </w:t>
            </w:r>
            <w:r w:rsidRPr="00C00335">
              <w:t>Dunn et al. (2008)</w:t>
            </w:r>
          </w:p>
        </w:tc>
      </w:tr>
      <w:tr w:rsidR="00A57EF2" w:rsidRPr="00C00335" w14:paraId="081E7CCB" w14:textId="77777777" w:rsidTr="00361785">
        <w:trPr>
          <w:cantSplit/>
        </w:trPr>
        <w:tc>
          <w:tcPr>
            <w:tcW w:w="2870" w:type="dxa"/>
            <w:tcBorders>
              <w:top w:val="single" w:sz="4" w:space="0" w:color="808080" w:themeColor="background1" w:themeShade="80"/>
              <w:bottom w:val="single" w:sz="4" w:space="0" w:color="808080" w:themeColor="background1" w:themeShade="80"/>
            </w:tcBorders>
            <w:shd w:val="clear" w:color="auto" w:fill="auto"/>
            <w:noWrap/>
            <w:hideMark/>
          </w:tcPr>
          <w:p w14:paraId="058759C7" w14:textId="78EDC47B" w:rsidR="00A57EF2" w:rsidRPr="00C00335" w:rsidRDefault="00A57EF2" w:rsidP="006705F3">
            <w:pPr>
              <w:pStyle w:val="TableText"/>
              <w:spacing w:before="40" w:after="20"/>
              <w:ind w:left="270"/>
            </w:pPr>
            <w:r w:rsidRPr="00C00335">
              <w:t xml:space="preserve">CD4 &lt; </w:t>
            </w:r>
            <w:r w:rsidR="0079113C" w:rsidRPr="00C00335">
              <w:t>200</w:t>
            </w:r>
            <w:r w:rsidR="0079113C">
              <w:rPr>
                <w:vertAlign w:val="superscript"/>
              </w:rPr>
              <w:t>c</w:t>
            </w:r>
          </w:p>
        </w:tc>
        <w:tc>
          <w:tcPr>
            <w:tcW w:w="5849"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348BC8C9" w14:textId="3B8F829A" w:rsidR="00A57EF2" w:rsidRPr="00C00335" w:rsidRDefault="00A57EF2" w:rsidP="006705F3">
            <w:pPr>
              <w:pStyle w:val="TableText"/>
              <w:spacing w:before="40" w:after="20"/>
            </w:pPr>
            <w:r w:rsidRPr="00C00335">
              <w:t>-----------------------------</w:t>
            </w:r>
            <w:r w:rsidR="005950A6" w:rsidRPr="00C00335">
              <w:t>3</w:t>
            </w:r>
            <w:r w:rsidRPr="00C00335">
              <w:t>.00---</w:t>
            </w:r>
            <w:r w:rsidR="00194198" w:rsidRPr="00C00335">
              <w:t>-------------------------------</w:t>
            </w:r>
          </w:p>
        </w:tc>
        <w:tc>
          <w:tcPr>
            <w:tcW w:w="4241" w:type="dxa"/>
            <w:tcBorders>
              <w:top w:val="single" w:sz="4" w:space="0" w:color="808080" w:themeColor="background1" w:themeShade="80"/>
              <w:bottom w:val="single" w:sz="4" w:space="0" w:color="808080" w:themeColor="background1" w:themeShade="80"/>
            </w:tcBorders>
            <w:shd w:val="clear" w:color="auto" w:fill="auto"/>
            <w:noWrap/>
          </w:tcPr>
          <w:p w14:paraId="71A2A846" w14:textId="680B9C85" w:rsidR="00A57EF2" w:rsidRPr="00C00335" w:rsidRDefault="00A57EF2" w:rsidP="006705F3">
            <w:pPr>
              <w:pStyle w:val="TableText"/>
              <w:spacing w:before="40" w:after="20"/>
            </w:pPr>
            <w:proofErr w:type="spellStart"/>
            <w:r w:rsidRPr="00C00335">
              <w:t>Juusola</w:t>
            </w:r>
            <w:proofErr w:type="spellEnd"/>
            <w:r w:rsidRPr="00C00335">
              <w:t xml:space="preserve"> et al. </w:t>
            </w:r>
            <w:r w:rsidR="00D25FAD" w:rsidRPr="00C00335">
              <w:t>(</w:t>
            </w:r>
            <w:r w:rsidRPr="00C00335">
              <w:t>2012</w:t>
            </w:r>
            <w:r w:rsidR="00D25FAD" w:rsidRPr="00C00335">
              <w:t>)</w:t>
            </w:r>
            <w:r w:rsidR="005950A6" w:rsidRPr="00C00335">
              <w:t>, increased to 3 years to produce # of deaths consistent with CDC surveillance data.</w:t>
            </w:r>
          </w:p>
        </w:tc>
      </w:tr>
    </w:tbl>
    <w:p w14:paraId="2E5AE7F1" w14:textId="77777777" w:rsidR="00AA77D8" w:rsidRPr="00C00335" w:rsidRDefault="00AA77D8" w:rsidP="00AA77D8">
      <w:pPr>
        <w:pStyle w:val="Tablecont"/>
      </w:pPr>
      <w:r w:rsidRPr="00C00335">
        <w:t>(continued)</w:t>
      </w:r>
    </w:p>
    <w:p w14:paraId="0A040F87" w14:textId="77777777" w:rsidR="00DF4DF2" w:rsidRDefault="00DF4DF2">
      <w:pPr>
        <w:rPr>
          <w:b/>
        </w:rPr>
      </w:pPr>
      <w:r>
        <w:br w:type="page"/>
      </w:r>
    </w:p>
    <w:p w14:paraId="7080E289" w14:textId="58D45BAC" w:rsidR="00AA77D8" w:rsidRPr="00C00335" w:rsidRDefault="00AA77D8" w:rsidP="00260D8A">
      <w:pPr>
        <w:pStyle w:val="TableTitlecont"/>
        <w:spacing w:before="120"/>
        <w:ind w:left="1530"/>
      </w:pPr>
      <w:r w:rsidRPr="00C00335">
        <w:lastRenderedPageBreak/>
        <w:t>Table 5.1.</w:t>
      </w:r>
      <w:r w:rsidRPr="00C00335">
        <w:tab/>
        <w:t>Rate of Aging into Population and Inputs that Determine All HIV Progression and Death Rates</w:t>
      </w:r>
      <w:r w:rsidRPr="00C00335" w:rsidDel="00952170">
        <w:t xml:space="preserve"> </w:t>
      </w:r>
      <w:r w:rsidRPr="00C00335">
        <w:t>(continued)</w:t>
      </w:r>
    </w:p>
    <w:tbl>
      <w:tblPr>
        <w:tblW w:w="5000"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704"/>
        <w:gridCol w:w="887"/>
        <w:gridCol w:w="887"/>
        <w:gridCol w:w="887"/>
        <w:gridCol w:w="849"/>
        <w:gridCol w:w="38"/>
        <w:gridCol w:w="16"/>
        <w:gridCol w:w="871"/>
        <w:gridCol w:w="875"/>
        <w:gridCol w:w="12"/>
        <w:gridCol w:w="888"/>
        <w:gridCol w:w="3973"/>
        <w:gridCol w:w="73"/>
      </w:tblGrid>
      <w:tr w:rsidR="001D4CB7" w:rsidRPr="0023643C" w14:paraId="6F9E30C7" w14:textId="77777777" w:rsidTr="00CB2861">
        <w:trPr>
          <w:gridAfter w:val="1"/>
          <w:wAfter w:w="73" w:type="dxa"/>
          <w:cantSplit/>
          <w:tblHeader/>
        </w:trPr>
        <w:tc>
          <w:tcPr>
            <w:tcW w:w="2704" w:type="dxa"/>
            <w:tcBorders>
              <w:top w:val="single" w:sz="12" w:space="0" w:color="000000"/>
              <w:bottom w:val="single" w:sz="6" w:space="0" w:color="auto"/>
            </w:tcBorders>
            <w:shd w:val="clear" w:color="auto" w:fill="auto"/>
            <w:noWrap/>
            <w:vAlign w:val="bottom"/>
            <w:hideMark/>
          </w:tcPr>
          <w:p w14:paraId="1B7FA7BE" w14:textId="77777777" w:rsidR="001D4CB7" w:rsidRPr="0023643C" w:rsidRDefault="001D4CB7" w:rsidP="001D4CB7">
            <w:pPr>
              <w:pStyle w:val="TableHeaders"/>
            </w:pPr>
            <w:r w:rsidRPr="0023643C">
              <w:t>Parameter</w:t>
            </w:r>
          </w:p>
        </w:tc>
        <w:tc>
          <w:tcPr>
            <w:tcW w:w="887" w:type="dxa"/>
            <w:tcBorders>
              <w:top w:val="single" w:sz="12" w:space="0" w:color="000000"/>
              <w:bottom w:val="single" w:sz="6" w:space="0" w:color="auto"/>
            </w:tcBorders>
            <w:shd w:val="clear" w:color="auto" w:fill="auto"/>
            <w:noWrap/>
            <w:tcMar>
              <w:left w:w="29" w:type="dxa"/>
              <w:right w:w="29" w:type="dxa"/>
            </w:tcMar>
            <w:vAlign w:val="bottom"/>
            <w:hideMark/>
          </w:tcPr>
          <w:p w14:paraId="0B52F52D" w14:textId="77777777" w:rsidR="001D4CB7" w:rsidRPr="0023643C" w:rsidRDefault="001D4CB7" w:rsidP="001D4CB7">
            <w:pPr>
              <w:pStyle w:val="TableHeaders"/>
            </w:pPr>
            <w:r w:rsidRPr="0023643C">
              <w:t>13–17 Years</w:t>
            </w:r>
          </w:p>
        </w:tc>
        <w:tc>
          <w:tcPr>
            <w:tcW w:w="887" w:type="dxa"/>
            <w:tcBorders>
              <w:top w:val="single" w:sz="12" w:space="0" w:color="000000"/>
              <w:bottom w:val="single" w:sz="6" w:space="0" w:color="auto"/>
            </w:tcBorders>
            <w:shd w:val="clear" w:color="auto" w:fill="auto"/>
            <w:noWrap/>
            <w:tcMar>
              <w:left w:w="29" w:type="dxa"/>
              <w:right w:w="29" w:type="dxa"/>
            </w:tcMar>
            <w:vAlign w:val="bottom"/>
            <w:hideMark/>
          </w:tcPr>
          <w:p w14:paraId="089467F6" w14:textId="77777777" w:rsidR="001D4CB7" w:rsidRPr="0023643C" w:rsidRDefault="001D4CB7" w:rsidP="001D4CB7">
            <w:pPr>
              <w:pStyle w:val="TableHeaders"/>
            </w:pPr>
            <w:r w:rsidRPr="0023643C">
              <w:t>18–24 Years</w:t>
            </w:r>
          </w:p>
        </w:tc>
        <w:tc>
          <w:tcPr>
            <w:tcW w:w="887" w:type="dxa"/>
            <w:tcBorders>
              <w:top w:val="single" w:sz="12" w:space="0" w:color="000000"/>
              <w:bottom w:val="single" w:sz="6" w:space="0" w:color="auto"/>
            </w:tcBorders>
            <w:shd w:val="clear" w:color="auto" w:fill="auto"/>
            <w:noWrap/>
            <w:tcMar>
              <w:left w:w="29" w:type="dxa"/>
              <w:right w:w="29" w:type="dxa"/>
            </w:tcMar>
            <w:vAlign w:val="bottom"/>
            <w:hideMark/>
          </w:tcPr>
          <w:p w14:paraId="40650D14" w14:textId="77777777" w:rsidR="001D4CB7" w:rsidRPr="0023643C" w:rsidRDefault="001D4CB7" w:rsidP="001D4CB7">
            <w:pPr>
              <w:pStyle w:val="TableHeaders"/>
            </w:pPr>
            <w:r w:rsidRPr="0023643C">
              <w:t>25–34 Years</w:t>
            </w:r>
          </w:p>
        </w:tc>
        <w:tc>
          <w:tcPr>
            <w:tcW w:w="887" w:type="dxa"/>
            <w:gridSpan w:val="2"/>
            <w:tcBorders>
              <w:top w:val="single" w:sz="12" w:space="0" w:color="000000"/>
              <w:bottom w:val="single" w:sz="6" w:space="0" w:color="auto"/>
            </w:tcBorders>
            <w:shd w:val="clear" w:color="auto" w:fill="auto"/>
            <w:noWrap/>
            <w:tcMar>
              <w:left w:w="29" w:type="dxa"/>
              <w:right w:w="29" w:type="dxa"/>
            </w:tcMar>
            <w:vAlign w:val="bottom"/>
            <w:hideMark/>
          </w:tcPr>
          <w:p w14:paraId="7FB38164" w14:textId="77777777" w:rsidR="001D4CB7" w:rsidRPr="0023643C" w:rsidRDefault="001D4CB7" w:rsidP="001D4CB7">
            <w:pPr>
              <w:pStyle w:val="TableHeaders"/>
            </w:pPr>
            <w:r w:rsidRPr="0023643C">
              <w:t>35–44 Years</w:t>
            </w:r>
          </w:p>
        </w:tc>
        <w:tc>
          <w:tcPr>
            <w:tcW w:w="887" w:type="dxa"/>
            <w:gridSpan w:val="2"/>
            <w:tcBorders>
              <w:top w:val="single" w:sz="12" w:space="0" w:color="000000"/>
              <w:bottom w:val="single" w:sz="6" w:space="0" w:color="auto"/>
            </w:tcBorders>
            <w:shd w:val="clear" w:color="auto" w:fill="auto"/>
            <w:noWrap/>
            <w:tcMar>
              <w:left w:w="29" w:type="dxa"/>
              <w:right w:w="29" w:type="dxa"/>
            </w:tcMar>
            <w:hideMark/>
          </w:tcPr>
          <w:p w14:paraId="5F79B6AF" w14:textId="1E8535EA" w:rsidR="001D4CB7" w:rsidRPr="0023643C" w:rsidRDefault="001D4CB7" w:rsidP="001D4CB7">
            <w:pPr>
              <w:pStyle w:val="TableHeaders"/>
            </w:pPr>
            <w:r w:rsidRPr="0023643C">
              <w:t>45–54 Years</w:t>
            </w:r>
          </w:p>
        </w:tc>
        <w:tc>
          <w:tcPr>
            <w:tcW w:w="887" w:type="dxa"/>
            <w:gridSpan w:val="2"/>
            <w:tcBorders>
              <w:top w:val="single" w:sz="12" w:space="0" w:color="000000"/>
              <w:bottom w:val="single" w:sz="6" w:space="0" w:color="auto"/>
            </w:tcBorders>
            <w:shd w:val="clear" w:color="auto" w:fill="auto"/>
            <w:tcMar>
              <w:left w:w="29" w:type="dxa"/>
              <w:right w:w="29" w:type="dxa"/>
            </w:tcMar>
          </w:tcPr>
          <w:p w14:paraId="5B622FC3" w14:textId="5497A2E3" w:rsidR="001D4CB7" w:rsidRPr="0023643C" w:rsidRDefault="001D4CB7" w:rsidP="001D4CB7">
            <w:pPr>
              <w:pStyle w:val="TableHeaders"/>
            </w:pPr>
            <w:r w:rsidRPr="0023643C">
              <w:t>55–64 Years</w:t>
            </w:r>
          </w:p>
        </w:tc>
        <w:tc>
          <w:tcPr>
            <w:tcW w:w="888" w:type="dxa"/>
            <w:tcBorders>
              <w:top w:val="single" w:sz="12" w:space="0" w:color="000000"/>
              <w:bottom w:val="single" w:sz="6" w:space="0" w:color="auto"/>
            </w:tcBorders>
            <w:shd w:val="clear" w:color="auto" w:fill="auto"/>
            <w:tcMar>
              <w:left w:w="29" w:type="dxa"/>
              <w:right w:w="29" w:type="dxa"/>
            </w:tcMar>
          </w:tcPr>
          <w:p w14:paraId="2477E452" w14:textId="5C4D5A11" w:rsidR="001D4CB7" w:rsidRPr="0023643C" w:rsidRDefault="001D4CB7" w:rsidP="001D4CB7">
            <w:pPr>
              <w:pStyle w:val="TableHeaders"/>
            </w:pPr>
            <w:r w:rsidRPr="0023643C">
              <w:t>65+ Years</w:t>
            </w:r>
          </w:p>
        </w:tc>
        <w:tc>
          <w:tcPr>
            <w:tcW w:w="3973" w:type="dxa"/>
            <w:tcBorders>
              <w:top w:val="single" w:sz="12" w:space="0" w:color="000000"/>
              <w:bottom w:val="single" w:sz="6" w:space="0" w:color="auto"/>
            </w:tcBorders>
            <w:shd w:val="clear" w:color="auto" w:fill="auto"/>
            <w:noWrap/>
            <w:vAlign w:val="bottom"/>
            <w:hideMark/>
          </w:tcPr>
          <w:p w14:paraId="267EF588" w14:textId="77777777" w:rsidR="001D4CB7" w:rsidRPr="0023643C" w:rsidRDefault="001D4CB7" w:rsidP="001D4CB7">
            <w:pPr>
              <w:pStyle w:val="TableHeaders"/>
            </w:pPr>
            <w:r w:rsidRPr="0023643C">
              <w:t>Source</w:t>
            </w:r>
          </w:p>
        </w:tc>
      </w:tr>
      <w:tr w:rsidR="00DF4DF2" w:rsidRPr="0023643C" w14:paraId="47469D7D" w14:textId="77777777" w:rsidTr="00DF4DF2">
        <w:trPr>
          <w:cantSplit/>
        </w:trPr>
        <w:tc>
          <w:tcPr>
            <w:tcW w:w="8914" w:type="dxa"/>
            <w:gridSpan w:val="11"/>
            <w:tcBorders>
              <w:top w:val="single" w:sz="4" w:space="0" w:color="808080" w:themeColor="background1" w:themeShade="80"/>
              <w:bottom w:val="single" w:sz="4" w:space="0" w:color="808080" w:themeColor="background1" w:themeShade="80"/>
            </w:tcBorders>
            <w:shd w:val="clear" w:color="auto" w:fill="auto"/>
            <w:noWrap/>
          </w:tcPr>
          <w:p w14:paraId="71D8A6A6" w14:textId="77777777" w:rsidR="00DF4DF2" w:rsidRPr="0023643C" w:rsidRDefault="00DF4DF2" w:rsidP="00DF4DF2">
            <w:pPr>
              <w:pStyle w:val="TableText"/>
              <w:spacing w:before="40" w:after="20"/>
            </w:pPr>
            <w:r w:rsidRPr="0023643C">
              <w:t>Adjustment factor to number of years in each CD4 stage if not on ART, by age group</w:t>
            </w:r>
          </w:p>
        </w:tc>
        <w:tc>
          <w:tcPr>
            <w:tcW w:w="4046" w:type="dxa"/>
            <w:gridSpan w:val="2"/>
            <w:tcBorders>
              <w:top w:val="single" w:sz="4" w:space="0" w:color="808080" w:themeColor="background1" w:themeShade="80"/>
              <w:bottom w:val="single" w:sz="4" w:space="0" w:color="808080" w:themeColor="background1" w:themeShade="80"/>
            </w:tcBorders>
            <w:shd w:val="clear" w:color="auto" w:fill="auto"/>
            <w:noWrap/>
          </w:tcPr>
          <w:p w14:paraId="1F7E31BB" w14:textId="77777777" w:rsidR="00DF4DF2" w:rsidRPr="0023643C" w:rsidRDefault="00DF4DF2" w:rsidP="00DF4DF2">
            <w:pPr>
              <w:pStyle w:val="TableText"/>
              <w:spacing w:before="40" w:after="20"/>
            </w:pPr>
          </w:p>
        </w:tc>
      </w:tr>
      <w:tr w:rsidR="00DF4DF2" w:rsidRPr="0023643C" w14:paraId="5C54D9B7" w14:textId="77777777" w:rsidTr="00CB2861">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7B1493FB" w14:textId="77777777" w:rsidR="00DF4DF2" w:rsidRPr="0023643C" w:rsidRDefault="00DF4DF2" w:rsidP="00DF4DF2">
            <w:pPr>
              <w:pStyle w:val="TableText"/>
              <w:spacing w:before="40" w:after="20"/>
              <w:ind w:left="270"/>
            </w:pP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5F7E00A3" w14:textId="77777777" w:rsidR="00DF4DF2" w:rsidRPr="0023643C" w:rsidRDefault="00DF4DF2" w:rsidP="00DF4DF2">
            <w:pPr>
              <w:pStyle w:val="TableText"/>
              <w:spacing w:before="40" w:after="20"/>
            </w:pPr>
            <w:r w:rsidRPr="0023643C">
              <w:t>1.00</w:t>
            </w:r>
          </w:p>
        </w:tc>
        <w:tc>
          <w:tcPr>
            <w:tcW w:w="887" w:type="dxa"/>
            <w:tcBorders>
              <w:top w:val="single" w:sz="4" w:space="0" w:color="808080" w:themeColor="background1" w:themeShade="80"/>
              <w:bottom w:val="single" w:sz="4" w:space="0" w:color="808080" w:themeColor="background1" w:themeShade="80"/>
            </w:tcBorders>
            <w:shd w:val="clear" w:color="auto" w:fill="auto"/>
          </w:tcPr>
          <w:p w14:paraId="7FEB622D" w14:textId="77777777" w:rsidR="00DF4DF2" w:rsidRPr="0023643C" w:rsidRDefault="00DF4DF2" w:rsidP="00DF4DF2">
            <w:pPr>
              <w:pStyle w:val="TableText"/>
              <w:spacing w:before="40" w:after="20"/>
            </w:pPr>
            <w:r w:rsidRPr="0023643C">
              <w:t>0.95</w:t>
            </w:r>
          </w:p>
        </w:tc>
        <w:tc>
          <w:tcPr>
            <w:tcW w:w="887" w:type="dxa"/>
            <w:tcBorders>
              <w:top w:val="single" w:sz="4" w:space="0" w:color="808080" w:themeColor="background1" w:themeShade="80"/>
              <w:bottom w:val="single" w:sz="4" w:space="0" w:color="808080" w:themeColor="background1" w:themeShade="80"/>
            </w:tcBorders>
            <w:shd w:val="clear" w:color="auto" w:fill="auto"/>
          </w:tcPr>
          <w:p w14:paraId="042246F2" w14:textId="77777777" w:rsidR="00DF4DF2" w:rsidRPr="0023643C" w:rsidRDefault="00DF4DF2" w:rsidP="00DF4DF2">
            <w:pPr>
              <w:pStyle w:val="TableText"/>
              <w:spacing w:before="40" w:after="20"/>
            </w:pPr>
            <w:r w:rsidRPr="0023643C">
              <w:t>0.88</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3208694A" w14:textId="77777777" w:rsidR="00DF4DF2" w:rsidRPr="0023643C" w:rsidRDefault="00DF4DF2" w:rsidP="00DF4DF2">
            <w:pPr>
              <w:pStyle w:val="TableText"/>
              <w:spacing w:before="40" w:after="20"/>
            </w:pPr>
            <w:r w:rsidRPr="0023643C">
              <w:t>0.80</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07BBF847" w14:textId="77777777" w:rsidR="00DF4DF2" w:rsidRPr="0023643C" w:rsidRDefault="00DF4DF2" w:rsidP="00DF4DF2">
            <w:pPr>
              <w:pStyle w:val="TableText"/>
              <w:spacing w:before="40" w:after="20"/>
            </w:pPr>
            <w:r w:rsidRPr="0023643C">
              <w:t>0.75</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51307EB4" w14:textId="77777777" w:rsidR="00DF4DF2" w:rsidRPr="0023643C" w:rsidRDefault="00DF4DF2" w:rsidP="00DF4DF2">
            <w:pPr>
              <w:pStyle w:val="TableText"/>
              <w:spacing w:before="40" w:after="20"/>
            </w:pPr>
            <w:r w:rsidRPr="0023643C">
              <w:t>0.72</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4C79A119" w14:textId="77777777" w:rsidR="00DF4DF2" w:rsidRPr="0023643C" w:rsidRDefault="00DF4DF2" w:rsidP="00DF4DF2">
            <w:pPr>
              <w:pStyle w:val="TableText"/>
              <w:spacing w:before="40" w:after="20"/>
            </w:pPr>
            <w:r w:rsidRPr="0023643C">
              <w:t>0.72</w:t>
            </w:r>
          </w:p>
        </w:tc>
        <w:tc>
          <w:tcPr>
            <w:tcW w:w="4046" w:type="dxa"/>
            <w:gridSpan w:val="2"/>
            <w:tcBorders>
              <w:top w:val="single" w:sz="4" w:space="0" w:color="808080" w:themeColor="background1" w:themeShade="80"/>
              <w:bottom w:val="single" w:sz="4" w:space="0" w:color="808080" w:themeColor="background1" w:themeShade="80"/>
            </w:tcBorders>
            <w:shd w:val="clear" w:color="auto" w:fill="auto"/>
            <w:noWrap/>
          </w:tcPr>
          <w:p w14:paraId="71261086" w14:textId="5B8D7D39" w:rsidR="00DF4DF2" w:rsidRPr="0023643C" w:rsidRDefault="00DF4DF2" w:rsidP="00DF4DF2">
            <w:pPr>
              <w:pStyle w:val="TableText"/>
              <w:spacing w:before="40" w:after="20"/>
            </w:pPr>
            <w:r w:rsidRPr="0023643C">
              <w:t>Hall et al., (2007) provides the percentage of people without AIDS 1 and 3 years after HIV diagnosis and the percentage of people surviving 1 and 3 years after AIDS diagnosis for different age groups. Factors relative to the 13</w:t>
            </w:r>
            <w:r w:rsidR="00CB2861" w:rsidRPr="0023643C">
              <w:t>–</w:t>
            </w:r>
            <w:r w:rsidRPr="0023643C">
              <w:t>17 age group were calculated from the data.</w:t>
            </w:r>
          </w:p>
        </w:tc>
      </w:tr>
      <w:tr w:rsidR="00DF4DF2" w:rsidRPr="0023643C" w14:paraId="011F3A5B" w14:textId="77777777" w:rsidTr="00DF4DF2">
        <w:trPr>
          <w:cantSplit/>
        </w:trPr>
        <w:tc>
          <w:tcPr>
            <w:tcW w:w="12960" w:type="dxa"/>
            <w:gridSpan w:val="13"/>
            <w:tcBorders>
              <w:top w:val="single" w:sz="4" w:space="0" w:color="808080" w:themeColor="background1" w:themeShade="80"/>
              <w:bottom w:val="single" w:sz="4" w:space="0" w:color="808080" w:themeColor="background1" w:themeShade="80"/>
            </w:tcBorders>
            <w:shd w:val="clear" w:color="auto" w:fill="auto"/>
            <w:noWrap/>
          </w:tcPr>
          <w:p w14:paraId="3E313731" w14:textId="77777777" w:rsidR="00DF4DF2" w:rsidRPr="0023643C" w:rsidRDefault="00DF4DF2" w:rsidP="00DF4DF2">
            <w:pPr>
              <w:pStyle w:val="TableText"/>
              <w:spacing w:before="40" w:after="20"/>
            </w:pPr>
            <w:r w:rsidRPr="0023643C">
              <w:t>Annual rate of progressing one disease stage (to lower CD4 count) if prescribed ART, but not VLS (</w:t>
            </w:r>
            <w:r w:rsidRPr="0023643C">
              <w:rPr>
                <w:i/>
                <w:iCs/>
              </w:rPr>
              <w:t>r</w:t>
            </w:r>
            <w:r w:rsidRPr="0023643C">
              <w:t> = 4)</w:t>
            </w:r>
          </w:p>
        </w:tc>
      </w:tr>
      <w:tr w:rsidR="00DF4DF2" w:rsidRPr="0023643C" w14:paraId="336F17A7" w14:textId="77777777" w:rsidTr="00DF6DD4">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260E6996" w14:textId="77777777" w:rsidR="00DF4DF2" w:rsidRPr="0023643C" w:rsidRDefault="00DF4DF2" w:rsidP="00DF4DF2">
            <w:pPr>
              <w:pStyle w:val="TableText"/>
              <w:spacing w:before="40" w:after="20"/>
              <w:ind w:left="270"/>
            </w:pPr>
            <w:r w:rsidRPr="0023643C">
              <w:t>CD4 &gt; 500</w:t>
            </w:r>
          </w:p>
        </w:tc>
        <w:tc>
          <w:tcPr>
            <w:tcW w:w="3510" w:type="dxa"/>
            <w:gridSpan w:val="4"/>
            <w:tcBorders>
              <w:top w:val="single" w:sz="4" w:space="0" w:color="808080" w:themeColor="background1" w:themeShade="80"/>
              <w:bottom w:val="single" w:sz="4" w:space="0" w:color="808080" w:themeColor="background1" w:themeShade="80"/>
            </w:tcBorders>
            <w:shd w:val="clear" w:color="auto" w:fill="auto"/>
            <w:noWrap/>
          </w:tcPr>
          <w:p w14:paraId="11F55FA3" w14:textId="3B04586C" w:rsidR="00DF4DF2" w:rsidRPr="0023643C" w:rsidRDefault="00DF4DF2" w:rsidP="00DF4DF2">
            <w:pPr>
              <w:pStyle w:val="TableText"/>
              <w:spacing w:before="40" w:after="20"/>
            </w:pPr>
            <w:r w:rsidRPr="0023643C">
              <w:t>----------------</w:t>
            </w:r>
            <w:r w:rsidR="00FA40DE" w:rsidRPr="00FA40DE">
              <w:rPr>
                <w:i/>
              </w:rPr>
              <w:t>9.45</w:t>
            </w:r>
            <w:r w:rsidRPr="0023643C">
              <w:t>-----------------</w:t>
            </w:r>
          </w:p>
        </w:tc>
        <w:tc>
          <w:tcPr>
            <w:tcW w:w="1800" w:type="dxa"/>
            <w:gridSpan w:val="4"/>
            <w:tcBorders>
              <w:top w:val="single" w:sz="4" w:space="0" w:color="808080" w:themeColor="background1" w:themeShade="80"/>
              <w:bottom w:val="single" w:sz="4" w:space="0" w:color="808080" w:themeColor="background1" w:themeShade="80"/>
            </w:tcBorders>
            <w:shd w:val="clear" w:color="auto" w:fill="auto"/>
          </w:tcPr>
          <w:p w14:paraId="0D629B6A" w14:textId="226214D0" w:rsidR="00DF4DF2" w:rsidRPr="0023643C" w:rsidRDefault="00DF4DF2" w:rsidP="00DF4DF2">
            <w:pPr>
              <w:pStyle w:val="TableText"/>
              <w:spacing w:before="40" w:after="20"/>
            </w:pPr>
            <w:r w:rsidRPr="0023643C">
              <w:t>------</w:t>
            </w:r>
            <w:r w:rsidR="00FA40DE" w:rsidRPr="00FA40DE">
              <w:rPr>
                <w:i/>
              </w:rPr>
              <w:t>38.82</w:t>
            </w:r>
            <w:r w:rsidRPr="0023643C">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1AF0ED44" w14:textId="4E64EB1C" w:rsidR="00DF4DF2" w:rsidRPr="0023643C" w:rsidRDefault="00FA40DE" w:rsidP="00DF4DF2">
            <w:pPr>
              <w:pStyle w:val="TableText"/>
              <w:spacing w:before="40" w:after="20"/>
            </w:pPr>
            <w:r w:rsidRPr="00FA40DE">
              <w:rPr>
                <w:i/>
              </w:rPr>
              <w:t>48.19</w:t>
            </w:r>
          </w:p>
        </w:tc>
        <w:tc>
          <w:tcPr>
            <w:tcW w:w="4046" w:type="dxa"/>
            <w:gridSpan w:val="2"/>
            <w:vMerge w:val="restart"/>
            <w:tcBorders>
              <w:top w:val="single" w:sz="4" w:space="0" w:color="808080" w:themeColor="background1" w:themeShade="80"/>
              <w:bottom w:val="single" w:sz="4" w:space="0" w:color="808080" w:themeColor="background1" w:themeShade="80"/>
            </w:tcBorders>
            <w:shd w:val="clear" w:color="auto" w:fill="auto"/>
            <w:noWrap/>
          </w:tcPr>
          <w:p w14:paraId="27CB0AEE" w14:textId="0756DC0E" w:rsidR="00DF4DF2" w:rsidRPr="0023643C" w:rsidRDefault="00DF4DF2" w:rsidP="00DF4DF2">
            <w:pPr>
              <w:pStyle w:val="TableText"/>
              <w:spacing w:before="40" w:after="20"/>
            </w:pPr>
            <w:r w:rsidRPr="0023643C">
              <w:t xml:space="preserve">Determined by </w:t>
            </w:r>
            <w:proofErr w:type="spellStart"/>
            <w:r w:rsidRPr="0023643C">
              <w:t>calibration</w:t>
            </w:r>
            <w:r w:rsidRPr="0023643C">
              <w:rPr>
                <w:vertAlign w:val="superscript"/>
              </w:rPr>
              <w:t>d</w:t>
            </w:r>
            <w:proofErr w:type="spellEnd"/>
            <w:r w:rsidRPr="0023643C">
              <w:t xml:space="preserve"> </w:t>
            </w:r>
          </w:p>
        </w:tc>
      </w:tr>
      <w:tr w:rsidR="00DF4DF2" w:rsidRPr="0023643C" w14:paraId="02CE6F79" w14:textId="77777777" w:rsidTr="00DF6DD4">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47EB32ED" w14:textId="77777777" w:rsidR="00DF4DF2" w:rsidRPr="0023643C" w:rsidRDefault="00DF4DF2" w:rsidP="00DF4DF2">
            <w:pPr>
              <w:pStyle w:val="TableText"/>
              <w:spacing w:before="40" w:after="20"/>
              <w:ind w:left="270"/>
            </w:pPr>
            <w:r w:rsidRPr="0023643C">
              <w:t>CD4 350–500</w:t>
            </w:r>
          </w:p>
        </w:tc>
        <w:tc>
          <w:tcPr>
            <w:tcW w:w="3510" w:type="dxa"/>
            <w:gridSpan w:val="4"/>
            <w:tcBorders>
              <w:top w:val="single" w:sz="4" w:space="0" w:color="808080" w:themeColor="background1" w:themeShade="80"/>
              <w:bottom w:val="single" w:sz="4" w:space="0" w:color="808080" w:themeColor="background1" w:themeShade="80"/>
            </w:tcBorders>
            <w:shd w:val="clear" w:color="auto" w:fill="auto"/>
            <w:noWrap/>
          </w:tcPr>
          <w:p w14:paraId="250D9AB5" w14:textId="63A11376" w:rsidR="00DF4DF2" w:rsidRPr="0023643C" w:rsidRDefault="00DF4DF2" w:rsidP="00DF4DF2">
            <w:pPr>
              <w:pStyle w:val="TableText"/>
              <w:spacing w:before="40" w:after="20"/>
            </w:pPr>
            <w:r w:rsidRPr="0023643C">
              <w:t>----------------</w:t>
            </w:r>
            <w:r w:rsidR="00FA40DE" w:rsidRPr="00FA40DE">
              <w:rPr>
                <w:i/>
              </w:rPr>
              <w:t>36.27</w:t>
            </w:r>
            <w:r w:rsidRPr="0023643C">
              <w:t>-----------------</w:t>
            </w:r>
          </w:p>
        </w:tc>
        <w:tc>
          <w:tcPr>
            <w:tcW w:w="1800" w:type="dxa"/>
            <w:gridSpan w:val="4"/>
            <w:tcBorders>
              <w:top w:val="single" w:sz="4" w:space="0" w:color="808080" w:themeColor="background1" w:themeShade="80"/>
              <w:bottom w:val="single" w:sz="4" w:space="0" w:color="808080" w:themeColor="background1" w:themeShade="80"/>
            </w:tcBorders>
            <w:shd w:val="clear" w:color="auto" w:fill="auto"/>
          </w:tcPr>
          <w:p w14:paraId="15F4E36E" w14:textId="5FA82622" w:rsidR="00DF4DF2" w:rsidRPr="0023643C" w:rsidRDefault="00DF4DF2" w:rsidP="00DF4DF2">
            <w:pPr>
              <w:pStyle w:val="TableText"/>
              <w:spacing w:before="40" w:after="20"/>
            </w:pPr>
            <w:r w:rsidRPr="0023643C">
              <w:t>------</w:t>
            </w:r>
            <w:r w:rsidR="00FA40DE" w:rsidRPr="00FA40DE">
              <w:rPr>
                <w:i/>
              </w:rPr>
              <w:t>18.98</w:t>
            </w:r>
            <w:r w:rsidRPr="0023643C">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6EC5A5FC" w14:textId="1C0535CA" w:rsidR="00DF4DF2" w:rsidRPr="0023643C" w:rsidRDefault="00FA40DE" w:rsidP="00DF4DF2">
            <w:pPr>
              <w:pStyle w:val="TableText"/>
              <w:spacing w:before="40" w:after="20"/>
            </w:pPr>
            <w:r w:rsidRPr="00FA40DE">
              <w:rPr>
                <w:i/>
              </w:rPr>
              <w:t>17.93</w:t>
            </w:r>
          </w:p>
        </w:tc>
        <w:tc>
          <w:tcPr>
            <w:tcW w:w="4046" w:type="dxa"/>
            <w:gridSpan w:val="2"/>
            <w:vMerge/>
            <w:tcBorders>
              <w:top w:val="single" w:sz="4" w:space="0" w:color="808080" w:themeColor="background1" w:themeShade="80"/>
              <w:bottom w:val="single" w:sz="4" w:space="0" w:color="808080" w:themeColor="background1" w:themeShade="80"/>
            </w:tcBorders>
            <w:shd w:val="clear" w:color="auto" w:fill="auto"/>
            <w:noWrap/>
          </w:tcPr>
          <w:p w14:paraId="2F7DA923" w14:textId="77777777" w:rsidR="00DF4DF2" w:rsidRPr="0023643C" w:rsidRDefault="00DF4DF2" w:rsidP="00DF4DF2">
            <w:pPr>
              <w:pStyle w:val="TableText"/>
              <w:spacing w:before="40" w:after="20"/>
            </w:pPr>
          </w:p>
        </w:tc>
      </w:tr>
      <w:tr w:rsidR="00DF4DF2" w:rsidRPr="0023643C" w14:paraId="1A57062A" w14:textId="77777777" w:rsidTr="00DF6DD4">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44971A92" w14:textId="77777777" w:rsidR="00DF4DF2" w:rsidRPr="0023643C" w:rsidRDefault="00DF4DF2" w:rsidP="00DF4DF2">
            <w:pPr>
              <w:pStyle w:val="TableText"/>
              <w:spacing w:before="40" w:after="20"/>
              <w:ind w:left="270"/>
            </w:pPr>
            <w:r w:rsidRPr="0023643C">
              <w:t>CD4 200–350</w:t>
            </w:r>
          </w:p>
        </w:tc>
        <w:tc>
          <w:tcPr>
            <w:tcW w:w="3510" w:type="dxa"/>
            <w:gridSpan w:val="4"/>
            <w:tcBorders>
              <w:top w:val="single" w:sz="4" w:space="0" w:color="808080" w:themeColor="background1" w:themeShade="80"/>
              <w:bottom w:val="single" w:sz="4" w:space="0" w:color="808080" w:themeColor="background1" w:themeShade="80"/>
            </w:tcBorders>
            <w:shd w:val="clear" w:color="auto" w:fill="auto"/>
            <w:noWrap/>
          </w:tcPr>
          <w:p w14:paraId="73E333EC" w14:textId="37016847" w:rsidR="00DF4DF2" w:rsidRPr="0023643C" w:rsidRDefault="00DF4DF2" w:rsidP="00DF4DF2">
            <w:pPr>
              <w:pStyle w:val="TableText"/>
              <w:spacing w:before="40" w:after="20"/>
            </w:pPr>
            <w:r w:rsidRPr="0023643C">
              <w:t>----------------</w:t>
            </w:r>
            <w:r w:rsidR="00FA40DE" w:rsidRPr="00FA40DE">
              <w:rPr>
                <w:i/>
              </w:rPr>
              <w:t>36.43</w:t>
            </w:r>
            <w:r w:rsidRPr="0023643C">
              <w:t>-----------------</w:t>
            </w:r>
          </w:p>
        </w:tc>
        <w:tc>
          <w:tcPr>
            <w:tcW w:w="1800" w:type="dxa"/>
            <w:gridSpan w:val="4"/>
            <w:tcBorders>
              <w:top w:val="single" w:sz="4" w:space="0" w:color="808080" w:themeColor="background1" w:themeShade="80"/>
              <w:bottom w:val="single" w:sz="4" w:space="0" w:color="808080" w:themeColor="background1" w:themeShade="80"/>
            </w:tcBorders>
            <w:shd w:val="clear" w:color="auto" w:fill="auto"/>
          </w:tcPr>
          <w:p w14:paraId="6E4BD041" w14:textId="0896A858" w:rsidR="00DF4DF2" w:rsidRPr="0023643C" w:rsidRDefault="00DF4DF2" w:rsidP="00DF4DF2">
            <w:pPr>
              <w:pStyle w:val="TableText"/>
              <w:spacing w:before="40" w:after="20"/>
            </w:pPr>
            <w:r w:rsidRPr="0023643C">
              <w:t>------</w:t>
            </w:r>
            <w:r w:rsidR="00FA40DE" w:rsidRPr="00FA40DE">
              <w:rPr>
                <w:i/>
              </w:rPr>
              <w:t>48.36</w:t>
            </w:r>
            <w:r w:rsidRPr="0023643C">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6D8140A0" w14:textId="59895A04" w:rsidR="00DF4DF2" w:rsidRPr="0023643C" w:rsidRDefault="00FA40DE" w:rsidP="00DF4DF2">
            <w:pPr>
              <w:pStyle w:val="TableText"/>
              <w:spacing w:before="40" w:after="20"/>
            </w:pPr>
            <w:r w:rsidRPr="00FA40DE">
              <w:rPr>
                <w:i/>
              </w:rPr>
              <w:t>7.32</w:t>
            </w:r>
          </w:p>
        </w:tc>
        <w:tc>
          <w:tcPr>
            <w:tcW w:w="4046" w:type="dxa"/>
            <w:gridSpan w:val="2"/>
            <w:vMerge/>
            <w:tcBorders>
              <w:top w:val="single" w:sz="4" w:space="0" w:color="808080" w:themeColor="background1" w:themeShade="80"/>
              <w:bottom w:val="single" w:sz="4" w:space="0" w:color="808080" w:themeColor="background1" w:themeShade="80"/>
            </w:tcBorders>
            <w:shd w:val="clear" w:color="auto" w:fill="auto"/>
            <w:noWrap/>
          </w:tcPr>
          <w:p w14:paraId="12993370" w14:textId="77777777" w:rsidR="00DF4DF2" w:rsidRPr="0023643C" w:rsidRDefault="00DF4DF2" w:rsidP="00DF4DF2">
            <w:pPr>
              <w:pStyle w:val="TableText"/>
              <w:spacing w:before="40" w:after="20"/>
            </w:pPr>
          </w:p>
        </w:tc>
      </w:tr>
      <w:tr w:rsidR="00DF4DF2" w:rsidRPr="0023643C" w14:paraId="6BE3A387" w14:textId="77777777" w:rsidTr="00DF4DF2">
        <w:trPr>
          <w:cantSplit/>
        </w:trPr>
        <w:tc>
          <w:tcPr>
            <w:tcW w:w="8914" w:type="dxa"/>
            <w:gridSpan w:val="11"/>
            <w:tcBorders>
              <w:top w:val="single" w:sz="4" w:space="0" w:color="808080" w:themeColor="background1" w:themeShade="80"/>
              <w:bottom w:val="single" w:sz="4" w:space="0" w:color="808080" w:themeColor="background1" w:themeShade="80"/>
            </w:tcBorders>
            <w:shd w:val="clear" w:color="auto" w:fill="auto"/>
            <w:noWrap/>
          </w:tcPr>
          <w:p w14:paraId="17942EC2" w14:textId="77777777" w:rsidR="00DF4DF2" w:rsidRPr="0023643C" w:rsidRDefault="00DF4DF2" w:rsidP="00DF4DF2">
            <w:pPr>
              <w:pStyle w:val="TableText"/>
              <w:spacing w:before="40" w:after="20"/>
            </w:pPr>
            <w:r w:rsidRPr="0023643C">
              <w:t>Annual rate of progressing by one disease stage (to lower CD4 count) while VLS (</w:t>
            </w:r>
            <w:r w:rsidRPr="0023643C">
              <w:rPr>
                <w:i/>
                <w:iCs/>
              </w:rPr>
              <w:t>r</w:t>
            </w:r>
            <w:r w:rsidRPr="0023643C">
              <w:t xml:space="preserve"> = 5) </w:t>
            </w:r>
          </w:p>
        </w:tc>
        <w:tc>
          <w:tcPr>
            <w:tcW w:w="4046" w:type="dxa"/>
            <w:gridSpan w:val="2"/>
            <w:tcBorders>
              <w:top w:val="single" w:sz="4" w:space="0" w:color="808080" w:themeColor="background1" w:themeShade="80"/>
              <w:bottom w:val="single" w:sz="4" w:space="0" w:color="808080" w:themeColor="background1" w:themeShade="80"/>
            </w:tcBorders>
            <w:shd w:val="clear" w:color="auto" w:fill="auto"/>
            <w:noWrap/>
          </w:tcPr>
          <w:p w14:paraId="2AD2967B" w14:textId="77777777" w:rsidR="00DF4DF2" w:rsidRPr="0023643C" w:rsidRDefault="00DF4DF2" w:rsidP="00DF4DF2">
            <w:pPr>
              <w:pStyle w:val="TableText"/>
              <w:spacing w:before="40" w:after="20"/>
            </w:pPr>
          </w:p>
        </w:tc>
      </w:tr>
      <w:tr w:rsidR="00DF4DF2" w:rsidRPr="0023643C" w14:paraId="54C6D4AA" w14:textId="77777777" w:rsidTr="00DF4DF2">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170570C0" w14:textId="77777777" w:rsidR="00DF4DF2" w:rsidRPr="0023643C" w:rsidRDefault="00DF4DF2" w:rsidP="00DF4DF2">
            <w:pPr>
              <w:pStyle w:val="TableText"/>
              <w:spacing w:before="40" w:after="20"/>
              <w:ind w:left="270"/>
            </w:pPr>
            <w:r w:rsidRPr="0023643C">
              <w:t>CD4 &gt; 500</w:t>
            </w:r>
          </w:p>
        </w:tc>
        <w:tc>
          <w:tcPr>
            <w:tcW w:w="6210" w:type="dxa"/>
            <w:gridSpan w:val="10"/>
            <w:tcBorders>
              <w:top w:val="single" w:sz="4" w:space="0" w:color="808080" w:themeColor="background1" w:themeShade="80"/>
              <w:bottom w:val="single" w:sz="4" w:space="0" w:color="808080" w:themeColor="background1" w:themeShade="80"/>
            </w:tcBorders>
            <w:shd w:val="clear" w:color="auto" w:fill="auto"/>
            <w:noWrap/>
          </w:tcPr>
          <w:p w14:paraId="46C32F38" w14:textId="471DD9E7" w:rsidR="00DF4DF2" w:rsidRPr="0023643C" w:rsidRDefault="00DF4DF2" w:rsidP="00DF4DF2">
            <w:pPr>
              <w:pStyle w:val="TableText"/>
              <w:spacing w:before="40" w:after="20"/>
            </w:pPr>
            <w:r w:rsidRPr="0023643C">
              <w:t>------------------------------</w:t>
            </w:r>
            <w:r w:rsidR="00FA40DE" w:rsidRPr="00FA40DE">
              <w:rPr>
                <w:i/>
              </w:rPr>
              <w:t>0.044</w:t>
            </w:r>
            <w:r w:rsidRPr="0023643C">
              <w:t>--------------------------------</w:t>
            </w:r>
          </w:p>
        </w:tc>
        <w:tc>
          <w:tcPr>
            <w:tcW w:w="4046" w:type="dxa"/>
            <w:gridSpan w:val="2"/>
            <w:tcBorders>
              <w:top w:val="single" w:sz="4" w:space="0" w:color="808080" w:themeColor="background1" w:themeShade="80"/>
              <w:bottom w:val="nil"/>
            </w:tcBorders>
            <w:shd w:val="clear" w:color="auto" w:fill="auto"/>
            <w:noWrap/>
          </w:tcPr>
          <w:p w14:paraId="48F75D65" w14:textId="1A0FB225" w:rsidR="00DF4DF2" w:rsidRPr="0023643C" w:rsidRDefault="00DF4DF2" w:rsidP="00DF4DF2">
            <w:pPr>
              <w:pStyle w:val="TableText"/>
              <w:spacing w:before="40" w:after="20"/>
            </w:pPr>
            <w:r w:rsidRPr="0023643C">
              <w:t xml:space="preserve">Determined by </w:t>
            </w:r>
            <w:proofErr w:type="spellStart"/>
            <w:r w:rsidRPr="0023643C">
              <w:t>calibration</w:t>
            </w:r>
            <w:r w:rsidRPr="0023643C">
              <w:rPr>
                <w:vertAlign w:val="superscript"/>
              </w:rPr>
              <w:t>d</w:t>
            </w:r>
            <w:proofErr w:type="spellEnd"/>
          </w:p>
        </w:tc>
      </w:tr>
      <w:tr w:rsidR="00DF4DF2" w:rsidRPr="0023643C" w14:paraId="40021B23" w14:textId="77777777" w:rsidTr="00DF4DF2">
        <w:trPr>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6AD969F4" w14:textId="77777777" w:rsidR="00DF4DF2" w:rsidRPr="0023643C" w:rsidRDefault="00DF4DF2" w:rsidP="00DF4DF2">
            <w:pPr>
              <w:pStyle w:val="TableText"/>
              <w:spacing w:before="40" w:after="20"/>
              <w:ind w:left="270"/>
            </w:pPr>
            <w:r w:rsidRPr="0023643C">
              <w:t>CD4 350–500</w:t>
            </w:r>
          </w:p>
        </w:tc>
        <w:tc>
          <w:tcPr>
            <w:tcW w:w="6210" w:type="dxa"/>
            <w:gridSpan w:val="10"/>
            <w:tcBorders>
              <w:top w:val="nil"/>
              <w:bottom w:val="single" w:sz="4" w:space="0" w:color="808080" w:themeColor="background1" w:themeShade="80"/>
            </w:tcBorders>
            <w:shd w:val="clear" w:color="auto" w:fill="auto"/>
            <w:noWrap/>
          </w:tcPr>
          <w:p w14:paraId="31C29A92" w14:textId="17D65C8E" w:rsidR="00DF4DF2" w:rsidRPr="0023643C" w:rsidRDefault="00DF4DF2" w:rsidP="00DF4DF2">
            <w:pPr>
              <w:pStyle w:val="TableText"/>
              <w:spacing w:before="40" w:after="20"/>
            </w:pPr>
            <w:r w:rsidRPr="0023643C">
              <w:t>------------------------------</w:t>
            </w:r>
            <w:r w:rsidR="00FA40DE" w:rsidRPr="00FA40DE">
              <w:rPr>
                <w:i/>
              </w:rPr>
              <w:t>0.045</w:t>
            </w:r>
            <w:r w:rsidRPr="0023643C">
              <w:t>--------------------------------</w:t>
            </w:r>
          </w:p>
        </w:tc>
        <w:tc>
          <w:tcPr>
            <w:tcW w:w="4046" w:type="dxa"/>
            <w:gridSpan w:val="2"/>
            <w:tcBorders>
              <w:top w:val="nil"/>
              <w:bottom w:val="nil"/>
            </w:tcBorders>
            <w:shd w:val="clear" w:color="auto" w:fill="auto"/>
            <w:noWrap/>
          </w:tcPr>
          <w:p w14:paraId="11B0A04B" w14:textId="77777777" w:rsidR="00DF4DF2" w:rsidRPr="0023643C" w:rsidRDefault="00DF4DF2" w:rsidP="00DF4DF2">
            <w:pPr>
              <w:pStyle w:val="TableText"/>
              <w:spacing w:before="40" w:after="20"/>
            </w:pPr>
          </w:p>
        </w:tc>
      </w:tr>
      <w:tr w:rsidR="00DF4DF2" w:rsidRPr="0023643C" w14:paraId="1BB35507" w14:textId="77777777" w:rsidTr="00DF4DF2">
        <w:trPr>
          <w:cantSplit/>
        </w:trPr>
        <w:tc>
          <w:tcPr>
            <w:tcW w:w="2704" w:type="dxa"/>
            <w:tcBorders>
              <w:top w:val="single" w:sz="4" w:space="0" w:color="808080" w:themeColor="background1" w:themeShade="80"/>
              <w:bottom w:val="single" w:sz="6" w:space="0" w:color="auto"/>
            </w:tcBorders>
            <w:shd w:val="clear" w:color="auto" w:fill="auto"/>
            <w:noWrap/>
          </w:tcPr>
          <w:p w14:paraId="2BD7E8E7" w14:textId="77777777" w:rsidR="00DF4DF2" w:rsidRPr="0023643C" w:rsidRDefault="00DF4DF2" w:rsidP="00DF4DF2">
            <w:pPr>
              <w:pStyle w:val="TableText"/>
              <w:spacing w:before="40" w:after="20"/>
              <w:ind w:left="270"/>
            </w:pPr>
            <w:r w:rsidRPr="0023643C">
              <w:t>CD4 200–350</w:t>
            </w:r>
          </w:p>
        </w:tc>
        <w:tc>
          <w:tcPr>
            <w:tcW w:w="6210" w:type="dxa"/>
            <w:gridSpan w:val="10"/>
            <w:tcBorders>
              <w:top w:val="single" w:sz="4" w:space="0" w:color="808080" w:themeColor="background1" w:themeShade="80"/>
              <w:bottom w:val="single" w:sz="6" w:space="0" w:color="auto"/>
            </w:tcBorders>
            <w:shd w:val="clear" w:color="auto" w:fill="auto"/>
            <w:noWrap/>
          </w:tcPr>
          <w:p w14:paraId="150EC1EF" w14:textId="03D3E14C" w:rsidR="00DF4DF2" w:rsidRPr="0023643C" w:rsidRDefault="00DF4DF2" w:rsidP="00DF4DF2">
            <w:pPr>
              <w:pStyle w:val="TableText"/>
              <w:spacing w:before="40" w:after="20"/>
            </w:pPr>
            <w:r w:rsidRPr="0023643C">
              <w:t>------------------------------</w:t>
            </w:r>
            <w:r w:rsidR="00FA40DE" w:rsidRPr="00FA40DE">
              <w:rPr>
                <w:i/>
              </w:rPr>
              <w:t>0.032</w:t>
            </w:r>
            <w:r w:rsidRPr="0023643C">
              <w:t>--------------------------------</w:t>
            </w:r>
          </w:p>
        </w:tc>
        <w:tc>
          <w:tcPr>
            <w:tcW w:w="4046" w:type="dxa"/>
            <w:gridSpan w:val="2"/>
            <w:tcBorders>
              <w:top w:val="nil"/>
              <w:bottom w:val="single" w:sz="6" w:space="0" w:color="auto"/>
            </w:tcBorders>
            <w:shd w:val="clear" w:color="auto" w:fill="auto"/>
            <w:noWrap/>
          </w:tcPr>
          <w:p w14:paraId="7232A365" w14:textId="77777777" w:rsidR="00DF4DF2" w:rsidRPr="0023643C" w:rsidRDefault="00DF4DF2" w:rsidP="00DF4DF2">
            <w:pPr>
              <w:pStyle w:val="TableText"/>
              <w:spacing w:before="40" w:after="20"/>
            </w:pPr>
          </w:p>
        </w:tc>
      </w:tr>
      <w:tr w:rsidR="0001579D" w:rsidRPr="0023643C" w14:paraId="1B556DE5" w14:textId="77777777" w:rsidTr="00DF4DF2">
        <w:trPr>
          <w:gridAfter w:val="1"/>
          <w:wAfter w:w="73" w:type="dxa"/>
          <w:cantSplit/>
        </w:trPr>
        <w:tc>
          <w:tcPr>
            <w:tcW w:w="8914" w:type="dxa"/>
            <w:gridSpan w:val="11"/>
            <w:tcBorders>
              <w:top w:val="single" w:sz="6" w:space="0" w:color="auto"/>
              <w:bottom w:val="single" w:sz="4" w:space="0" w:color="808080" w:themeColor="background1" w:themeShade="80"/>
            </w:tcBorders>
            <w:shd w:val="clear" w:color="auto" w:fill="auto"/>
            <w:noWrap/>
          </w:tcPr>
          <w:p w14:paraId="1195D599" w14:textId="009F6F25" w:rsidR="0001579D" w:rsidRPr="0023643C" w:rsidRDefault="0001579D" w:rsidP="006705F3">
            <w:pPr>
              <w:pStyle w:val="TableText"/>
              <w:spacing w:before="40" w:after="40"/>
            </w:pPr>
            <w:r w:rsidRPr="0023643C">
              <w:t xml:space="preserve">Annual rate of improving one disease stage </w:t>
            </w:r>
            <w:r w:rsidR="0006025F" w:rsidRPr="0023643C">
              <w:t xml:space="preserve">(to higher CD4 count) </w:t>
            </w:r>
            <w:r w:rsidRPr="0023643C">
              <w:t>while VLS</w:t>
            </w:r>
            <w:r w:rsidR="00782A6B" w:rsidRPr="0023643C">
              <w:t xml:space="preserve"> (</w:t>
            </w:r>
            <w:r w:rsidR="00782A6B" w:rsidRPr="0023643C">
              <w:rPr>
                <w:i/>
                <w:iCs/>
              </w:rPr>
              <w:t>r</w:t>
            </w:r>
            <w:r w:rsidR="00E628BE" w:rsidRPr="0023643C">
              <w:t> = </w:t>
            </w:r>
            <w:r w:rsidR="00782A6B" w:rsidRPr="0023643C">
              <w:t>5)</w:t>
            </w:r>
          </w:p>
        </w:tc>
        <w:tc>
          <w:tcPr>
            <w:tcW w:w="3973" w:type="dxa"/>
            <w:tcBorders>
              <w:top w:val="single" w:sz="6" w:space="0" w:color="auto"/>
              <w:bottom w:val="single" w:sz="4" w:space="0" w:color="808080" w:themeColor="background1" w:themeShade="80"/>
            </w:tcBorders>
            <w:shd w:val="clear" w:color="auto" w:fill="auto"/>
            <w:noWrap/>
          </w:tcPr>
          <w:p w14:paraId="3C3012FE" w14:textId="77777777" w:rsidR="0001579D" w:rsidRPr="0023643C" w:rsidRDefault="0001579D" w:rsidP="006705F3">
            <w:pPr>
              <w:pStyle w:val="TableText"/>
              <w:spacing w:before="40" w:after="40"/>
            </w:pPr>
          </w:p>
        </w:tc>
      </w:tr>
      <w:tr w:rsidR="00BC3028" w:rsidRPr="0023643C" w14:paraId="76C9F1BE"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3765B8F1" w14:textId="097A4FFB" w:rsidR="00BC3028" w:rsidRPr="0023643C" w:rsidRDefault="00BC3028" w:rsidP="00BC3028">
            <w:pPr>
              <w:pStyle w:val="TableText"/>
              <w:spacing w:before="40" w:after="40"/>
              <w:ind w:left="270"/>
            </w:pPr>
            <w:r w:rsidRPr="0023643C">
              <w:t>CD4 350–500</w:t>
            </w:r>
          </w:p>
        </w:tc>
        <w:tc>
          <w:tcPr>
            <w:tcW w:w="3564" w:type="dxa"/>
            <w:gridSpan w:val="6"/>
            <w:tcBorders>
              <w:top w:val="single" w:sz="4" w:space="0" w:color="808080" w:themeColor="background1" w:themeShade="80"/>
              <w:bottom w:val="single" w:sz="4" w:space="0" w:color="808080" w:themeColor="background1" w:themeShade="80"/>
            </w:tcBorders>
            <w:shd w:val="clear" w:color="auto" w:fill="auto"/>
            <w:noWrap/>
          </w:tcPr>
          <w:p w14:paraId="63124967" w14:textId="7F20E513" w:rsidR="00BC3028" w:rsidRPr="0023643C" w:rsidRDefault="00BC3028" w:rsidP="00BC3028">
            <w:pPr>
              <w:pStyle w:val="TableText"/>
              <w:spacing w:before="40" w:after="40"/>
            </w:pPr>
            <w:r w:rsidRPr="0023643C">
              <w:t>----------------</w:t>
            </w:r>
            <w:r w:rsidR="00FA40DE" w:rsidRPr="00FA40DE">
              <w:rPr>
                <w:i/>
              </w:rPr>
              <w:t>0.43</w:t>
            </w:r>
            <w:r w:rsidRPr="0023643C">
              <w:t>-----------------</w:t>
            </w:r>
          </w:p>
        </w:tc>
        <w:tc>
          <w:tcPr>
            <w:tcW w:w="1746" w:type="dxa"/>
            <w:gridSpan w:val="2"/>
            <w:tcBorders>
              <w:top w:val="single" w:sz="4" w:space="0" w:color="808080" w:themeColor="background1" w:themeShade="80"/>
              <w:bottom w:val="single" w:sz="4" w:space="0" w:color="808080" w:themeColor="background1" w:themeShade="80"/>
            </w:tcBorders>
            <w:shd w:val="clear" w:color="auto" w:fill="auto"/>
          </w:tcPr>
          <w:p w14:paraId="6B1CA17C" w14:textId="2CEA20DD" w:rsidR="00BC3028" w:rsidRPr="0023643C" w:rsidRDefault="00CD326F" w:rsidP="00BC3028">
            <w:pPr>
              <w:pStyle w:val="TableText"/>
              <w:spacing w:before="40" w:after="40"/>
            </w:pPr>
            <w:r w:rsidRPr="0023643C">
              <w:t>-----</w:t>
            </w:r>
            <w:r w:rsidR="00FA40DE" w:rsidRPr="00FA40DE">
              <w:rPr>
                <w:i/>
              </w:rPr>
              <w:t>0.45</w:t>
            </w:r>
            <w:r w:rsidRPr="0023643C">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5474CBB8" w14:textId="2D457B73" w:rsidR="00BC3028" w:rsidRPr="0023643C" w:rsidRDefault="00FA40DE" w:rsidP="00BC3028">
            <w:pPr>
              <w:pStyle w:val="TableText"/>
              <w:spacing w:before="40" w:after="40"/>
            </w:pPr>
            <w:r w:rsidRPr="00FA40DE">
              <w:rPr>
                <w:i/>
              </w:rPr>
              <w:t>0.45</w:t>
            </w:r>
          </w:p>
        </w:tc>
        <w:tc>
          <w:tcPr>
            <w:tcW w:w="3973" w:type="dxa"/>
            <w:vMerge w:val="restart"/>
            <w:tcBorders>
              <w:top w:val="single" w:sz="4" w:space="0" w:color="808080" w:themeColor="background1" w:themeShade="80"/>
              <w:bottom w:val="single" w:sz="4" w:space="0" w:color="808080" w:themeColor="background1" w:themeShade="80"/>
            </w:tcBorders>
            <w:shd w:val="clear" w:color="auto" w:fill="auto"/>
            <w:noWrap/>
          </w:tcPr>
          <w:p w14:paraId="1FB82757" w14:textId="4099D67F" w:rsidR="00BC3028" w:rsidRPr="0023643C" w:rsidRDefault="00BC3028" w:rsidP="00BC3028">
            <w:pPr>
              <w:pStyle w:val="TableText"/>
              <w:spacing w:before="40" w:after="40"/>
            </w:pPr>
            <w:r w:rsidRPr="0023643C">
              <w:t xml:space="preserve">Determined by </w:t>
            </w:r>
            <w:proofErr w:type="spellStart"/>
            <w:r w:rsidRPr="0023643C">
              <w:t>calibration</w:t>
            </w:r>
            <w:r w:rsidRPr="0023643C">
              <w:rPr>
                <w:vertAlign w:val="superscript"/>
              </w:rPr>
              <w:t>d</w:t>
            </w:r>
            <w:proofErr w:type="spellEnd"/>
          </w:p>
        </w:tc>
      </w:tr>
      <w:tr w:rsidR="00BC3028" w:rsidRPr="0023643C" w14:paraId="21FE2B56"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3C4C0E9E" w14:textId="24126BC6" w:rsidR="00BC3028" w:rsidRPr="0023643C" w:rsidRDefault="00BC3028" w:rsidP="00BC3028">
            <w:pPr>
              <w:pStyle w:val="TableText"/>
              <w:spacing w:before="40" w:after="40"/>
              <w:ind w:left="270"/>
            </w:pPr>
            <w:r w:rsidRPr="0023643C">
              <w:t>CD4 200–350</w:t>
            </w:r>
          </w:p>
        </w:tc>
        <w:tc>
          <w:tcPr>
            <w:tcW w:w="3564" w:type="dxa"/>
            <w:gridSpan w:val="6"/>
            <w:tcBorders>
              <w:top w:val="single" w:sz="4" w:space="0" w:color="808080" w:themeColor="background1" w:themeShade="80"/>
              <w:bottom w:val="single" w:sz="4" w:space="0" w:color="808080" w:themeColor="background1" w:themeShade="80"/>
            </w:tcBorders>
            <w:shd w:val="clear" w:color="auto" w:fill="auto"/>
            <w:noWrap/>
          </w:tcPr>
          <w:p w14:paraId="790A4649" w14:textId="30BCC7A4" w:rsidR="00BC3028" w:rsidRPr="0023643C" w:rsidRDefault="00BC3028" w:rsidP="00BC3028">
            <w:pPr>
              <w:pStyle w:val="TableText"/>
              <w:spacing w:before="40" w:after="40"/>
            </w:pPr>
            <w:r w:rsidRPr="0023643C">
              <w:t>----------------</w:t>
            </w:r>
            <w:r w:rsidR="00FA40DE" w:rsidRPr="00FA40DE">
              <w:rPr>
                <w:i/>
              </w:rPr>
              <w:t>0.39</w:t>
            </w:r>
            <w:r w:rsidRPr="0023643C">
              <w:t>-----------------</w:t>
            </w:r>
          </w:p>
        </w:tc>
        <w:tc>
          <w:tcPr>
            <w:tcW w:w="1746" w:type="dxa"/>
            <w:gridSpan w:val="2"/>
            <w:tcBorders>
              <w:top w:val="single" w:sz="4" w:space="0" w:color="808080" w:themeColor="background1" w:themeShade="80"/>
              <w:bottom w:val="single" w:sz="4" w:space="0" w:color="808080" w:themeColor="background1" w:themeShade="80"/>
            </w:tcBorders>
            <w:shd w:val="clear" w:color="auto" w:fill="auto"/>
          </w:tcPr>
          <w:p w14:paraId="58597B0A" w14:textId="4988663A" w:rsidR="00BC3028" w:rsidRPr="0023643C" w:rsidRDefault="00CD326F" w:rsidP="00BC3028">
            <w:pPr>
              <w:pStyle w:val="TableText"/>
              <w:spacing w:before="40" w:after="40"/>
            </w:pPr>
            <w:r w:rsidRPr="0023643C">
              <w:t>-----</w:t>
            </w:r>
            <w:r w:rsidR="00FA40DE" w:rsidRPr="00FA40DE">
              <w:rPr>
                <w:i/>
              </w:rPr>
              <w:t>0.45</w:t>
            </w:r>
            <w:r w:rsidRPr="0023643C">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4CD9A255" w14:textId="0744D2ED" w:rsidR="00BC3028" w:rsidRPr="0023643C" w:rsidRDefault="00FA40DE" w:rsidP="00BC3028">
            <w:pPr>
              <w:pStyle w:val="TableText"/>
              <w:spacing w:before="40" w:after="40"/>
            </w:pPr>
            <w:r w:rsidRPr="00FA40DE">
              <w:rPr>
                <w:i/>
              </w:rPr>
              <w:t>0.47</w:t>
            </w:r>
          </w:p>
        </w:tc>
        <w:tc>
          <w:tcPr>
            <w:tcW w:w="3973" w:type="dxa"/>
            <w:vMerge/>
            <w:tcBorders>
              <w:top w:val="single" w:sz="4" w:space="0" w:color="808080" w:themeColor="background1" w:themeShade="80"/>
              <w:bottom w:val="single" w:sz="4" w:space="0" w:color="808080" w:themeColor="background1" w:themeShade="80"/>
            </w:tcBorders>
            <w:shd w:val="clear" w:color="auto" w:fill="auto"/>
            <w:noWrap/>
          </w:tcPr>
          <w:p w14:paraId="54357609" w14:textId="77777777" w:rsidR="00BC3028" w:rsidRPr="0023643C" w:rsidRDefault="00BC3028" w:rsidP="00BC3028">
            <w:pPr>
              <w:pStyle w:val="TableText"/>
              <w:spacing w:before="40" w:after="40"/>
            </w:pPr>
          </w:p>
        </w:tc>
      </w:tr>
      <w:tr w:rsidR="00BC3028" w:rsidRPr="0023643C" w14:paraId="7B08FDB4"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2ED14395" w14:textId="06AACF74" w:rsidR="00BC3028" w:rsidRPr="001D16B3" w:rsidRDefault="00BC3028" w:rsidP="00BC3028">
            <w:pPr>
              <w:pStyle w:val="TableText"/>
              <w:spacing w:before="40" w:after="40"/>
              <w:ind w:left="270"/>
            </w:pPr>
            <w:r w:rsidRPr="001D16B3">
              <w:t>CD4 &lt; 200</w:t>
            </w:r>
          </w:p>
        </w:tc>
        <w:tc>
          <w:tcPr>
            <w:tcW w:w="3564" w:type="dxa"/>
            <w:gridSpan w:val="6"/>
            <w:tcBorders>
              <w:top w:val="single" w:sz="4" w:space="0" w:color="808080" w:themeColor="background1" w:themeShade="80"/>
              <w:bottom w:val="single" w:sz="4" w:space="0" w:color="808080" w:themeColor="background1" w:themeShade="80"/>
            </w:tcBorders>
            <w:shd w:val="clear" w:color="auto" w:fill="auto"/>
            <w:noWrap/>
          </w:tcPr>
          <w:p w14:paraId="56662DDD" w14:textId="1C2FAF2D" w:rsidR="00BC3028" w:rsidRPr="001D16B3" w:rsidRDefault="00BC3028" w:rsidP="00BC3028">
            <w:pPr>
              <w:pStyle w:val="TableText"/>
              <w:spacing w:before="40" w:after="40"/>
            </w:pPr>
            <w:r w:rsidRPr="001D16B3">
              <w:t>----------------</w:t>
            </w:r>
            <w:r w:rsidR="00FA40DE" w:rsidRPr="00FA40DE">
              <w:rPr>
                <w:i/>
              </w:rPr>
              <w:t>0.39</w:t>
            </w:r>
            <w:r w:rsidRPr="001D16B3">
              <w:t>-----------------</w:t>
            </w:r>
          </w:p>
        </w:tc>
        <w:tc>
          <w:tcPr>
            <w:tcW w:w="1746" w:type="dxa"/>
            <w:gridSpan w:val="2"/>
            <w:tcBorders>
              <w:top w:val="single" w:sz="4" w:space="0" w:color="808080" w:themeColor="background1" w:themeShade="80"/>
              <w:bottom w:val="single" w:sz="4" w:space="0" w:color="808080" w:themeColor="background1" w:themeShade="80"/>
            </w:tcBorders>
            <w:shd w:val="clear" w:color="auto" w:fill="auto"/>
          </w:tcPr>
          <w:p w14:paraId="2A6537FE" w14:textId="0FBD8374" w:rsidR="00BC3028" w:rsidRPr="001D16B3" w:rsidRDefault="00CD326F" w:rsidP="00BC3028">
            <w:pPr>
              <w:pStyle w:val="TableText"/>
              <w:spacing w:before="40" w:after="40"/>
            </w:pPr>
            <w:r w:rsidRPr="001D16B3">
              <w:t>-----</w:t>
            </w:r>
            <w:r w:rsidR="00FA40DE" w:rsidRPr="00FA40DE">
              <w:rPr>
                <w:i/>
              </w:rPr>
              <w:t>0.57</w:t>
            </w:r>
            <w:r w:rsidRPr="001D16B3">
              <w:t>--------</w:t>
            </w:r>
          </w:p>
        </w:tc>
        <w:tc>
          <w:tcPr>
            <w:tcW w:w="900" w:type="dxa"/>
            <w:gridSpan w:val="2"/>
            <w:tcBorders>
              <w:top w:val="single" w:sz="4" w:space="0" w:color="808080" w:themeColor="background1" w:themeShade="80"/>
              <w:bottom w:val="single" w:sz="4" w:space="0" w:color="808080" w:themeColor="background1" w:themeShade="80"/>
            </w:tcBorders>
            <w:shd w:val="clear" w:color="auto" w:fill="auto"/>
          </w:tcPr>
          <w:p w14:paraId="2D1A6D97" w14:textId="4B67D645" w:rsidR="00BC3028" w:rsidRPr="001D16B3" w:rsidRDefault="00FA40DE" w:rsidP="00BC3028">
            <w:pPr>
              <w:pStyle w:val="TableText"/>
              <w:spacing w:before="40" w:after="40"/>
            </w:pPr>
            <w:r w:rsidRPr="00FA40DE">
              <w:rPr>
                <w:i/>
              </w:rPr>
              <w:t>0.53</w:t>
            </w:r>
          </w:p>
        </w:tc>
        <w:tc>
          <w:tcPr>
            <w:tcW w:w="3973" w:type="dxa"/>
            <w:vMerge/>
            <w:tcBorders>
              <w:top w:val="single" w:sz="4" w:space="0" w:color="808080" w:themeColor="background1" w:themeShade="80"/>
              <w:bottom w:val="single" w:sz="4" w:space="0" w:color="808080" w:themeColor="background1" w:themeShade="80"/>
            </w:tcBorders>
            <w:shd w:val="clear" w:color="auto" w:fill="auto"/>
            <w:noWrap/>
          </w:tcPr>
          <w:p w14:paraId="69EB181D" w14:textId="77777777" w:rsidR="00BC3028" w:rsidRPr="0023643C" w:rsidRDefault="00BC3028" w:rsidP="00BC3028">
            <w:pPr>
              <w:pStyle w:val="TableText"/>
              <w:spacing w:before="40" w:after="40"/>
            </w:pPr>
          </w:p>
        </w:tc>
      </w:tr>
      <w:tr w:rsidR="00BC3028" w:rsidRPr="00520A50" w14:paraId="4DCD3A13" w14:textId="77777777" w:rsidTr="00DF4DF2">
        <w:trPr>
          <w:gridAfter w:val="1"/>
          <w:wAfter w:w="73" w:type="dxa"/>
          <w:cantSplit/>
        </w:trPr>
        <w:tc>
          <w:tcPr>
            <w:tcW w:w="12887" w:type="dxa"/>
            <w:gridSpan w:val="12"/>
            <w:tcBorders>
              <w:top w:val="single" w:sz="4" w:space="0" w:color="808080" w:themeColor="background1" w:themeShade="80"/>
              <w:bottom w:val="single" w:sz="4" w:space="0" w:color="808080" w:themeColor="background1" w:themeShade="80"/>
            </w:tcBorders>
            <w:shd w:val="clear" w:color="auto" w:fill="auto"/>
            <w:noWrap/>
          </w:tcPr>
          <w:p w14:paraId="3EBC0309" w14:textId="643BE3BF" w:rsidR="00BC3028" w:rsidRPr="001D16B3" w:rsidRDefault="00BC3028" w:rsidP="00BC3028">
            <w:pPr>
              <w:pStyle w:val="TableText"/>
              <w:keepNext/>
              <w:spacing w:before="40" w:after="40"/>
            </w:pPr>
            <w:r w:rsidRPr="001D16B3">
              <w:t xml:space="preserve">Annual probability of death </w:t>
            </w:r>
            <w:r w:rsidR="008A60F3">
              <w:t xml:space="preserve">for PWH who are </w:t>
            </w:r>
            <w:r w:rsidRPr="001D16B3">
              <w:t xml:space="preserve">VLS in </w:t>
            </w:r>
            <w:r w:rsidR="00DB506C" w:rsidRPr="001D16B3">
              <w:t>all</w:t>
            </w:r>
            <w:r w:rsidRPr="001D16B3">
              <w:t xml:space="preserve"> time period</w:t>
            </w:r>
            <w:r w:rsidR="0048462A" w:rsidRPr="001D16B3">
              <w:t>s</w:t>
            </w:r>
            <w:r w:rsidRPr="001D16B3">
              <w:t>, by disease stage (</w:t>
            </w:r>
            <w:r w:rsidRPr="001D16B3">
              <w:rPr>
                <w:i/>
                <w:iCs/>
              </w:rPr>
              <w:t>r</w:t>
            </w:r>
            <w:r w:rsidRPr="001D16B3">
              <w:t> = 5; range across race/ethnicities)</w:t>
            </w:r>
          </w:p>
        </w:tc>
      </w:tr>
      <w:tr w:rsidR="00BC3028" w:rsidRPr="00520A50" w14:paraId="6A1A258D"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15D8F65B" w14:textId="6081E44B" w:rsidR="00BC3028" w:rsidRPr="001D16B3" w:rsidRDefault="00BC3028" w:rsidP="00BC3028">
            <w:pPr>
              <w:pStyle w:val="TableText"/>
              <w:spacing w:before="40" w:after="40"/>
              <w:ind w:left="270"/>
            </w:pPr>
            <w:r w:rsidRPr="001D16B3">
              <w:t>CD4 &gt; 200</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3F6FB0CA" w14:textId="13740FCA" w:rsidR="00BC3028" w:rsidRPr="001D16B3" w:rsidRDefault="00BC3028" w:rsidP="00BC3028">
            <w:pPr>
              <w:pStyle w:val="TableText"/>
              <w:spacing w:before="40" w:after="40"/>
              <w:jc w:val="center"/>
            </w:pPr>
            <w:r w:rsidRPr="001D16B3">
              <w:t>0.0060</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3ADE03E9" w14:textId="5A45F93F" w:rsidR="00BC3028" w:rsidRPr="001D16B3" w:rsidRDefault="00BC3028" w:rsidP="00BC3028">
            <w:pPr>
              <w:pStyle w:val="TableText"/>
              <w:spacing w:before="40" w:after="40"/>
              <w:jc w:val="center"/>
            </w:pPr>
            <w:r w:rsidRPr="001D16B3">
              <w:t>0.0060</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7248C2E8" w14:textId="4BEEBE1E" w:rsidR="00BC3028" w:rsidRPr="001D16B3" w:rsidRDefault="00BC3028" w:rsidP="00BC3028">
            <w:pPr>
              <w:pStyle w:val="TableText"/>
              <w:spacing w:before="40" w:after="40"/>
              <w:jc w:val="center"/>
            </w:pPr>
            <w:r w:rsidRPr="001D16B3">
              <w:t>0.0060</w:t>
            </w:r>
          </w:p>
        </w:tc>
        <w:tc>
          <w:tcPr>
            <w:tcW w:w="887" w:type="dxa"/>
            <w:gridSpan w:val="2"/>
            <w:tcBorders>
              <w:top w:val="single" w:sz="4" w:space="0" w:color="808080" w:themeColor="background1" w:themeShade="80"/>
              <w:bottom w:val="single" w:sz="4" w:space="0" w:color="808080" w:themeColor="background1" w:themeShade="80"/>
            </w:tcBorders>
            <w:shd w:val="clear" w:color="auto" w:fill="auto"/>
            <w:noWrap/>
          </w:tcPr>
          <w:p w14:paraId="6C6A2023" w14:textId="4A6F8CCE" w:rsidR="00BC3028" w:rsidRPr="001D16B3" w:rsidRDefault="00BC3028" w:rsidP="00BC3028">
            <w:pPr>
              <w:pStyle w:val="TableText"/>
              <w:spacing w:before="40" w:after="40"/>
              <w:jc w:val="center"/>
            </w:pPr>
            <w:r w:rsidRPr="001D16B3">
              <w:t>0.0096</w:t>
            </w:r>
          </w:p>
        </w:tc>
        <w:tc>
          <w:tcPr>
            <w:tcW w:w="887" w:type="dxa"/>
            <w:gridSpan w:val="2"/>
            <w:tcBorders>
              <w:top w:val="single" w:sz="4" w:space="0" w:color="808080" w:themeColor="background1" w:themeShade="80"/>
              <w:bottom w:val="single" w:sz="4" w:space="0" w:color="808080" w:themeColor="background1" w:themeShade="80"/>
            </w:tcBorders>
            <w:shd w:val="clear" w:color="auto" w:fill="auto"/>
            <w:noWrap/>
          </w:tcPr>
          <w:p w14:paraId="34347AD7" w14:textId="34799CB1" w:rsidR="00BC3028" w:rsidRPr="001D16B3" w:rsidRDefault="00BC3028" w:rsidP="00BC3028">
            <w:pPr>
              <w:pStyle w:val="TableText"/>
              <w:spacing w:before="40" w:after="40"/>
              <w:jc w:val="center"/>
            </w:pPr>
            <w:r w:rsidRPr="001D16B3">
              <w:t>0.0190</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5C59551B" w14:textId="6D86A59E" w:rsidR="00BC3028" w:rsidRPr="001D16B3" w:rsidRDefault="00BC3028" w:rsidP="00BC3028">
            <w:pPr>
              <w:pStyle w:val="TableText"/>
              <w:spacing w:before="40" w:after="40"/>
              <w:jc w:val="center"/>
            </w:pPr>
            <w:r w:rsidRPr="001D16B3">
              <w:t>0.0190</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3E5FC13F" w14:textId="0736339A" w:rsidR="00BC3028" w:rsidRPr="001D16B3" w:rsidRDefault="00BC3028" w:rsidP="00BC3028">
            <w:pPr>
              <w:pStyle w:val="TableText"/>
              <w:spacing w:before="40" w:after="40"/>
              <w:jc w:val="center"/>
            </w:pPr>
            <w:r w:rsidRPr="001D16B3">
              <w:t>0.0408</w:t>
            </w:r>
          </w:p>
        </w:tc>
        <w:tc>
          <w:tcPr>
            <w:tcW w:w="3973" w:type="dxa"/>
            <w:vMerge w:val="restart"/>
            <w:tcBorders>
              <w:top w:val="single" w:sz="4" w:space="0" w:color="808080" w:themeColor="background1" w:themeShade="80"/>
            </w:tcBorders>
            <w:shd w:val="clear" w:color="auto" w:fill="auto"/>
            <w:noWrap/>
          </w:tcPr>
          <w:p w14:paraId="7A856254" w14:textId="387D14AF" w:rsidR="00BC3028" w:rsidRPr="001D16B3" w:rsidRDefault="00BC3028" w:rsidP="00BC3028">
            <w:pPr>
              <w:pStyle w:val="TableText"/>
              <w:spacing w:before="40" w:after="40"/>
            </w:pPr>
            <w:r w:rsidRPr="001D16B3">
              <w:t>NA-ACCORD (2014)</w:t>
            </w:r>
            <w:r w:rsidRPr="001D16B3">
              <w:rPr>
                <w:vertAlign w:val="superscript"/>
              </w:rPr>
              <w:t>e</w:t>
            </w:r>
          </w:p>
        </w:tc>
      </w:tr>
      <w:tr w:rsidR="00BC3028" w:rsidRPr="00C00335" w14:paraId="2E43EFF6" w14:textId="77777777" w:rsidTr="00DF6DD4">
        <w:trPr>
          <w:gridAfter w:val="1"/>
          <w:wAfter w:w="73" w:type="dxa"/>
          <w:cantSplit/>
        </w:trPr>
        <w:tc>
          <w:tcPr>
            <w:tcW w:w="2704" w:type="dxa"/>
            <w:tcBorders>
              <w:top w:val="single" w:sz="4" w:space="0" w:color="808080" w:themeColor="background1" w:themeShade="80"/>
              <w:bottom w:val="single" w:sz="4" w:space="0" w:color="808080" w:themeColor="background1" w:themeShade="80"/>
            </w:tcBorders>
            <w:shd w:val="clear" w:color="auto" w:fill="auto"/>
            <w:noWrap/>
          </w:tcPr>
          <w:p w14:paraId="24E97310" w14:textId="77777777" w:rsidR="00BC3028" w:rsidRPr="001D16B3" w:rsidRDefault="00BC3028" w:rsidP="00BC3028">
            <w:pPr>
              <w:pStyle w:val="TableText"/>
              <w:spacing w:before="40" w:after="40"/>
              <w:ind w:left="270"/>
            </w:pPr>
            <w:r w:rsidRPr="001D16B3">
              <w:t>CD4 &lt; 200</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2AEFE097" w14:textId="318F4402" w:rsidR="00BC3028" w:rsidRPr="001D16B3" w:rsidRDefault="00BC3028" w:rsidP="00BC3028">
            <w:pPr>
              <w:pStyle w:val="TableText"/>
              <w:spacing w:before="40" w:after="40"/>
              <w:jc w:val="center"/>
            </w:pPr>
            <w:r w:rsidRPr="001D16B3">
              <w:t>0.0109</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4F87C809" w14:textId="6030D0AC" w:rsidR="00BC3028" w:rsidRPr="001D16B3" w:rsidRDefault="00BC3028" w:rsidP="00BC3028">
            <w:pPr>
              <w:pStyle w:val="TableText"/>
              <w:spacing w:before="40" w:after="40"/>
              <w:jc w:val="center"/>
            </w:pPr>
            <w:r w:rsidRPr="001D16B3">
              <w:t>0.0109</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2711F08A" w14:textId="4BC24F6B" w:rsidR="00BC3028" w:rsidRPr="001D16B3" w:rsidRDefault="00BC3028" w:rsidP="00BC3028">
            <w:pPr>
              <w:pStyle w:val="TableText"/>
              <w:spacing w:before="40" w:after="40"/>
              <w:jc w:val="center"/>
            </w:pPr>
            <w:r w:rsidRPr="001D16B3">
              <w:t>0.0109</w:t>
            </w:r>
          </w:p>
        </w:tc>
        <w:tc>
          <w:tcPr>
            <w:tcW w:w="887" w:type="dxa"/>
            <w:gridSpan w:val="2"/>
            <w:tcBorders>
              <w:top w:val="single" w:sz="4" w:space="0" w:color="808080" w:themeColor="background1" w:themeShade="80"/>
              <w:bottom w:val="single" w:sz="4" w:space="0" w:color="808080" w:themeColor="background1" w:themeShade="80"/>
            </w:tcBorders>
            <w:shd w:val="clear" w:color="auto" w:fill="auto"/>
            <w:noWrap/>
          </w:tcPr>
          <w:p w14:paraId="7645ADDB" w14:textId="786D9C27" w:rsidR="00BC3028" w:rsidRPr="001D16B3" w:rsidRDefault="00BC3028" w:rsidP="00BC3028">
            <w:pPr>
              <w:pStyle w:val="TableText"/>
              <w:spacing w:before="40" w:after="40"/>
              <w:jc w:val="center"/>
            </w:pPr>
            <w:r w:rsidRPr="001D16B3">
              <w:t>0.0127</w:t>
            </w:r>
          </w:p>
        </w:tc>
        <w:tc>
          <w:tcPr>
            <w:tcW w:w="887" w:type="dxa"/>
            <w:gridSpan w:val="2"/>
            <w:tcBorders>
              <w:top w:val="single" w:sz="4" w:space="0" w:color="808080" w:themeColor="background1" w:themeShade="80"/>
              <w:bottom w:val="single" w:sz="4" w:space="0" w:color="808080" w:themeColor="background1" w:themeShade="80"/>
            </w:tcBorders>
            <w:shd w:val="clear" w:color="auto" w:fill="auto"/>
            <w:noWrap/>
          </w:tcPr>
          <w:p w14:paraId="646FCC4B" w14:textId="200C6DAB" w:rsidR="00BC3028" w:rsidRPr="001D16B3" w:rsidRDefault="00BC3028" w:rsidP="00BC3028">
            <w:pPr>
              <w:pStyle w:val="TableText"/>
              <w:spacing w:before="40" w:after="40"/>
              <w:jc w:val="center"/>
            </w:pPr>
            <w:r w:rsidRPr="001D16B3">
              <w:t>0.0331</w:t>
            </w:r>
          </w:p>
        </w:tc>
        <w:tc>
          <w:tcPr>
            <w:tcW w:w="887" w:type="dxa"/>
            <w:gridSpan w:val="2"/>
            <w:tcBorders>
              <w:top w:val="single" w:sz="4" w:space="0" w:color="808080" w:themeColor="background1" w:themeShade="80"/>
              <w:bottom w:val="single" w:sz="4" w:space="0" w:color="808080" w:themeColor="background1" w:themeShade="80"/>
            </w:tcBorders>
            <w:shd w:val="clear" w:color="auto" w:fill="auto"/>
          </w:tcPr>
          <w:p w14:paraId="2FFD4F7C" w14:textId="5792137B" w:rsidR="00BC3028" w:rsidRPr="001D16B3" w:rsidRDefault="00BC3028" w:rsidP="00BC3028">
            <w:pPr>
              <w:pStyle w:val="TableText"/>
              <w:spacing w:before="40" w:after="40"/>
              <w:jc w:val="center"/>
            </w:pPr>
            <w:r w:rsidRPr="001D16B3">
              <w:t>0.0331</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6A2B8E96" w14:textId="7344CA27" w:rsidR="00BC3028" w:rsidRPr="001D16B3" w:rsidRDefault="00BC3028" w:rsidP="00BC3028">
            <w:pPr>
              <w:pStyle w:val="TableText"/>
              <w:spacing w:before="40" w:after="40"/>
              <w:jc w:val="center"/>
            </w:pPr>
            <w:r w:rsidRPr="001D16B3">
              <w:t>0.0741</w:t>
            </w:r>
          </w:p>
        </w:tc>
        <w:tc>
          <w:tcPr>
            <w:tcW w:w="3973" w:type="dxa"/>
            <w:vMerge/>
            <w:tcBorders>
              <w:bottom w:val="single" w:sz="4" w:space="0" w:color="808080" w:themeColor="background1" w:themeShade="80"/>
            </w:tcBorders>
            <w:shd w:val="clear" w:color="auto" w:fill="auto"/>
            <w:noWrap/>
          </w:tcPr>
          <w:p w14:paraId="2409FD37" w14:textId="77777777" w:rsidR="00BC3028" w:rsidRPr="00F5043F" w:rsidRDefault="00BC3028" w:rsidP="00BC3028">
            <w:pPr>
              <w:pStyle w:val="TableText"/>
              <w:spacing w:before="40" w:after="40"/>
              <w:rPr>
                <w:highlight w:val="yellow"/>
              </w:rPr>
            </w:pPr>
          </w:p>
        </w:tc>
      </w:tr>
    </w:tbl>
    <w:p w14:paraId="7866FE5D" w14:textId="77777777" w:rsidR="001A6C07" w:rsidRPr="00C00335" w:rsidRDefault="001A6C07" w:rsidP="001A6C07">
      <w:pPr>
        <w:pStyle w:val="Tablecont"/>
      </w:pPr>
      <w:r w:rsidRPr="00C00335">
        <w:t>(continued)</w:t>
      </w:r>
    </w:p>
    <w:p w14:paraId="4F331C96" w14:textId="77777777" w:rsidR="00AA77D8" w:rsidRPr="00C00335" w:rsidRDefault="00AA77D8">
      <w:pPr>
        <w:rPr>
          <w:b/>
        </w:rPr>
      </w:pPr>
      <w:r w:rsidRPr="00C00335">
        <w:br w:type="page"/>
      </w:r>
    </w:p>
    <w:p w14:paraId="22391B8A" w14:textId="1AD096BA" w:rsidR="001A6C07" w:rsidRPr="00C00335" w:rsidRDefault="001A6C07" w:rsidP="00260D8A">
      <w:pPr>
        <w:pStyle w:val="TableTitlecont"/>
        <w:spacing w:before="120"/>
        <w:ind w:left="1530"/>
      </w:pPr>
      <w:r w:rsidRPr="00C00335">
        <w:lastRenderedPageBreak/>
        <w:t>Table 5.1.</w:t>
      </w:r>
      <w:r w:rsidRPr="00C00335">
        <w:tab/>
      </w:r>
      <w:r w:rsidR="00952170" w:rsidRPr="00C00335">
        <w:t>Rate of Aging into Population and Inputs that Determine All HIV Progression and Death Rates</w:t>
      </w:r>
      <w:r w:rsidR="00952170" w:rsidRPr="00C00335" w:rsidDel="00952170">
        <w:t xml:space="preserve"> </w:t>
      </w:r>
      <w:r w:rsidRPr="00C00335">
        <w:t>(continued)</w:t>
      </w:r>
    </w:p>
    <w:tbl>
      <w:tblPr>
        <w:tblW w:w="4972"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701"/>
        <w:gridCol w:w="887"/>
        <w:gridCol w:w="888"/>
        <w:gridCol w:w="888"/>
        <w:gridCol w:w="889"/>
        <w:gridCol w:w="888"/>
        <w:gridCol w:w="888"/>
        <w:gridCol w:w="888"/>
        <w:gridCol w:w="3970"/>
      </w:tblGrid>
      <w:tr w:rsidR="001D4CB7" w:rsidRPr="00C00335" w14:paraId="0DD515A5" w14:textId="77777777" w:rsidTr="00CB2861">
        <w:trPr>
          <w:cantSplit/>
          <w:tblHeader/>
        </w:trPr>
        <w:tc>
          <w:tcPr>
            <w:tcW w:w="2701" w:type="dxa"/>
            <w:tcBorders>
              <w:top w:val="single" w:sz="12" w:space="0" w:color="000000"/>
              <w:bottom w:val="single" w:sz="6" w:space="0" w:color="auto"/>
            </w:tcBorders>
            <w:shd w:val="clear" w:color="auto" w:fill="auto"/>
            <w:noWrap/>
            <w:vAlign w:val="bottom"/>
            <w:hideMark/>
          </w:tcPr>
          <w:p w14:paraId="03E24A63" w14:textId="77777777" w:rsidR="001D4CB7" w:rsidRPr="00C00335" w:rsidRDefault="001D4CB7" w:rsidP="001D4CB7">
            <w:pPr>
              <w:pStyle w:val="TableHeaders"/>
            </w:pPr>
            <w:r w:rsidRPr="00C00335">
              <w:t>Parameter</w:t>
            </w:r>
          </w:p>
        </w:tc>
        <w:tc>
          <w:tcPr>
            <w:tcW w:w="887" w:type="dxa"/>
            <w:tcBorders>
              <w:top w:val="single" w:sz="12" w:space="0" w:color="000000"/>
              <w:bottom w:val="single" w:sz="6" w:space="0" w:color="auto"/>
            </w:tcBorders>
            <w:shd w:val="clear" w:color="auto" w:fill="auto"/>
            <w:noWrap/>
            <w:tcMar>
              <w:left w:w="29" w:type="dxa"/>
              <w:right w:w="29" w:type="dxa"/>
            </w:tcMar>
            <w:vAlign w:val="bottom"/>
            <w:hideMark/>
          </w:tcPr>
          <w:p w14:paraId="1B4C75DC" w14:textId="77777777" w:rsidR="001D4CB7" w:rsidRPr="00C00335" w:rsidRDefault="001D4CB7" w:rsidP="001D4CB7">
            <w:pPr>
              <w:pStyle w:val="TableHeaders"/>
            </w:pPr>
            <w:r w:rsidRPr="00C00335">
              <w:t>13–17 Years</w:t>
            </w:r>
          </w:p>
        </w:tc>
        <w:tc>
          <w:tcPr>
            <w:tcW w:w="888" w:type="dxa"/>
            <w:tcBorders>
              <w:top w:val="single" w:sz="12" w:space="0" w:color="000000"/>
              <w:bottom w:val="single" w:sz="6" w:space="0" w:color="auto"/>
            </w:tcBorders>
            <w:shd w:val="clear" w:color="auto" w:fill="auto"/>
            <w:noWrap/>
            <w:tcMar>
              <w:left w:w="29" w:type="dxa"/>
              <w:right w:w="29" w:type="dxa"/>
            </w:tcMar>
            <w:vAlign w:val="bottom"/>
            <w:hideMark/>
          </w:tcPr>
          <w:p w14:paraId="5F522DBF" w14:textId="77777777" w:rsidR="001D4CB7" w:rsidRPr="00C00335" w:rsidRDefault="001D4CB7" w:rsidP="001D4CB7">
            <w:pPr>
              <w:pStyle w:val="TableHeaders"/>
            </w:pPr>
            <w:r w:rsidRPr="00C00335">
              <w:t>18–24 Years</w:t>
            </w:r>
          </w:p>
        </w:tc>
        <w:tc>
          <w:tcPr>
            <w:tcW w:w="888" w:type="dxa"/>
            <w:tcBorders>
              <w:top w:val="single" w:sz="12" w:space="0" w:color="000000"/>
              <w:bottom w:val="single" w:sz="6" w:space="0" w:color="auto"/>
            </w:tcBorders>
            <w:shd w:val="clear" w:color="auto" w:fill="auto"/>
            <w:noWrap/>
            <w:tcMar>
              <w:left w:w="29" w:type="dxa"/>
              <w:right w:w="29" w:type="dxa"/>
            </w:tcMar>
            <w:vAlign w:val="bottom"/>
            <w:hideMark/>
          </w:tcPr>
          <w:p w14:paraId="6EB1D465" w14:textId="77777777" w:rsidR="001D4CB7" w:rsidRPr="00C00335" w:rsidRDefault="001D4CB7" w:rsidP="001D4CB7">
            <w:pPr>
              <w:pStyle w:val="TableHeaders"/>
            </w:pPr>
            <w:r w:rsidRPr="00C00335">
              <w:t>25–34 Years</w:t>
            </w:r>
          </w:p>
        </w:tc>
        <w:tc>
          <w:tcPr>
            <w:tcW w:w="889" w:type="dxa"/>
            <w:tcBorders>
              <w:top w:val="single" w:sz="12" w:space="0" w:color="000000"/>
              <w:bottom w:val="single" w:sz="6" w:space="0" w:color="auto"/>
            </w:tcBorders>
            <w:shd w:val="clear" w:color="auto" w:fill="auto"/>
            <w:noWrap/>
            <w:tcMar>
              <w:left w:w="29" w:type="dxa"/>
              <w:right w:w="29" w:type="dxa"/>
            </w:tcMar>
            <w:vAlign w:val="bottom"/>
            <w:hideMark/>
          </w:tcPr>
          <w:p w14:paraId="372E28FE" w14:textId="77777777" w:rsidR="001D4CB7" w:rsidRPr="00C00335" w:rsidRDefault="001D4CB7" w:rsidP="001D4CB7">
            <w:pPr>
              <w:pStyle w:val="TableHeaders"/>
            </w:pPr>
            <w:r w:rsidRPr="00C00335">
              <w:t>35–44 Years</w:t>
            </w:r>
          </w:p>
        </w:tc>
        <w:tc>
          <w:tcPr>
            <w:tcW w:w="888" w:type="dxa"/>
            <w:tcBorders>
              <w:top w:val="single" w:sz="12" w:space="0" w:color="000000"/>
              <w:bottom w:val="single" w:sz="6" w:space="0" w:color="auto"/>
            </w:tcBorders>
            <w:shd w:val="clear" w:color="auto" w:fill="auto"/>
            <w:noWrap/>
            <w:tcMar>
              <w:left w:w="29" w:type="dxa"/>
              <w:right w:w="29" w:type="dxa"/>
            </w:tcMar>
            <w:hideMark/>
          </w:tcPr>
          <w:p w14:paraId="5F356002" w14:textId="37A38849" w:rsidR="001D4CB7" w:rsidRPr="0069223F" w:rsidRDefault="001D4CB7" w:rsidP="001D4CB7">
            <w:pPr>
              <w:pStyle w:val="TableHeaders"/>
            </w:pPr>
            <w:r w:rsidRPr="0069223F">
              <w:t>45–54 Years</w:t>
            </w:r>
          </w:p>
        </w:tc>
        <w:tc>
          <w:tcPr>
            <w:tcW w:w="888" w:type="dxa"/>
            <w:tcBorders>
              <w:top w:val="single" w:sz="12" w:space="0" w:color="000000"/>
              <w:bottom w:val="single" w:sz="6" w:space="0" w:color="auto"/>
            </w:tcBorders>
            <w:shd w:val="clear" w:color="auto" w:fill="auto"/>
            <w:tcMar>
              <w:left w:w="29" w:type="dxa"/>
              <w:right w:w="29" w:type="dxa"/>
            </w:tcMar>
          </w:tcPr>
          <w:p w14:paraId="1DB109F1" w14:textId="17D8095F" w:rsidR="001D4CB7" w:rsidRPr="0069223F" w:rsidRDefault="001D4CB7" w:rsidP="001D4CB7">
            <w:pPr>
              <w:pStyle w:val="TableHeaders"/>
            </w:pPr>
            <w:r w:rsidRPr="0069223F">
              <w:t>55–64 Years</w:t>
            </w:r>
          </w:p>
        </w:tc>
        <w:tc>
          <w:tcPr>
            <w:tcW w:w="888" w:type="dxa"/>
            <w:tcBorders>
              <w:top w:val="single" w:sz="12" w:space="0" w:color="000000"/>
              <w:bottom w:val="single" w:sz="6" w:space="0" w:color="auto"/>
            </w:tcBorders>
            <w:shd w:val="clear" w:color="auto" w:fill="auto"/>
            <w:tcMar>
              <w:left w:w="29" w:type="dxa"/>
              <w:right w:w="29" w:type="dxa"/>
            </w:tcMar>
          </w:tcPr>
          <w:p w14:paraId="00E76D52" w14:textId="6D10C6B2" w:rsidR="001D4CB7" w:rsidRPr="0069223F" w:rsidRDefault="001D4CB7" w:rsidP="001D4CB7">
            <w:pPr>
              <w:pStyle w:val="TableHeaders"/>
            </w:pPr>
            <w:r w:rsidRPr="0069223F">
              <w:t>65+ Years</w:t>
            </w:r>
          </w:p>
        </w:tc>
        <w:tc>
          <w:tcPr>
            <w:tcW w:w="3970" w:type="dxa"/>
            <w:tcBorders>
              <w:top w:val="single" w:sz="12" w:space="0" w:color="000000"/>
              <w:bottom w:val="single" w:sz="6" w:space="0" w:color="auto"/>
            </w:tcBorders>
            <w:shd w:val="clear" w:color="auto" w:fill="auto"/>
            <w:noWrap/>
            <w:vAlign w:val="bottom"/>
            <w:hideMark/>
          </w:tcPr>
          <w:p w14:paraId="49599C7C" w14:textId="77777777" w:rsidR="001D4CB7" w:rsidRPr="00C00335" w:rsidRDefault="001D4CB7" w:rsidP="001D4CB7">
            <w:pPr>
              <w:pStyle w:val="TableHeaders"/>
            </w:pPr>
            <w:r w:rsidRPr="00C00335">
              <w:t>Source</w:t>
            </w:r>
          </w:p>
        </w:tc>
      </w:tr>
      <w:tr w:rsidR="00DF6DD4" w:rsidRPr="00D1233C" w14:paraId="137967EB" w14:textId="77777777" w:rsidTr="00DF6DD4">
        <w:trPr>
          <w:cantSplit/>
        </w:trPr>
        <w:tc>
          <w:tcPr>
            <w:tcW w:w="12887" w:type="dxa"/>
            <w:gridSpan w:val="9"/>
            <w:tcBorders>
              <w:top w:val="single" w:sz="4" w:space="0" w:color="808080" w:themeColor="background1" w:themeShade="80"/>
              <w:bottom w:val="single" w:sz="4" w:space="0" w:color="808080" w:themeColor="background1" w:themeShade="80"/>
            </w:tcBorders>
            <w:shd w:val="clear" w:color="auto" w:fill="auto"/>
            <w:noWrap/>
          </w:tcPr>
          <w:p w14:paraId="07D1B780" w14:textId="46867D52" w:rsidR="00DF6DD4" w:rsidRPr="00F5043F" w:rsidRDefault="00DF6DD4" w:rsidP="00DF6DD4">
            <w:pPr>
              <w:pStyle w:val="TableText"/>
              <w:spacing w:before="40" w:after="40"/>
            </w:pPr>
            <w:r w:rsidRPr="00F5043F">
              <w:t xml:space="preserve">Relative risk of death vs. </w:t>
            </w:r>
            <w:r w:rsidR="008A60F3">
              <w:t xml:space="preserve">PWH who are </w:t>
            </w:r>
            <w:r w:rsidRPr="00F5043F">
              <w:t>VLS in second and third time periods</w:t>
            </w:r>
          </w:p>
        </w:tc>
      </w:tr>
      <w:tr w:rsidR="00DF6DD4" w:rsidRPr="00D1233C" w14:paraId="2ECCA0AD" w14:textId="77777777" w:rsidTr="00DF6DD4">
        <w:trPr>
          <w:cantSplit/>
        </w:trPr>
        <w:tc>
          <w:tcPr>
            <w:tcW w:w="2701" w:type="dxa"/>
            <w:tcBorders>
              <w:top w:val="single" w:sz="2" w:space="0" w:color="DDDDDD"/>
              <w:bottom w:val="single" w:sz="4" w:space="0" w:color="808080" w:themeColor="background1" w:themeShade="80"/>
            </w:tcBorders>
            <w:shd w:val="clear" w:color="auto" w:fill="auto"/>
            <w:noWrap/>
          </w:tcPr>
          <w:p w14:paraId="3394619D" w14:textId="77777777" w:rsidR="00DF6DD4" w:rsidRPr="00F5043F" w:rsidRDefault="00DF6DD4" w:rsidP="00DF6DD4">
            <w:pPr>
              <w:pStyle w:val="TableText"/>
              <w:spacing w:before="40" w:after="40"/>
              <w:ind w:left="274"/>
            </w:pPr>
            <w:r w:rsidRPr="00F5043F">
              <w:t>Not prescribed ART (</w:t>
            </w:r>
            <w:r w:rsidRPr="00F5043F">
              <w:rPr>
                <w:i/>
                <w:iCs/>
              </w:rPr>
              <w:t>r</w:t>
            </w:r>
            <w:r w:rsidRPr="00F5043F">
              <w:t xml:space="preserve"> = 1,2,3)</w:t>
            </w:r>
          </w:p>
        </w:tc>
        <w:tc>
          <w:tcPr>
            <w:tcW w:w="6216" w:type="dxa"/>
            <w:gridSpan w:val="7"/>
            <w:tcBorders>
              <w:top w:val="single" w:sz="2" w:space="0" w:color="DDDDDD"/>
              <w:bottom w:val="single" w:sz="4" w:space="0" w:color="808080" w:themeColor="background1" w:themeShade="80"/>
            </w:tcBorders>
            <w:shd w:val="clear" w:color="auto" w:fill="auto"/>
          </w:tcPr>
          <w:p w14:paraId="5E718333" w14:textId="0BBCF934" w:rsidR="00DF6DD4" w:rsidRPr="00F5043F" w:rsidRDefault="00DF6DD4" w:rsidP="00DF6DD4">
            <w:pPr>
              <w:pStyle w:val="TableText"/>
              <w:spacing w:before="40" w:after="40"/>
            </w:pPr>
            <w:r w:rsidRPr="00F5043F">
              <w:t>-----------------------------</w:t>
            </w:r>
            <w:r w:rsidR="00DB506C" w:rsidRPr="00F5043F">
              <w:t>2.30</w:t>
            </w:r>
            <w:r w:rsidRPr="00F5043F">
              <w:t>------------------------------</w:t>
            </w:r>
          </w:p>
        </w:tc>
        <w:tc>
          <w:tcPr>
            <w:tcW w:w="3970" w:type="dxa"/>
            <w:vMerge w:val="restart"/>
            <w:tcBorders>
              <w:top w:val="single" w:sz="2" w:space="0" w:color="DDDDDD"/>
            </w:tcBorders>
            <w:shd w:val="clear" w:color="auto" w:fill="auto"/>
          </w:tcPr>
          <w:p w14:paraId="43C31A16" w14:textId="11C90864" w:rsidR="00DF6DD4" w:rsidRPr="00F5043F" w:rsidRDefault="005B1E94" w:rsidP="00DF6DD4">
            <w:pPr>
              <w:pStyle w:val="TableText"/>
              <w:spacing w:before="40" w:after="40"/>
            </w:pPr>
            <w:r w:rsidRPr="00F5043F">
              <w:t xml:space="preserve">Assumed based on Krebs et al. (2019), </w:t>
            </w:r>
            <w:proofErr w:type="spellStart"/>
            <w:r w:rsidRPr="00F5043F">
              <w:t>Krentz</w:t>
            </w:r>
            <w:proofErr w:type="spellEnd"/>
            <w:r w:rsidRPr="00F5043F">
              <w:t xml:space="preserve"> et al. (2014), Krueger et al. (2019)</w:t>
            </w:r>
            <w:r w:rsidRPr="00F5043F">
              <w:rPr>
                <w:vertAlign w:val="superscript"/>
              </w:rPr>
              <w:t>f</w:t>
            </w:r>
          </w:p>
        </w:tc>
      </w:tr>
      <w:tr w:rsidR="00DF6DD4" w:rsidRPr="00C00335" w14:paraId="11B91C02" w14:textId="77777777" w:rsidTr="00DF6DD4">
        <w:trPr>
          <w:cantSplit/>
        </w:trPr>
        <w:tc>
          <w:tcPr>
            <w:tcW w:w="2701" w:type="dxa"/>
            <w:tcBorders>
              <w:top w:val="single" w:sz="2" w:space="0" w:color="DDDDDD"/>
              <w:bottom w:val="single" w:sz="4" w:space="0" w:color="808080" w:themeColor="background1" w:themeShade="80"/>
            </w:tcBorders>
            <w:shd w:val="clear" w:color="auto" w:fill="auto"/>
            <w:noWrap/>
          </w:tcPr>
          <w:p w14:paraId="7B3CC8C9" w14:textId="77777777" w:rsidR="00DF6DD4" w:rsidRPr="00F5043F" w:rsidRDefault="00DF6DD4" w:rsidP="00DF6DD4">
            <w:pPr>
              <w:pStyle w:val="TableText"/>
              <w:spacing w:before="40" w:after="40"/>
              <w:ind w:left="274"/>
            </w:pPr>
            <w:r w:rsidRPr="00F5043F">
              <w:t>Prescribed ART, but not VLS (</w:t>
            </w:r>
            <w:r w:rsidRPr="00F5043F">
              <w:rPr>
                <w:i/>
                <w:iCs/>
              </w:rPr>
              <w:t>r</w:t>
            </w:r>
            <w:r w:rsidRPr="00F5043F">
              <w:t xml:space="preserve"> = 4)</w:t>
            </w:r>
          </w:p>
        </w:tc>
        <w:tc>
          <w:tcPr>
            <w:tcW w:w="6216" w:type="dxa"/>
            <w:gridSpan w:val="7"/>
            <w:tcBorders>
              <w:top w:val="single" w:sz="2" w:space="0" w:color="DDDDDD"/>
              <w:bottom w:val="single" w:sz="4" w:space="0" w:color="808080" w:themeColor="background1" w:themeShade="80"/>
            </w:tcBorders>
            <w:shd w:val="clear" w:color="auto" w:fill="auto"/>
          </w:tcPr>
          <w:p w14:paraId="65EFD335" w14:textId="42EAD552" w:rsidR="00DF6DD4" w:rsidRPr="00F5043F" w:rsidRDefault="00DF6DD4" w:rsidP="00DF6DD4">
            <w:pPr>
              <w:pStyle w:val="TableText"/>
              <w:spacing w:before="40" w:after="40"/>
            </w:pPr>
            <w:r w:rsidRPr="00F5043F">
              <w:t>-----------------------------1.</w:t>
            </w:r>
            <w:r w:rsidR="00DB506C" w:rsidRPr="00F5043F">
              <w:t>20</w:t>
            </w:r>
            <w:r w:rsidRPr="00F5043F">
              <w:t>------------------------------</w:t>
            </w:r>
          </w:p>
        </w:tc>
        <w:tc>
          <w:tcPr>
            <w:tcW w:w="3970" w:type="dxa"/>
            <w:vMerge/>
            <w:tcBorders>
              <w:bottom w:val="single" w:sz="4" w:space="0" w:color="808080" w:themeColor="background1" w:themeShade="80"/>
            </w:tcBorders>
            <w:shd w:val="clear" w:color="auto" w:fill="auto"/>
          </w:tcPr>
          <w:p w14:paraId="3C8692C3" w14:textId="77777777" w:rsidR="00DF6DD4" w:rsidRPr="00F5043F" w:rsidRDefault="00DF6DD4" w:rsidP="00DF6DD4">
            <w:pPr>
              <w:pStyle w:val="TableText"/>
              <w:spacing w:before="40" w:after="40"/>
            </w:pPr>
          </w:p>
        </w:tc>
      </w:tr>
      <w:tr w:rsidR="00DF6DD4" w:rsidRPr="00C00335" w14:paraId="55B0CE79" w14:textId="77777777" w:rsidTr="00DF6DD4">
        <w:trPr>
          <w:cantSplit/>
        </w:trPr>
        <w:tc>
          <w:tcPr>
            <w:tcW w:w="12887" w:type="dxa"/>
            <w:gridSpan w:val="9"/>
            <w:tcBorders>
              <w:top w:val="single" w:sz="2" w:space="0" w:color="DDDDDD"/>
              <w:bottom w:val="single" w:sz="4" w:space="0" w:color="808080" w:themeColor="background1" w:themeShade="80"/>
            </w:tcBorders>
            <w:shd w:val="clear" w:color="auto" w:fill="auto"/>
            <w:noWrap/>
            <w:hideMark/>
          </w:tcPr>
          <w:p w14:paraId="0574320D" w14:textId="77777777" w:rsidR="00DF6DD4" w:rsidRPr="00F5043F" w:rsidRDefault="00DF6DD4" w:rsidP="00DF6DD4">
            <w:pPr>
              <w:pStyle w:val="TableText"/>
              <w:spacing w:before="40" w:after="40"/>
            </w:pPr>
            <w:r w:rsidRPr="00F5043F">
              <w:t xml:space="preserve">Relative risk of death if uninfected for PWID vs. non-PWID population </w:t>
            </w:r>
          </w:p>
        </w:tc>
      </w:tr>
      <w:tr w:rsidR="00DF6DD4" w:rsidRPr="00C00335" w14:paraId="08E53398" w14:textId="77777777" w:rsidTr="00DF6DD4">
        <w:trPr>
          <w:cantSplit/>
        </w:trPr>
        <w:tc>
          <w:tcPr>
            <w:tcW w:w="2701" w:type="dxa"/>
            <w:tcBorders>
              <w:top w:val="single" w:sz="4" w:space="0" w:color="808080" w:themeColor="background1" w:themeShade="80"/>
              <w:bottom w:val="single" w:sz="6" w:space="0" w:color="000000" w:themeColor="text1"/>
            </w:tcBorders>
            <w:shd w:val="clear" w:color="auto" w:fill="auto"/>
            <w:noWrap/>
            <w:hideMark/>
          </w:tcPr>
          <w:p w14:paraId="7AEDE92C" w14:textId="77777777" w:rsidR="00DF6DD4" w:rsidRPr="00C00335" w:rsidRDefault="00DF6DD4" w:rsidP="00DF6DD4">
            <w:pPr>
              <w:pStyle w:val="TableText"/>
              <w:spacing w:before="40" w:after="40"/>
              <w:ind w:left="270"/>
            </w:pPr>
            <w:r w:rsidRPr="00C00335">
              <w:t>PWID</w:t>
            </w:r>
          </w:p>
        </w:tc>
        <w:tc>
          <w:tcPr>
            <w:tcW w:w="6216" w:type="dxa"/>
            <w:gridSpan w:val="7"/>
            <w:tcBorders>
              <w:top w:val="single" w:sz="4" w:space="0" w:color="808080" w:themeColor="background1" w:themeShade="80"/>
              <w:bottom w:val="single" w:sz="6" w:space="0" w:color="000000" w:themeColor="text1"/>
            </w:tcBorders>
            <w:shd w:val="clear" w:color="auto" w:fill="auto"/>
            <w:noWrap/>
            <w:hideMark/>
          </w:tcPr>
          <w:p w14:paraId="1417286F" w14:textId="1ECFB074" w:rsidR="00DF6DD4" w:rsidRPr="00C00335" w:rsidRDefault="00DF6DD4" w:rsidP="00DF6DD4">
            <w:pPr>
              <w:pStyle w:val="TableText"/>
              <w:spacing w:before="40" w:after="40"/>
            </w:pPr>
            <w:r w:rsidRPr="00C00335">
              <w:t>-----------------------------2.54-------------------------------</w:t>
            </w:r>
          </w:p>
        </w:tc>
        <w:tc>
          <w:tcPr>
            <w:tcW w:w="3970" w:type="dxa"/>
            <w:tcBorders>
              <w:top w:val="single" w:sz="4" w:space="0" w:color="808080" w:themeColor="background1" w:themeShade="80"/>
              <w:bottom w:val="single" w:sz="6" w:space="0" w:color="000000" w:themeColor="text1"/>
            </w:tcBorders>
            <w:shd w:val="clear" w:color="auto" w:fill="auto"/>
            <w:noWrap/>
            <w:hideMark/>
          </w:tcPr>
          <w:p w14:paraId="5776F015" w14:textId="40B6D911" w:rsidR="00DF6DD4" w:rsidRPr="00C00335" w:rsidRDefault="00DF6DD4" w:rsidP="00DF6DD4">
            <w:pPr>
              <w:pStyle w:val="TableText"/>
              <w:spacing w:before="40" w:after="40"/>
            </w:pPr>
            <w:proofErr w:type="spellStart"/>
            <w:r w:rsidRPr="00C00335">
              <w:t>Vlahov</w:t>
            </w:r>
            <w:proofErr w:type="spellEnd"/>
            <w:r w:rsidRPr="00C00335">
              <w:t xml:space="preserve"> et al. (2008)</w:t>
            </w:r>
            <w:r w:rsidR="005B1E94">
              <w:rPr>
                <w:vertAlign w:val="superscript"/>
              </w:rPr>
              <w:t>g</w:t>
            </w:r>
          </w:p>
        </w:tc>
      </w:tr>
      <w:tr w:rsidR="00A57EF2" w:rsidRPr="00C00335" w14:paraId="3B752064" w14:textId="77777777" w:rsidTr="00DF6DD4">
        <w:trPr>
          <w:cantSplit/>
        </w:trPr>
        <w:tc>
          <w:tcPr>
            <w:tcW w:w="12887" w:type="dxa"/>
            <w:gridSpan w:val="9"/>
            <w:tcBorders>
              <w:top w:val="single" w:sz="6" w:space="0" w:color="auto"/>
              <w:bottom w:val="single" w:sz="4" w:space="0" w:color="808080" w:themeColor="background1" w:themeShade="80"/>
            </w:tcBorders>
            <w:shd w:val="clear" w:color="auto" w:fill="auto"/>
            <w:noWrap/>
            <w:hideMark/>
          </w:tcPr>
          <w:p w14:paraId="108AE4B8" w14:textId="155C2857" w:rsidR="00A57EF2" w:rsidRPr="00C00335" w:rsidRDefault="00A57EF2" w:rsidP="006705F3">
            <w:pPr>
              <w:pStyle w:val="TableText"/>
              <w:spacing w:before="40" w:after="40"/>
            </w:pPr>
            <w:r w:rsidRPr="00C00335">
              <w:t>Annual probability death if HIV uni</w:t>
            </w:r>
            <w:r w:rsidR="00963B92" w:rsidRPr="00C00335">
              <w:t>nfected</w:t>
            </w:r>
          </w:p>
        </w:tc>
      </w:tr>
      <w:tr w:rsidR="00BF1312" w:rsidRPr="00C00335" w14:paraId="6ACC379E" w14:textId="77777777" w:rsidTr="002F133E">
        <w:trPr>
          <w:cantSplit/>
        </w:trPr>
        <w:tc>
          <w:tcPr>
            <w:tcW w:w="2701" w:type="dxa"/>
            <w:tcBorders>
              <w:top w:val="single" w:sz="4" w:space="0" w:color="808080" w:themeColor="background1" w:themeShade="80"/>
              <w:bottom w:val="single" w:sz="4" w:space="0" w:color="808080" w:themeColor="background1" w:themeShade="80"/>
            </w:tcBorders>
            <w:shd w:val="clear" w:color="auto" w:fill="auto"/>
            <w:noWrap/>
            <w:hideMark/>
          </w:tcPr>
          <w:p w14:paraId="176862FD" w14:textId="77777777" w:rsidR="00BF1312" w:rsidRPr="00C00335" w:rsidRDefault="00BF1312" w:rsidP="006705F3">
            <w:pPr>
              <w:pStyle w:val="TableText"/>
              <w:spacing w:before="40" w:after="40"/>
              <w:ind w:left="270"/>
            </w:pPr>
            <w:r w:rsidRPr="00C00335">
              <w:t>HET or MSM</w:t>
            </w:r>
          </w:p>
        </w:tc>
        <w:tc>
          <w:tcPr>
            <w:tcW w:w="6216"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15D006C4" w14:textId="77777777" w:rsidR="00BF1312" w:rsidRPr="00C00335" w:rsidRDefault="00BF1312" w:rsidP="006705F3">
            <w:pPr>
              <w:pStyle w:val="TableText"/>
              <w:spacing w:before="40" w:after="40"/>
            </w:pPr>
          </w:p>
        </w:tc>
        <w:tc>
          <w:tcPr>
            <w:tcW w:w="3970" w:type="dxa"/>
            <w:tcBorders>
              <w:top w:val="single" w:sz="4" w:space="0" w:color="808080" w:themeColor="background1" w:themeShade="80"/>
              <w:bottom w:val="single" w:sz="4" w:space="0" w:color="808080" w:themeColor="background1" w:themeShade="80"/>
            </w:tcBorders>
            <w:shd w:val="clear" w:color="auto" w:fill="auto"/>
            <w:noWrap/>
            <w:hideMark/>
          </w:tcPr>
          <w:p w14:paraId="68A05AE7" w14:textId="77777777" w:rsidR="00BF1312" w:rsidRPr="00C00335" w:rsidRDefault="00BF1312" w:rsidP="006705F3">
            <w:pPr>
              <w:pStyle w:val="TableText"/>
              <w:spacing w:before="40" w:after="40"/>
            </w:pPr>
          </w:p>
        </w:tc>
      </w:tr>
      <w:tr w:rsidR="001D4CB7" w:rsidRPr="00C00335" w14:paraId="7455882F" w14:textId="77777777" w:rsidTr="00DF6DD4">
        <w:trPr>
          <w:cantSplit/>
        </w:trPr>
        <w:tc>
          <w:tcPr>
            <w:tcW w:w="2701" w:type="dxa"/>
            <w:tcBorders>
              <w:top w:val="single" w:sz="4" w:space="0" w:color="808080" w:themeColor="background1" w:themeShade="80"/>
              <w:bottom w:val="single" w:sz="4" w:space="0" w:color="808080" w:themeColor="background1" w:themeShade="80"/>
            </w:tcBorders>
            <w:shd w:val="clear" w:color="auto" w:fill="auto"/>
            <w:noWrap/>
            <w:hideMark/>
          </w:tcPr>
          <w:p w14:paraId="377E9139" w14:textId="77777777" w:rsidR="001D4CB7" w:rsidRPr="00C00335" w:rsidRDefault="001D4CB7" w:rsidP="006705F3">
            <w:pPr>
              <w:pStyle w:val="TableText"/>
              <w:spacing w:before="40" w:after="40"/>
              <w:ind w:left="450"/>
            </w:pPr>
            <w:r w:rsidRPr="00C00335">
              <w:t>Female</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0D96160C" w14:textId="77777777" w:rsidR="001D4CB7" w:rsidRPr="0069223F" w:rsidRDefault="001D4CB7" w:rsidP="006705F3">
            <w:pPr>
              <w:pStyle w:val="TableText"/>
              <w:spacing w:before="40" w:after="40"/>
              <w:jc w:val="center"/>
            </w:pPr>
            <w:r w:rsidRPr="0069223F">
              <w:t>0.0002</w:t>
            </w:r>
          </w:p>
        </w:tc>
        <w:tc>
          <w:tcPr>
            <w:tcW w:w="888" w:type="dxa"/>
            <w:tcBorders>
              <w:top w:val="single" w:sz="4" w:space="0" w:color="808080" w:themeColor="background1" w:themeShade="80"/>
              <w:bottom w:val="single" w:sz="4" w:space="0" w:color="808080" w:themeColor="background1" w:themeShade="80"/>
            </w:tcBorders>
            <w:shd w:val="clear" w:color="auto" w:fill="auto"/>
            <w:noWrap/>
          </w:tcPr>
          <w:p w14:paraId="51D871C5" w14:textId="77777777" w:rsidR="001D4CB7" w:rsidRPr="0069223F" w:rsidRDefault="001D4CB7" w:rsidP="006705F3">
            <w:pPr>
              <w:pStyle w:val="TableText"/>
              <w:spacing w:before="40" w:after="40"/>
              <w:jc w:val="center"/>
            </w:pPr>
            <w:r w:rsidRPr="0069223F">
              <w:t>0.0004</w:t>
            </w:r>
          </w:p>
        </w:tc>
        <w:tc>
          <w:tcPr>
            <w:tcW w:w="888" w:type="dxa"/>
            <w:tcBorders>
              <w:top w:val="single" w:sz="4" w:space="0" w:color="808080" w:themeColor="background1" w:themeShade="80"/>
              <w:bottom w:val="single" w:sz="4" w:space="0" w:color="808080" w:themeColor="background1" w:themeShade="80"/>
            </w:tcBorders>
            <w:shd w:val="clear" w:color="auto" w:fill="auto"/>
            <w:noWrap/>
          </w:tcPr>
          <w:p w14:paraId="7791813C" w14:textId="77777777" w:rsidR="001D4CB7" w:rsidRPr="0069223F" w:rsidRDefault="001D4CB7" w:rsidP="006705F3">
            <w:pPr>
              <w:pStyle w:val="TableText"/>
              <w:spacing w:before="40" w:after="40"/>
              <w:jc w:val="center"/>
            </w:pPr>
            <w:r w:rsidRPr="0069223F">
              <w:t>0.0006</w:t>
            </w:r>
          </w:p>
        </w:tc>
        <w:tc>
          <w:tcPr>
            <w:tcW w:w="889" w:type="dxa"/>
            <w:tcBorders>
              <w:top w:val="single" w:sz="4" w:space="0" w:color="808080" w:themeColor="background1" w:themeShade="80"/>
              <w:bottom w:val="single" w:sz="4" w:space="0" w:color="808080" w:themeColor="background1" w:themeShade="80"/>
            </w:tcBorders>
            <w:shd w:val="clear" w:color="auto" w:fill="auto"/>
            <w:noWrap/>
          </w:tcPr>
          <w:p w14:paraId="2417BF81" w14:textId="77777777" w:rsidR="001D4CB7" w:rsidRPr="0069223F" w:rsidRDefault="001D4CB7" w:rsidP="006705F3">
            <w:pPr>
              <w:pStyle w:val="TableText"/>
              <w:spacing w:before="40" w:after="40"/>
              <w:jc w:val="center"/>
            </w:pPr>
            <w:r w:rsidRPr="0069223F">
              <w:t>0.0013</w:t>
            </w:r>
          </w:p>
        </w:tc>
        <w:tc>
          <w:tcPr>
            <w:tcW w:w="888" w:type="dxa"/>
            <w:tcBorders>
              <w:top w:val="single" w:sz="4" w:space="0" w:color="808080" w:themeColor="background1" w:themeShade="80"/>
              <w:bottom w:val="single" w:sz="4" w:space="0" w:color="808080" w:themeColor="background1" w:themeShade="80"/>
            </w:tcBorders>
            <w:shd w:val="clear" w:color="auto" w:fill="auto"/>
            <w:noWrap/>
          </w:tcPr>
          <w:p w14:paraId="3F21D487" w14:textId="4464B6B9" w:rsidR="001D4CB7" w:rsidRPr="0069223F" w:rsidRDefault="001D4CB7" w:rsidP="006705F3">
            <w:pPr>
              <w:pStyle w:val="TableText"/>
              <w:spacing w:before="40" w:after="40"/>
              <w:jc w:val="center"/>
            </w:pPr>
            <w:r w:rsidRPr="0069223F">
              <w:t>0.00</w:t>
            </w:r>
            <w:r w:rsidR="00913F61" w:rsidRPr="0069223F">
              <w:t>30</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0FE30268" w14:textId="4182C7CB" w:rsidR="001D4CB7" w:rsidRPr="0069223F" w:rsidRDefault="00913F61" w:rsidP="006705F3">
            <w:pPr>
              <w:pStyle w:val="TableText"/>
              <w:spacing w:before="40" w:after="40"/>
              <w:jc w:val="center"/>
            </w:pPr>
            <w:r w:rsidRPr="0069223F">
              <w:t>0.0063</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3E1A7023" w14:textId="5988037F" w:rsidR="001D4CB7" w:rsidRPr="0069223F" w:rsidRDefault="00913F61" w:rsidP="006705F3">
            <w:pPr>
              <w:pStyle w:val="TableText"/>
              <w:spacing w:before="40" w:after="40"/>
              <w:jc w:val="center"/>
            </w:pPr>
            <w:r w:rsidRPr="0069223F">
              <w:t>0.0433</w:t>
            </w:r>
          </w:p>
        </w:tc>
        <w:tc>
          <w:tcPr>
            <w:tcW w:w="3970"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174CB201" w14:textId="77777777" w:rsidR="001D4CB7" w:rsidRPr="00C00335" w:rsidRDefault="001D4CB7" w:rsidP="006705F3">
            <w:pPr>
              <w:pStyle w:val="TableText"/>
              <w:spacing w:before="40" w:after="40"/>
            </w:pPr>
            <w:r w:rsidRPr="00C00335">
              <w:t>Arias (2012)</w:t>
            </w:r>
          </w:p>
        </w:tc>
      </w:tr>
      <w:tr w:rsidR="001D4CB7" w:rsidRPr="00C00335" w14:paraId="22DE06C9" w14:textId="77777777" w:rsidTr="00DF6DD4">
        <w:trPr>
          <w:cantSplit/>
        </w:trPr>
        <w:tc>
          <w:tcPr>
            <w:tcW w:w="2701" w:type="dxa"/>
            <w:tcBorders>
              <w:top w:val="single" w:sz="4" w:space="0" w:color="808080" w:themeColor="background1" w:themeShade="80"/>
              <w:bottom w:val="single" w:sz="4" w:space="0" w:color="808080" w:themeColor="background1" w:themeShade="80"/>
            </w:tcBorders>
            <w:shd w:val="clear" w:color="auto" w:fill="auto"/>
            <w:noWrap/>
            <w:hideMark/>
          </w:tcPr>
          <w:p w14:paraId="10565948" w14:textId="77777777" w:rsidR="001D4CB7" w:rsidRPr="00C00335" w:rsidRDefault="001D4CB7" w:rsidP="006705F3">
            <w:pPr>
              <w:pStyle w:val="TableText"/>
              <w:spacing w:before="40" w:after="40"/>
              <w:ind w:left="450"/>
            </w:pPr>
            <w:r w:rsidRPr="00C00335">
              <w:t>Male</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5BABC957" w14:textId="77777777" w:rsidR="001D4CB7" w:rsidRPr="0069223F" w:rsidRDefault="001D4CB7" w:rsidP="006705F3">
            <w:pPr>
              <w:pStyle w:val="TableText"/>
              <w:spacing w:before="40" w:after="40"/>
              <w:jc w:val="center"/>
            </w:pPr>
            <w:r w:rsidRPr="0069223F">
              <w:t>0.0005</w:t>
            </w:r>
          </w:p>
        </w:tc>
        <w:tc>
          <w:tcPr>
            <w:tcW w:w="888" w:type="dxa"/>
            <w:tcBorders>
              <w:top w:val="single" w:sz="4" w:space="0" w:color="808080" w:themeColor="background1" w:themeShade="80"/>
              <w:bottom w:val="single" w:sz="4" w:space="0" w:color="808080" w:themeColor="background1" w:themeShade="80"/>
            </w:tcBorders>
            <w:shd w:val="clear" w:color="auto" w:fill="auto"/>
            <w:noWrap/>
          </w:tcPr>
          <w:p w14:paraId="6857F28F" w14:textId="77777777" w:rsidR="001D4CB7" w:rsidRPr="0069223F" w:rsidRDefault="001D4CB7" w:rsidP="006705F3">
            <w:pPr>
              <w:pStyle w:val="TableText"/>
              <w:spacing w:before="40" w:after="40"/>
              <w:jc w:val="center"/>
            </w:pPr>
            <w:r w:rsidRPr="0069223F">
              <w:t>0.0013</w:t>
            </w:r>
          </w:p>
        </w:tc>
        <w:tc>
          <w:tcPr>
            <w:tcW w:w="888" w:type="dxa"/>
            <w:tcBorders>
              <w:top w:val="single" w:sz="4" w:space="0" w:color="808080" w:themeColor="background1" w:themeShade="80"/>
              <w:bottom w:val="single" w:sz="4" w:space="0" w:color="808080" w:themeColor="background1" w:themeShade="80"/>
            </w:tcBorders>
            <w:shd w:val="clear" w:color="auto" w:fill="auto"/>
            <w:noWrap/>
          </w:tcPr>
          <w:p w14:paraId="11013DA1" w14:textId="77777777" w:rsidR="001D4CB7" w:rsidRPr="0069223F" w:rsidRDefault="001D4CB7" w:rsidP="006705F3">
            <w:pPr>
              <w:pStyle w:val="TableText"/>
              <w:spacing w:before="40" w:after="40"/>
              <w:jc w:val="center"/>
            </w:pPr>
            <w:r w:rsidRPr="0069223F">
              <w:t>0.0014</w:t>
            </w:r>
          </w:p>
        </w:tc>
        <w:tc>
          <w:tcPr>
            <w:tcW w:w="889" w:type="dxa"/>
            <w:tcBorders>
              <w:top w:val="single" w:sz="4" w:space="0" w:color="808080" w:themeColor="background1" w:themeShade="80"/>
              <w:bottom w:val="single" w:sz="4" w:space="0" w:color="808080" w:themeColor="background1" w:themeShade="80"/>
            </w:tcBorders>
            <w:shd w:val="clear" w:color="auto" w:fill="auto"/>
            <w:noWrap/>
          </w:tcPr>
          <w:p w14:paraId="77A60F9E" w14:textId="77777777" w:rsidR="001D4CB7" w:rsidRPr="0069223F" w:rsidRDefault="001D4CB7" w:rsidP="006705F3">
            <w:pPr>
              <w:pStyle w:val="TableText"/>
              <w:spacing w:before="40" w:after="40"/>
              <w:jc w:val="center"/>
            </w:pPr>
            <w:r w:rsidRPr="0069223F">
              <w:t>0.0021</w:t>
            </w:r>
          </w:p>
        </w:tc>
        <w:tc>
          <w:tcPr>
            <w:tcW w:w="888" w:type="dxa"/>
            <w:tcBorders>
              <w:top w:val="single" w:sz="4" w:space="0" w:color="808080" w:themeColor="background1" w:themeShade="80"/>
              <w:bottom w:val="single" w:sz="4" w:space="0" w:color="808080" w:themeColor="background1" w:themeShade="80"/>
            </w:tcBorders>
            <w:shd w:val="clear" w:color="auto" w:fill="auto"/>
            <w:noWrap/>
          </w:tcPr>
          <w:p w14:paraId="7243A486" w14:textId="66C2AE7F" w:rsidR="001D4CB7" w:rsidRPr="0069223F" w:rsidRDefault="001D4CB7" w:rsidP="006705F3">
            <w:pPr>
              <w:pStyle w:val="TableText"/>
              <w:spacing w:before="40" w:after="40"/>
              <w:jc w:val="center"/>
            </w:pPr>
            <w:r w:rsidRPr="0069223F">
              <w:t>0.</w:t>
            </w:r>
            <w:r w:rsidR="00913F61" w:rsidRPr="0069223F">
              <w:t>0049</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280B9ED8" w14:textId="284E171D" w:rsidR="001D4CB7" w:rsidRPr="0069223F" w:rsidRDefault="00913F61" w:rsidP="006705F3">
            <w:pPr>
              <w:pStyle w:val="TableText"/>
              <w:spacing w:before="40" w:after="40"/>
              <w:jc w:val="center"/>
            </w:pPr>
            <w:r w:rsidRPr="0069223F">
              <w:t>0.0105</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38B22133" w14:textId="5F99AC0A" w:rsidR="001D4CB7" w:rsidRPr="0069223F" w:rsidRDefault="00913F61" w:rsidP="006705F3">
            <w:pPr>
              <w:pStyle w:val="TableText"/>
              <w:spacing w:before="40" w:after="40"/>
              <w:jc w:val="center"/>
            </w:pPr>
            <w:r w:rsidRPr="0069223F">
              <w:t>0.0472</w:t>
            </w:r>
          </w:p>
        </w:tc>
        <w:tc>
          <w:tcPr>
            <w:tcW w:w="3970" w:type="dxa"/>
            <w:vMerge/>
            <w:tcBorders>
              <w:top w:val="single" w:sz="4" w:space="0" w:color="808080" w:themeColor="background1" w:themeShade="80"/>
              <w:bottom w:val="single" w:sz="4" w:space="0" w:color="808080" w:themeColor="background1" w:themeShade="80"/>
            </w:tcBorders>
            <w:shd w:val="clear" w:color="auto" w:fill="auto"/>
            <w:noWrap/>
            <w:hideMark/>
          </w:tcPr>
          <w:p w14:paraId="24B084A9" w14:textId="77777777" w:rsidR="001D4CB7" w:rsidRPr="00C00335" w:rsidRDefault="001D4CB7" w:rsidP="006705F3">
            <w:pPr>
              <w:pStyle w:val="TableText"/>
              <w:spacing w:before="40" w:after="40"/>
            </w:pPr>
          </w:p>
        </w:tc>
      </w:tr>
      <w:tr w:rsidR="00BF1312" w:rsidRPr="00C00335" w14:paraId="018B6C9B" w14:textId="77777777" w:rsidTr="002F133E">
        <w:trPr>
          <w:cantSplit/>
        </w:trPr>
        <w:tc>
          <w:tcPr>
            <w:tcW w:w="2701" w:type="dxa"/>
            <w:tcBorders>
              <w:top w:val="single" w:sz="4" w:space="0" w:color="808080" w:themeColor="background1" w:themeShade="80"/>
              <w:bottom w:val="single" w:sz="4" w:space="0" w:color="808080" w:themeColor="background1" w:themeShade="80"/>
            </w:tcBorders>
            <w:shd w:val="clear" w:color="auto" w:fill="auto"/>
            <w:noWrap/>
            <w:hideMark/>
          </w:tcPr>
          <w:p w14:paraId="3AB71A1F" w14:textId="774BFD93" w:rsidR="00BF1312" w:rsidRPr="00C00335" w:rsidRDefault="00BF1312" w:rsidP="006705F3">
            <w:pPr>
              <w:pStyle w:val="TableText"/>
              <w:spacing w:before="40" w:after="40"/>
              <w:ind w:left="270"/>
            </w:pPr>
            <w:r w:rsidRPr="00C00335">
              <w:t>PWID</w:t>
            </w:r>
          </w:p>
        </w:tc>
        <w:tc>
          <w:tcPr>
            <w:tcW w:w="6216" w:type="dxa"/>
            <w:gridSpan w:val="7"/>
            <w:tcBorders>
              <w:top w:val="single" w:sz="4" w:space="0" w:color="808080" w:themeColor="background1" w:themeShade="80"/>
              <w:bottom w:val="single" w:sz="4" w:space="0" w:color="808080" w:themeColor="background1" w:themeShade="80"/>
            </w:tcBorders>
            <w:shd w:val="clear" w:color="auto" w:fill="auto"/>
            <w:noWrap/>
            <w:hideMark/>
          </w:tcPr>
          <w:p w14:paraId="6B141094" w14:textId="77777777" w:rsidR="00BF1312" w:rsidRPr="0069223F" w:rsidRDefault="00BF1312" w:rsidP="006705F3">
            <w:pPr>
              <w:pStyle w:val="TableText"/>
              <w:spacing w:before="40" w:after="40"/>
              <w:jc w:val="center"/>
            </w:pPr>
          </w:p>
        </w:tc>
        <w:tc>
          <w:tcPr>
            <w:tcW w:w="3970" w:type="dxa"/>
            <w:tcBorders>
              <w:top w:val="single" w:sz="4" w:space="0" w:color="808080" w:themeColor="background1" w:themeShade="80"/>
              <w:bottom w:val="single" w:sz="4" w:space="0" w:color="808080" w:themeColor="background1" w:themeShade="80"/>
            </w:tcBorders>
            <w:shd w:val="clear" w:color="auto" w:fill="auto"/>
            <w:noWrap/>
            <w:hideMark/>
          </w:tcPr>
          <w:p w14:paraId="7BCCF978" w14:textId="77777777" w:rsidR="00BF1312" w:rsidRPr="00C00335" w:rsidRDefault="00BF1312" w:rsidP="006705F3">
            <w:pPr>
              <w:pStyle w:val="TableText"/>
              <w:spacing w:before="40" w:after="40"/>
            </w:pPr>
          </w:p>
        </w:tc>
      </w:tr>
      <w:tr w:rsidR="001D4CB7" w:rsidRPr="00C00335" w14:paraId="34B039A7" w14:textId="77777777" w:rsidTr="00DF6DD4">
        <w:trPr>
          <w:cantSplit/>
        </w:trPr>
        <w:tc>
          <w:tcPr>
            <w:tcW w:w="2701" w:type="dxa"/>
            <w:tcBorders>
              <w:top w:val="single" w:sz="4" w:space="0" w:color="808080" w:themeColor="background1" w:themeShade="80"/>
              <w:bottom w:val="single" w:sz="4" w:space="0" w:color="808080" w:themeColor="background1" w:themeShade="80"/>
            </w:tcBorders>
            <w:shd w:val="clear" w:color="auto" w:fill="auto"/>
            <w:noWrap/>
            <w:hideMark/>
          </w:tcPr>
          <w:p w14:paraId="5CD21B19" w14:textId="77777777" w:rsidR="001D4CB7" w:rsidRPr="00C00335" w:rsidRDefault="001D4CB7" w:rsidP="006705F3">
            <w:pPr>
              <w:pStyle w:val="TableText"/>
              <w:spacing w:before="40" w:after="40"/>
              <w:ind w:left="450"/>
            </w:pPr>
            <w:r w:rsidRPr="00C00335">
              <w:t>Female</w:t>
            </w:r>
          </w:p>
        </w:tc>
        <w:tc>
          <w:tcPr>
            <w:tcW w:w="887" w:type="dxa"/>
            <w:tcBorders>
              <w:top w:val="single" w:sz="4" w:space="0" w:color="808080" w:themeColor="background1" w:themeShade="80"/>
              <w:bottom w:val="single" w:sz="4" w:space="0" w:color="808080" w:themeColor="background1" w:themeShade="80"/>
            </w:tcBorders>
            <w:shd w:val="clear" w:color="auto" w:fill="auto"/>
            <w:noWrap/>
          </w:tcPr>
          <w:p w14:paraId="03666F0B" w14:textId="77777777" w:rsidR="001D4CB7" w:rsidRPr="0069223F" w:rsidRDefault="001D4CB7" w:rsidP="006705F3">
            <w:pPr>
              <w:pStyle w:val="TableText"/>
              <w:spacing w:before="40" w:after="40"/>
              <w:jc w:val="center"/>
            </w:pPr>
            <w:r w:rsidRPr="0069223F">
              <w:t>0.0006</w:t>
            </w:r>
          </w:p>
        </w:tc>
        <w:tc>
          <w:tcPr>
            <w:tcW w:w="888" w:type="dxa"/>
            <w:tcBorders>
              <w:top w:val="single" w:sz="4" w:space="0" w:color="808080" w:themeColor="background1" w:themeShade="80"/>
              <w:bottom w:val="single" w:sz="4" w:space="0" w:color="808080" w:themeColor="background1" w:themeShade="80"/>
            </w:tcBorders>
            <w:shd w:val="clear" w:color="auto" w:fill="auto"/>
            <w:noWrap/>
          </w:tcPr>
          <w:p w14:paraId="0BBEB996" w14:textId="77777777" w:rsidR="001D4CB7" w:rsidRPr="0069223F" w:rsidRDefault="001D4CB7" w:rsidP="006705F3">
            <w:pPr>
              <w:pStyle w:val="TableText"/>
              <w:spacing w:before="40" w:after="40"/>
              <w:jc w:val="center"/>
            </w:pPr>
            <w:r w:rsidRPr="0069223F">
              <w:t>0.0011</w:t>
            </w:r>
          </w:p>
        </w:tc>
        <w:tc>
          <w:tcPr>
            <w:tcW w:w="888" w:type="dxa"/>
            <w:tcBorders>
              <w:top w:val="single" w:sz="4" w:space="0" w:color="808080" w:themeColor="background1" w:themeShade="80"/>
              <w:bottom w:val="single" w:sz="4" w:space="0" w:color="808080" w:themeColor="background1" w:themeShade="80"/>
            </w:tcBorders>
            <w:shd w:val="clear" w:color="auto" w:fill="auto"/>
            <w:noWrap/>
            <w:hideMark/>
          </w:tcPr>
          <w:p w14:paraId="2EE27900" w14:textId="77777777" w:rsidR="001D4CB7" w:rsidRPr="0069223F" w:rsidRDefault="001D4CB7" w:rsidP="006705F3">
            <w:pPr>
              <w:pStyle w:val="TableText"/>
              <w:spacing w:before="40" w:after="40"/>
              <w:jc w:val="center"/>
            </w:pPr>
            <w:r w:rsidRPr="0069223F">
              <w:t>0.0016</w:t>
            </w:r>
          </w:p>
        </w:tc>
        <w:tc>
          <w:tcPr>
            <w:tcW w:w="889" w:type="dxa"/>
            <w:tcBorders>
              <w:top w:val="single" w:sz="4" w:space="0" w:color="808080" w:themeColor="background1" w:themeShade="80"/>
              <w:bottom w:val="single" w:sz="4" w:space="0" w:color="808080" w:themeColor="background1" w:themeShade="80"/>
            </w:tcBorders>
            <w:shd w:val="clear" w:color="auto" w:fill="auto"/>
            <w:noWrap/>
            <w:hideMark/>
          </w:tcPr>
          <w:p w14:paraId="4148AFBE" w14:textId="77777777" w:rsidR="001D4CB7" w:rsidRPr="0069223F" w:rsidRDefault="001D4CB7" w:rsidP="006705F3">
            <w:pPr>
              <w:pStyle w:val="TableText"/>
              <w:spacing w:before="40" w:after="40"/>
              <w:jc w:val="center"/>
            </w:pPr>
            <w:r w:rsidRPr="0069223F">
              <w:t>0.0032</w:t>
            </w:r>
          </w:p>
        </w:tc>
        <w:tc>
          <w:tcPr>
            <w:tcW w:w="888" w:type="dxa"/>
            <w:tcBorders>
              <w:top w:val="single" w:sz="4" w:space="0" w:color="808080" w:themeColor="background1" w:themeShade="80"/>
              <w:bottom w:val="single" w:sz="4" w:space="0" w:color="808080" w:themeColor="background1" w:themeShade="80"/>
            </w:tcBorders>
            <w:shd w:val="clear" w:color="auto" w:fill="auto"/>
            <w:noWrap/>
          </w:tcPr>
          <w:p w14:paraId="0650E822" w14:textId="55AD2F6D" w:rsidR="001D4CB7" w:rsidRPr="0069223F" w:rsidRDefault="001D4CB7" w:rsidP="006705F3">
            <w:pPr>
              <w:pStyle w:val="TableText"/>
              <w:spacing w:before="40" w:after="40"/>
              <w:jc w:val="center"/>
            </w:pPr>
            <w:r w:rsidRPr="0069223F">
              <w:t>0.</w:t>
            </w:r>
            <w:r w:rsidR="00836150" w:rsidRPr="0069223F">
              <w:t>0075</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68E610C1" w14:textId="344A13CD" w:rsidR="001D4CB7" w:rsidRPr="0069223F" w:rsidRDefault="00836150" w:rsidP="006705F3">
            <w:pPr>
              <w:pStyle w:val="TableText"/>
              <w:spacing w:before="40" w:after="40"/>
              <w:jc w:val="center"/>
            </w:pPr>
            <w:r w:rsidRPr="0069223F">
              <w:t>0.0160</w:t>
            </w:r>
          </w:p>
        </w:tc>
        <w:tc>
          <w:tcPr>
            <w:tcW w:w="888" w:type="dxa"/>
            <w:tcBorders>
              <w:top w:val="single" w:sz="4" w:space="0" w:color="808080" w:themeColor="background1" w:themeShade="80"/>
              <w:bottom w:val="single" w:sz="4" w:space="0" w:color="808080" w:themeColor="background1" w:themeShade="80"/>
            </w:tcBorders>
            <w:shd w:val="clear" w:color="auto" w:fill="auto"/>
          </w:tcPr>
          <w:p w14:paraId="1C8AF573" w14:textId="3B97CADF" w:rsidR="001D4CB7" w:rsidRPr="0069223F" w:rsidRDefault="00836150" w:rsidP="006705F3">
            <w:pPr>
              <w:pStyle w:val="TableText"/>
              <w:spacing w:before="40" w:after="40"/>
              <w:jc w:val="center"/>
            </w:pPr>
            <w:r w:rsidRPr="0069223F">
              <w:t>0.1099</w:t>
            </w:r>
          </w:p>
        </w:tc>
        <w:tc>
          <w:tcPr>
            <w:tcW w:w="3970" w:type="dxa"/>
            <w:tcBorders>
              <w:top w:val="single" w:sz="4" w:space="0" w:color="808080" w:themeColor="background1" w:themeShade="80"/>
              <w:bottom w:val="single" w:sz="4" w:space="0" w:color="808080" w:themeColor="background1" w:themeShade="80"/>
            </w:tcBorders>
            <w:shd w:val="clear" w:color="auto" w:fill="auto"/>
            <w:noWrap/>
            <w:hideMark/>
          </w:tcPr>
          <w:p w14:paraId="19F7060F" w14:textId="6E8BCEBE" w:rsidR="001D4CB7" w:rsidRPr="00C00335" w:rsidRDefault="001D4CB7" w:rsidP="006705F3">
            <w:pPr>
              <w:pStyle w:val="TableText"/>
              <w:spacing w:before="40" w:after="40"/>
            </w:pPr>
            <w:proofErr w:type="spellStart"/>
            <w:r w:rsidRPr="00C00335">
              <w:t>Calculated</w:t>
            </w:r>
            <w:r w:rsidR="005B1E94">
              <w:rPr>
                <w:vertAlign w:val="superscript"/>
              </w:rPr>
              <w:t>g</w:t>
            </w:r>
            <w:proofErr w:type="spellEnd"/>
          </w:p>
        </w:tc>
      </w:tr>
      <w:tr w:rsidR="001D4CB7" w:rsidRPr="00C00335" w14:paraId="3D08FAF6" w14:textId="77777777" w:rsidTr="00DF6DD4">
        <w:trPr>
          <w:cantSplit/>
        </w:trPr>
        <w:tc>
          <w:tcPr>
            <w:tcW w:w="2701" w:type="dxa"/>
            <w:tcBorders>
              <w:top w:val="single" w:sz="4" w:space="0" w:color="808080" w:themeColor="background1" w:themeShade="80"/>
              <w:bottom w:val="single" w:sz="12" w:space="0" w:color="000000"/>
            </w:tcBorders>
            <w:shd w:val="clear" w:color="auto" w:fill="auto"/>
            <w:noWrap/>
            <w:hideMark/>
          </w:tcPr>
          <w:p w14:paraId="67A08B17" w14:textId="77777777" w:rsidR="001D4CB7" w:rsidRPr="00C00335" w:rsidRDefault="001D4CB7" w:rsidP="006705F3">
            <w:pPr>
              <w:pStyle w:val="TableText"/>
              <w:spacing w:before="40" w:after="40"/>
              <w:ind w:left="450"/>
            </w:pPr>
            <w:r w:rsidRPr="00C00335">
              <w:t>Male</w:t>
            </w:r>
          </w:p>
        </w:tc>
        <w:tc>
          <w:tcPr>
            <w:tcW w:w="887" w:type="dxa"/>
            <w:tcBorders>
              <w:top w:val="single" w:sz="4" w:space="0" w:color="808080" w:themeColor="background1" w:themeShade="80"/>
              <w:bottom w:val="single" w:sz="12" w:space="0" w:color="000000"/>
            </w:tcBorders>
            <w:shd w:val="clear" w:color="auto" w:fill="auto"/>
            <w:noWrap/>
          </w:tcPr>
          <w:p w14:paraId="1504DFE1" w14:textId="77777777" w:rsidR="001D4CB7" w:rsidRPr="0069223F" w:rsidRDefault="001D4CB7" w:rsidP="006705F3">
            <w:pPr>
              <w:pStyle w:val="TableText"/>
              <w:spacing w:before="40" w:after="40"/>
              <w:jc w:val="center"/>
            </w:pPr>
            <w:r w:rsidRPr="0069223F">
              <w:t>0.0013</w:t>
            </w:r>
          </w:p>
        </w:tc>
        <w:tc>
          <w:tcPr>
            <w:tcW w:w="888" w:type="dxa"/>
            <w:tcBorders>
              <w:top w:val="single" w:sz="4" w:space="0" w:color="808080" w:themeColor="background1" w:themeShade="80"/>
              <w:bottom w:val="single" w:sz="12" w:space="0" w:color="000000"/>
            </w:tcBorders>
            <w:shd w:val="clear" w:color="auto" w:fill="auto"/>
            <w:noWrap/>
          </w:tcPr>
          <w:p w14:paraId="770D6B24" w14:textId="77777777" w:rsidR="001D4CB7" w:rsidRPr="0069223F" w:rsidRDefault="001D4CB7" w:rsidP="006705F3">
            <w:pPr>
              <w:pStyle w:val="TableText"/>
              <w:spacing w:before="40" w:after="40"/>
              <w:jc w:val="center"/>
            </w:pPr>
            <w:r w:rsidRPr="0069223F">
              <w:t>0.0032</w:t>
            </w:r>
          </w:p>
        </w:tc>
        <w:tc>
          <w:tcPr>
            <w:tcW w:w="888" w:type="dxa"/>
            <w:tcBorders>
              <w:top w:val="single" w:sz="4" w:space="0" w:color="808080" w:themeColor="background1" w:themeShade="80"/>
              <w:bottom w:val="single" w:sz="12" w:space="0" w:color="000000"/>
            </w:tcBorders>
            <w:shd w:val="clear" w:color="auto" w:fill="auto"/>
            <w:noWrap/>
          </w:tcPr>
          <w:p w14:paraId="58D42AF4" w14:textId="77777777" w:rsidR="001D4CB7" w:rsidRPr="0069223F" w:rsidRDefault="001D4CB7" w:rsidP="006705F3">
            <w:pPr>
              <w:pStyle w:val="TableText"/>
              <w:spacing w:before="40" w:after="40"/>
              <w:jc w:val="center"/>
            </w:pPr>
            <w:r w:rsidRPr="0069223F">
              <w:t>0.0036</w:t>
            </w:r>
          </w:p>
        </w:tc>
        <w:tc>
          <w:tcPr>
            <w:tcW w:w="889" w:type="dxa"/>
            <w:tcBorders>
              <w:top w:val="single" w:sz="4" w:space="0" w:color="808080" w:themeColor="background1" w:themeShade="80"/>
              <w:bottom w:val="single" w:sz="12" w:space="0" w:color="000000"/>
            </w:tcBorders>
            <w:shd w:val="clear" w:color="auto" w:fill="auto"/>
            <w:noWrap/>
          </w:tcPr>
          <w:p w14:paraId="5E80BB9D" w14:textId="77777777" w:rsidR="001D4CB7" w:rsidRPr="0069223F" w:rsidRDefault="001D4CB7" w:rsidP="006705F3">
            <w:pPr>
              <w:pStyle w:val="TableText"/>
              <w:spacing w:before="40" w:after="40"/>
              <w:jc w:val="center"/>
            </w:pPr>
            <w:r w:rsidRPr="0069223F">
              <w:t>0.0054</w:t>
            </w:r>
          </w:p>
        </w:tc>
        <w:tc>
          <w:tcPr>
            <w:tcW w:w="888" w:type="dxa"/>
            <w:tcBorders>
              <w:top w:val="single" w:sz="4" w:space="0" w:color="808080" w:themeColor="background1" w:themeShade="80"/>
              <w:bottom w:val="single" w:sz="12" w:space="0" w:color="000000"/>
            </w:tcBorders>
            <w:shd w:val="clear" w:color="auto" w:fill="auto"/>
            <w:noWrap/>
          </w:tcPr>
          <w:p w14:paraId="6138719D" w14:textId="40A61319" w:rsidR="001D4CB7" w:rsidRPr="0069223F" w:rsidRDefault="001D4CB7" w:rsidP="006705F3">
            <w:pPr>
              <w:pStyle w:val="TableText"/>
              <w:spacing w:before="40" w:after="40"/>
              <w:jc w:val="center"/>
            </w:pPr>
            <w:r w:rsidRPr="0069223F">
              <w:t>0.</w:t>
            </w:r>
            <w:r w:rsidR="00836150" w:rsidRPr="0069223F">
              <w:t>0124</w:t>
            </w:r>
          </w:p>
        </w:tc>
        <w:tc>
          <w:tcPr>
            <w:tcW w:w="888" w:type="dxa"/>
            <w:tcBorders>
              <w:top w:val="single" w:sz="4" w:space="0" w:color="808080" w:themeColor="background1" w:themeShade="80"/>
              <w:bottom w:val="single" w:sz="12" w:space="0" w:color="000000"/>
            </w:tcBorders>
            <w:shd w:val="clear" w:color="auto" w:fill="auto"/>
          </w:tcPr>
          <w:p w14:paraId="4D6B87F3" w14:textId="51E50C24" w:rsidR="001D4CB7" w:rsidRPr="0069223F" w:rsidRDefault="00836150" w:rsidP="006705F3">
            <w:pPr>
              <w:pStyle w:val="TableText"/>
              <w:spacing w:before="40" w:after="40"/>
              <w:jc w:val="center"/>
            </w:pPr>
            <w:r w:rsidRPr="0069223F">
              <w:t>0.0266</w:t>
            </w:r>
          </w:p>
        </w:tc>
        <w:tc>
          <w:tcPr>
            <w:tcW w:w="888" w:type="dxa"/>
            <w:tcBorders>
              <w:top w:val="single" w:sz="4" w:space="0" w:color="808080" w:themeColor="background1" w:themeShade="80"/>
              <w:bottom w:val="single" w:sz="12" w:space="0" w:color="000000"/>
            </w:tcBorders>
            <w:shd w:val="clear" w:color="auto" w:fill="auto"/>
          </w:tcPr>
          <w:p w14:paraId="0BAA623C" w14:textId="4B6BC226" w:rsidR="001D4CB7" w:rsidRPr="0069223F" w:rsidRDefault="00836150" w:rsidP="006705F3">
            <w:pPr>
              <w:pStyle w:val="TableText"/>
              <w:spacing w:before="40" w:after="40"/>
              <w:jc w:val="center"/>
            </w:pPr>
            <w:r w:rsidRPr="0069223F">
              <w:t>0.1199</w:t>
            </w:r>
          </w:p>
        </w:tc>
        <w:tc>
          <w:tcPr>
            <w:tcW w:w="3970" w:type="dxa"/>
            <w:tcBorders>
              <w:top w:val="single" w:sz="4" w:space="0" w:color="808080" w:themeColor="background1" w:themeShade="80"/>
              <w:bottom w:val="single" w:sz="12" w:space="0" w:color="000000"/>
            </w:tcBorders>
            <w:shd w:val="clear" w:color="auto" w:fill="auto"/>
            <w:noWrap/>
            <w:hideMark/>
          </w:tcPr>
          <w:p w14:paraId="2287565D" w14:textId="534B1499" w:rsidR="001D4CB7" w:rsidRPr="00C00335" w:rsidRDefault="001D4CB7" w:rsidP="006705F3">
            <w:pPr>
              <w:pStyle w:val="TableText"/>
              <w:spacing w:before="40" w:after="40"/>
            </w:pPr>
            <w:proofErr w:type="spellStart"/>
            <w:r w:rsidRPr="00C00335">
              <w:t>Calculated</w:t>
            </w:r>
            <w:r w:rsidR="005B1E94">
              <w:rPr>
                <w:vertAlign w:val="superscript"/>
              </w:rPr>
              <w:t>g</w:t>
            </w:r>
            <w:proofErr w:type="spellEnd"/>
          </w:p>
        </w:tc>
      </w:tr>
    </w:tbl>
    <w:p w14:paraId="1C908CA8" w14:textId="54FBC73D" w:rsidR="00A57EF2" w:rsidRPr="00C00335" w:rsidRDefault="00B8648E" w:rsidP="006705F3">
      <w:pPr>
        <w:pStyle w:val="Source2"/>
      </w:pPr>
      <w:r w:rsidRPr="00C00335">
        <w:t xml:space="preserve">Note: </w:t>
      </w:r>
      <w:r w:rsidR="00A57EF2" w:rsidRPr="00C00335">
        <w:t>ART</w:t>
      </w:r>
      <w:r w:rsidR="00E628BE" w:rsidRPr="00C00335">
        <w:t> = </w:t>
      </w:r>
      <w:r w:rsidR="00A57EF2" w:rsidRPr="00C00335">
        <w:t xml:space="preserve">antiretroviral therapy; </w:t>
      </w:r>
      <w:r w:rsidR="00B8371F" w:rsidRPr="00C00335">
        <w:t>B</w:t>
      </w:r>
      <w:r w:rsidR="00E628BE" w:rsidRPr="00C00335">
        <w:t> = </w:t>
      </w:r>
      <w:r w:rsidR="008E4A7C" w:rsidRPr="00C00335">
        <w:t>b</w:t>
      </w:r>
      <w:r w:rsidR="00B8371F" w:rsidRPr="00C00335">
        <w:t>lack; H</w:t>
      </w:r>
      <w:r w:rsidR="00E628BE" w:rsidRPr="00C00335">
        <w:t> = </w:t>
      </w:r>
      <w:r w:rsidR="00B8371F" w:rsidRPr="00C00335">
        <w:t>Hispanic/Latino; O</w:t>
      </w:r>
      <w:r w:rsidR="00E628BE" w:rsidRPr="00C00335">
        <w:t> = </w:t>
      </w:r>
      <w:r w:rsidR="00896735">
        <w:t>white/other</w:t>
      </w:r>
      <w:r w:rsidR="00B8371F" w:rsidRPr="00C00335">
        <w:t xml:space="preserve"> race; </w:t>
      </w:r>
      <w:r w:rsidR="00A57EF2" w:rsidRPr="00C00335">
        <w:t>CDC</w:t>
      </w:r>
      <w:r w:rsidR="00E628BE" w:rsidRPr="00C00335">
        <w:t> = </w:t>
      </w:r>
      <w:r w:rsidR="00A57EF2" w:rsidRPr="00C00335">
        <w:t>Centers for Disease Control and Prevention; HET</w:t>
      </w:r>
      <w:r w:rsidR="00E628BE" w:rsidRPr="00C00335">
        <w:t> = </w:t>
      </w:r>
      <w:r w:rsidR="00A57EF2" w:rsidRPr="00C00335">
        <w:t>heterosexual; HIV</w:t>
      </w:r>
      <w:r w:rsidR="00E628BE" w:rsidRPr="00C00335">
        <w:t> = </w:t>
      </w:r>
      <w:r w:rsidR="00A57EF2" w:rsidRPr="00C00335">
        <w:t xml:space="preserve">human immunodeficiency virus; </w:t>
      </w:r>
      <w:r w:rsidR="005B1E94" w:rsidRPr="00F5043F">
        <w:t>HOPS = HIV Outpatient Study;</w:t>
      </w:r>
      <w:r w:rsidR="005B1E94">
        <w:t xml:space="preserve"> </w:t>
      </w:r>
      <w:r w:rsidR="00A57EF2" w:rsidRPr="00C00335">
        <w:t>MSM</w:t>
      </w:r>
      <w:r w:rsidR="00E628BE" w:rsidRPr="00C00335">
        <w:t> = </w:t>
      </w:r>
      <w:r w:rsidR="00A57EF2" w:rsidRPr="00C00335">
        <w:t xml:space="preserve">men who have sex with men; </w:t>
      </w:r>
      <w:r w:rsidR="005B1E94" w:rsidRPr="005B1E94">
        <w:t>NA-ACCORD</w:t>
      </w:r>
      <w:r w:rsidR="005B1E94">
        <w:t xml:space="preserve"> = </w:t>
      </w:r>
      <w:r w:rsidR="005B1E94" w:rsidRPr="005B1E94">
        <w:t>North American AIDS Cohort Collaboration on Research and Design</w:t>
      </w:r>
      <w:r w:rsidR="005B1E94">
        <w:t xml:space="preserve">; </w:t>
      </w:r>
      <w:r w:rsidR="00A57EF2" w:rsidRPr="00C00335">
        <w:t>NCHS</w:t>
      </w:r>
      <w:r w:rsidR="00E628BE" w:rsidRPr="00C00335">
        <w:t> = </w:t>
      </w:r>
      <w:r w:rsidR="00A57EF2" w:rsidRPr="00C00335">
        <w:t>National Center for Health Statistics</w:t>
      </w:r>
      <w:r w:rsidR="00F77D76" w:rsidRPr="00C00335">
        <w:t xml:space="preserve">; </w:t>
      </w:r>
      <w:r w:rsidR="008A60F3">
        <w:t xml:space="preserve">PWH = people with HIV; </w:t>
      </w:r>
      <w:r w:rsidR="00F77D76" w:rsidRPr="00C00335">
        <w:t>PWID</w:t>
      </w:r>
      <w:r w:rsidR="00E628BE" w:rsidRPr="00C00335">
        <w:t> = </w:t>
      </w:r>
      <w:r w:rsidR="00F77D76" w:rsidRPr="00C00335">
        <w:t>people who inject drugs</w:t>
      </w:r>
      <w:r w:rsidR="008A60F3" w:rsidRPr="00F5043F">
        <w:t>; VLS = viral load suppressed</w:t>
      </w:r>
    </w:p>
    <w:p w14:paraId="7070C1F9" w14:textId="59E94FB5" w:rsidR="00A57EF2" w:rsidRDefault="00A57EF2" w:rsidP="006705F3">
      <w:pPr>
        <w:pStyle w:val="Source2"/>
      </w:pPr>
      <w:proofErr w:type="spellStart"/>
      <w:r w:rsidRPr="00C00335">
        <w:rPr>
          <w:vertAlign w:val="superscript"/>
        </w:rPr>
        <w:t>a</w:t>
      </w:r>
      <w:proofErr w:type="spellEnd"/>
      <w:r w:rsidR="00786610" w:rsidRPr="00C00335">
        <w:rPr>
          <w:vertAlign w:val="superscript"/>
        </w:rPr>
        <w:t xml:space="preserve"> </w:t>
      </w:r>
      <w:r w:rsidR="005C6FD3" w:rsidRPr="00C00335">
        <w:t>If the youngest age group is 13</w:t>
      </w:r>
      <w:r w:rsidR="0048462A">
        <w:t>–</w:t>
      </w:r>
      <w:r w:rsidR="005C6FD3" w:rsidRPr="00C00335">
        <w:t xml:space="preserve">17, the </w:t>
      </w:r>
      <w:r w:rsidR="007F3BCC">
        <w:t xml:space="preserve">overall entry </w:t>
      </w:r>
      <w:r w:rsidR="005C6FD3" w:rsidRPr="00C00335">
        <w:t xml:space="preserve">rate was set </w:t>
      </w:r>
      <w:r w:rsidR="003C150A" w:rsidRPr="00C00335">
        <w:t>approximately equal to 1 ÷</w:t>
      </w:r>
      <w:r w:rsidR="003C150A" w:rsidRPr="00C00335" w:rsidDel="009B126F">
        <w:t xml:space="preserve"> </w:t>
      </w:r>
      <w:r w:rsidR="003C150A" w:rsidRPr="00C00335">
        <w:t>(number of years in the 13</w:t>
      </w:r>
      <w:r w:rsidR="000D2313" w:rsidRPr="00C00335">
        <w:t>-</w:t>
      </w:r>
      <w:r w:rsidR="003C150A" w:rsidRPr="00C00335">
        <w:t xml:space="preserve">17 age group) and adjusted </w:t>
      </w:r>
      <w:r w:rsidR="005C6FD3" w:rsidRPr="00C00335">
        <w:t>so that the population size was stable over time</w:t>
      </w:r>
      <w:r w:rsidR="00EA00B7" w:rsidRPr="00C00335">
        <w:t xml:space="preserve"> (until 2015)</w:t>
      </w:r>
      <w:r w:rsidR="005C6FD3" w:rsidRPr="00C00335">
        <w:t>. If the youngest age group is 18</w:t>
      </w:r>
      <w:r w:rsidR="000D2313" w:rsidRPr="00C00335">
        <w:t>-</w:t>
      </w:r>
      <w:r w:rsidR="005C6FD3" w:rsidRPr="00C00335">
        <w:t>24, t</w:t>
      </w:r>
      <w:r w:rsidRPr="00C00335">
        <w:t>he rate of aging into the model is equal to 1 ÷</w:t>
      </w:r>
      <w:r w:rsidRPr="00C00335" w:rsidDel="009B126F">
        <w:t xml:space="preserve"> </w:t>
      </w:r>
      <w:r w:rsidRPr="00C00335">
        <w:t xml:space="preserve">(number of years in </w:t>
      </w:r>
      <w:r w:rsidR="005C6FD3" w:rsidRPr="00C00335">
        <w:t>the 18</w:t>
      </w:r>
      <w:r w:rsidR="000D2313" w:rsidRPr="00C00335">
        <w:t>-</w:t>
      </w:r>
      <w:r w:rsidR="005C6FD3" w:rsidRPr="00C00335">
        <w:t>24 age group).</w:t>
      </w:r>
    </w:p>
    <w:p w14:paraId="61CF974E" w14:textId="11695116" w:rsidR="0079113C" w:rsidRPr="0079113C" w:rsidRDefault="0079113C" w:rsidP="005F122E">
      <w:pPr>
        <w:pStyle w:val="Source2"/>
      </w:pPr>
      <w:r w:rsidRPr="00083309">
        <w:rPr>
          <w:vertAlign w:val="superscript"/>
        </w:rPr>
        <w:t xml:space="preserve">b </w:t>
      </w:r>
      <w:r w:rsidRPr="00083309">
        <w:t xml:space="preserve">Estimated so that 2016 HOPE population sizes approximated 2016 census data of </w:t>
      </w:r>
      <w:r w:rsidR="00DB17EE" w:rsidRPr="00083309">
        <w:t xml:space="preserve">13,327,093 </w:t>
      </w:r>
      <w:r w:rsidRPr="00083309">
        <w:t xml:space="preserve">for Black males, </w:t>
      </w:r>
      <w:r w:rsidR="00DB17EE" w:rsidRPr="00083309">
        <w:t xml:space="preserve">18,938,691 </w:t>
      </w:r>
      <w:r w:rsidRPr="00083309">
        <w:t xml:space="preserve">for Hispanic/Latino males, </w:t>
      </w:r>
      <w:r w:rsidR="00DB17EE" w:rsidRPr="00083309">
        <w:t xml:space="preserve">80,285,306 </w:t>
      </w:r>
      <w:r w:rsidRPr="00083309">
        <w:t xml:space="preserve">for </w:t>
      </w:r>
      <w:r w:rsidR="00896735" w:rsidRPr="00083309">
        <w:t>white/other</w:t>
      </w:r>
      <w:r w:rsidRPr="00083309">
        <w:t xml:space="preserve"> males, </w:t>
      </w:r>
      <w:r w:rsidR="00DB17EE" w:rsidRPr="00083309">
        <w:t xml:space="preserve">14,759,511 </w:t>
      </w:r>
      <w:r w:rsidRPr="00083309">
        <w:t xml:space="preserve">for Black females, </w:t>
      </w:r>
      <w:r w:rsidR="00DB17EE" w:rsidRPr="00083309">
        <w:t xml:space="preserve">18,484,810 </w:t>
      </w:r>
      <w:r w:rsidRPr="00083309">
        <w:t xml:space="preserve">for Hispanic/Latino females, </w:t>
      </w:r>
      <w:r w:rsidR="00DB17EE" w:rsidRPr="00083309">
        <w:t xml:space="preserve">83,398,464 </w:t>
      </w:r>
      <w:r w:rsidRPr="00083309">
        <w:t>for</w:t>
      </w:r>
      <w:r w:rsidR="005F122E" w:rsidRPr="00083309">
        <w:t xml:space="preserve"> </w:t>
      </w:r>
      <w:r w:rsidR="00896735" w:rsidRPr="00083309">
        <w:t>white/other</w:t>
      </w:r>
      <w:r w:rsidRPr="00083309">
        <w:t xml:space="preserve"> females</w:t>
      </w:r>
      <w:r w:rsidR="005F122E" w:rsidRPr="00083309">
        <w:t xml:space="preserve">, adjusted to </w:t>
      </w:r>
      <w:r w:rsidR="00CF5ADE" w:rsidRPr="00083309">
        <w:t>include only sexually-active and ages 13+ years.</w:t>
      </w:r>
      <w:r w:rsidR="00CF5ADE" w:rsidRPr="0069223F">
        <w:t xml:space="preserve"> </w:t>
      </w:r>
      <w:r w:rsidR="005F122E" w:rsidRPr="0069223F">
        <w:t xml:space="preserve"> </w:t>
      </w:r>
    </w:p>
    <w:p w14:paraId="30CE6F75" w14:textId="2FF8D6B4" w:rsidR="00A57EF2" w:rsidRPr="00C00335" w:rsidRDefault="0079113C" w:rsidP="00526BBA">
      <w:pPr>
        <w:pStyle w:val="Source2"/>
        <w:spacing w:before="60"/>
      </w:pPr>
      <w:r>
        <w:rPr>
          <w:vertAlign w:val="superscript"/>
        </w:rPr>
        <w:t>c</w:t>
      </w:r>
      <w:r w:rsidRPr="00C00335">
        <w:rPr>
          <w:vertAlign w:val="superscript"/>
        </w:rPr>
        <w:t xml:space="preserve"> </w:t>
      </w:r>
      <w:r w:rsidR="00A57EF2" w:rsidRPr="00C00335">
        <w:t>Departure from CD4 &lt; 200 stage</w:t>
      </w:r>
      <w:r w:rsidR="00361319" w:rsidRPr="00C00335">
        <w:t xml:space="preserve"> leads to</w:t>
      </w:r>
      <w:r w:rsidR="00A57EF2" w:rsidRPr="00C00335">
        <w:t xml:space="preserve"> death from AIDS.</w:t>
      </w:r>
    </w:p>
    <w:p w14:paraId="572E1809" w14:textId="452A3706" w:rsidR="00DF6DD4" w:rsidRDefault="0079113C" w:rsidP="008A60F3">
      <w:pPr>
        <w:pStyle w:val="Source2"/>
        <w:spacing w:before="60"/>
      </w:pPr>
      <w:r>
        <w:rPr>
          <w:vertAlign w:val="superscript"/>
        </w:rPr>
        <w:t>d</w:t>
      </w:r>
      <w:r w:rsidRPr="00C00335">
        <w:rPr>
          <w:vertAlign w:val="superscript"/>
        </w:rPr>
        <w:t xml:space="preserve"> </w:t>
      </w:r>
      <w:r w:rsidR="0006025F" w:rsidRPr="00C00335">
        <w:t xml:space="preserve">It is assumed that </w:t>
      </w:r>
      <w:r w:rsidR="008A60F3">
        <w:t>PWH</w:t>
      </w:r>
      <w:r w:rsidR="0006025F" w:rsidRPr="00C00335">
        <w:t xml:space="preserve"> who </w:t>
      </w:r>
      <w:r w:rsidR="0040486A" w:rsidRPr="00C00335">
        <w:t xml:space="preserve">are </w:t>
      </w:r>
      <w:r w:rsidR="008A60F3">
        <w:t xml:space="preserve">on </w:t>
      </w:r>
      <w:r w:rsidR="00825F9B" w:rsidRPr="00C00335">
        <w:t>ART</w:t>
      </w:r>
      <w:r w:rsidR="008A60F3">
        <w:t xml:space="preserve"> but </w:t>
      </w:r>
      <w:r w:rsidR="00825F9B" w:rsidRPr="00C00335">
        <w:t>not</w:t>
      </w:r>
      <w:r w:rsidR="008A60F3">
        <w:t xml:space="preserve"> </w:t>
      </w:r>
      <w:r w:rsidR="0006025F" w:rsidRPr="00C00335">
        <w:t xml:space="preserve">VLS experience slowed disease progression and that those who are VLS experience mostly improvement in CD4 rather than disease progression. These assumptions were found to be mathematically essential for the model to simultaneously replicate both the incidence and prevalence trends reported in CDC surveillance data. See </w:t>
      </w:r>
      <w:r w:rsidR="00CA2896" w:rsidRPr="00C00335">
        <w:t>Section </w:t>
      </w:r>
      <w:r w:rsidR="007B4EFA">
        <w:t>10</w:t>
      </w:r>
      <w:r w:rsidR="007B4EFA" w:rsidRPr="00C00335">
        <w:t xml:space="preserve"> </w:t>
      </w:r>
      <w:r w:rsidR="0006025F" w:rsidRPr="00C00335">
        <w:t>for further details on the calibration process.</w:t>
      </w:r>
      <w:r w:rsidR="00DF6DD4">
        <w:br w:type="page"/>
      </w:r>
    </w:p>
    <w:p w14:paraId="1E5CFE84" w14:textId="77777777" w:rsidR="00DF6DD4" w:rsidRPr="00C00335" w:rsidRDefault="00DF6DD4" w:rsidP="00DF6DD4">
      <w:pPr>
        <w:pStyle w:val="TableTitlecont"/>
        <w:spacing w:before="120"/>
        <w:ind w:left="1530"/>
      </w:pPr>
      <w:r w:rsidRPr="00C00335">
        <w:lastRenderedPageBreak/>
        <w:t>Table 5.1.</w:t>
      </w:r>
      <w:r w:rsidRPr="00C00335">
        <w:tab/>
        <w:t>Rate of Aging into Population and Inputs that Determine All HIV Progression and Death Rates</w:t>
      </w:r>
      <w:r w:rsidRPr="00C00335" w:rsidDel="00952170">
        <w:t xml:space="preserve"> </w:t>
      </w:r>
      <w:r w:rsidRPr="00C00335">
        <w:t>(continued)</w:t>
      </w:r>
    </w:p>
    <w:p w14:paraId="3A144189" w14:textId="687B8111" w:rsidR="001F5372" w:rsidRPr="00087186" w:rsidRDefault="0079113C" w:rsidP="0036388F">
      <w:pPr>
        <w:pStyle w:val="Source2"/>
        <w:spacing w:before="60"/>
      </w:pPr>
      <w:r w:rsidRPr="00083309">
        <w:rPr>
          <w:vertAlign w:val="superscript"/>
        </w:rPr>
        <w:t xml:space="preserve">e </w:t>
      </w:r>
      <w:r w:rsidR="00A57EF2" w:rsidRPr="00083309">
        <w:t xml:space="preserve">Source based on ages 18 </w:t>
      </w:r>
      <w:r w:rsidR="00D25FAD" w:rsidRPr="00083309">
        <w:t xml:space="preserve">or </w:t>
      </w:r>
      <w:r w:rsidR="00A57EF2" w:rsidRPr="00083309">
        <w:t>older. The probabilities are assumed to be the same for age</w:t>
      </w:r>
      <w:r w:rsidR="001E7D42" w:rsidRPr="00083309">
        <w:t xml:space="preserve"> groups</w:t>
      </w:r>
      <w:r w:rsidR="00A57EF2" w:rsidRPr="00083309">
        <w:t xml:space="preserve"> 13</w:t>
      </w:r>
      <w:r w:rsidR="0048462A" w:rsidRPr="00083309">
        <w:t>–</w:t>
      </w:r>
      <w:r w:rsidR="002F2B6F" w:rsidRPr="00083309">
        <w:t>17,</w:t>
      </w:r>
      <w:r w:rsidR="00E7462F" w:rsidRPr="00083309">
        <w:t xml:space="preserve"> </w:t>
      </w:r>
      <w:r w:rsidR="00A57EF2" w:rsidRPr="00083309">
        <w:t>18</w:t>
      </w:r>
      <w:r w:rsidR="0048462A" w:rsidRPr="00083309">
        <w:t>–</w:t>
      </w:r>
      <w:r w:rsidR="00A57EF2" w:rsidRPr="00083309">
        <w:t>24</w:t>
      </w:r>
      <w:r w:rsidR="00D5314C" w:rsidRPr="00083309">
        <w:t>,</w:t>
      </w:r>
      <w:r w:rsidR="00653485" w:rsidRPr="00083309">
        <w:t xml:space="preserve"> and 25</w:t>
      </w:r>
      <w:r w:rsidR="0048462A" w:rsidRPr="00083309">
        <w:t>–</w:t>
      </w:r>
      <w:r w:rsidR="00653485" w:rsidRPr="00083309">
        <w:t>34</w:t>
      </w:r>
      <w:r w:rsidR="00CF5ADE" w:rsidRPr="00083309">
        <w:t xml:space="preserve"> and for ages 45</w:t>
      </w:r>
      <w:r w:rsidR="0048462A" w:rsidRPr="00083309">
        <w:t>–</w:t>
      </w:r>
      <w:r w:rsidR="00CF5ADE" w:rsidRPr="00083309">
        <w:t>54</w:t>
      </w:r>
      <w:r w:rsidR="00270B67" w:rsidRPr="00083309">
        <w:t xml:space="preserve"> and</w:t>
      </w:r>
      <w:r w:rsidR="00CF5ADE" w:rsidRPr="00083309">
        <w:t xml:space="preserve"> 55</w:t>
      </w:r>
      <w:r w:rsidR="0048462A" w:rsidRPr="00083309">
        <w:t>–</w:t>
      </w:r>
      <w:r w:rsidR="00CF5ADE" w:rsidRPr="00083309">
        <w:t>64</w:t>
      </w:r>
      <w:r w:rsidR="00270B67" w:rsidRPr="00083309">
        <w:t xml:space="preserve"> </w:t>
      </w:r>
      <w:r w:rsidR="00CF5ADE" w:rsidRPr="00083309">
        <w:t>years</w:t>
      </w:r>
      <w:r w:rsidR="00A57EF2" w:rsidRPr="00083309">
        <w:t>.</w:t>
      </w:r>
      <w:r w:rsidR="006330C5" w:rsidRPr="00083309">
        <w:t xml:space="preserve"> Values calculated directly from NA-ACCORD </w:t>
      </w:r>
      <w:r w:rsidR="000D486A" w:rsidRPr="00083309">
        <w:t xml:space="preserve">(2014) </w:t>
      </w:r>
      <w:r w:rsidR="006330C5" w:rsidRPr="00083309">
        <w:t>data</w:t>
      </w:r>
      <w:r w:rsidR="000D486A" w:rsidRPr="00083309">
        <w:t xml:space="preserve"> for </w:t>
      </w:r>
      <w:r w:rsidR="0013475B" w:rsidRPr="00083309">
        <w:t>2010</w:t>
      </w:r>
      <w:r w:rsidR="006330C5" w:rsidRPr="00083309">
        <w:t xml:space="preserve"> based on mortality rates of NA-ACCORD participants.</w:t>
      </w:r>
    </w:p>
    <w:p w14:paraId="661BE4E1" w14:textId="658DA140" w:rsidR="005B1E94" w:rsidRPr="005B1E94" w:rsidRDefault="0079113C" w:rsidP="005B1E94">
      <w:pPr>
        <w:pStyle w:val="Source2"/>
      </w:pPr>
      <w:r w:rsidRPr="009335CD">
        <w:rPr>
          <w:vertAlign w:val="superscript"/>
        </w:rPr>
        <w:t xml:space="preserve">f </w:t>
      </w:r>
      <w:r w:rsidR="005B1E94" w:rsidRPr="009335CD">
        <w:t>Assumption of mortality</w:t>
      </w:r>
      <w:r w:rsidR="005B1E94" w:rsidRPr="00F5043F">
        <w:t xml:space="preserve"> risk that is higher for </w:t>
      </w:r>
      <w:r w:rsidR="0079728B">
        <w:t>PWH</w:t>
      </w:r>
      <w:r w:rsidR="005B1E94" w:rsidRPr="00F5043F">
        <w:t xml:space="preserve"> who are not VLS versus those who are supported by Krebs et al. (2019), </w:t>
      </w:r>
      <w:proofErr w:type="spellStart"/>
      <w:r w:rsidR="005B1E94" w:rsidRPr="00F5043F">
        <w:t>Krentz</w:t>
      </w:r>
      <w:proofErr w:type="spellEnd"/>
      <w:r w:rsidR="005B1E94" w:rsidRPr="00F5043F">
        <w:t xml:space="preserve"> et al. (2014), Krueger et al. (2019), as well as unpublished data from the HOPS trial (an NA-ACCORD clinical trial site). Specific values of multipliers were estimated.</w:t>
      </w:r>
    </w:p>
    <w:p w14:paraId="039238D1" w14:textId="1DAC7665" w:rsidR="00A57EF2" w:rsidRPr="00C00335" w:rsidRDefault="005B1E94" w:rsidP="005B1E94">
      <w:pPr>
        <w:pStyle w:val="Source2"/>
      </w:pPr>
      <w:r w:rsidRPr="005B1E94">
        <w:rPr>
          <w:vertAlign w:val="superscript"/>
        </w:rPr>
        <w:t>g</w:t>
      </w:r>
      <w:r>
        <w:t xml:space="preserve"> </w:t>
      </w:r>
      <w:r w:rsidR="00A57EF2" w:rsidRPr="00C00335">
        <w:t xml:space="preserve">Calculated as the risk from CDC/NCHS life tables multiplied by the relative risk of death for </w:t>
      </w:r>
      <w:r w:rsidR="00F77D76" w:rsidRPr="00C00335">
        <w:t>PWID</w:t>
      </w:r>
      <w:r w:rsidR="00A57EF2" w:rsidRPr="00C00335">
        <w:t xml:space="preserve"> versus non-</w:t>
      </w:r>
      <w:r w:rsidR="00F77D76" w:rsidRPr="00C00335">
        <w:t>PWID</w:t>
      </w:r>
      <w:r w:rsidR="00A57EF2" w:rsidRPr="00C00335">
        <w:t xml:space="preserve"> population.</w:t>
      </w:r>
    </w:p>
    <w:bookmarkEnd w:id="28"/>
    <w:p w14:paraId="5FD417F8" w14:textId="77777777" w:rsidR="001A6C07" w:rsidRPr="00C00335" w:rsidRDefault="001A6C07">
      <w:pPr>
        <w:rPr>
          <w:b/>
        </w:rPr>
      </w:pPr>
      <w:r w:rsidRPr="00C00335">
        <w:br w:type="page"/>
      </w:r>
    </w:p>
    <w:p w14:paraId="1B9A56CF" w14:textId="6541CAEB" w:rsidR="00A57EF2" w:rsidRPr="00C00335" w:rsidRDefault="004F4E6D" w:rsidP="00260D8A">
      <w:pPr>
        <w:pStyle w:val="TableTitle"/>
        <w:ind w:left="1530"/>
      </w:pPr>
      <w:bookmarkStart w:id="30" w:name="_Toc89257590"/>
      <w:r w:rsidRPr="00C00335">
        <w:lastRenderedPageBreak/>
        <w:t>Table 5.</w:t>
      </w:r>
      <w:r w:rsidR="00A57EF2" w:rsidRPr="00C00335">
        <w:t>2.</w:t>
      </w:r>
      <w:r w:rsidR="00A57EF2" w:rsidRPr="00C00335">
        <w:tab/>
      </w:r>
      <w:r w:rsidR="000D6E53" w:rsidRPr="00C00335">
        <w:t xml:space="preserve">Inputs for Calculating </w:t>
      </w:r>
      <w:r w:rsidR="00436213" w:rsidRPr="00C00335">
        <w:t xml:space="preserve">Rates </w:t>
      </w:r>
      <w:r w:rsidR="000D6E53" w:rsidRPr="00C00335">
        <w:t xml:space="preserve">of Undiagnosed HIV-Infected </w:t>
      </w:r>
      <w:r w:rsidR="000507A1" w:rsidRPr="00C00335">
        <w:t xml:space="preserve">and HIV-Uninfected </w:t>
      </w:r>
      <w:r w:rsidR="000D6E53" w:rsidRPr="00C00335">
        <w:t>Individuals</w:t>
      </w:r>
      <w:r w:rsidR="00A57EF2" w:rsidRPr="00C00335">
        <w:t xml:space="preserve"> Getting Tested</w:t>
      </w:r>
      <w:r w:rsidR="005F2194" w:rsidRPr="00C00335">
        <w:t xml:space="preserve"> in </w:t>
      </w:r>
      <w:r w:rsidR="00973EFA">
        <w:t>First</w:t>
      </w:r>
      <w:r w:rsidR="00973EFA" w:rsidRPr="00C00335">
        <w:t xml:space="preserve"> </w:t>
      </w:r>
      <w:r w:rsidR="005F2194" w:rsidRPr="00C00335">
        <w:t>Time Period</w:t>
      </w:r>
      <w:bookmarkEnd w:id="30"/>
      <w:r w:rsidR="00A57EF2" w:rsidRPr="00C00335">
        <w:t xml:space="preserve"> </w:t>
      </w:r>
    </w:p>
    <w:tbl>
      <w:tblPr>
        <w:tblW w:w="5000"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801"/>
        <w:gridCol w:w="4320"/>
        <w:gridCol w:w="3839"/>
      </w:tblGrid>
      <w:tr w:rsidR="00562574" w:rsidRPr="00C00335" w14:paraId="0604F852" w14:textId="77777777" w:rsidTr="00DF6DD4">
        <w:trPr>
          <w:cantSplit/>
          <w:tblHeader/>
        </w:trPr>
        <w:tc>
          <w:tcPr>
            <w:tcW w:w="4801" w:type="dxa"/>
            <w:tcBorders>
              <w:top w:val="single" w:sz="12" w:space="0" w:color="000000"/>
              <w:bottom w:val="single" w:sz="6" w:space="0" w:color="auto"/>
            </w:tcBorders>
            <w:shd w:val="clear" w:color="auto" w:fill="auto"/>
            <w:noWrap/>
            <w:vAlign w:val="bottom"/>
            <w:hideMark/>
          </w:tcPr>
          <w:p w14:paraId="0B011579" w14:textId="77777777" w:rsidR="00562574" w:rsidRPr="00C00335" w:rsidRDefault="00562574" w:rsidP="00163264">
            <w:pPr>
              <w:pStyle w:val="TableHeaders"/>
              <w:spacing w:before="30" w:after="30"/>
            </w:pPr>
            <w:r w:rsidRPr="00C00335">
              <w:t>Parameter</w:t>
            </w:r>
          </w:p>
        </w:tc>
        <w:tc>
          <w:tcPr>
            <w:tcW w:w="4320" w:type="dxa"/>
            <w:tcBorders>
              <w:top w:val="single" w:sz="12" w:space="0" w:color="000000"/>
              <w:bottom w:val="single" w:sz="6" w:space="0" w:color="auto"/>
            </w:tcBorders>
            <w:shd w:val="clear" w:color="auto" w:fill="auto"/>
            <w:noWrap/>
            <w:vAlign w:val="bottom"/>
            <w:hideMark/>
          </w:tcPr>
          <w:p w14:paraId="071CB960" w14:textId="7D6D2596" w:rsidR="00562574" w:rsidRPr="00C00335" w:rsidRDefault="00562574" w:rsidP="00163264">
            <w:pPr>
              <w:pStyle w:val="TableHeaders"/>
              <w:spacing w:before="30" w:after="30"/>
            </w:pPr>
            <w:r w:rsidRPr="00C00335">
              <w:t>Value</w:t>
            </w:r>
          </w:p>
        </w:tc>
        <w:tc>
          <w:tcPr>
            <w:tcW w:w="3839" w:type="dxa"/>
            <w:tcBorders>
              <w:top w:val="single" w:sz="12" w:space="0" w:color="000000"/>
              <w:bottom w:val="single" w:sz="6" w:space="0" w:color="auto"/>
            </w:tcBorders>
            <w:shd w:val="clear" w:color="auto" w:fill="auto"/>
            <w:vAlign w:val="bottom"/>
          </w:tcPr>
          <w:p w14:paraId="26D2F4C5" w14:textId="740051A4" w:rsidR="00562574" w:rsidRPr="00C00335" w:rsidRDefault="00562574" w:rsidP="00163264">
            <w:pPr>
              <w:pStyle w:val="TableHeaders"/>
              <w:spacing w:before="30" w:after="30"/>
            </w:pPr>
            <w:r w:rsidRPr="00C00335">
              <w:t>Source</w:t>
            </w:r>
          </w:p>
        </w:tc>
      </w:tr>
      <w:tr w:rsidR="00A57EF2" w:rsidRPr="00C00335" w14:paraId="152AC9B7" w14:textId="77777777" w:rsidTr="00DF6DD4">
        <w:trPr>
          <w:cantSplit/>
        </w:trPr>
        <w:tc>
          <w:tcPr>
            <w:tcW w:w="12960" w:type="dxa"/>
            <w:gridSpan w:val="3"/>
            <w:tcBorders>
              <w:top w:val="single" w:sz="6" w:space="0" w:color="auto"/>
              <w:bottom w:val="single" w:sz="6" w:space="0" w:color="808080" w:themeColor="background1" w:themeShade="80"/>
            </w:tcBorders>
            <w:shd w:val="clear" w:color="auto" w:fill="auto"/>
            <w:noWrap/>
            <w:hideMark/>
          </w:tcPr>
          <w:p w14:paraId="07B71199" w14:textId="00EFAB47" w:rsidR="00A57EF2" w:rsidRPr="00C00335" w:rsidRDefault="00A57EF2" w:rsidP="00163264">
            <w:pPr>
              <w:pStyle w:val="TableText"/>
              <w:spacing w:before="30" w:after="30"/>
            </w:pPr>
            <w:r w:rsidRPr="00C00335">
              <w:t xml:space="preserve">Annual </w:t>
            </w:r>
            <w:r w:rsidR="00436213" w:rsidRPr="00C00335">
              <w:t xml:space="preserve">rate </w:t>
            </w:r>
            <w:r w:rsidRPr="00C00335">
              <w:t xml:space="preserve">of </w:t>
            </w:r>
            <w:r w:rsidR="000D6E53" w:rsidRPr="00C00335">
              <w:t xml:space="preserve">HIV-infected individual </w:t>
            </w:r>
            <w:r w:rsidRPr="00C00335">
              <w:t>getting tested for reference case</w:t>
            </w:r>
            <w:r w:rsidR="00BE2E41" w:rsidRPr="00C00335">
              <w:t xml:space="preserve"> in </w:t>
            </w:r>
            <w:r w:rsidR="00973EFA">
              <w:t>first</w:t>
            </w:r>
            <w:r w:rsidR="00973EFA" w:rsidRPr="00C00335">
              <w:t xml:space="preserve"> </w:t>
            </w:r>
            <w:r w:rsidR="00BE2E41" w:rsidRPr="00C00335">
              <w:t>time period</w:t>
            </w:r>
            <w:r w:rsidR="001F5372" w:rsidRPr="00C00335">
              <w:t xml:space="preserve"> </w:t>
            </w:r>
            <w:bookmarkStart w:id="31" w:name="_Hlk71718233"/>
            <w:r w:rsidRPr="00C00335">
              <w:t xml:space="preserve">(HET, </w:t>
            </w:r>
            <w:r w:rsidR="00436213" w:rsidRPr="00C00335">
              <w:t>B</w:t>
            </w:r>
            <w:r w:rsidRPr="00C00335">
              <w:t xml:space="preserve">lack, </w:t>
            </w:r>
            <w:r w:rsidR="00436213" w:rsidRPr="00C00335">
              <w:t>CD4 &gt; 500</w:t>
            </w:r>
            <w:r w:rsidR="00CF5ADE">
              <w:t>, age 13-17</w:t>
            </w:r>
            <w:r w:rsidRPr="00C00335">
              <w:t>)</w:t>
            </w:r>
            <w:bookmarkEnd w:id="31"/>
          </w:p>
        </w:tc>
      </w:tr>
      <w:tr w:rsidR="00562574" w:rsidRPr="00C00335" w14:paraId="521DC68B"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25892EA0" w14:textId="77777777" w:rsidR="00562574" w:rsidRPr="00C00335" w:rsidRDefault="00562574" w:rsidP="00163264">
            <w:pPr>
              <w:pStyle w:val="TableText"/>
              <w:spacing w:before="30" w:after="30"/>
            </w:pP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2D5BDF55" w14:textId="7F5722BA" w:rsidR="00562574" w:rsidRPr="00C00335" w:rsidRDefault="00FA40DE" w:rsidP="00163264">
            <w:pPr>
              <w:pStyle w:val="TableTextDec"/>
              <w:tabs>
                <w:tab w:val="clear" w:pos="1015"/>
                <w:tab w:val="decimal" w:pos="-21"/>
              </w:tabs>
              <w:spacing w:before="30" w:after="30"/>
              <w:jc w:val="center"/>
            </w:pPr>
            <w:r w:rsidRPr="00FA40DE">
              <w:rPr>
                <w:i/>
              </w:rPr>
              <w:t>0.073</w:t>
            </w:r>
          </w:p>
        </w:tc>
        <w:tc>
          <w:tcPr>
            <w:tcW w:w="3839" w:type="dxa"/>
            <w:tcBorders>
              <w:top w:val="single" w:sz="6" w:space="0" w:color="808080" w:themeColor="background1" w:themeShade="80"/>
              <w:bottom w:val="single" w:sz="6" w:space="0" w:color="808080" w:themeColor="background1" w:themeShade="80"/>
            </w:tcBorders>
            <w:shd w:val="clear" w:color="auto" w:fill="auto"/>
          </w:tcPr>
          <w:p w14:paraId="7C11CE21" w14:textId="2891D545" w:rsidR="00562574" w:rsidRPr="00C00335" w:rsidRDefault="00562574" w:rsidP="00163264">
            <w:pPr>
              <w:pStyle w:val="TableText"/>
              <w:spacing w:before="30" w:after="30"/>
            </w:pPr>
            <w:r w:rsidRPr="00C00335">
              <w:t>Determined by calibration</w:t>
            </w:r>
          </w:p>
        </w:tc>
      </w:tr>
      <w:tr w:rsidR="00A57EF2" w:rsidRPr="00C00335" w14:paraId="2387AEA0" w14:textId="77777777" w:rsidTr="00DF6DD4">
        <w:trPr>
          <w:cantSplit/>
        </w:trPr>
        <w:tc>
          <w:tcPr>
            <w:tcW w:w="12960"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5B569464" w14:textId="48F811C4" w:rsidR="00A57EF2" w:rsidRPr="00C00335" w:rsidRDefault="000D6E53" w:rsidP="00163264">
            <w:pPr>
              <w:pStyle w:val="TableTextDec"/>
              <w:spacing w:before="30" w:after="30"/>
            </w:pPr>
            <w:r w:rsidRPr="00C00335">
              <w:t xml:space="preserve">Multiplier for annual </w:t>
            </w:r>
            <w:r w:rsidR="00436213" w:rsidRPr="00C00335">
              <w:t xml:space="preserve">rate </w:t>
            </w:r>
            <w:r w:rsidRPr="00C00335">
              <w:t xml:space="preserve">of </w:t>
            </w:r>
            <w:r w:rsidR="00A57EF2" w:rsidRPr="00C00335">
              <w:t>getting tested by HIV stage, race</w:t>
            </w:r>
            <w:r w:rsidR="00710F65" w:rsidRPr="00C00335">
              <w:t>/ethnicity</w:t>
            </w:r>
            <w:r w:rsidR="00A57EF2" w:rsidRPr="00C00335">
              <w:t>, transmission group</w:t>
            </w:r>
            <w:r w:rsidR="00CF5ADE">
              <w:t>, and age group</w:t>
            </w:r>
            <w:r w:rsidRPr="00C00335">
              <w:t xml:space="preserve"> versus the reference case</w:t>
            </w:r>
            <w:r w:rsidR="000B68B7" w:rsidRPr="00C00335">
              <w:t xml:space="preserve"> in </w:t>
            </w:r>
            <w:r w:rsidR="00973EFA">
              <w:t>first</w:t>
            </w:r>
            <w:r w:rsidR="00973EFA" w:rsidRPr="00C00335">
              <w:t xml:space="preserve"> </w:t>
            </w:r>
            <w:r w:rsidR="000B68B7" w:rsidRPr="00C00335">
              <w:t>time period</w:t>
            </w:r>
          </w:p>
        </w:tc>
      </w:tr>
      <w:tr w:rsidR="00DF1AFE" w:rsidRPr="00C00335" w14:paraId="2576248B"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2742F1FD" w14:textId="3C14BE0E" w:rsidR="00DF1AFE" w:rsidRPr="00C00335" w:rsidRDefault="00DF1AFE" w:rsidP="00163264">
            <w:pPr>
              <w:pStyle w:val="TableText"/>
              <w:spacing w:before="30" w:after="30"/>
              <w:ind w:left="180"/>
            </w:pPr>
            <w:r w:rsidRPr="00C00335">
              <w:t>HIV status (reference: non-acute, CD4 &gt; 500)</w:t>
            </w:r>
          </w:p>
        </w:tc>
        <w:tc>
          <w:tcPr>
            <w:tcW w:w="8159" w:type="dxa"/>
            <w:gridSpan w:val="2"/>
            <w:tcBorders>
              <w:top w:val="single" w:sz="6" w:space="0" w:color="808080" w:themeColor="background1" w:themeShade="80"/>
              <w:bottom w:val="single" w:sz="6" w:space="0" w:color="808080" w:themeColor="background1" w:themeShade="80"/>
            </w:tcBorders>
            <w:shd w:val="clear" w:color="auto" w:fill="auto"/>
            <w:noWrap/>
            <w:hideMark/>
          </w:tcPr>
          <w:p w14:paraId="12175DCC" w14:textId="77777777" w:rsidR="00DF1AFE" w:rsidRPr="00C00335" w:rsidRDefault="00DF1AFE" w:rsidP="00163264">
            <w:pPr>
              <w:pStyle w:val="TableText"/>
              <w:spacing w:before="30" w:after="30"/>
            </w:pPr>
          </w:p>
        </w:tc>
      </w:tr>
      <w:tr w:rsidR="00973EFA" w:rsidRPr="00C00335" w14:paraId="796B1059"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40649C46" w14:textId="77777777" w:rsidR="00973EFA" w:rsidRPr="0069223F" w:rsidRDefault="00973EFA" w:rsidP="00973EFA">
            <w:pPr>
              <w:pStyle w:val="TableText"/>
              <w:spacing w:before="30" w:after="30"/>
              <w:ind w:left="450"/>
              <w:rPr>
                <w:highlight w:val="yellow"/>
              </w:rPr>
            </w:pPr>
            <w:r w:rsidRPr="000D486A">
              <w:t>Uninfected</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521B21BF" w14:textId="7B3050AF" w:rsidR="00973EFA" w:rsidRPr="00F5043F" w:rsidRDefault="00FA40DE" w:rsidP="00973EFA">
            <w:pPr>
              <w:pStyle w:val="TableTextDec"/>
              <w:tabs>
                <w:tab w:val="clear" w:pos="1015"/>
                <w:tab w:val="decimal" w:pos="-21"/>
              </w:tabs>
              <w:spacing w:before="30" w:after="30"/>
              <w:jc w:val="center"/>
            </w:pPr>
            <w:r w:rsidRPr="00FA40DE">
              <w:rPr>
                <w:i/>
              </w:rPr>
              <w:t>1.59</w:t>
            </w:r>
          </w:p>
        </w:tc>
        <w:tc>
          <w:tcPr>
            <w:tcW w:w="3839" w:type="dxa"/>
            <w:tcBorders>
              <w:top w:val="single" w:sz="6" w:space="0" w:color="808080" w:themeColor="background1" w:themeShade="80"/>
              <w:bottom w:val="single" w:sz="6" w:space="0" w:color="808080" w:themeColor="background1" w:themeShade="80"/>
            </w:tcBorders>
            <w:shd w:val="clear" w:color="auto" w:fill="auto"/>
          </w:tcPr>
          <w:p w14:paraId="20DA7FF1" w14:textId="12644D13" w:rsidR="00973EFA" w:rsidRPr="00F5043F" w:rsidRDefault="00973EFA" w:rsidP="00973EFA">
            <w:pPr>
              <w:pStyle w:val="TableText"/>
              <w:spacing w:before="30" w:after="30"/>
            </w:pPr>
            <w:r w:rsidRPr="00F5043F">
              <w:t>Derived from CDC (2013</w:t>
            </w:r>
            <w:r w:rsidR="000D486A" w:rsidRPr="00F5043F">
              <w:t>e</w:t>
            </w:r>
            <w:r w:rsidRPr="00F5043F">
              <w:t>)</w:t>
            </w:r>
            <w:r w:rsidR="00286FFB" w:rsidRPr="00F5043F">
              <w:t>; CDC (2017)</w:t>
            </w:r>
            <w:r w:rsidR="003756BD" w:rsidRPr="00F5043F">
              <w:rPr>
                <w:vertAlign w:val="superscript"/>
              </w:rPr>
              <w:t>a</w:t>
            </w:r>
            <w:r w:rsidRPr="00F5043F">
              <w:t xml:space="preserve"> </w:t>
            </w:r>
          </w:p>
        </w:tc>
      </w:tr>
      <w:tr w:rsidR="00FA40DE" w:rsidRPr="00C00335" w14:paraId="3EB25AE5"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1B5F1155" w14:textId="77777777" w:rsidR="00FA40DE" w:rsidRPr="00C00335" w:rsidRDefault="00FA40DE" w:rsidP="00FA40DE">
            <w:pPr>
              <w:pStyle w:val="TableText"/>
              <w:spacing w:before="30" w:after="30"/>
              <w:ind w:left="450"/>
            </w:pPr>
            <w:r w:rsidRPr="00C00335">
              <w:t>Acute</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36368DD8" w14:textId="16CE70F7" w:rsidR="00FA40DE" w:rsidRPr="00C00335" w:rsidRDefault="00FA40DE" w:rsidP="00FA40DE">
            <w:pPr>
              <w:pStyle w:val="TableTextDec"/>
              <w:tabs>
                <w:tab w:val="clear" w:pos="1015"/>
                <w:tab w:val="decimal" w:pos="-21"/>
              </w:tabs>
              <w:spacing w:before="30" w:after="30"/>
              <w:jc w:val="center"/>
            </w:pPr>
            <w:r w:rsidRPr="00C63F5B">
              <w:t>0.76</w:t>
            </w:r>
          </w:p>
        </w:tc>
        <w:tc>
          <w:tcPr>
            <w:tcW w:w="3839" w:type="dxa"/>
            <w:vMerge w:val="restart"/>
            <w:tcBorders>
              <w:top w:val="single" w:sz="6" w:space="0" w:color="808080" w:themeColor="background1" w:themeShade="80"/>
              <w:bottom w:val="single" w:sz="6" w:space="0" w:color="808080" w:themeColor="background1" w:themeShade="80"/>
            </w:tcBorders>
            <w:shd w:val="clear" w:color="auto" w:fill="auto"/>
          </w:tcPr>
          <w:p w14:paraId="185CE463" w14:textId="3A78F8BC" w:rsidR="00FA40DE" w:rsidRPr="00C00335" w:rsidRDefault="00FA40DE" w:rsidP="00FA40DE">
            <w:pPr>
              <w:pStyle w:val="TableText"/>
              <w:spacing w:before="30" w:after="30"/>
            </w:pPr>
            <w:r w:rsidRPr="00C00335">
              <w:t>Determined by calibration</w:t>
            </w:r>
          </w:p>
        </w:tc>
      </w:tr>
      <w:tr w:rsidR="00FA40DE" w:rsidRPr="00C00335" w14:paraId="30CE7468"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5B55CE1E" w14:textId="77777777" w:rsidR="00FA40DE" w:rsidRPr="00C00335" w:rsidRDefault="00FA40DE" w:rsidP="00FA40DE">
            <w:pPr>
              <w:pStyle w:val="TableText"/>
              <w:spacing w:before="30" w:after="30"/>
              <w:ind w:left="450"/>
            </w:pPr>
            <w:r w:rsidRPr="00C00335">
              <w:t>CD4 350–500</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12915DCD" w14:textId="41DA0279" w:rsidR="00FA40DE" w:rsidRPr="00C00335" w:rsidRDefault="00FA40DE" w:rsidP="00FA40DE">
            <w:pPr>
              <w:pStyle w:val="TableText"/>
              <w:spacing w:before="30" w:after="30"/>
              <w:jc w:val="center"/>
            </w:pPr>
            <w:r w:rsidRPr="00C63F5B">
              <w:t>1.26</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48A9AFEA" w14:textId="64DD22EA" w:rsidR="00FA40DE" w:rsidRPr="00C00335" w:rsidRDefault="00FA40DE" w:rsidP="00FA40DE">
            <w:pPr>
              <w:pStyle w:val="TableText"/>
              <w:spacing w:before="30" w:after="30"/>
            </w:pPr>
          </w:p>
        </w:tc>
      </w:tr>
      <w:tr w:rsidR="00FA40DE" w:rsidRPr="00C00335" w14:paraId="4A043B4F"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7B548FCC" w14:textId="77777777" w:rsidR="00FA40DE" w:rsidRPr="00C00335" w:rsidRDefault="00FA40DE" w:rsidP="00FA40DE">
            <w:pPr>
              <w:pStyle w:val="TableText"/>
              <w:spacing w:before="30" w:after="30"/>
              <w:ind w:left="450"/>
            </w:pPr>
            <w:r w:rsidRPr="00C00335">
              <w:t>CD4 200–350</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0C8852CC" w14:textId="33B8EBC4" w:rsidR="00FA40DE" w:rsidRPr="00C00335" w:rsidRDefault="00FA40DE" w:rsidP="00FA40DE">
            <w:pPr>
              <w:pStyle w:val="TableText"/>
              <w:spacing w:before="30" w:after="30"/>
              <w:jc w:val="center"/>
            </w:pPr>
            <w:r w:rsidRPr="00C63F5B">
              <w:t>4.33</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62D2BF5D" w14:textId="0629CC1E" w:rsidR="00FA40DE" w:rsidRPr="00C00335" w:rsidRDefault="00FA40DE" w:rsidP="00FA40DE">
            <w:pPr>
              <w:pStyle w:val="TableText"/>
              <w:spacing w:before="30" w:after="30"/>
            </w:pPr>
          </w:p>
        </w:tc>
      </w:tr>
      <w:tr w:rsidR="00FA40DE" w:rsidRPr="00C00335" w14:paraId="32D601A6"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1F642E74" w14:textId="77777777" w:rsidR="00FA40DE" w:rsidRPr="00C00335" w:rsidRDefault="00FA40DE" w:rsidP="00FA40DE">
            <w:pPr>
              <w:pStyle w:val="TableText"/>
              <w:spacing w:before="30" w:after="30"/>
              <w:ind w:left="450"/>
            </w:pPr>
            <w:r w:rsidRPr="00C00335">
              <w:t>CD4 &lt; 200</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34E667D3" w14:textId="33543DA3" w:rsidR="00FA40DE" w:rsidRPr="00C00335" w:rsidRDefault="00FA40DE" w:rsidP="00FA40DE">
            <w:pPr>
              <w:pStyle w:val="TableText"/>
              <w:spacing w:before="30" w:after="30"/>
              <w:jc w:val="center"/>
            </w:pPr>
            <w:r w:rsidRPr="00C63F5B">
              <w:t>4.62</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596C8277" w14:textId="290160AC" w:rsidR="00FA40DE" w:rsidRPr="00C00335" w:rsidRDefault="00FA40DE" w:rsidP="00FA40DE">
            <w:pPr>
              <w:pStyle w:val="TableText"/>
              <w:spacing w:before="30" w:after="30"/>
            </w:pPr>
          </w:p>
        </w:tc>
      </w:tr>
      <w:tr w:rsidR="0069223F" w:rsidRPr="00C00335" w14:paraId="0B11C56D" w14:textId="77777777" w:rsidTr="005471D8">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5709FECA" w14:textId="5C41467A" w:rsidR="0069223F" w:rsidRPr="00C00335" w:rsidRDefault="0069223F" w:rsidP="00163264">
            <w:pPr>
              <w:pStyle w:val="TableText"/>
              <w:spacing w:before="30" w:after="30"/>
              <w:ind w:left="180"/>
            </w:pPr>
            <w:r w:rsidRPr="00C00335">
              <w:t>Race/ethnicity (reference: Black)</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6655AA97" w14:textId="5054E2F6" w:rsidR="0069223F" w:rsidRPr="00C00335" w:rsidRDefault="0069223F" w:rsidP="00163264">
            <w:pPr>
              <w:pStyle w:val="TableText"/>
              <w:spacing w:before="30" w:after="30"/>
              <w:jc w:val="center"/>
            </w:pPr>
          </w:p>
        </w:tc>
        <w:tc>
          <w:tcPr>
            <w:tcW w:w="3839" w:type="dxa"/>
            <w:vMerge w:val="restart"/>
            <w:tcBorders>
              <w:top w:val="single" w:sz="6" w:space="0" w:color="808080" w:themeColor="background1" w:themeShade="80"/>
            </w:tcBorders>
            <w:shd w:val="clear" w:color="auto" w:fill="auto"/>
          </w:tcPr>
          <w:p w14:paraId="1E0D9B76" w14:textId="704252D5" w:rsidR="0069223F" w:rsidRPr="00C00335" w:rsidRDefault="0069223F" w:rsidP="00163264">
            <w:pPr>
              <w:pStyle w:val="TableText"/>
              <w:spacing w:before="30" w:after="30"/>
            </w:pPr>
            <w:r w:rsidRPr="00C00335">
              <w:t>Determined by calibration</w:t>
            </w:r>
          </w:p>
        </w:tc>
      </w:tr>
      <w:tr w:rsidR="00FA40DE" w:rsidRPr="00C00335" w14:paraId="4F81F66F" w14:textId="77777777" w:rsidTr="005471D8">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43CFABFB" w14:textId="77777777" w:rsidR="00FA40DE" w:rsidRPr="00C00335" w:rsidRDefault="00FA40DE" w:rsidP="00FA40DE">
            <w:pPr>
              <w:pStyle w:val="TableText"/>
              <w:spacing w:before="30" w:after="30"/>
              <w:ind w:left="450"/>
            </w:pPr>
            <w:r w:rsidRPr="00C00335">
              <w:t>Hispanic/Latino</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2A9C89C1" w14:textId="1FA78645" w:rsidR="00FA40DE" w:rsidRPr="00C00335" w:rsidRDefault="00FA40DE" w:rsidP="00FA40DE">
            <w:pPr>
              <w:pStyle w:val="TableText"/>
              <w:spacing w:before="30" w:after="30"/>
              <w:jc w:val="center"/>
            </w:pPr>
            <w:r w:rsidRPr="00494219">
              <w:t>0.88</w:t>
            </w:r>
          </w:p>
        </w:tc>
        <w:tc>
          <w:tcPr>
            <w:tcW w:w="3839" w:type="dxa"/>
            <w:vMerge/>
            <w:shd w:val="clear" w:color="auto" w:fill="auto"/>
          </w:tcPr>
          <w:p w14:paraId="1F7E68AA" w14:textId="1D76C3CD" w:rsidR="00FA40DE" w:rsidRPr="00C00335" w:rsidRDefault="00FA40DE" w:rsidP="00FA40DE">
            <w:pPr>
              <w:pStyle w:val="TableText"/>
              <w:spacing w:before="30" w:after="30"/>
            </w:pPr>
          </w:p>
        </w:tc>
      </w:tr>
      <w:tr w:rsidR="00FA40DE" w:rsidRPr="00C00335" w14:paraId="22A61E97"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47D7CE66" w14:textId="30288251" w:rsidR="00FA40DE" w:rsidRPr="00C00335" w:rsidRDefault="00FA40DE" w:rsidP="00FA40DE">
            <w:pPr>
              <w:pStyle w:val="TableText"/>
              <w:spacing w:before="30" w:after="30"/>
              <w:ind w:left="450"/>
            </w:pPr>
            <w:r>
              <w:t>White/other</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16AB083A" w14:textId="6318DFA5" w:rsidR="00FA40DE" w:rsidRPr="00C00335" w:rsidRDefault="00FA40DE" w:rsidP="00FA40DE">
            <w:pPr>
              <w:pStyle w:val="TableText"/>
              <w:spacing w:before="30" w:after="30"/>
              <w:jc w:val="center"/>
            </w:pPr>
            <w:r w:rsidRPr="00494219">
              <w:t>0.81</w:t>
            </w:r>
          </w:p>
        </w:tc>
        <w:tc>
          <w:tcPr>
            <w:tcW w:w="3839" w:type="dxa"/>
            <w:vMerge/>
            <w:tcBorders>
              <w:bottom w:val="single" w:sz="6" w:space="0" w:color="808080" w:themeColor="background1" w:themeShade="80"/>
            </w:tcBorders>
            <w:shd w:val="clear" w:color="auto" w:fill="auto"/>
          </w:tcPr>
          <w:p w14:paraId="1086E905" w14:textId="6D3EA0C8" w:rsidR="00FA40DE" w:rsidRPr="00C00335" w:rsidRDefault="00FA40DE" w:rsidP="00FA40DE">
            <w:pPr>
              <w:pStyle w:val="TableText"/>
              <w:spacing w:before="30" w:after="30"/>
            </w:pPr>
          </w:p>
        </w:tc>
      </w:tr>
      <w:tr w:rsidR="00DF1AFE" w:rsidRPr="00C00335" w14:paraId="215AFBED"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59F03C0E" w14:textId="7A01F1F0" w:rsidR="00DF1AFE" w:rsidRPr="00C00335" w:rsidRDefault="00DF1AFE" w:rsidP="00CB2861">
            <w:pPr>
              <w:pStyle w:val="TableText"/>
              <w:spacing w:before="30" w:after="30"/>
              <w:ind w:left="187"/>
            </w:pPr>
            <w:r w:rsidRPr="00C00335">
              <w:t>Transmission group (reference: HET)</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7BB99612" w14:textId="058E3E1A" w:rsidR="00DF1AFE" w:rsidRPr="00C00335" w:rsidRDefault="00DF1AFE" w:rsidP="00163264">
            <w:pPr>
              <w:pStyle w:val="TableText"/>
              <w:spacing w:before="30" w:after="30"/>
              <w:jc w:val="center"/>
            </w:pPr>
          </w:p>
        </w:tc>
        <w:tc>
          <w:tcPr>
            <w:tcW w:w="3839" w:type="dxa"/>
            <w:vMerge w:val="restart"/>
            <w:tcBorders>
              <w:top w:val="single" w:sz="6" w:space="0" w:color="808080" w:themeColor="background1" w:themeShade="80"/>
              <w:bottom w:val="single" w:sz="6" w:space="0" w:color="808080" w:themeColor="background1" w:themeShade="80"/>
            </w:tcBorders>
            <w:shd w:val="clear" w:color="auto" w:fill="auto"/>
          </w:tcPr>
          <w:p w14:paraId="65419E18" w14:textId="2E94E5C8" w:rsidR="00DF1AFE" w:rsidRPr="00C00335" w:rsidRDefault="00DF1AFE" w:rsidP="00163264">
            <w:pPr>
              <w:pStyle w:val="TableText"/>
              <w:spacing w:before="30" w:after="30"/>
            </w:pPr>
            <w:r w:rsidRPr="00C00335">
              <w:t>Determined by calibration</w:t>
            </w:r>
          </w:p>
        </w:tc>
      </w:tr>
      <w:tr w:rsidR="00973EFA" w:rsidRPr="00C00335" w14:paraId="628DBA9C"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3A7F7A94" w14:textId="71982151" w:rsidR="00973EFA" w:rsidRPr="00C00335" w:rsidRDefault="00973EFA" w:rsidP="00973EFA">
            <w:pPr>
              <w:pStyle w:val="TableText"/>
              <w:spacing w:before="30" w:after="30"/>
              <w:ind w:left="450"/>
            </w:pPr>
            <w:r w:rsidRPr="00C00335">
              <w:t>PWID</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6BEA0AFC" w14:textId="114CC746" w:rsidR="00973EFA" w:rsidRPr="00C00335" w:rsidRDefault="00FA40DE" w:rsidP="00973EFA">
            <w:pPr>
              <w:pStyle w:val="TableText"/>
              <w:spacing w:before="30" w:after="30"/>
              <w:jc w:val="center"/>
            </w:pPr>
            <w:r w:rsidRPr="00FA40DE">
              <w:rPr>
                <w:i/>
              </w:rPr>
              <w:t>6.51</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3CB40E19" w14:textId="578A3397" w:rsidR="00973EFA" w:rsidRPr="00C00335" w:rsidRDefault="00973EFA" w:rsidP="00973EFA">
            <w:pPr>
              <w:pStyle w:val="TableText"/>
              <w:spacing w:before="30" w:after="30"/>
            </w:pPr>
          </w:p>
        </w:tc>
      </w:tr>
      <w:tr w:rsidR="00973EFA" w:rsidRPr="00C00335" w14:paraId="14E72ECF" w14:textId="77777777" w:rsidTr="00CB2861">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hideMark/>
          </w:tcPr>
          <w:p w14:paraId="723CD13B" w14:textId="77777777" w:rsidR="00973EFA" w:rsidRPr="00C00335" w:rsidRDefault="00973EFA" w:rsidP="00973EFA">
            <w:pPr>
              <w:pStyle w:val="TableText"/>
              <w:spacing w:before="30" w:after="30"/>
              <w:ind w:left="450"/>
            </w:pPr>
            <w:r w:rsidRPr="00C00335">
              <w:t>MSM</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3D5DEE42" w14:textId="24F619AC" w:rsidR="00973EFA" w:rsidRPr="00C00335" w:rsidRDefault="00FA40DE" w:rsidP="00973EFA">
            <w:pPr>
              <w:pStyle w:val="TableText"/>
              <w:spacing w:before="30" w:after="30"/>
              <w:jc w:val="center"/>
            </w:pPr>
            <w:r w:rsidRPr="00FA40DE">
              <w:rPr>
                <w:i/>
              </w:rPr>
              <w:t>2.98</w:t>
            </w:r>
          </w:p>
        </w:tc>
        <w:tc>
          <w:tcPr>
            <w:tcW w:w="3839" w:type="dxa"/>
            <w:vMerge/>
            <w:tcBorders>
              <w:top w:val="single" w:sz="6" w:space="0" w:color="808080" w:themeColor="background1" w:themeShade="80"/>
              <w:bottom w:val="single" w:sz="6" w:space="0" w:color="808080" w:themeColor="background1" w:themeShade="80"/>
            </w:tcBorders>
            <w:shd w:val="clear" w:color="auto" w:fill="auto"/>
          </w:tcPr>
          <w:p w14:paraId="329EE5EB" w14:textId="08A1AC5C" w:rsidR="00973EFA" w:rsidRPr="00C00335" w:rsidRDefault="00973EFA" w:rsidP="00973EFA">
            <w:pPr>
              <w:pStyle w:val="TableText"/>
              <w:spacing w:before="30" w:after="30"/>
            </w:pPr>
          </w:p>
        </w:tc>
      </w:tr>
      <w:tr w:rsidR="002C3707" w:rsidRPr="0069223F" w14:paraId="157910DC" w14:textId="77777777" w:rsidTr="00CB2861">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651A26CB" w14:textId="1D1C380E" w:rsidR="002C3707" w:rsidRPr="0069223F" w:rsidRDefault="002C3707" w:rsidP="00CB2861">
            <w:pPr>
              <w:pStyle w:val="TableText"/>
              <w:spacing w:before="30" w:after="30"/>
              <w:ind w:left="187"/>
            </w:pPr>
            <w:r w:rsidRPr="0069223F">
              <w:t>Age group (reference: 13</w:t>
            </w:r>
            <w:r w:rsidR="0048462A" w:rsidRPr="0069223F">
              <w:t>–</w:t>
            </w:r>
            <w:r w:rsidRPr="0069223F">
              <w:t>17)</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374F1C5A" w14:textId="77777777" w:rsidR="002C3707" w:rsidRPr="0069223F" w:rsidRDefault="002C3707" w:rsidP="00163264">
            <w:pPr>
              <w:pStyle w:val="TableText"/>
              <w:spacing w:before="30" w:after="30"/>
              <w:jc w:val="center"/>
            </w:pPr>
          </w:p>
        </w:tc>
        <w:tc>
          <w:tcPr>
            <w:tcW w:w="3839" w:type="dxa"/>
            <w:tcBorders>
              <w:top w:val="single" w:sz="6" w:space="0" w:color="808080" w:themeColor="background1" w:themeShade="80"/>
              <w:bottom w:val="single" w:sz="6" w:space="0" w:color="808080" w:themeColor="background1" w:themeShade="80"/>
            </w:tcBorders>
            <w:shd w:val="clear" w:color="auto" w:fill="auto"/>
          </w:tcPr>
          <w:p w14:paraId="70FF8408" w14:textId="77777777" w:rsidR="002C3707" w:rsidRPr="0069223F" w:rsidRDefault="002C3707" w:rsidP="00163264">
            <w:pPr>
              <w:pStyle w:val="TableText"/>
              <w:spacing w:before="30" w:after="30"/>
            </w:pPr>
          </w:p>
        </w:tc>
      </w:tr>
      <w:tr w:rsidR="00FA40DE" w:rsidRPr="0069223F" w14:paraId="1039116D"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366861B9" w14:textId="5E9F2C04" w:rsidR="00FA40DE" w:rsidRPr="0069223F" w:rsidRDefault="00FA40DE" w:rsidP="00FA40DE">
            <w:pPr>
              <w:pStyle w:val="TableText"/>
              <w:spacing w:before="30" w:after="30"/>
              <w:ind w:left="450"/>
            </w:pPr>
            <w:r w:rsidRPr="0069223F">
              <w:t>18–24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5D79D0A5" w14:textId="499210E1" w:rsidR="00FA40DE" w:rsidRPr="0069223F" w:rsidRDefault="00FA40DE" w:rsidP="00FA40DE">
            <w:pPr>
              <w:pStyle w:val="TableText"/>
              <w:spacing w:before="30" w:after="30"/>
              <w:jc w:val="center"/>
            </w:pPr>
            <w:r w:rsidRPr="00D208AD">
              <w:t>0.68</w:t>
            </w:r>
          </w:p>
        </w:tc>
        <w:tc>
          <w:tcPr>
            <w:tcW w:w="3839" w:type="dxa"/>
            <w:vMerge w:val="restart"/>
            <w:tcBorders>
              <w:top w:val="single" w:sz="6" w:space="0" w:color="808080" w:themeColor="background1" w:themeShade="80"/>
            </w:tcBorders>
            <w:shd w:val="clear" w:color="auto" w:fill="auto"/>
          </w:tcPr>
          <w:p w14:paraId="25462D00" w14:textId="784CB17E" w:rsidR="00FA40DE" w:rsidRPr="0069223F" w:rsidRDefault="00FA40DE" w:rsidP="00FA40DE">
            <w:pPr>
              <w:pStyle w:val="TableText"/>
              <w:spacing w:before="30" w:after="30"/>
            </w:pPr>
            <w:r w:rsidRPr="0069223F">
              <w:t>Determined by calibration</w:t>
            </w:r>
          </w:p>
        </w:tc>
      </w:tr>
      <w:tr w:rsidR="00FA40DE" w:rsidRPr="0069223F" w14:paraId="712345B4"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44A6FA86" w14:textId="1B687D1E" w:rsidR="00FA40DE" w:rsidRPr="0069223F" w:rsidRDefault="00FA40DE" w:rsidP="00FA40DE">
            <w:pPr>
              <w:pStyle w:val="TableText"/>
              <w:spacing w:before="30" w:after="30"/>
              <w:ind w:left="450"/>
            </w:pPr>
            <w:r w:rsidRPr="0069223F">
              <w:t>25–34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54E5C3AA" w14:textId="6CCD6B0D" w:rsidR="00FA40DE" w:rsidRPr="0069223F" w:rsidRDefault="00FA40DE" w:rsidP="00FA40DE">
            <w:pPr>
              <w:pStyle w:val="TableText"/>
              <w:spacing w:before="30" w:after="30"/>
              <w:jc w:val="center"/>
            </w:pPr>
            <w:r w:rsidRPr="00D208AD">
              <w:t>0.73</w:t>
            </w:r>
          </w:p>
        </w:tc>
        <w:tc>
          <w:tcPr>
            <w:tcW w:w="3839" w:type="dxa"/>
            <w:vMerge/>
            <w:shd w:val="clear" w:color="auto" w:fill="auto"/>
          </w:tcPr>
          <w:p w14:paraId="0D903A8F" w14:textId="77777777" w:rsidR="00FA40DE" w:rsidRPr="0069223F" w:rsidRDefault="00FA40DE" w:rsidP="00FA40DE">
            <w:pPr>
              <w:pStyle w:val="TableText"/>
              <w:spacing w:before="30" w:after="30"/>
            </w:pPr>
          </w:p>
        </w:tc>
      </w:tr>
      <w:tr w:rsidR="00FA40DE" w:rsidRPr="0069223F" w14:paraId="4C9036C4"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31BF1F60" w14:textId="1294BA06" w:rsidR="00FA40DE" w:rsidRPr="0069223F" w:rsidRDefault="00FA40DE" w:rsidP="00FA40DE">
            <w:pPr>
              <w:pStyle w:val="TableText"/>
              <w:spacing w:before="30" w:after="30"/>
              <w:ind w:left="450"/>
            </w:pPr>
            <w:r w:rsidRPr="0069223F">
              <w:t>35–44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0C236C63" w14:textId="0CCD5C95" w:rsidR="00FA40DE" w:rsidRPr="0069223F" w:rsidRDefault="00FA40DE" w:rsidP="00FA40DE">
            <w:pPr>
              <w:pStyle w:val="TableText"/>
              <w:spacing w:before="30" w:after="30"/>
              <w:jc w:val="center"/>
            </w:pPr>
            <w:r w:rsidRPr="00D208AD">
              <w:t>0.73</w:t>
            </w:r>
          </w:p>
        </w:tc>
        <w:tc>
          <w:tcPr>
            <w:tcW w:w="3839" w:type="dxa"/>
            <w:vMerge/>
            <w:shd w:val="clear" w:color="auto" w:fill="auto"/>
          </w:tcPr>
          <w:p w14:paraId="4601C285" w14:textId="77777777" w:rsidR="00FA40DE" w:rsidRPr="0069223F" w:rsidRDefault="00FA40DE" w:rsidP="00FA40DE">
            <w:pPr>
              <w:pStyle w:val="TableText"/>
              <w:spacing w:before="30" w:after="30"/>
            </w:pPr>
          </w:p>
        </w:tc>
      </w:tr>
      <w:tr w:rsidR="00FA40DE" w:rsidRPr="0069223F" w14:paraId="7F27B043"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56388944" w14:textId="6EB12EA6" w:rsidR="00FA40DE" w:rsidRPr="0069223F" w:rsidRDefault="00FA40DE" w:rsidP="00FA40DE">
            <w:pPr>
              <w:pStyle w:val="TableText"/>
              <w:spacing w:before="30" w:after="30"/>
              <w:ind w:left="450"/>
            </w:pPr>
            <w:r w:rsidRPr="0069223F">
              <w:t>45–54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51F6DA55" w14:textId="78197297" w:rsidR="00FA40DE" w:rsidRPr="0069223F" w:rsidRDefault="00FA40DE" w:rsidP="00FA40DE">
            <w:pPr>
              <w:pStyle w:val="TableText"/>
              <w:spacing w:before="30" w:after="30"/>
              <w:jc w:val="center"/>
            </w:pPr>
            <w:r w:rsidRPr="00D208AD">
              <w:t>2.19</w:t>
            </w:r>
          </w:p>
        </w:tc>
        <w:tc>
          <w:tcPr>
            <w:tcW w:w="3839" w:type="dxa"/>
            <w:vMerge/>
            <w:shd w:val="clear" w:color="auto" w:fill="auto"/>
          </w:tcPr>
          <w:p w14:paraId="0622C68D" w14:textId="77777777" w:rsidR="00FA40DE" w:rsidRPr="0069223F" w:rsidRDefault="00FA40DE" w:rsidP="00FA40DE">
            <w:pPr>
              <w:pStyle w:val="TableText"/>
              <w:spacing w:before="30" w:after="30"/>
            </w:pPr>
          </w:p>
        </w:tc>
      </w:tr>
      <w:tr w:rsidR="00FA40DE" w:rsidRPr="0069223F" w14:paraId="70B83814" w14:textId="77777777" w:rsidTr="00DF6DD4">
        <w:trPr>
          <w:cantSplit/>
        </w:trPr>
        <w:tc>
          <w:tcPr>
            <w:tcW w:w="4801" w:type="dxa"/>
            <w:tcBorders>
              <w:top w:val="single" w:sz="6" w:space="0" w:color="808080" w:themeColor="background1" w:themeShade="80"/>
              <w:bottom w:val="single" w:sz="6" w:space="0" w:color="808080" w:themeColor="background1" w:themeShade="80"/>
            </w:tcBorders>
            <w:shd w:val="clear" w:color="auto" w:fill="auto"/>
            <w:noWrap/>
          </w:tcPr>
          <w:p w14:paraId="08715311" w14:textId="1E579888" w:rsidR="00FA40DE" w:rsidRPr="0069223F" w:rsidRDefault="00FA40DE" w:rsidP="00FA40DE">
            <w:pPr>
              <w:pStyle w:val="TableText"/>
              <w:spacing w:before="30" w:after="30"/>
              <w:ind w:left="450"/>
            </w:pPr>
            <w:r w:rsidRPr="0069223F">
              <w:t>55–64</w:t>
            </w:r>
          </w:p>
        </w:tc>
        <w:tc>
          <w:tcPr>
            <w:tcW w:w="4320" w:type="dxa"/>
            <w:tcBorders>
              <w:top w:val="single" w:sz="6" w:space="0" w:color="808080" w:themeColor="background1" w:themeShade="80"/>
              <w:bottom w:val="single" w:sz="6" w:space="0" w:color="808080" w:themeColor="background1" w:themeShade="80"/>
            </w:tcBorders>
            <w:shd w:val="clear" w:color="auto" w:fill="auto"/>
            <w:noWrap/>
          </w:tcPr>
          <w:p w14:paraId="7E8C5DBB" w14:textId="621F863C" w:rsidR="00FA40DE" w:rsidRPr="0069223F" w:rsidRDefault="00FA40DE" w:rsidP="00FA40DE">
            <w:pPr>
              <w:pStyle w:val="TableText"/>
              <w:spacing w:before="30" w:after="30"/>
              <w:jc w:val="center"/>
            </w:pPr>
            <w:r w:rsidRPr="00D208AD">
              <w:t>1.51</w:t>
            </w:r>
          </w:p>
        </w:tc>
        <w:tc>
          <w:tcPr>
            <w:tcW w:w="3839" w:type="dxa"/>
            <w:vMerge/>
            <w:shd w:val="clear" w:color="auto" w:fill="auto"/>
          </w:tcPr>
          <w:p w14:paraId="69F4D5BA" w14:textId="77777777" w:rsidR="00FA40DE" w:rsidRPr="0069223F" w:rsidRDefault="00FA40DE" w:rsidP="00FA40DE">
            <w:pPr>
              <w:pStyle w:val="TableText"/>
              <w:spacing w:before="30" w:after="30"/>
            </w:pPr>
          </w:p>
        </w:tc>
      </w:tr>
      <w:tr w:rsidR="00FA40DE" w:rsidRPr="0069223F" w14:paraId="1BBCC262" w14:textId="77777777" w:rsidTr="00DF6DD4">
        <w:trPr>
          <w:cantSplit/>
        </w:trPr>
        <w:tc>
          <w:tcPr>
            <w:tcW w:w="4801" w:type="dxa"/>
            <w:tcBorders>
              <w:top w:val="single" w:sz="6" w:space="0" w:color="808080" w:themeColor="background1" w:themeShade="80"/>
              <w:bottom w:val="single" w:sz="12" w:space="0" w:color="000000"/>
            </w:tcBorders>
            <w:shd w:val="clear" w:color="auto" w:fill="auto"/>
            <w:noWrap/>
          </w:tcPr>
          <w:p w14:paraId="303C1753" w14:textId="40643C50" w:rsidR="00FA40DE" w:rsidRPr="0069223F" w:rsidRDefault="00FA40DE" w:rsidP="00FA40DE">
            <w:pPr>
              <w:pStyle w:val="TableText"/>
              <w:spacing w:before="30" w:after="30"/>
              <w:ind w:left="450"/>
            </w:pPr>
            <w:r w:rsidRPr="0069223F">
              <w:t>65+</w:t>
            </w:r>
          </w:p>
        </w:tc>
        <w:tc>
          <w:tcPr>
            <w:tcW w:w="4320" w:type="dxa"/>
            <w:tcBorders>
              <w:top w:val="single" w:sz="6" w:space="0" w:color="808080" w:themeColor="background1" w:themeShade="80"/>
              <w:bottom w:val="single" w:sz="12" w:space="0" w:color="000000"/>
            </w:tcBorders>
            <w:shd w:val="clear" w:color="auto" w:fill="auto"/>
            <w:noWrap/>
          </w:tcPr>
          <w:p w14:paraId="0C57A392" w14:textId="7CBAAF38" w:rsidR="00FA40DE" w:rsidRPr="0069223F" w:rsidRDefault="00FA40DE" w:rsidP="00FA40DE">
            <w:pPr>
              <w:pStyle w:val="TableText"/>
              <w:spacing w:before="30" w:after="30"/>
              <w:jc w:val="center"/>
            </w:pPr>
            <w:r w:rsidRPr="00D208AD">
              <w:t>1.75</w:t>
            </w:r>
          </w:p>
        </w:tc>
        <w:tc>
          <w:tcPr>
            <w:tcW w:w="3839" w:type="dxa"/>
            <w:vMerge/>
            <w:tcBorders>
              <w:bottom w:val="single" w:sz="12" w:space="0" w:color="000000"/>
            </w:tcBorders>
            <w:shd w:val="clear" w:color="auto" w:fill="auto"/>
          </w:tcPr>
          <w:p w14:paraId="192AD868" w14:textId="77777777" w:rsidR="00FA40DE" w:rsidRPr="0069223F" w:rsidRDefault="00FA40DE" w:rsidP="00FA40DE">
            <w:pPr>
              <w:pStyle w:val="TableText"/>
              <w:spacing w:before="30" w:after="30"/>
            </w:pPr>
          </w:p>
        </w:tc>
      </w:tr>
    </w:tbl>
    <w:p w14:paraId="03FB64CA" w14:textId="012F0CCC" w:rsidR="00A57EF2" w:rsidRPr="00F5043F" w:rsidRDefault="00B8648E" w:rsidP="00DF6DD4">
      <w:pPr>
        <w:pStyle w:val="Source2"/>
        <w:spacing w:before="60"/>
      </w:pPr>
      <w:r w:rsidRPr="00F5043F">
        <w:t xml:space="preserve">Note: </w:t>
      </w:r>
      <w:r w:rsidR="00A57EF2" w:rsidRPr="00F5043F">
        <w:t>HET</w:t>
      </w:r>
      <w:r w:rsidR="00E628BE" w:rsidRPr="00F5043F">
        <w:t> = </w:t>
      </w:r>
      <w:r w:rsidR="00A57EF2" w:rsidRPr="00F5043F">
        <w:t>heterosexual; HIV</w:t>
      </w:r>
      <w:r w:rsidR="00E628BE" w:rsidRPr="00F5043F">
        <w:t> = </w:t>
      </w:r>
      <w:r w:rsidR="00A57EF2" w:rsidRPr="00F5043F">
        <w:t>human immunodeficiency virus; MSM</w:t>
      </w:r>
      <w:r w:rsidR="00E628BE" w:rsidRPr="00F5043F">
        <w:t> = </w:t>
      </w:r>
      <w:r w:rsidR="00A57EF2" w:rsidRPr="00F5043F">
        <w:t>men who have sex with men</w:t>
      </w:r>
      <w:r w:rsidR="00F77D76" w:rsidRPr="00F5043F">
        <w:t>; PWID</w:t>
      </w:r>
      <w:r w:rsidR="00E628BE" w:rsidRPr="00F5043F">
        <w:t> = </w:t>
      </w:r>
      <w:r w:rsidR="00F77D76" w:rsidRPr="00F5043F">
        <w:t>people who inject drugs</w:t>
      </w:r>
    </w:p>
    <w:p w14:paraId="51AFA7B0" w14:textId="2CED9EA1" w:rsidR="00163264" w:rsidRDefault="00A57EF2" w:rsidP="000D486A">
      <w:pPr>
        <w:pStyle w:val="Source2"/>
        <w:spacing w:before="60"/>
      </w:pPr>
      <w:proofErr w:type="spellStart"/>
      <w:r w:rsidRPr="00F5043F">
        <w:rPr>
          <w:vertAlign w:val="superscript"/>
        </w:rPr>
        <w:t>a</w:t>
      </w:r>
      <w:proofErr w:type="spellEnd"/>
      <w:r w:rsidR="00786610" w:rsidRPr="00F5043F">
        <w:rPr>
          <w:vertAlign w:val="superscript"/>
        </w:rPr>
        <w:t xml:space="preserve"> </w:t>
      </w:r>
      <w:r w:rsidR="00CE0914" w:rsidRPr="00F5043F">
        <w:t xml:space="preserve">Estimated </w:t>
      </w:r>
      <w:r w:rsidR="009471AC" w:rsidRPr="00F5043F">
        <w:t xml:space="preserve">so that the percentage of uninfected individuals getting tested across all races and transmission groups is consistent with published </w:t>
      </w:r>
      <w:r w:rsidR="00CE0914" w:rsidRPr="00F5043F">
        <w:t xml:space="preserve">data on the total number of tests conducted and the percentage of HIV tests that are positive </w:t>
      </w:r>
      <w:r w:rsidR="009471AC" w:rsidRPr="00F5043F">
        <w:t>(CDC [</w:t>
      </w:r>
      <w:r w:rsidR="00CE0914" w:rsidRPr="00F5043F">
        <w:t>2013</w:t>
      </w:r>
      <w:r w:rsidR="000D486A" w:rsidRPr="00F5043F">
        <w:t>e</w:t>
      </w:r>
      <w:r w:rsidR="009471AC" w:rsidRPr="00F5043F">
        <w:t>]</w:t>
      </w:r>
      <w:r w:rsidR="00286FFB" w:rsidRPr="00F5043F">
        <w:t>; CDC [2017]</w:t>
      </w:r>
      <w:r w:rsidR="00CE0914" w:rsidRPr="00F5043F">
        <w:t>).</w:t>
      </w:r>
      <w:r w:rsidR="00C653FD" w:rsidRPr="00F5043F">
        <w:t xml:space="preserve"> It is calculated as a function of the rate of HIV-infected individual getting tested for the reference case, which is calibrated, and therefore varies between calibration sets.</w:t>
      </w:r>
      <w:r w:rsidR="00C653FD">
        <w:t xml:space="preserve">  </w:t>
      </w:r>
    </w:p>
    <w:p w14:paraId="050B6746" w14:textId="77777777" w:rsidR="00163264" w:rsidRDefault="00163264">
      <w:pPr>
        <w:rPr>
          <w:sz w:val="18"/>
        </w:rPr>
      </w:pPr>
      <w:r>
        <w:br w:type="page"/>
      </w:r>
    </w:p>
    <w:p w14:paraId="62616386" w14:textId="431F4828" w:rsidR="00064571" w:rsidRPr="00C00335" w:rsidRDefault="004F4E6D" w:rsidP="00260D8A">
      <w:pPr>
        <w:pStyle w:val="TableTitle"/>
        <w:ind w:left="1530"/>
      </w:pPr>
      <w:bookmarkStart w:id="32" w:name="_Toc89257591"/>
      <w:r w:rsidRPr="00C00335">
        <w:lastRenderedPageBreak/>
        <w:t>Table 5.</w:t>
      </w:r>
      <w:r w:rsidR="007006E8">
        <w:t>3</w:t>
      </w:r>
      <w:r w:rsidR="009508BA" w:rsidRPr="00C00335">
        <w:t>.</w:t>
      </w:r>
      <w:r w:rsidR="009508BA" w:rsidRPr="00C00335">
        <w:tab/>
        <w:t xml:space="preserve">Testing </w:t>
      </w:r>
      <w:r w:rsidR="003C150A" w:rsidRPr="00C00335">
        <w:t xml:space="preserve">Performance </w:t>
      </w:r>
      <w:r w:rsidR="009508BA" w:rsidRPr="00C00335">
        <w:t>Parameters</w:t>
      </w:r>
      <w:bookmarkEnd w:id="32"/>
    </w:p>
    <w:tbl>
      <w:tblPr>
        <w:tblW w:w="12960" w:type="dxa"/>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259"/>
        <w:gridCol w:w="2315"/>
        <w:gridCol w:w="6386"/>
      </w:tblGrid>
      <w:tr w:rsidR="00C55552" w:rsidRPr="00C00335" w14:paraId="39962DCC" w14:textId="77777777" w:rsidTr="00163264">
        <w:trPr>
          <w:cantSplit/>
          <w:tblHeader/>
        </w:trPr>
        <w:tc>
          <w:tcPr>
            <w:tcW w:w="4259" w:type="dxa"/>
            <w:tcBorders>
              <w:top w:val="single" w:sz="12" w:space="0" w:color="000000"/>
              <w:bottom w:val="single" w:sz="6" w:space="0" w:color="auto"/>
            </w:tcBorders>
            <w:shd w:val="clear" w:color="auto" w:fill="auto"/>
          </w:tcPr>
          <w:p w14:paraId="4D33EAEA" w14:textId="77777777" w:rsidR="00C55552" w:rsidRPr="00C00335" w:rsidRDefault="00C55552" w:rsidP="00163264">
            <w:pPr>
              <w:pStyle w:val="TableHeaders"/>
              <w:spacing w:before="20" w:after="20"/>
              <w:jc w:val="left"/>
              <w:rPr>
                <w:szCs w:val="18"/>
              </w:rPr>
            </w:pPr>
            <w:r w:rsidRPr="00C00335">
              <w:rPr>
                <w:szCs w:val="18"/>
              </w:rPr>
              <w:t>Input</w:t>
            </w:r>
          </w:p>
        </w:tc>
        <w:tc>
          <w:tcPr>
            <w:tcW w:w="2315" w:type="dxa"/>
            <w:tcBorders>
              <w:top w:val="single" w:sz="12" w:space="0" w:color="000000"/>
              <w:bottom w:val="single" w:sz="6" w:space="0" w:color="auto"/>
            </w:tcBorders>
            <w:shd w:val="clear" w:color="auto" w:fill="auto"/>
            <w:noWrap/>
          </w:tcPr>
          <w:p w14:paraId="5BC7E7AD" w14:textId="77777777" w:rsidR="00C55552" w:rsidRPr="00C00335" w:rsidRDefault="00C55552" w:rsidP="00163264">
            <w:pPr>
              <w:pStyle w:val="TableHeaders"/>
              <w:spacing w:before="20" w:after="20"/>
              <w:jc w:val="left"/>
              <w:rPr>
                <w:szCs w:val="18"/>
              </w:rPr>
            </w:pPr>
            <w:r w:rsidRPr="00C00335">
              <w:rPr>
                <w:szCs w:val="18"/>
              </w:rPr>
              <w:t>Value</w:t>
            </w:r>
          </w:p>
        </w:tc>
        <w:tc>
          <w:tcPr>
            <w:tcW w:w="6386" w:type="dxa"/>
            <w:tcBorders>
              <w:top w:val="single" w:sz="12" w:space="0" w:color="000000"/>
              <w:bottom w:val="single" w:sz="6" w:space="0" w:color="auto"/>
            </w:tcBorders>
            <w:shd w:val="clear" w:color="auto" w:fill="auto"/>
            <w:tcMar>
              <w:right w:w="14" w:type="dxa"/>
            </w:tcMar>
          </w:tcPr>
          <w:p w14:paraId="1F0FBB6E" w14:textId="77777777" w:rsidR="00C55552" w:rsidRPr="00C00335" w:rsidRDefault="00C55552" w:rsidP="00163264">
            <w:pPr>
              <w:pStyle w:val="TableHeaders"/>
              <w:spacing w:before="20" w:after="20"/>
              <w:jc w:val="left"/>
              <w:rPr>
                <w:szCs w:val="18"/>
              </w:rPr>
            </w:pPr>
            <w:r w:rsidRPr="00C00335">
              <w:rPr>
                <w:szCs w:val="18"/>
              </w:rPr>
              <w:t>Source</w:t>
            </w:r>
          </w:p>
        </w:tc>
      </w:tr>
      <w:tr w:rsidR="00C55552" w:rsidRPr="00C00335" w14:paraId="5EEEAEC7" w14:textId="77777777" w:rsidTr="00163264">
        <w:trPr>
          <w:cantSplit/>
        </w:trPr>
        <w:tc>
          <w:tcPr>
            <w:tcW w:w="4259" w:type="dxa"/>
            <w:tcBorders>
              <w:top w:val="single" w:sz="6" w:space="0" w:color="auto"/>
              <w:bottom w:val="single" w:sz="6" w:space="0" w:color="808080" w:themeColor="background1" w:themeShade="80"/>
            </w:tcBorders>
          </w:tcPr>
          <w:p w14:paraId="5167C5D9" w14:textId="52552B5E" w:rsidR="00C55552" w:rsidRPr="00C00335" w:rsidRDefault="00C55552" w:rsidP="00163264">
            <w:pPr>
              <w:pStyle w:val="TableText"/>
              <w:spacing w:before="20" w:after="20"/>
              <w:rPr>
                <w:szCs w:val="18"/>
              </w:rPr>
            </w:pPr>
            <w:r w:rsidRPr="00C00335">
              <w:rPr>
                <w:szCs w:val="18"/>
              </w:rPr>
              <w:t xml:space="preserve">Test </w:t>
            </w:r>
            <w:proofErr w:type="spellStart"/>
            <w:r w:rsidRPr="00C00335">
              <w:rPr>
                <w:szCs w:val="18"/>
              </w:rPr>
              <w:t>sensitivity</w:t>
            </w:r>
            <w:r w:rsidR="008E4A7C" w:rsidRPr="00C00335">
              <w:rPr>
                <w:szCs w:val="18"/>
              </w:rPr>
              <w:t>,</w:t>
            </w:r>
            <w:r w:rsidR="00F539FC" w:rsidRPr="00C00335">
              <w:rPr>
                <w:szCs w:val="18"/>
                <w:vertAlign w:val="superscript"/>
              </w:rPr>
              <w:t>a</w:t>
            </w:r>
            <w:proofErr w:type="spellEnd"/>
            <w:r w:rsidR="008E4A7C" w:rsidRPr="00C00335">
              <w:rPr>
                <w:szCs w:val="18"/>
              </w:rPr>
              <w:t xml:space="preserve"> a</w:t>
            </w:r>
            <w:r w:rsidRPr="00C00335">
              <w:rPr>
                <w:szCs w:val="18"/>
              </w:rPr>
              <w:t xml:space="preserve">cute HIV </w:t>
            </w:r>
          </w:p>
        </w:tc>
        <w:tc>
          <w:tcPr>
            <w:tcW w:w="2315" w:type="dxa"/>
            <w:tcBorders>
              <w:top w:val="single" w:sz="6" w:space="0" w:color="auto"/>
              <w:bottom w:val="single" w:sz="6" w:space="0" w:color="808080" w:themeColor="background1" w:themeShade="80"/>
            </w:tcBorders>
            <w:shd w:val="clear" w:color="auto" w:fill="auto"/>
            <w:noWrap/>
          </w:tcPr>
          <w:p w14:paraId="151DEE66" w14:textId="77777777" w:rsidR="00C55552" w:rsidRPr="00C00335" w:rsidRDefault="00C55552" w:rsidP="00163264">
            <w:pPr>
              <w:pStyle w:val="TableText"/>
              <w:spacing w:before="20" w:after="20"/>
              <w:rPr>
                <w:szCs w:val="18"/>
              </w:rPr>
            </w:pPr>
          </w:p>
        </w:tc>
        <w:tc>
          <w:tcPr>
            <w:tcW w:w="6386" w:type="dxa"/>
            <w:tcBorders>
              <w:top w:val="single" w:sz="6" w:space="0" w:color="auto"/>
              <w:bottom w:val="single" w:sz="6" w:space="0" w:color="808080" w:themeColor="background1" w:themeShade="80"/>
            </w:tcBorders>
            <w:tcMar>
              <w:right w:w="14" w:type="dxa"/>
            </w:tcMar>
          </w:tcPr>
          <w:p w14:paraId="384F8D5B" w14:textId="77777777" w:rsidR="00C55552" w:rsidRPr="00C00335" w:rsidRDefault="00C55552" w:rsidP="00163264">
            <w:pPr>
              <w:pStyle w:val="TableText"/>
              <w:spacing w:before="20" w:after="20"/>
              <w:rPr>
                <w:szCs w:val="18"/>
              </w:rPr>
            </w:pPr>
          </w:p>
        </w:tc>
      </w:tr>
      <w:tr w:rsidR="00C55552" w:rsidRPr="00C00335" w14:paraId="76766D6A" w14:textId="77777777" w:rsidTr="00163264">
        <w:trPr>
          <w:cantSplit/>
        </w:trPr>
        <w:tc>
          <w:tcPr>
            <w:tcW w:w="4259" w:type="dxa"/>
            <w:tcBorders>
              <w:top w:val="single" w:sz="6" w:space="0" w:color="808080" w:themeColor="background1" w:themeShade="80"/>
              <w:bottom w:val="single" w:sz="6" w:space="0" w:color="808080" w:themeColor="background1" w:themeShade="80"/>
            </w:tcBorders>
          </w:tcPr>
          <w:p w14:paraId="05B3F684" w14:textId="77777777" w:rsidR="00C55552" w:rsidRPr="00C00335" w:rsidRDefault="00C55552" w:rsidP="00163264">
            <w:pPr>
              <w:pStyle w:val="TableTextIndent1"/>
              <w:spacing w:before="20" w:after="20"/>
              <w:rPr>
                <w:szCs w:val="18"/>
              </w:rPr>
            </w:pPr>
            <w:r w:rsidRPr="00C00335">
              <w:rPr>
                <w:szCs w:val="18"/>
              </w:rPr>
              <w:t>Rapid screen</w:t>
            </w:r>
          </w:p>
        </w:tc>
        <w:tc>
          <w:tcPr>
            <w:tcW w:w="2315" w:type="dxa"/>
            <w:tcBorders>
              <w:top w:val="single" w:sz="6" w:space="0" w:color="808080" w:themeColor="background1" w:themeShade="80"/>
              <w:bottom w:val="single" w:sz="6" w:space="0" w:color="808080" w:themeColor="background1" w:themeShade="80"/>
            </w:tcBorders>
            <w:shd w:val="clear" w:color="auto" w:fill="auto"/>
            <w:noWrap/>
          </w:tcPr>
          <w:p w14:paraId="6404E0D8" w14:textId="77777777" w:rsidR="00C55552" w:rsidRPr="00C00335" w:rsidRDefault="00C55552" w:rsidP="00163264">
            <w:pPr>
              <w:pStyle w:val="TableText"/>
              <w:spacing w:before="20" w:after="20"/>
              <w:rPr>
                <w:szCs w:val="18"/>
              </w:rPr>
            </w:pPr>
            <w:r w:rsidRPr="00C00335">
              <w:rPr>
                <w:szCs w:val="18"/>
              </w:rPr>
              <w:t>0.0173</w:t>
            </w:r>
          </w:p>
        </w:tc>
        <w:tc>
          <w:tcPr>
            <w:tcW w:w="6386" w:type="dxa"/>
            <w:tcBorders>
              <w:top w:val="single" w:sz="6" w:space="0" w:color="808080" w:themeColor="background1" w:themeShade="80"/>
              <w:bottom w:val="single" w:sz="6" w:space="0" w:color="808080" w:themeColor="background1" w:themeShade="80"/>
            </w:tcBorders>
            <w:tcMar>
              <w:right w:w="14" w:type="dxa"/>
            </w:tcMar>
          </w:tcPr>
          <w:p w14:paraId="2A32B5D5" w14:textId="77777777" w:rsidR="00C55552" w:rsidRPr="00C00335" w:rsidRDefault="00C55552" w:rsidP="00163264">
            <w:pPr>
              <w:pStyle w:val="TableText"/>
              <w:spacing w:before="20" w:after="20"/>
              <w:rPr>
                <w:szCs w:val="18"/>
              </w:rPr>
            </w:pPr>
            <w:r w:rsidRPr="00C00335">
              <w:rPr>
                <w:szCs w:val="18"/>
              </w:rPr>
              <w:t xml:space="preserve">Average of </w:t>
            </w:r>
            <w:proofErr w:type="spellStart"/>
            <w:r w:rsidRPr="00C00335">
              <w:rPr>
                <w:szCs w:val="18"/>
              </w:rPr>
              <w:t>Oraquick</w:t>
            </w:r>
            <w:proofErr w:type="spellEnd"/>
            <w:r w:rsidRPr="00C00335">
              <w:rPr>
                <w:szCs w:val="18"/>
              </w:rPr>
              <w:t xml:space="preserve"> and Clearview tests from Pilcher et al. (2013)</w:t>
            </w:r>
            <w:r w:rsidR="004B05DC" w:rsidRPr="00C00335">
              <w:rPr>
                <w:szCs w:val="18"/>
                <w:vertAlign w:val="superscript"/>
              </w:rPr>
              <w:t>b</w:t>
            </w:r>
          </w:p>
        </w:tc>
      </w:tr>
      <w:tr w:rsidR="00C55552" w:rsidRPr="00C00335" w14:paraId="06685D2D" w14:textId="77777777" w:rsidTr="00163264">
        <w:trPr>
          <w:cantSplit/>
        </w:trPr>
        <w:tc>
          <w:tcPr>
            <w:tcW w:w="4259" w:type="dxa"/>
            <w:vMerge w:val="restart"/>
            <w:tcBorders>
              <w:top w:val="single" w:sz="6" w:space="0" w:color="808080" w:themeColor="background1" w:themeShade="80"/>
              <w:bottom w:val="single" w:sz="6" w:space="0" w:color="808080" w:themeColor="background1" w:themeShade="80"/>
            </w:tcBorders>
          </w:tcPr>
          <w:p w14:paraId="38506ED3" w14:textId="77777777" w:rsidR="00C55552" w:rsidRPr="00C00335" w:rsidRDefault="00C55552" w:rsidP="00163264">
            <w:pPr>
              <w:pStyle w:val="TableTextIndent1"/>
              <w:spacing w:before="20" w:after="20"/>
              <w:rPr>
                <w:szCs w:val="18"/>
              </w:rPr>
            </w:pPr>
            <w:r w:rsidRPr="00C00335">
              <w:rPr>
                <w:szCs w:val="18"/>
              </w:rPr>
              <w:t>Conventional screen</w:t>
            </w:r>
          </w:p>
        </w:tc>
        <w:tc>
          <w:tcPr>
            <w:tcW w:w="2315" w:type="dxa"/>
            <w:tcBorders>
              <w:top w:val="single" w:sz="6" w:space="0" w:color="808080" w:themeColor="background1" w:themeShade="80"/>
              <w:bottom w:val="single" w:sz="6" w:space="0" w:color="808080" w:themeColor="background1" w:themeShade="80"/>
            </w:tcBorders>
            <w:shd w:val="clear" w:color="auto" w:fill="auto"/>
            <w:noWrap/>
          </w:tcPr>
          <w:p w14:paraId="00B85D1D" w14:textId="7C25344A" w:rsidR="00C55552" w:rsidRPr="00C00335" w:rsidRDefault="00C55552" w:rsidP="00163264">
            <w:pPr>
              <w:pStyle w:val="Tabletext0"/>
              <w:spacing w:before="20" w:after="20" w:line="240" w:lineRule="auto"/>
              <w:rPr>
                <w:rFonts w:ascii="Verdana" w:hAnsi="Verdana"/>
                <w:sz w:val="18"/>
                <w:szCs w:val="18"/>
              </w:rPr>
            </w:pPr>
            <w:r w:rsidRPr="00C00335">
              <w:rPr>
                <w:rFonts w:ascii="Verdana" w:hAnsi="Verdana"/>
                <w:sz w:val="18"/>
                <w:szCs w:val="18"/>
              </w:rPr>
              <w:t>3G: 0.509</w:t>
            </w:r>
            <w:r w:rsidR="00A249F6" w:rsidRPr="00C00335">
              <w:rPr>
                <w:rFonts w:ascii="Verdana" w:hAnsi="Verdana"/>
                <w:sz w:val="18"/>
                <w:szCs w:val="18"/>
              </w:rPr>
              <w:t>0</w:t>
            </w:r>
          </w:p>
        </w:tc>
        <w:tc>
          <w:tcPr>
            <w:tcW w:w="6386" w:type="dxa"/>
            <w:tcBorders>
              <w:top w:val="single" w:sz="6" w:space="0" w:color="808080" w:themeColor="background1" w:themeShade="80"/>
              <w:bottom w:val="single" w:sz="6" w:space="0" w:color="808080" w:themeColor="background1" w:themeShade="80"/>
            </w:tcBorders>
            <w:tcMar>
              <w:right w:w="14" w:type="dxa"/>
            </w:tcMar>
          </w:tcPr>
          <w:p w14:paraId="3BD8C773" w14:textId="77777777" w:rsidR="00C55552" w:rsidRPr="00C00335" w:rsidRDefault="00C55552" w:rsidP="00163264">
            <w:pPr>
              <w:pStyle w:val="Tabletext0"/>
              <w:spacing w:before="20" w:after="20" w:line="240" w:lineRule="auto"/>
              <w:rPr>
                <w:rFonts w:ascii="Verdana" w:hAnsi="Verdana"/>
                <w:sz w:val="18"/>
                <w:szCs w:val="18"/>
              </w:rPr>
            </w:pPr>
            <w:r w:rsidRPr="00C00335">
              <w:rPr>
                <w:rFonts w:ascii="Verdana" w:hAnsi="Verdana"/>
                <w:sz w:val="18"/>
                <w:szCs w:val="18"/>
              </w:rPr>
              <w:t>3G: Hutchinson et al. (2013)</w:t>
            </w:r>
          </w:p>
        </w:tc>
      </w:tr>
      <w:tr w:rsidR="00C55552" w:rsidRPr="00C00335" w14:paraId="54DFFDBD" w14:textId="77777777" w:rsidTr="00163264">
        <w:trPr>
          <w:cantSplit/>
        </w:trPr>
        <w:tc>
          <w:tcPr>
            <w:tcW w:w="4259" w:type="dxa"/>
            <w:vMerge/>
            <w:tcBorders>
              <w:top w:val="single" w:sz="6" w:space="0" w:color="808080" w:themeColor="background1" w:themeShade="80"/>
              <w:bottom w:val="single" w:sz="6" w:space="0" w:color="808080" w:themeColor="background1" w:themeShade="80"/>
            </w:tcBorders>
          </w:tcPr>
          <w:p w14:paraId="6CCB307B" w14:textId="77777777" w:rsidR="00C55552" w:rsidRPr="00C00335" w:rsidRDefault="00C55552" w:rsidP="00163264">
            <w:pPr>
              <w:pStyle w:val="TableText"/>
              <w:spacing w:before="20" w:after="20"/>
              <w:rPr>
                <w:szCs w:val="18"/>
              </w:rPr>
            </w:pPr>
          </w:p>
        </w:tc>
        <w:tc>
          <w:tcPr>
            <w:tcW w:w="2315" w:type="dxa"/>
            <w:tcBorders>
              <w:top w:val="single" w:sz="6" w:space="0" w:color="808080" w:themeColor="background1" w:themeShade="80"/>
              <w:bottom w:val="single" w:sz="6" w:space="0" w:color="808080" w:themeColor="background1" w:themeShade="80"/>
            </w:tcBorders>
            <w:shd w:val="clear" w:color="auto" w:fill="auto"/>
            <w:noWrap/>
          </w:tcPr>
          <w:p w14:paraId="4A0FD42C" w14:textId="77777777" w:rsidR="00C55552" w:rsidRPr="00C00335" w:rsidRDefault="00C55552" w:rsidP="00163264">
            <w:pPr>
              <w:pStyle w:val="Tabletext0"/>
              <w:spacing w:before="20" w:after="20" w:line="240" w:lineRule="auto"/>
              <w:rPr>
                <w:rFonts w:ascii="Verdana" w:hAnsi="Verdana"/>
                <w:sz w:val="18"/>
                <w:szCs w:val="18"/>
              </w:rPr>
            </w:pPr>
            <w:r w:rsidRPr="00C00335">
              <w:rPr>
                <w:rFonts w:ascii="Verdana" w:hAnsi="Verdana"/>
                <w:sz w:val="18"/>
                <w:szCs w:val="18"/>
              </w:rPr>
              <w:t>4G: 0.8276</w:t>
            </w:r>
          </w:p>
        </w:tc>
        <w:tc>
          <w:tcPr>
            <w:tcW w:w="6386" w:type="dxa"/>
            <w:tcBorders>
              <w:top w:val="single" w:sz="6" w:space="0" w:color="808080" w:themeColor="background1" w:themeShade="80"/>
              <w:bottom w:val="single" w:sz="6" w:space="0" w:color="808080" w:themeColor="background1" w:themeShade="80"/>
            </w:tcBorders>
            <w:tcMar>
              <w:right w:w="14" w:type="dxa"/>
            </w:tcMar>
          </w:tcPr>
          <w:p w14:paraId="5C4B6EA1" w14:textId="77777777" w:rsidR="00C55552" w:rsidRPr="00C00335" w:rsidRDefault="00C55552" w:rsidP="00163264">
            <w:pPr>
              <w:pStyle w:val="Tabletext0"/>
              <w:spacing w:before="20" w:after="20" w:line="240" w:lineRule="auto"/>
              <w:rPr>
                <w:rFonts w:ascii="Verdana" w:hAnsi="Verdana"/>
                <w:sz w:val="18"/>
                <w:szCs w:val="18"/>
              </w:rPr>
            </w:pPr>
            <w:r w:rsidRPr="00C00335">
              <w:rPr>
                <w:rFonts w:ascii="Verdana" w:hAnsi="Verdana"/>
                <w:sz w:val="18"/>
                <w:szCs w:val="18"/>
              </w:rPr>
              <w:t>4G: Hutchinson et al. (2013), which cited Chavez et al. (2011)</w:t>
            </w:r>
          </w:p>
        </w:tc>
      </w:tr>
      <w:tr w:rsidR="00C55552" w:rsidRPr="00C00335" w14:paraId="3BCFE654" w14:textId="77777777" w:rsidTr="00163264">
        <w:trPr>
          <w:cantSplit/>
        </w:trPr>
        <w:tc>
          <w:tcPr>
            <w:tcW w:w="4259" w:type="dxa"/>
            <w:tcBorders>
              <w:top w:val="single" w:sz="6" w:space="0" w:color="808080" w:themeColor="background1" w:themeShade="80"/>
              <w:bottom w:val="single" w:sz="6" w:space="0" w:color="808080" w:themeColor="background1" w:themeShade="80"/>
            </w:tcBorders>
          </w:tcPr>
          <w:p w14:paraId="3016210A" w14:textId="77777777" w:rsidR="00C55552" w:rsidRPr="00C00335" w:rsidRDefault="00C55552" w:rsidP="00163264">
            <w:pPr>
              <w:pStyle w:val="TableTextIndent1"/>
              <w:spacing w:before="20" w:after="20"/>
              <w:rPr>
                <w:szCs w:val="18"/>
              </w:rPr>
            </w:pPr>
            <w:r w:rsidRPr="00C00335">
              <w:rPr>
                <w:szCs w:val="18"/>
              </w:rPr>
              <w:t>Confirmatory test</w:t>
            </w:r>
          </w:p>
        </w:tc>
        <w:tc>
          <w:tcPr>
            <w:tcW w:w="2315" w:type="dxa"/>
            <w:tcBorders>
              <w:top w:val="single" w:sz="6" w:space="0" w:color="808080" w:themeColor="background1" w:themeShade="80"/>
              <w:bottom w:val="single" w:sz="6" w:space="0" w:color="808080" w:themeColor="background1" w:themeShade="80"/>
            </w:tcBorders>
            <w:shd w:val="clear" w:color="auto" w:fill="auto"/>
            <w:noWrap/>
          </w:tcPr>
          <w:p w14:paraId="47639E06" w14:textId="4E5C201D" w:rsidR="00C55552" w:rsidRPr="00F5043F" w:rsidRDefault="009736F1" w:rsidP="00163264">
            <w:pPr>
              <w:pStyle w:val="Tabletext0"/>
              <w:spacing w:before="20" w:after="20" w:line="240" w:lineRule="auto"/>
              <w:rPr>
                <w:rFonts w:ascii="Verdana" w:hAnsi="Verdana"/>
                <w:sz w:val="18"/>
                <w:szCs w:val="18"/>
              </w:rPr>
            </w:pPr>
            <w:r w:rsidRPr="00F5043F">
              <w:rPr>
                <w:rFonts w:ascii="Verdana" w:hAnsi="Verdana"/>
                <w:sz w:val="18"/>
                <w:szCs w:val="18"/>
              </w:rPr>
              <w:t>Before</w:t>
            </w:r>
            <w:r w:rsidR="000E7333" w:rsidRPr="00F5043F">
              <w:rPr>
                <w:rFonts w:ascii="Verdana" w:hAnsi="Verdana"/>
                <w:sz w:val="18"/>
                <w:szCs w:val="18"/>
              </w:rPr>
              <w:t xml:space="preserve"> 201</w:t>
            </w:r>
            <w:r w:rsidR="00C653FD" w:rsidRPr="00F5043F">
              <w:rPr>
                <w:rFonts w:ascii="Verdana" w:hAnsi="Verdana"/>
                <w:sz w:val="18"/>
                <w:szCs w:val="18"/>
              </w:rPr>
              <w:t>7</w:t>
            </w:r>
            <w:r w:rsidR="00C55552" w:rsidRPr="00F5043F">
              <w:rPr>
                <w:rFonts w:ascii="Verdana" w:hAnsi="Verdana"/>
                <w:sz w:val="18"/>
                <w:szCs w:val="18"/>
              </w:rPr>
              <w:t>: 0.0</w:t>
            </w:r>
          </w:p>
          <w:p w14:paraId="5BFE4D41" w14:textId="6614F18E" w:rsidR="000E7333" w:rsidRPr="00F5043F" w:rsidRDefault="000E7333" w:rsidP="00163264">
            <w:pPr>
              <w:pStyle w:val="Tabletext0"/>
              <w:spacing w:before="20" w:after="20" w:line="240" w:lineRule="auto"/>
              <w:rPr>
                <w:rFonts w:ascii="Verdana" w:hAnsi="Verdana"/>
                <w:sz w:val="18"/>
                <w:szCs w:val="18"/>
              </w:rPr>
            </w:pPr>
            <w:r w:rsidRPr="00F5043F">
              <w:rPr>
                <w:rFonts w:ascii="Verdana" w:hAnsi="Verdana"/>
                <w:sz w:val="18"/>
                <w:szCs w:val="18"/>
              </w:rPr>
              <w:t>201</w:t>
            </w:r>
            <w:r w:rsidR="00E755E8" w:rsidRPr="00F5043F">
              <w:rPr>
                <w:rFonts w:ascii="Verdana" w:hAnsi="Verdana"/>
                <w:sz w:val="18"/>
                <w:szCs w:val="18"/>
              </w:rPr>
              <w:t>7</w:t>
            </w:r>
            <w:r w:rsidRPr="00F5043F">
              <w:rPr>
                <w:rFonts w:ascii="Verdana" w:hAnsi="Verdana"/>
                <w:sz w:val="18"/>
                <w:szCs w:val="18"/>
              </w:rPr>
              <w:t xml:space="preserve"> and after: 0.</w:t>
            </w:r>
            <w:r w:rsidR="00452F76" w:rsidRPr="00F5043F">
              <w:rPr>
                <w:rFonts w:ascii="Verdana" w:hAnsi="Verdana"/>
                <w:sz w:val="18"/>
                <w:szCs w:val="18"/>
              </w:rPr>
              <w:t>4522</w:t>
            </w:r>
          </w:p>
        </w:tc>
        <w:tc>
          <w:tcPr>
            <w:tcW w:w="6386" w:type="dxa"/>
            <w:tcBorders>
              <w:top w:val="single" w:sz="6" w:space="0" w:color="808080" w:themeColor="background1" w:themeShade="80"/>
              <w:bottom w:val="single" w:sz="6" w:space="0" w:color="808080" w:themeColor="background1" w:themeShade="80"/>
            </w:tcBorders>
            <w:tcMar>
              <w:right w:w="14" w:type="dxa"/>
            </w:tcMar>
          </w:tcPr>
          <w:p w14:paraId="45E6A189" w14:textId="77B69861" w:rsidR="00C55552" w:rsidRPr="00F5043F" w:rsidRDefault="000E7333" w:rsidP="00163264">
            <w:pPr>
              <w:pStyle w:val="Tabletext0"/>
              <w:spacing w:before="20" w:after="20" w:line="240" w:lineRule="auto"/>
              <w:rPr>
                <w:rFonts w:ascii="Verdana" w:hAnsi="Verdana"/>
                <w:sz w:val="18"/>
                <w:szCs w:val="18"/>
              </w:rPr>
            </w:pPr>
            <w:r w:rsidRPr="00F5043F">
              <w:rPr>
                <w:rFonts w:ascii="Verdana" w:hAnsi="Verdana"/>
                <w:sz w:val="18"/>
                <w:szCs w:val="18"/>
              </w:rPr>
              <w:t>Before 201</w:t>
            </w:r>
            <w:r w:rsidR="00E755E8" w:rsidRPr="00F5043F">
              <w:rPr>
                <w:rFonts w:ascii="Verdana" w:hAnsi="Verdana"/>
                <w:sz w:val="18"/>
                <w:szCs w:val="18"/>
              </w:rPr>
              <w:t>7</w:t>
            </w:r>
            <w:r w:rsidRPr="00F5043F">
              <w:rPr>
                <w:rFonts w:ascii="Verdana" w:hAnsi="Verdana"/>
                <w:sz w:val="18"/>
                <w:szCs w:val="18"/>
              </w:rPr>
              <w:t xml:space="preserve">: </w:t>
            </w:r>
            <w:r w:rsidR="00C55552" w:rsidRPr="00F5043F">
              <w:rPr>
                <w:rFonts w:ascii="Verdana" w:hAnsi="Verdana"/>
                <w:sz w:val="18"/>
                <w:szCs w:val="18"/>
              </w:rPr>
              <w:t xml:space="preserve">Assumption based on length </w:t>
            </w:r>
            <w:r w:rsidR="003C1901" w:rsidRPr="00F5043F">
              <w:rPr>
                <w:rFonts w:ascii="Verdana" w:hAnsi="Verdana"/>
                <w:sz w:val="18"/>
                <w:szCs w:val="18"/>
              </w:rPr>
              <w:t xml:space="preserve">of </w:t>
            </w:r>
            <w:r w:rsidR="00C55552" w:rsidRPr="00F5043F">
              <w:rPr>
                <w:rFonts w:ascii="Verdana" w:hAnsi="Verdana"/>
                <w:sz w:val="18"/>
                <w:szCs w:val="18"/>
              </w:rPr>
              <w:t>Western blot window period (</w:t>
            </w:r>
            <w:proofErr w:type="spellStart"/>
            <w:r w:rsidR="00C55552" w:rsidRPr="00F5043F">
              <w:rPr>
                <w:rFonts w:ascii="Verdana" w:hAnsi="Verdana"/>
                <w:sz w:val="18"/>
                <w:szCs w:val="18"/>
              </w:rPr>
              <w:t>Feibig</w:t>
            </w:r>
            <w:proofErr w:type="spellEnd"/>
            <w:r w:rsidR="00C55552" w:rsidRPr="00F5043F">
              <w:rPr>
                <w:rFonts w:ascii="Verdana" w:hAnsi="Verdana"/>
                <w:sz w:val="18"/>
                <w:szCs w:val="18"/>
              </w:rPr>
              <w:t xml:space="preserve"> et al</w:t>
            </w:r>
            <w:r w:rsidR="006B24BF" w:rsidRPr="00F5043F">
              <w:rPr>
                <w:rFonts w:ascii="Verdana" w:hAnsi="Verdana"/>
                <w:sz w:val="18"/>
                <w:szCs w:val="18"/>
              </w:rPr>
              <w:t>.</w:t>
            </w:r>
            <w:r w:rsidR="00C55552" w:rsidRPr="00F5043F">
              <w:rPr>
                <w:rFonts w:ascii="Verdana" w:hAnsi="Verdana"/>
                <w:sz w:val="18"/>
                <w:szCs w:val="18"/>
              </w:rPr>
              <w:t>, 2003)</w:t>
            </w:r>
            <w:r w:rsidRPr="00F5043F">
              <w:rPr>
                <w:rFonts w:ascii="Verdana" w:hAnsi="Verdana"/>
                <w:sz w:val="18"/>
                <w:szCs w:val="18"/>
              </w:rPr>
              <w:br/>
            </w:r>
            <w:r w:rsidR="00CB2861" w:rsidRPr="00F5043F">
              <w:rPr>
                <w:rFonts w:ascii="Verdana" w:hAnsi="Verdana"/>
                <w:sz w:val="18"/>
                <w:szCs w:val="18"/>
              </w:rPr>
              <w:t>201</w:t>
            </w:r>
            <w:r w:rsidR="00E755E8" w:rsidRPr="00F5043F">
              <w:rPr>
                <w:rFonts w:ascii="Verdana" w:hAnsi="Verdana"/>
                <w:sz w:val="18"/>
                <w:szCs w:val="18"/>
              </w:rPr>
              <w:t>7</w:t>
            </w:r>
            <w:r w:rsidR="00CB2861" w:rsidRPr="00F5043F">
              <w:rPr>
                <w:rFonts w:ascii="Verdana" w:hAnsi="Verdana"/>
                <w:sz w:val="18"/>
                <w:szCs w:val="18"/>
              </w:rPr>
              <w:t xml:space="preserve"> and </w:t>
            </w:r>
            <w:r w:rsidR="00BE5D95" w:rsidRPr="00F5043F">
              <w:rPr>
                <w:rFonts w:ascii="Verdana" w:hAnsi="Verdana"/>
                <w:sz w:val="18"/>
                <w:szCs w:val="18"/>
              </w:rPr>
              <w:t>a</w:t>
            </w:r>
            <w:r w:rsidR="00CB2861" w:rsidRPr="00F5043F">
              <w:rPr>
                <w:rFonts w:ascii="Verdana" w:hAnsi="Verdana"/>
                <w:sz w:val="18"/>
                <w:szCs w:val="18"/>
              </w:rPr>
              <w:t>fter</w:t>
            </w:r>
            <w:r w:rsidRPr="00F5043F">
              <w:rPr>
                <w:rFonts w:ascii="Verdana" w:hAnsi="Verdana"/>
                <w:sz w:val="18"/>
                <w:szCs w:val="18"/>
              </w:rPr>
              <w:t xml:space="preserve">: </w:t>
            </w:r>
            <w:r w:rsidR="00452F76" w:rsidRPr="00F5043F">
              <w:rPr>
                <w:rFonts w:ascii="Verdana" w:hAnsi="Verdana"/>
                <w:sz w:val="18"/>
                <w:szCs w:val="18"/>
              </w:rPr>
              <w:t xml:space="preserve">Based on Luo et al. (2019), which concluded that sensitivity of </w:t>
            </w:r>
            <w:proofErr w:type="spellStart"/>
            <w:r w:rsidR="00452F76" w:rsidRPr="00F5043F">
              <w:rPr>
                <w:rFonts w:ascii="Verdana" w:hAnsi="Verdana"/>
                <w:sz w:val="18"/>
                <w:szCs w:val="18"/>
              </w:rPr>
              <w:t>Geenius</w:t>
            </w:r>
            <w:proofErr w:type="spellEnd"/>
            <w:r w:rsidR="00452F76" w:rsidRPr="00F5043F">
              <w:rPr>
                <w:rFonts w:ascii="Verdana" w:hAnsi="Verdana"/>
                <w:sz w:val="18"/>
                <w:szCs w:val="18"/>
              </w:rPr>
              <w:t xml:space="preserve"> and </w:t>
            </w:r>
            <w:proofErr w:type="spellStart"/>
            <w:r w:rsidR="00452F76" w:rsidRPr="00F5043F">
              <w:rPr>
                <w:rFonts w:ascii="Verdana" w:hAnsi="Verdana"/>
                <w:sz w:val="18"/>
                <w:szCs w:val="18"/>
              </w:rPr>
              <w:t>Multispot</w:t>
            </w:r>
            <w:proofErr w:type="spellEnd"/>
            <w:r w:rsidR="00452F76" w:rsidRPr="00F5043F">
              <w:rPr>
                <w:rFonts w:ascii="Verdana" w:hAnsi="Verdana"/>
                <w:sz w:val="18"/>
                <w:szCs w:val="18"/>
              </w:rPr>
              <w:t xml:space="preserve"> is similar, assumed same sensitivity as </w:t>
            </w:r>
            <w:proofErr w:type="spellStart"/>
            <w:r w:rsidR="00452F76" w:rsidRPr="00F5043F">
              <w:rPr>
                <w:rFonts w:ascii="Verdana" w:hAnsi="Verdana"/>
                <w:sz w:val="18"/>
                <w:szCs w:val="18"/>
              </w:rPr>
              <w:t>Multispot</w:t>
            </w:r>
            <w:proofErr w:type="spellEnd"/>
            <w:r w:rsidR="00452F76" w:rsidRPr="00F5043F">
              <w:rPr>
                <w:rFonts w:ascii="Verdana" w:hAnsi="Verdana"/>
                <w:sz w:val="18"/>
                <w:szCs w:val="18"/>
              </w:rPr>
              <w:t xml:space="preserve"> test. Value based on Pandori et al. (2012)</w:t>
            </w:r>
            <w:r w:rsidRPr="00F5043F">
              <w:rPr>
                <w:rFonts w:ascii="Verdana" w:hAnsi="Verdana"/>
                <w:sz w:val="18"/>
                <w:szCs w:val="18"/>
              </w:rPr>
              <w:t>.</w:t>
            </w:r>
          </w:p>
        </w:tc>
      </w:tr>
      <w:tr w:rsidR="00C55552" w:rsidRPr="00C00335" w14:paraId="03D07711" w14:textId="77777777" w:rsidTr="00163264">
        <w:trPr>
          <w:cantSplit/>
        </w:trPr>
        <w:tc>
          <w:tcPr>
            <w:tcW w:w="4259" w:type="dxa"/>
            <w:tcBorders>
              <w:top w:val="single" w:sz="6" w:space="0" w:color="808080" w:themeColor="background1" w:themeShade="80"/>
              <w:bottom w:val="single" w:sz="6" w:space="0" w:color="808080" w:themeColor="background1" w:themeShade="80"/>
            </w:tcBorders>
          </w:tcPr>
          <w:p w14:paraId="31C3EB06" w14:textId="762CE698" w:rsidR="00C55552" w:rsidRPr="00C00335" w:rsidRDefault="008E4A7C" w:rsidP="00163264">
            <w:pPr>
              <w:pStyle w:val="TableText"/>
              <w:spacing w:before="20" w:after="20"/>
              <w:rPr>
                <w:szCs w:val="18"/>
              </w:rPr>
            </w:pPr>
            <w:r w:rsidRPr="00C00335">
              <w:rPr>
                <w:szCs w:val="18"/>
              </w:rPr>
              <w:t>Test sensitivity, c</w:t>
            </w:r>
            <w:r w:rsidR="00C55552" w:rsidRPr="00C00335">
              <w:rPr>
                <w:szCs w:val="18"/>
              </w:rPr>
              <w:t xml:space="preserve">hronic </w:t>
            </w:r>
            <w:proofErr w:type="spellStart"/>
            <w:r w:rsidR="00C55552" w:rsidRPr="00C00335">
              <w:rPr>
                <w:szCs w:val="18"/>
              </w:rPr>
              <w:t>HIV</w:t>
            </w:r>
            <w:r w:rsidR="004B05DC" w:rsidRPr="00C00335">
              <w:rPr>
                <w:szCs w:val="18"/>
                <w:vertAlign w:val="superscript"/>
              </w:rPr>
              <w:t>c</w:t>
            </w:r>
            <w:proofErr w:type="spellEnd"/>
            <w:r w:rsidR="00C55552" w:rsidRPr="00C00335">
              <w:rPr>
                <w:szCs w:val="18"/>
              </w:rPr>
              <w:t xml:space="preserve"> </w:t>
            </w:r>
          </w:p>
        </w:tc>
        <w:tc>
          <w:tcPr>
            <w:tcW w:w="2315" w:type="dxa"/>
            <w:tcBorders>
              <w:top w:val="single" w:sz="6" w:space="0" w:color="808080" w:themeColor="background1" w:themeShade="80"/>
              <w:bottom w:val="single" w:sz="6" w:space="0" w:color="808080" w:themeColor="background1" w:themeShade="80"/>
            </w:tcBorders>
            <w:shd w:val="clear" w:color="auto" w:fill="auto"/>
            <w:noWrap/>
          </w:tcPr>
          <w:p w14:paraId="441C1C19" w14:textId="77777777" w:rsidR="00C55552" w:rsidRPr="00C00335" w:rsidRDefault="00C55552" w:rsidP="00163264">
            <w:pPr>
              <w:pStyle w:val="TableText"/>
              <w:spacing w:before="20" w:after="20"/>
              <w:rPr>
                <w:szCs w:val="18"/>
              </w:rPr>
            </w:pPr>
          </w:p>
        </w:tc>
        <w:tc>
          <w:tcPr>
            <w:tcW w:w="6386" w:type="dxa"/>
            <w:tcBorders>
              <w:top w:val="single" w:sz="6" w:space="0" w:color="808080" w:themeColor="background1" w:themeShade="80"/>
              <w:bottom w:val="single" w:sz="6" w:space="0" w:color="808080" w:themeColor="background1" w:themeShade="80"/>
            </w:tcBorders>
            <w:tcMar>
              <w:right w:w="14" w:type="dxa"/>
            </w:tcMar>
          </w:tcPr>
          <w:p w14:paraId="056EB989" w14:textId="77777777" w:rsidR="00C55552" w:rsidRPr="00C00335" w:rsidRDefault="00C55552" w:rsidP="00163264">
            <w:pPr>
              <w:pStyle w:val="Tabletext0"/>
              <w:spacing w:before="20" w:after="20" w:line="240" w:lineRule="auto"/>
              <w:rPr>
                <w:rFonts w:ascii="Verdana" w:hAnsi="Verdana"/>
                <w:sz w:val="18"/>
                <w:szCs w:val="18"/>
              </w:rPr>
            </w:pPr>
          </w:p>
        </w:tc>
      </w:tr>
      <w:tr w:rsidR="00C55552" w:rsidRPr="00C00335" w14:paraId="7DEDEBD0" w14:textId="77777777" w:rsidTr="00163264">
        <w:trPr>
          <w:cantSplit/>
        </w:trPr>
        <w:tc>
          <w:tcPr>
            <w:tcW w:w="4259" w:type="dxa"/>
            <w:tcBorders>
              <w:top w:val="single" w:sz="6" w:space="0" w:color="808080" w:themeColor="background1" w:themeShade="80"/>
              <w:bottom w:val="single" w:sz="6" w:space="0" w:color="808080" w:themeColor="background1" w:themeShade="80"/>
            </w:tcBorders>
          </w:tcPr>
          <w:p w14:paraId="6F7486CA" w14:textId="77777777" w:rsidR="00C55552" w:rsidRPr="00C00335" w:rsidRDefault="00C55552" w:rsidP="00163264">
            <w:pPr>
              <w:pStyle w:val="TableTextIndent1"/>
              <w:spacing w:before="20" w:after="20"/>
              <w:rPr>
                <w:szCs w:val="18"/>
              </w:rPr>
            </w:pPr>
            <w:r w:rsidRPr="00C00335">
              <w:rPr>
                <w:szCs w:val="18"/>
              </w:rPr>
              <w:t>Rapid screen</w:t>
            </w:r>
          </w:p>
        </w:tc>
        <w:tc>
          <w:tcPr>
            <w:tcW w:w="2315" w:type="dxa"/>
            <w:tcBorders>
              <w:top w:val="single" w:sz="6" w:space="0" w:color="808080" w:themeColor="background1" w:themeShade="80"/>
              <w:bottom w:val="single" w:sz="6" w:space="0" w:color="808080" w:themeColor="background1" w:themeShade="80"/>
            </w:tcBorders>
            <w:shd w:val="clear" w:color="auto" w:fill="auto"/>
            <w:noWrap/>
          </w:tcPr>
          <w:p w14:paraId="6463D563" w14:textId="77777777" w:rsidR="00C55552" w:rsidRPr="00C00335" w:rsidRDefault="00C55552" w:rsidP="00163264">
            <w:pPr>
              <w:pStyle w:val="TableText"/>
              <w:spacing w:before="20" w:after="20"/>
              <w:rPr>
                <w:szCs w:val="18"/>
              </w:rPr>
            </w:pPr>
            <w:r w:rsidRPr="00C00335">
              <w:rPr>
                <w:szCs w:val="18"/>
              </w:rPr>
              <w:t>0.993</w:t>
            </w:r>
          </w:p>
        </w:tc>
        <w:tc>
          <w:tcPr>
            <w:tcW w:w="6386" w:type="dxa"/>
            <w:tcBorders>
              <w:top w:val="single" w:sz="6" w:space="0" w:color="808080" w:themeColor="background1" w:themeShade="80"/>
              <w:bottom w:val="single" w:sz="6" w:space="0" w:color="808080" w:themeColor="background1" w:themeShade="80"/>
            </w:tcBorders>
            <w:tcMar>
              <w:right w:w="14" w:type="dxa"/>
            </w:tcMar>
          </w:tcPr>
          <w:p w14:paraId="0535D9B7" w14:textId="7C1C8596" w:rsidR="00C55552" w:rsidRPr="00C00335" w:rsidRDefault="00C55552" w:rsidP="00163264">
            <w:pPr>
              <w:pStyle w:val="table-text"/>
              <w:spacing w:before="20" w:after="20"/>
            </w:pPr>
            <w:proofErr w:type="spellStart"/>
            <w:r w:rsidRPr="00C00335">
              <w:t>OraQuick</w:t>
            </w:r>
            <w:proofErr w:type="spellEnd"/>
            <w:r w:rsidRPr="00C00335">
              <w:t xml:space="preserve"> ADVANCE:</w:t>
            </w:r>
            <w:r w:rsidR="00163264">
              <w:t xml:space="preserve"> </w:t>
            </w:r>
            <w:r w:rsidR="00163264">
              <w:br/>
            </w:r>
            <w:r w:rsidRPr="00C00335">
              <w:t>Rapid HIV-1/2 Antibody Test package insert</w:t>
            </w:r>
          </w:p>
        </w:tc>
      </w:tr>
      <w:tr w:rsidR="00E200F3" w:rsidRPr="00C00335" w14:paraId="6555C53C" w14:textId="77777777" w:rsidTr="00163264">
        <w:trPr>
          <w:cantSplit/>
        </w:trPr>
        <w:tc>
          <w:tcPr>
            <w:tcW w:w="4259" w:type="dxa"/>
            <w:tcBorders>
              <w:top w:val="single" w:sz="6" w:space="0" w:color="808080" w:themeColor="background1" w:themeShade="80"/>
              <w:bottom w:val="single" w:sz="6" w:space="0" w:color="808080" w:themeColor="background1" w:themeShade="80"/>
            </w:tcBorders>
          </w:tcPr>
          <w:p w14:paraId="2B7C7C75" w14:textId="77777777" w:rsidR="00E200F3" w:rsidRPr="00C00335" w:rsidRDefault="00E200F3" w:rsidP="00163264">
            <w:pPr>
              <w:pStyle w:val="TableTextIndent1"/>
              <w:spacing w:before="20" w:after="20"/>
              <w:rPr>
                <w:szCs w:val="18"/>
              </w:rPr>
            </w:pPr>
            <w:r w:rsidRPr="00C00335">
              <w:rPr>
                <w:szCs w:val="18"/>
              </w:rPr>
              <w:t>Conventional screen</w:t>
            </w:r>
          </w:p>
        </w:tc>
        <w:tc>
          <w:tcPr>
            <w:tcW w:w="2315" w:type="dxa"/>
            <w:tcBorders>
              <w:top w:val="single" w:sz="6" w:space="0" w:color="808080" w:themeColor="background1" w:themeShade="80"/>
              <w:bottom w:val="single" w:sz="6" w:space="0" w:color="808080" w:themeColor="background1" w:themeShade="80"/>
            </w:tcBorders>
            <w:shd w:val="clear" w:color="auto" w:fill="auto"/>
            <w:noWrap/>
          </w:tcPr>
          <w:p w14:paraId="61BF4B93" w14:textId="77777777" w:rsidR="00E200F3" w:rsidRPr="00C00335" w:rsidRDefault="00E200F3" w:rsidP="00163264">
            <w:pPr>
              <w:pStyle w:val="Tabletext0"/>
              <w:spacing w:before="20" w:after="20" w:line="240" w:lineRule="auto"/>
              <w:rPr>
                <w:rFonts w:ascii="Verdana" w:hAnsi="Verdana"/>
                <w:sz w:val="18"/>
                <w:szCs w:val="18"/>
              </w:rPr>
            </w:pPr>
            <w:r w:rsidRPr="00C00335">
              <w:rPr>
                <w:rFonts w:ascii="Verdana" w:hAnsi="Verdana"/>
                <w:sz w:val="18"/>
                <w:szCs w:val="18"/>
              </w:rPr>
              <w:t>3G: 0.9968</w:t>
            </w:r>
          </w:p>
          <w:p w14:paraId="02C333A7" w14:textId="77777777" w:rsidR="00E200F3" w:rsidRPr="00C00335" w:rsidRDefault="00E200F3" w:rsidP="00163264">
            <w:pPr>
              <w:pStyle w:val="TableText"/>
              <w:spacing w:before="20" w:after="20"/>
              <w:rPr>
                <w:szCs w:val="18"/>
              </w:rPr>
            </w:pPr>
            <w:r w:rsidRPr="00C00335">
              <w:rPr>
                <w:szCs w:val="18"/>
              </w:rPr>
              <w:t>4G: 0.9986</w:t>
            </w:r>
          </w:p>
        </w:tc>
        <w:tc>
          <w:tcPr>
            <w:tcW w:w="6386" w:type="dxa"/>
            <w:tcBorders>
              <w:top w:val="single" w:sz="6" w:space="0" w:color="808080" w:themeColor="background1" w:themeShade="80"/>
              <w:bottom w:val="single" w:sz="6" w:space="0" w:color="808080" w:themeColor="background1" w:themeShade="80"/>
            </w:tcBorders>
            <w:tcMar>
              <w:right w:w="14" w:type="dxa"/>
            </w:tcMar>
          </w:tcPr>
          <w:p w14:paraId="15A13AB4" w14:textId="1E92E96B" w:rsidR="00E200F3" w:rsidRPr="00C00335" w:rsidRDefault="00E200F3" w:rsidP="00163264">
            <w:pPr>
              <w:pStyle w:val="TableText"/>
              <w:spacing w:before="20" w:after="20"/>
              <w:rPr>
                <w:szCs w:val="18"/>
              </w:rPr>
            </w:pPr>
            <w:r w:rsidRPr="00C00335">
              <w:rPr>
                <w:szCs w:val="18"/>
              </w:rPr>
              <w:t xml:space="preserve">Hutchinson et al. (2013), which cited package insert data (3G) and Chavez </w:t>
            </w:r>
            <w:r w:rsidR="006B24BF" w:rsidRPr="00C00335">
              <w:rPr>
                <w:szCs w:val="18"/>
              </w:rPr>
              <w:t>et al. (</w:t>
            </w:r>
            <w:r w:rsidRPr="00C00335">
              <w:rPr>
                <w:szCs w:val="18"/>
              </w:rPr>
              <w:t>2011</w:t>
            </w:r>
            <w:r w:rsidR="006B24BF" w:rsidRPr="00C00335">
              <w:rPr>
                <w:szCs w:val="18"/>
              </w:rPr>
              <w:t>)</w:t>
            </w:r>
            <w:r w:rsidRPr="00C00335">
              <w:rPr>
                <w:szCs w:val="18"/>
              </w:rPr>
              <w:t xml:space="preserve"> (4G)</w:t>
            </w:r>
          </w:p>
        </w:tc>
      </w:tr>
      <w:tr w:rsidR="00820ACA" w:rsidRPr="00C00335" w14:paraId="08D9C479" w14:textId="77777777" w:rsidTr="00163264">
        <w:trPr>
          <w:cantSplit/>
        </w:trPr>
        <w:tc>
          <w:tcPr>
            <w:tcW w:w="4259" w:type="dxa"/>
            <w:tcBorders>
              <w:top w:val="single" w:sz="6" w:space="0" w:color="808080" w:themeColor="background1" w:themeShade="80"/>
              <w:bottom w:val="single" w:sz="12" w:space="0" w:color="auto"/>
            </w:tcBorders>
          </w:tcPr>
          <w:p w14:paraId="618A99A4" w14:textId="7FE86FC2" w:rsidR="00820ACA" w:rsidRPr="00C00335" w:rsidRDefault="00820ACA" w:rsidP="00820ACA">
            <w:pPr>
              <w:pStyle w:val="TableText"/>
              <w:spacing w:before="20" w:after="20"/>
              <w:ind w:left="246"/>
              <w:rPr>
                <w:szCs w:val="18"/>
              </w:rPr>
            </w:pPr>
            <w:r w:rsidRPr="00C00335">
              <w:rPr>
                <w:szCs w:val="18"/>
              </w:rPr>
              <w:t>Confirmatory test</w:t>
            </w:r>
          </w:p>
        </w:tc>
        <w:tc>
          <w:tcPr>
            <w:tcW w:w="2315" w:type="dxa"/>
            <w:tcBorders>
              <w:top w:val="single" w:sz="6" w:space="0" w:color="808080" w:themeColor="background1" w:themeShade="80"/>
              <w:bottom w:val="single" w:sz="12" w:space="0" w:color="auto"/>
            </w:tcBorders>
            <w:shd w:val="clear" w:color="auto" w:fill="auto"/>
            <w:noWrap/>
          </w:tcPr>
          <w:p w14:paraId="122B8357" w14:textId="77777777" w:rsidR="00820ACA" w:rsidRPr="00CA40A9" w:rsidRDefault="00820ACA" w:rsidP="00820ACA">
            <w:pPr>
              <w:pStyle w:val="TableText"/>
              <w:spacing w:before="20" w:after="20"/>
              <w:rPr>
                <w:szCs w:val="18"/>
              </w:rPr>
            </w:pPr>
            <w:r w:rsidRPr="00CA40A9">
              <w:rPr>
                <w:szCs w:val="18"/>
              </w:rPr>
              <w:t>Before 2017</w:t>
            </w:r>
            <w:r w:rsidRPr="00CA40A9">
              <w:rPr>
                <w:szCs w:val="18"/>
                <w:vertAlign w:val="superscript"/>
              </w:rPr>
              <w:t>d</w:t>
            </w:r>
            <w:r w:rsidRPr="00CA40A9">
              <w:rPr>
                <w:szCs w:val="18"/>
              </w:rPr>
              <w:t>: 1.0</w:t>
            </w:r>
          </w:p>
          <w:p w14:paraId="1D350CFC" w14:textId="2A5A489E" w:rsidR="00820ACA" w:rsidRPr="00CA40A9" w:rsidRDefault="00820ACA" w:rsidP="00820ACA">
            <w:pPr>
              <w:pStyle w:val="TableText"/>
              <w:spacing w:before="20" w:after="20"/>
              <w:rPr>
                <w:szCs w:val="18"/>
              </w:rPr>
            </w:pPr>
            <w:r w:rsidRPr="00CA40A9">
              <w:rPr>
                <w:szCs w:val="18"/>
              </w:rPr>
              <w:t>2017 and after: 0.993</w:t>
            </w:r>
          </w:p>
        </w:tc>
        <w:tc>
          <w:tcPr>
            <w:tcW w:w="6386" w:type="dxa"/>
            <w:tcBorders>
              <w:top w:val="single" w:sz="6" w:space="0" w:color="808080" w:themeColor="background1" w:themeShade="80"/>
              <w:bottom w:val="single" w:sz="12" w:space="0" w:color="auto"/>
            </w:tcBorders>
            <w:tcMar>
              <w:right w:w="14" w:type="dxa"/>
            </w:tcMar>
          </w:tcPr>
          <w:p w14:paraId="0369C918" w14:textId="77777777" w:rsidR="00820ACA" w:rsidRPr="00CA40A9" w:rsidRDefault="00820ACA" w:rsidP="00820ACA">
            <w:pPr>
              <w:pStyle w:val="TableText"/>
              <w:spacing w:before="20" w:after="20"/>
              <w:rPr>
                <w:szCs w:val="18"/>
              </w:rPr>
            </w:pPr>
            <w:r w:rsidRPr="00CA40A9">
              <w:rPr>
                <w:szCs w:val="18"/>
              </w:rPr>
              <w:t>Before 2017: Assumption in Hutchinson et al. (2013)</w:t>
            </w:r>
          </w:p>
          <w:p w14:paraId="173FE250" w14:textId="0C5458FE" w:rsidR="00820ACA" w:rsidRPr="00CA40A9" w:rsidRDefault="00820ACA" w:rsidP="00820ACA">
            <w:pPr>
              <w:pStyle w:val="TableText"/>
              <w:spacing w:before="20" w:after="20"/>
              <w:rPr>
                <w:szCs w:val="18"/>
              </w:rPr>
            </w:pPr>
            <w:r w:rsidRPr="00CA40A9">
              <w:rPr>
                <w:szCs w:val="18"/>
              </w:rPr>
              <w:t xml:space="preserve">2017 and after: </w:t>
            </w:r>
            <w:proofErr w:type="spellStart"/>
            <w:r w:rsidRPr="00CA40A9">
              <w:rPr>
                <w:szCs w:val="18"/>
              </w:rPr>
              <w:t>Geenius</w:t>
            </w:r>
            <w:proofErr w:type="spellEnd"/>
            <w:r w:rsidRPr="00CA40A9">
              <w:rPr>
                <w:szCs w:val="18"/>
              </w:rPr>
              <w:t xml:space="preserve"> HIV 1/2 supplemental test package insert (Bio-Rad, 2014)</w:t>
            </w:r>
          </w:p>
        </w:tc>
      </w:tr>
    </w:tbl>
    <w:p w14:paraId="25530C48" w14:textId="506D435D" w:rsidR="00DB78B1" w:rsidRPr="00C00335" w:rsidRDefault="00F539FC" w:rsidP="00163264">
      <w:pPr>
        <w:pStyle w:val="Source2"/>
        <w:spacing w:before="40"/>
      </w:pPr>
      <w:proofErr w:type="spellStart"/>
      <w:r w:rsidRPr="00C00335">
        <w:rPr>
          <w:vertAlign w:val="superscript"/>
        </w:rPr>
        <w:t>a</w:t>
      </w:r>
      <w:proofErr w:type="spellEnd"/>
      <w:r w:rsidR="00064571" w:rsidRPr="00C00335">
        <w:rPr>
          <w:rFonts w:ascii="Calibri" w:hAnsi="Calibri"/>
        </w:rPr>
        <w:t xml:space="preserve"> </w:t>
      </w:r>
      <w:r w:rsidR="00DB78B1" w:rsidRPr="00C00335">
        <w:t>The window period during which acute HIV is not detectable is factored into the calculation of test sensitivity for individuals with acute HIV.</w:t>
      </w:r>
    </w:p>
    <w:p w14:paraId="7E0AF414" w14:textId="77777777" w:rsidR="004B05DC" w:rsidRPr="00C00335" w:rsidRDefault="004B05DC" w:rsidP="00163264">
      <w:pPr>
        <w:pStyle w:val="Source2"/>
        <w:spacing w:before="0"/>
      </w:pPr>
      <w:r w:rsidRPr="00C00335">
        <w:rPr>
          <w:vertAlign w:val="superscript"/>
        </w:rPr>
        <w:t xml:space="preserve">b </w:t>
      </w:r>
      <w:r w:rsidRPr="00C00335">
        <w:t xml:space="preserve">Calculated as average test sensitivity for </w:t>
      </w:r>
      <w:proofErr w:type="spellStart"/>
      <w:r w:rsidRPr="00C00335">
        <w:t>Oraquick</w:t>
      </w:r>
      <w:proofErr w:type="spellEnd"/>
      <w:r w:rsidRPr="00C00335">
        <w:t xml:space="preserve"> and Clearview tests for acute HIV.</w:t>
      </w:r>
    </w:p>
    <w:p w14:paraId="05429FE0" w14:textId="77777777" w:rsidR="004B05DC" w:rsidRPr="00C00335" w:rsidRDefault="004B05DC" w:rsidP="00163264">
      <w:pPr>
        <w:pStyle w:val="Source2"/>
        <w:spacing w:before="0"/>
        <w:rPr>
          <w:rFonts w:ascii="Calibri" w:hAnsi="Calibri"/>
        </w:rPr>
      </w:pPr>
      <w:r w:rsidRPr="00C00335">
        <w:rPr>
          <w:vertAlign w:val="superscript"/>
        </w:rPr>
        <w:t xml:space="preserve">c </w:t>
      </w:r>
      <w:r w:rsidRPr="00C00335">
        <w:t>Early infection, the time after acute infection but before viral set point when transmission risk per contact is elevated and testing is less sensitive is not accounted for in the model.</w:t>
      </w:r>
    </w:p>
    <w:p w14:paraId="67FC0A8C" w14:textId="3E8B628B" w:rsidR="00A57EF2" w:rsidRPr="00C00335" w:rsidRDefault="004B05DC" w:rsidP="00163264">
      <w:pPr>
        <w:pStyle w:val="Source1"/>
        <w:spacing w:before="0" w:after="0"/>
        <w:rPr>
          <w:rFonts w:ascii="Calibri" w:hAnsi="Calibri"/>
        </w:rPr>
      </w:pPr>
      <w:r w:rsidRPr="00C00335">
        <w:rPr>
          <w:rFonts w:ascii="Calibri" w:hAnsi="Calibri"/>
          <w:vertAlign w:val="superscript"/>
        </w:rPr>
        <w:t>d</w:t>
      </w:r>
      <w:r w:rsidR="00DB78B1" w:rsidRPr="00C00335">
        <w:rPr>
          <w:rFonts w:ascii="Calibri" w:hAnsi="Calibri"/>
        </w:rPr>
        <w:t xml:space="preserve"> </w:t>
      </w:r>
      <w:r w:rsidR="005B2EF3" w:rsidRPr="00C00335">
        <w:t xml:space="preserve">Because all negative confirmatory tests are followed up by a </w:t>
      </w:r>
      <w:r w:rsidR="00A249F6" w:rsidRPr="00C00335">
        <w:t>nucleic acid amplification test (</w:t>
      </w:r>
      <w:r w:rsidR="005B2EF3" w:rsidRPr="00C00335">
        <w:t>NAT</w:t>
      </w:r>
      <w:r w:rsidR="00A249F6" w:rsidRPr="00C00335">
        <w:t>)</w:t>
      </w:r>
      <w:r w:rsidR="005B2EF3" w:rsidRPr="00C00335">
        <w:t xml:space="preserve"> with 100% sensitivity, the sensitivity of the screening process to determine progression does not consider sensitivity of the confirmatory test. The only effect is on cost</w:t>
      </w:r>
      <w:r w:rsidR="00E200F3" w:rsidRPr="00C00335">
        <w:t>.</w:t>
      </w:r>
    </w:p>
    <w:p w14:paraId="4B2D8336" w14:textId="02135469" w:rsidR="00A57EF2" w:rsidRPr="00C00335" w:rsidRDefault="004F4E6D" w:rsidP="00260D8A">
      <w:pPr>
        <w:pStyle w:val="TableTitle"/>
        <w:ind w:left="1530"/>
      </w:pPr>
      <w:bookmarkStart w:id="33" w:name="_Toc89257592"/>
      <w:r w:rsidRPr="00C00335">
        <w:t>Table 5.</w:t>
      </w:r>
      <w:r w:rsidR="007006E8">
        <w:t>4</w:t>
      </w:r>
      <w:r w:rsidR="00A57EF2" w:rsidRPr="00C00335">
        <w:t>.</w:t>
      </w:r>
      <w:r w:rsidR="00A57EF2" w:rsidRPr="00C00335">
        <w:tab/>
        <w:t xml:space="preserve">Annual Probability of </w:t>
      </w:r>
      <w:r w:rsidR="008101D3" w:rsidRPr="00C00335">
        <w:t xml:space="preserve">Being Prescribed </w:t>
      </w:r>
      <w:r w:rsidR="00A57EF2" w:rsidRPr="00C00335">
        <w:t>ART</w:t>
      </w:r>
      <w:r w:rsidR="000B68B7" w:rsidRPr="00C00335">
        <w:t xml:space="preserve"> in </w:t>
      </w:r>
      <w:r w:rsidR="00D9618C">
        <w:t>First</w:t>
      </w:r>
      <w:r w:rsidR="00D9618C" w:rsidRPr="00C00335">
        <w:t xml:space="preserve"> </w:t>
      </w:r>
      <w:r w:rsidR="000B68B7" w:rsidRPr="00C00335">
        <w:t>Time Period</w:t>
      </w:r>
      <w:bookmarkEnd w:id="33"/>
    </w:p>
    <w:tbl>
      <w:tblPr>
        <w:tblW w:w="5000" w:type="pct"/>
        <w:tblInd w:w="86" w:type="dxa"/>
        <w:tblBorders>
          <w:top w:val="single" w:sz="12" w:space="0" w:color="000000"/>
          <w:bottom w:val="single" w:sz="12" w:space="0" w:color="000000"/>
          <w:insideH w:val="single" w:sz="2" w:space="0" w:color="DDDDDD"/>
        </w:tblBorders>
        <w:tblLayout w:type="fixed"/>
        <w:tblLook w:val="04A0" w:firstRow="1" w:lastRow="0" w:firstColumn="1" w:lastColumn="0" w:noHBand="0" w:noVBand="1"/>
      </w:tblPr>
      <w:tblGrid>
        <w:gridCol w:w="2495"/>
        <w:gridCol w:w="1541"/>
        <w:gridCol w:w="1541"/>
        <w:gridCol w:w="1541"/>
        <w:gridCol w:w="1541"/>
        <w:gridCol w:w="1541"/>
        <w:gridCol w:w="2760"/>
      </w:tblGrid>
      <w:tr w:rsidR="00A57EF2" w:rsidRPr="00C00335" w14:paraId="6E3F329A" w14:textId="77777777" w:rsidTr="009D69CF">
        <w:trPr>
          <w:tblHeader/>
        </w:trPr>
        <w:tc>
          <w:tcPr>
            <w:tcW w:w="2538" w:type="dxa"/>
            <w:tcBorders>
              <w:top w:val="single" w:sz="12" w:space="0" w:color="000000"/>
              <w:bottom w:val="single" w:sz="6" w:space="0" w:color="auto"/>
            </w:tcBorders>
            <w:shd w:val="clear" w:color="auto" w:fill="auto"/>
            <w:noWrap/>
            <w:vAlign w:val="bottom"/>
            <w:hideMark/>
          </w:tcPr>
          <w:p w14:paraId="2C0F8D1A" w14:textId="77777777" w:rsidR="00A57EF2" w:rsidRPr="00C00335" w:rsidRDefault="000F52F1" w:rsidP="003B19DD">
            <w:pPr>
              <w:pStyle w:val="TableHeaders"/>
            </w:pPr>
            <w:r w:rsidRPr="00C00335">
              <w:t>Parameter</w:t>
            </w:r>
          </w:p>
        </w:tc>
        <w:tc>
          <w:tcPr>
            <w:tcW w:w="1566" w:type="dxa"/>
            <w:tcBorders>
              <w:top w:val="single" w:sz="12" w:space="0" w:color="000000"/>
              <w:bottom w:val="single" w:sz="6" w:space="0" w:color="auto"/>
            </w:tcBorders>
            <w:shd w:val="clear" w:color="auto" w:fill="auto"/>
            <w:noWrap/>
            <w:vAlign w:val="bottom"/>
            <w:hideMark/>
          </w:tcPr>
          <w:p w14:paraId="6BA4FA28" w14:textId="5D3CDA86" w:rsidR="00A57EF2" w:rsidRPr="00C00335" w:rsidRDefault="00A57EF2" w:rsidP="003B19DD">
            <w:pPr>
              <w:pStyle w:val="TableHeaders"/>
            </w:pPr>
            <w:r w:rsidRPr="00C00335">
              <w:t>Acute</w:t>
            </w:r>
          </w:p>
        </w:tc>
        <w:tc>
          <w:tcPr>
            <w:tcW w:w="1566" w:type="dxa"/>
            <w:tcBorders>
              <w:top w:val="single" w:sz="12" w:space="0" w:color="000000"/>
              <w:bottom w:val="single" w:sz="6" w:space="0" w:color="auto"/>
            </w:tcBorders>
            <w:shd w:val="clear" w:color="auto" w:fill="auto"/>
            <w:noWrap/>
            <w:vAlign w:val="bottom"/>
            <w:hideMark/>
          </w:tcPr>
          <w:p w14:paraId="331DB6F6" w14:textId="5B5B6BA1" w:rsidR="00A57EF2" w:rsidRPr="00C00335" w:rsidRDefault="00A57EF2" w:rsidP="003B19DD">
            <w:pPr>
              <w:pStyle w:val="TableHeaders"/>
            </w:pPr>
            <w:r w:rsidRPr="00C00335">
              <w:t>CD4 &gt; 500</w:t>
            </w:r>
          </w:p>
        </w:tc>
        <w:tc>
          <w:tcPr>
            <w:tcW w:w="1566" w:type="dxa"/>
            <w:tcBorders>
              <w:top w:val="single" w:sz="12" w:space="0" w:color="000000"/>
              <w:bottom w:val="single" w:sz="6" w:space="0" w:color="auto"/>
            </w:tcBorders>
            <w:shd w:val="clear" w:color="auto" w:fill="auto"/>
            <w:noWrap/>
            <w:vAlign w:val="bottom"/>
            <w:hideMark/>
          </w:tcPr>
          <w:p w14:paraId="1600BA89" w14:textId="6332B333" w:rsidR="00A57EF2" w:rsidRPr="00C00335" w:rsidRDefault="00A57EF2" w:rsidP="003B19DD">
            <w:pPr>
              <w:pStyle w:val="TableHeaders"/>
            </w:pPr>
            <w:r w:rsidRPr="00C00335">
              <w:t xml:space="preserve">CD4 </w:t>
            </w:r>
            <w:r w:rsidR="00D81284" w:rsidRPr="00C00335">
              <w:br/>
            </w:r>
            <w:r w:rsidRPr="00C00335">
              <w:t>350–500</w:t>
            </w:r>
          </w:p>
        </w:tc>
        <w:tc>
          <w:tcPr>
            <w:tcW w:w="1566" w:type="dxa"/>
            <w:tcBorders>
              <w:top w:val="single" w:sz="12" w:space="0" w:color="000000"/>
              <w:bottom w:val="single" w:sz="6" w:space="0" w:color="auto"/>
            </w:tcBorders>
            <w:shd w:val="clear" w:color="auto" w:fill="auto"/>
            <w:noWrap/>
            <w:vAlign w:val="bottom"/>
            <w:hideMark/>
          </w:tcPr>
          <w:p w14:paraId="3500D1F7" w14:textId="6F211515" w:rsidR="00A57EF2" w:rsidRPr="00C00335" w:rsidRDefault="00A57EF2" w:rsidP="003B19DD">
            <w:pPr>
              <w:pStyle w:val="TableHeaders"/>
            </w:pPr>
            <w:r w:rsidRPr="00C00335">
              <w:t xml:space="preserve">CD4 </w:t>
            </w:r>
            <w:r w:rsidR="00D81284" w:rsidRPr="00C00335">
              <w:br/>
            </w:r>
            <w:r w:rsidRPr="00C00335">
              <w:t>200–350</w:t>
            </w:r>
          </w:p>
        </w:tc>
        <w:tc>
          <w:tcPr>
            <w:tcW w:w="1566" w:type="dxa"/>
            <w:tcBorders>
              <w:top w:val="single" w:sz="12" w:space="0" w:color="000000"/>
              <w:bottom w:val="single" w:sz="6" w:space="0" w:color="auto"/>
            </w:tcBorders>
            <w:shd w:val="clear" w:color="auto" w:fill="auto"/>
            <w:noWrap/>
            <w:vAlign w:val="bottom"/>
            <w:hideMark/>
          </w:tcPr>
          <w:p w14:paraId="7B83D368" w14:textId="2B118D03" w:rsidR="00A57EF2" w:rsidRPr="00C00335" w:rsidRDefault="00A57EF2" w:rsidP="003B19DD">
            <w:pPr>
              <w:pStyle w:val="TableHeaders"/>
            </w:pPr>
            <w:r w:rsidRPr="00C00335">
              <w:t>CD4 &lt; 200</w:t>
            </w:r>
          </w:p>
        </w:tc>
        <w:tc>
          <w:tcPr>
            <w:tcW w:w="2808" w:type="dxa"/>
            <w:tcBorders>
              <w:top w:val="single" w:sz="12" w:space="0" w:color="000000"/>
              <w:bottom w:val="single" w:sz="6" w:space="0" w:color="auto"/>
            </w:tcBorders>
            <w:shd w:val="clear" w:color="auto" w:fill="auto"/>
            <w:noWrap/>
            <w:vAlign w:val="bottom"/>
            <w:hideMark/>
          </w:tcPr>
          <w:p w14:paraId="0B524574" w14:textId="77777777" w:rsidR="00A57EF2" w:rsidRPr="00C00335" w:rsidRDefault="00A57EF2" w:rsidP="003B19DD">
            <w:pPr>
              <w:pStyle w:val="TableHeaders"/>
            </w:pPr>
            <w:r w:rsidRPr="00C00335">
              <w:t>Source</w:t>
            </w:r>
          </w:p>
        </w:tc>
      </w:tr>
      <w:tr w:rsidR="00A57EF2" w:rsidRPr="00C00335" w14:paraId="56D0B395" w14:textId="77777777" w:rsidTr="009D69CF">
        <w:tc>
          <w:tcPr>
            <w:tcW w:w="13176" w:type="dxa"/>
            <w:gridSpan w:val="7"/>
            <w:tcBorders>
              <w:top w:val="single" w:sz="6" w:space="0" w:color="auto"/>
              <w:bottom w:val="single" w:sz="6" w:space="0" w:color="808080" w:themeColor="background1" w:themeShade="80"/>
            </w:tcBorders>
            <w:shd w:val="clear" w:color="auto" w:fill="auto"/>
            <w:noWrap/>
            <w:hideMark/>
          </w:tcPr>
          <w:p w14:paraId="09853862" w14:textId="378264D5" w:rsidR="00A57EF2" w:rsidRPr="00C00335" w:rsidRDefault="008A60F3" w:rsidP="00666FFE">
            <w:pPr>
              <w:pStyle w:val="TableText"/>
            </w:pPr>
            <w:r>
              <w:t>A</w:t>
            </w:r>
            <w:r w:rsidR="00A57EF2" w:rsidRPr="00C00335">
              <w:t xml:space="preserve">nnual </w:t>
            </w:r>
            <w:r w:rsidR="00D25FAD" w:rsidRPr="00C00335">
              <w:t xml:space="preserve">probability of </w:t>
            </w:r>
            <w:r w:rsidR="008101D3" w:rsidRPr="00C00335">
              <w:t xml:space="preserve">being prescribed </w:t>
            </w:r>
            <w:r w:rsidR="00A57EF2" w:rsidRPr="00C00335">
              <w:t>ART</w:t>
            </w:r>
            <w:r>
              <w:t xml:space="preserve"> </w:t>
            </w:r>
            <w:r w:rsidR="000B68B7" w:rsidRPr="00C00335">
              <w:t xml:space="preserve">in </w:t>
            </w:r>
            <w:r w:rsidR="00D9618C">
              <w:t>first</w:t>
            </w:r>
            <w:r w:rsidR="00D9618C" w:rsidRPr="00C00335">
              <w:t xml:space="preserve"> </w:t>
            </w:r>
            <w:r w:rsidR="000B68B7" w:rsidRPr="00C00335">
              <w:t>time period</w:t>
            </w:r>
            <w:r>
              <w:t>, without adjustment for relative risk of being prescribed ART by race/ethnicity</w:t>
            </w:r>
          </w:p>
        </w:tc>
      </w:tr>
      <w:tr w:rsidR="00A57EF2" w:rsidRPr="00C00335" w14:paraId="1A25982B" w14:textId="77777777" w:rsidTr="006A2A98">
        <w:tc>
          <w:tcPr>
            <w:tcW w:w="2538" w:type="dxa"/>
            <w:tcBorders>
              <w:top w:val="single" w:sz="6" w:space="0" w:color="808080" w:themeColor="background1" w:themeShade="80"/>
              <w:bottom w:val="single" w:sz="6" w:space="0" w:color="808080" w:themeColor="background1" w:themeShade="80"/>
            </w:tcBorders>
            <w:shd w:val="clear" w:color="auto" w:fill="auto"/>
            <w:noWrap/>
            <w:hideMark/>
          </w:tcPr>
          <w:p w14:paraId="1F864CDF" w14:textId="77777777" w:rsidR="00A57EF2" w:rsidRPr="00C00335" w:rsidRDefault="00A57EF2" w:rsidP="004F50A9">
            <w:pPr>
              <w:pStyle w:val="TableText"/>
              <w:ind w:left="270"/>
            </w:pPr>
          </w:p>
        </w:tc>
        <w:tc>
          <w:tcPr>
            <w:tcW w:w="1566" w:type="dxa"/>
            <w:tcBorders>
              <w:top w:val="single" w:sz="6" w:space="0" w:color="808080" w:themeColor="background1" w:themeShade="80"/>
              <w:bottom w:val="single" w:sz="6" w:space="0" w:color="808080" w:themeColor="background1" w:themeShade="80"/>
            </w:tcBorders>
            <w:shd w:val="clear" w:color="auto" w:fill="auto"/>
            <w:noWrap/>
          </w:tcPr>
          <w:p w14:paraId="7E3FD682" w14:textId="77777777" w:rsidR="00A57EF2" w:rsidRPr="00C00335" w:rsidRDefault="00853C09" w:rsidP="00D562D5">
            <w:pPr>
              <w:pStyle w:val="TableTextDec"/>
              <w:tabs>
                <w:tab w:val="clear" w:pos="1015"/>
                <w:tab w:val="decimal" w:pos="635"/>
              </w:tabs>
            </w:pPr>
            <w:r w:rsidRPr="00C00335">
              <w:t>0.000</w:t>
            </w:r>
          </w:p>
        </w:tc>
        <w:tc>
          <w:tcPr>
            <w:tcW w:w="1566" w:type="dxa"/>
            <w:tcBorders>
              <w:top w:val="single" w:sz="6" w:space="0" w:color="808080" w:themeColor="background1" w:themeShade="80"/>
              <w:bottom w:val="single" w:sz="6" w:space="0" w:color="808080" w:themeColor="background1" w:themeShade="80"/>
            </w:tcBorders>
            <w:shd w:val="clear" w:color="auto" w:fill="auto"/>
            <w:noWrap/>
          </w:tcPr>
          <w:p w14:paraId="72152EB6" w14:textId="738F915B" w:rsidR="00A57EF2" w:rsidRPr="00C00335" w:rsidRDefault="00853C09" w:rsidP="003B19DD">
            <w:pPr>
              <w:pStyle w:val="TableTextDec"/>
              <w:tabs>
                <w:tab w:val="clear" w:pos="1015"/>
                <w:tab w:val="decimal" w:pos="635"/>
              </w:tabs>
            </w:pPr>
            <w:r w:rsidRPr="00C00335">
              <w:t>0.</w:t>
            </w:r>
            <w:r w:rsidR="0031066A" w:rsidRPr="00C00335">
              <w:t>540</w:t>
            </w:r>
          </w:p>
        </w:tc>
        <w:tc>
          <w:tcPr>
            <w:tcW w:w="1566" w:type="dxa"/>
            <w:tcBorders>
              <w:top w:val="single" w:sz="6" w:space="0" w:color="808080" w:themeColor="background1" w:themeShade="80"/>
              <w:bottom w:val="single" w:sz="6" w:space="0" w:color="808080" w:themeColor="background1" w:themeShade="80"/>
            </w:tcBorders>
            <w:shd w:val="clear" w:color="auto" w:fill="auto"/>
            <w:noWrap/>
          </w:tcPr>
          <w:p w14:paraId="31ADF521" w14:textId="65C8434C" w:rsidR="00A57EF2" w:rsidRPr="00C00335" w:rsidRDefault="00853C09" w:rsidP="003B19DD">
            <w:pPr>
              <w:pStyle w:val="TableTextDec"/>
              <w:tabs>
                <w:tab w:val="clear" w:pos="1015"/>
                <w:tab w:val="decimal" w:pos="635"/>
              </w:tabs>
            </w:pPr>
            <w:r w:rsidRPr="00C00335">
              <w:t>0.</w:t>
            </w:r>
            <w:r w:rsidR="0031066A" w:rsidRPr="00C00335">
              <w:t>600</w:t>
            </w:r>
          </w:p>
        </w:tc>
        <w:tc>
          <w:tcPr>
            <w:tcW w:w="1566" w:type="dxa"/>
            <w:tcBorders>
              <w:top w:val="single" w:sz="6" w:space="0" w:color="808080" w:themeColor="background1" w:themeShade="80"/>
              <w:bottom w:val="single" w:sz="6" w:space="0" w:color="808080" w:themeColor="background1" w:themeShade="80"/>
            </w:tcBorders>
            <w:shd w:val="clear" w:color="auto" w:fill="auto"/>
            <w:noWrap/>
          </w:tcPr>
          <w:p w14:paraId="79A1B3F3" w14:textId="4ECAA289" w:rsidR="00A57EF2" w:rsidRPr="00C00335" w:rsidRDefault="00853C09" w:rsidP="003B19DD">
            <w:pPr>
              <w:pStyle w:val="TableTextDec"/>
              <w:tabs>
                <w:tab w:val="clear" w:pos="1015"/>
                <w:tab w:val="decimal" w:pos="635"/>
              </w:tabs>
            </w:pPr>
            <w:r w:rsidRPr="00C00335">
              <w:t>0.7</w:t>
            </w:r>
            <w:r w:rsidR="0031066A" w:rsidRPr="00C00335">
              <w:t>50</w:t>
            </w:r>
          </w:p>
        </w:tc>
        <w:tc>
          <w:tcPr>
            <w:tcW w:w="1566" w:type="dxa"/>
            <w:tcBorders>
              <w:top w:val="single" w:sz="6" w:space="0" w:color="808080" w:themeColor="background1" w:themeShade="80"/>
              <w:bottom w:val="single" w:sz="6" w:space="0" w:color="808080" w:themeColor="background1" w:themeShade="80"/>
            </w:tcBorders>
            <w:shd w:val="clear" w:color="auto" w:fill="auto"/>
            <w:noWrap/>
          </w:tcPr>
          <w:p w14:paraId="4B815DA0" w14:textId="4ECA3923" w:rsidR="00A57EF2" w:rsidRPr="00C00335" w:rsidRDefault="00853C09" w:rsidP="003B19DD">
            <w:pPr>
              <w:pStyle w:val="TableTextDec"/>
              <w:tabs>
                <w:tab w:val="clear" w:pos="1015"/>
                <w:tab w:val="decimal" w:pos="635"/>
              </w:tabs>
            </w:pPr>
            <w:r w:rsidRPr="00C00335">
              <w:t>0.9</w:t>
            </w:r>
            <w:r w:rsidR="0031066A" w:rsidRPr="00C00335">
              <w:t>20</w:t>
            </w:r>
          </w:p>
        </w:tc>
        <w:tc>
          <w:tcPr>
            <w:tcW w:w="2808" w:type="dxa"/>
            <w:tcBorders>
              <w:top w:val="single" w:sz="6" w:space="0" w:color="808080" w:themeColor="background1" w:themeShade="80"/>
              <w:bottom w:val="single" w:sz="6" w:space="0" w:color="808080" w:themeColor="background1" w:themeShade="80"/>
            </w:tcBorders>
            <w:shd w:val="clear" w:color="auto" w:fill="auto"/>
            <w:noWrap/>
            <w:hideMark/>
          </w:tcPr>
          <w:p w14:paraId="3CF18FC7" w14:textId="4EEFDFF7" w:rsidR="00A57EF2" w:rsidRPr="00C00335" w:rsidRDefault="0031066A" w:rsidP="00342B01">
            <w:pPr>
              <w:pStyle w:val="TableText"/>
              <w:rPr>
                <w:vertAlign w:val="superscript"/>
              </w:rPr>
            </w:pPr>
            <w:r w:rsidRPr="00C00335">
              <w:t>Fleishman et al. (2012)</w:t>
            </w:r>
            <w:r w:rsidR="00293B36" w:rsidRPr="00C00335">
              <w:rPr>
                <w:vertAlign w:val="superscript"/>
              </w:rPr>
              <w:t>a</w:t>
            </w:r>
          </w:p>
        </w:tc>
      </w:tr>
      <w:tr w:rsidR="00853C09" w:rsidRPr="00C00335" w14:paraId="78A420BC" w14:textId="77777777" w:rsidTr="006A2A98">
        <w:tc>
          <w:tcPr>
            <w:tcW w:w="13176" w:type="dxa"/>
            <w:gridSpan w:val="7"/>
            <w:tcBorders>
              <w:top w:val="single" w:sz="6" w:space="0" w:color="808080" w:themeColor="background1" w:themeShade="80"/>
              <w:bottom w:val="single" w:sz="6" w:space="0" w:color="808080" w:themeColor="background1" w:themeShade="80"/>
            </w:tcBorders>
            <w:shd w:val="clear" w:color="auto" w:fill="auto"/>
            <w:noWrap/>
          </w:tcPr>
          <w:p w14:paraId="2F4B590D" w14:textId="733759A1" w:rsidR="00853C09" w:rsidRPr="00C00335" w:rsidDel="00610C50" w:rsidRDefault="00853C09" w:rsidP="000B68B7">
            <w:pPr>
              <w:pStyle w:val="TableText"/>
            </w:pPr>
            <w:r w:rsidRPr="00C00335">
              <w:t>Relative risk of being prescribed ART</w:t>
            </w:r>
            <w:r w:rsidR="00BE2E41" w:rsidRPr="00C00335">
              <w:t xml:space="preserve"> </w:t>
            </w:r>
            <w:r w:rsidR="000B68B7" w:rsidRPr="00C00335">
              <w:t xml:space="preserve">in </w:t>
            </w:r>
            <w:r w:rsidR="00D9618C">
              <w:t>first</w:t>
            </w:r>
            <w:r w:rsidR="00D9618C" w:rsidRPr="00C00335">
              <w:t xml:space="preserve"> </w:t>
            </w:r>
            <w:r w:rsidR="000B68B7" w:rsidRPr="00C00335">
              <w:t>time period</w:t>
            </w:r>
            <w:r w:rsidR="006E5DFF" w:rsidRPr="00C00335">
              <w:t>,</w:t>
            </w:r>
            <w:r w:rsidRPr="00C00335">
              <w:t xml:space="preserve"> by race/ethnicity</w:t>
            </w:r>
            <w:r w:rsidR="00FE18DB" w:rsidRPr="00C00335">
              <w:t xml:space="preserve"> </w:t>
            </w:r>
          </w:p>
        </w:tc>
      </w:tr>
      <w:tr w:rsidR="00D5253D" w:rsidRPr="00C00335" w14:paraId="1117394F" w14:textId="77777777" w:rsidTr="00B737D9">
        <w:tc>
          <w:tcPr>
            <w:tcW w:w="2538" w:type="dxa"/>
            <w:tcBorders>
              <w:top w:val="single" w:sz="6" w:space="0" w:color="808080" w:themeColor="background1" w:themeShade="80"/>
              <w:bottom w:val="single" w:sz="6" w:space="0" w:color="808080" w:themeColor="background1" w:themeShade="80"/>
            </w:tcBorders>
            <w:shd w:val="clear" w:color="auto" w:fill="auto"/>
            <w:noWrap/>
          </w:tcPr>
          <w:p w14:paraId="5910D7C0" w14:textId="1FA8FEDC" w:rsidR="00D5253D" w:rsidRPr="00C00335" w:rsidRDefault="00D5253D" w:rsidP="004F50A9">
            <w:pPr>
              <w:pStyle w:val="TableText"/>
              <w:ind w:left="270"/>
            </w:pPr>
            <w:r w:rsidRPr="00C00335">
              <w:t>Black</w:t>
            </w:r>
          </w:p>
        </w:tc>
        <w:tc>
          <w:tcPr>
            <w:tcW w:w="7830" w:type="dxa"/>
            <w:gridSpan w:val="5"/>
            <w:tcBorders>
              <w:top w:val="single" w:sz="6" w:space="0" w:color="808080" w:themeColor="background1" w:themeShade="80"/>
              <w:bottom w:val="single" w:sz="6" w:space="0" w:color="808080" w:themeColor="background1" w:themeShade="80"/>
            </w:tcBorders>
            <w:shd w:val="clear" w:color="auto" w:fill="auto"/>
            <w:noWrap/>
          </w:tcPr>
          <w:p w14:paraId="7631B9FD" w14:textId="0EB310F7" w:rsidR="00D5253D" w:rsidRPr="00C00335" w:rsidRDefault="00D5253D" w:rsidP="003B19DD">
            <w:pPr>
              <w:pStyle w:val="TableTextDec"/>
              <w:tabs>
                <w:tab w:val="clear" w:pos="1015"/>
                <w:tab w:val="decimal" w:pos="635"/>
              </w:tabs>
            </w:pPr>
            <w:r w:rsidRPr="00C00335">
              <w:t>---------------------------------------------</w:t>
            </w:r>
            <w:r w:rsidR="00FA40DE" w:rsidRPr="00FA40DE">
              <w:rPr>
                <w:i/>
              </w:rPr>
              <w:t>1.057</w:t>
            </w:r>
            <w:r w:rsidRPr="00C00335">
              <w:t>----------------------------------------</w:t>
            </w:r>
          </w:p>
        </w:tc>
        <w:tc>
          <w:tcPr>
            <w:tcW w:w="2808" w:type="dxa"/>
            <w:vMerge w:val="restart"/>
            <w:tcBorders>
              <w:top w:val="single" w:sz="6" w:space="0" w:color="808080" w:themeColor="background1" w:themeShade="80"/>
            </w:tcBorders>
            <w:shd w:val="clear" w:color="auto" w:fill="auto"/>
            <w:noWrap/>
          </w:tcPr>
          <w:p w14:paraId="6CB9058F" w14:textId="027CE4D5" w:rsidR="00D5253D" w:rsidRPr="00C00335" w:rsidRDefault="00D5253D" w:rsidP="003B19DD">
            <w:pPr>
              <w:pStyle w:val="TableText"/>
            </w:pPr>
            <w:r w:rsidRPr="00C00335">
              <w:t>Determined by calibration</w:t>
            </w:r>
          </w:p>
        </w:tc>
      </w:tr>
      <w:tr w:rsidR="00D5253D" w:rsidRPr="00C00335" w14:paraId="4731CE18" w14:textId="77777777" w:rsidTr="00B737D9">
        <w:tc>
          <w:tcPr>
            <w:tcW w:w="2538" w:type="dxa"/>
            <w:tcBorders>
              <w:top w:val="single" w:sz="6" w:space="0" w:color="808080" w:themeColor="background1" w:themeShade="80"/>
              <w:bottom w:val="single" w:sz="6" w:space="0" w:color="808080" w:themeColor="background1" w:themeShade="80"/>
            </w:tcBorders>
            <w:shd w:val="clear" w:color="auto" w:fill="auto"/>
            <w:noWrap/>
          </w:tcPr>
          <w:p w14:paraId="4B88C468" w14:textId="77777777" w:rsidR="00D5253D" w:rsidRPr="00C00335" w:rsidDel="00610C50" w:rsidRDefault="00D5253D" w:rsidP="004F50A9">
            <w:pPr>
              <w:pStyle w:val="TableText"/>
              <w:ind w:left="270"/>
            </w:pPr>
            <w:r w:rsidRPr="00C00335">
              <w:lastRenderedPageBreak/>
              <w:t>Hispanic</w:t>
            </w:r>
          </w:p>
        </w:tc>
        <w:tc>
          <w:tcPr>
            <w:tcW w:w="7830" w:type="dxa"/>
            <w:gridSpan w:val="5"/>
            <w:tcBorders>
              <w:top w:val="single" w:sz="6" w:space="0" w:color="808080" w:themeColor="background1" w:themeShade="80"/>
              <w:bottom w:val="single" w:sz="6" w:space="0" w:color="808080" w:themeColor="background1" w:themeShade="80"/>
            </w:tcBorders>
            <w:shd w:val="clear" w:color="auto" w:fill="auto"/>
            <w:noWrap/>
          </w:tcPr>
          <w:p w14:paraId="58E3AA36" w14:textId="61CBBBA6" w:rsidR="00D5253D" w:rsidRPr="00C00335" w:rsidRDefault="00D5253D" w:rsidP="003B19DD">
            <w:pPr>
              <w:pStyle w:val="TableTextDec"/>
              <w:tabs>
                <w:tab w:val="clear" w:pos="1015"/>
                <w:tab w:val="decimal" w:pos="635"/>
              </w:tabs>
            </w:pPr>
            <w:r w:rsidRPr="00C00335">
              <w:t>---------------------------------------------</w:t>
            </w:r>
            <w:r w:rsidR="00FA40DE" w:rsidRPr="00FA40DE">
              <w:rPr>
                <w:i/>
              </w:rPr>
              <w:t>1.041</w:t>
            </w:r>
            <w:r w:rsidRPr="00C00335">
              <w:t>----------------------------------------</w:t>
            </w:r>
          </w:p>
        </w:tc>
        <w:tc>
          <w:tcPr>
            <w:tcW w:w="2808" w:type="dxa"/>
            <w:vMerge/>
            <w:shd w:val="clear" w:color="auto" w:fill="auto"/>
            <w:noWrap/>
          </w:tcPr>
          <w:p w14:paraId="3105D10E" w14:textId="4248EB6F" w:rsidR="00D5253D" w:rsidRPr="00C00335" w:rsidDel="00610C50" w:rsidRDefault="00D5253D" w:rsidP="003B19DD">
            <w:pPr>
              <w:pStyle w:val="TableText"/>
            </w:pPr>
          </w:p>
        </w:tc>
      </w:tr>
      <w:tr w:rsidR="00D5253D" w:rsidRPr="00C00335" w14:paraId="53BC405D" w14:textId="77777777" w:rsidTr="00AA77D8">
        <w:tc>
          <w:tcPr>
            <w:tcW w:w="2538" w:type="dxa"/>
            <w:tcBorders>
              <w:top w:val="single" w:sz="6" w:space="0" w:color="808080" w:themeColor="background1" w:themeShade="80"/>
              <w:bottom w:val="single" w:sz="12" w:space="0" w:color="auto"/>
            </w:tcBorders>
            <w:shd w:val="clear" w:color="auto" w:fill="auto"/>
            <w:noWrap/>
          </w:tcPr>
          <w:p w14:paraId="5CBC378C" w14:textId="371A536B" w:rsidR="00D5253D" w:rsidRPr="00C00335" w:rsidRDefault="00896735" w:rsidP="004F50A9">
            <w:pPr>
              <w:pStyle w:val="TableText"/>
              <w:ind w:left="270"/>
            </w:pPr>
            <w:r>
              <w:t>White/other</w:t>
            </w:r>
          </w:p>
        </w:tc>
        <w:tc>
          <w:tcPr>
            <w:tcW w:w="7830" w:type="dxa"/>
            <w:gridSpan w:val="5"/>
            <w:tcBorders>
              <w:top w:val="single" w:sz="6" w:space="0" w:color="808080" w:themeColor="background1" w:themeShade="80"/>
              <w:bottom w:val="single" w:sz="12" w:space="0" w:color="auto"/>
            </w:tcBorders>
            <w:shd w:val="clear" w:color="auto" w:fill="auto"/>
            <w:noWrap/>
          </w:tcPr>
          <w:p w14:paraId="3BABE4FB" w14:textId="08183DD0" w:rsidR="00D5253D" w:rsidRPr="00C00335" w:rsidRDefault="00D5253D" w:rsidP="003B19DD">
            <w:pPr>
              <w:pStyle w:val="TableTextDec"/>
              <w:tabs>
                <w:tab w:val="clear" w:pos="1015"/>
                <w:tab w:val="decimal" w:pos="635"/>
              </w:tabs>
            </w:pPr>
            <w:r w:rsidRPr="00C00335">
              <w:t>---------------------------------------------</w:t>
            </w:r>
            <w:r w:rsidR="00FA40DE" w:rsidRPr="00FA40DE">
              <w:rPr>
                <w:i/>
              </w:rPr>
              <w:t>1.045</w:t>
            </w:r>
            <w:r w:rsidRPr="00C00335">
              <w:t>----------------------------------------</w:t>
            </w:r>
          </w:p>
        </w:tc>
        <w:tc>
          <w:tcPr>
            <w:tcW w:w="2808" w:type="dxa"/>
            <w:vMerge/>
            <w:tcBorders>
              <w:bottom w:val="single" w:sz="12" w:space="0" w:color="auto"/>
            </w:tcBorders>
            <w:shd w:val="clear" w:color="auto" w:fill="auto"/>
            <w:noWrap/>
          </w:tcPr>
          <w:p w14:paraId="4C7C32F8" w14:textId="77777777" w:rsidR="00D5253D" w:rsidRPr="00C00335" w:rsidDel="00610C50" w:rsidRDefault="00D5253D" w:rsidP="003B19DD">
            <w:pPr>
              <w:pStyle w:val="TableText"/>
            </w:pPr>
          </w:p>
        </w:tc>
      </w:tr>
    </w:tbl>
    <w:p w14:paraId="77FE1BAE" w14:textId="4F79343D" w:rsidR="00A57EF2" w:rsidRPr="00C00335" w:rsidRDefault="00D25FAD" w:rsidP="005B1CD9">
      <w:pPr>
        <w:pStyle w:val="Source2"/>
      </w:pPr>
      <w:r w:rsidRPr="00C00335">
        <w:t xml:space="preserve">Note: </w:t>
      </w:r>
      <w:r w:rsidR="00A57EF2" w:rsidRPr="00C00335">
        <w:t>ART</w:t>
      </w:r>
      <w:r w:rsidR="00E628BE" w:rsidRPr="00C00335">
        <w:t> = </w:t>
      </w:r>
      <w:r w:rsidR="00A57EF2" w:rsidRPr="00C00335">
        <w:t>antiretroviral therapy; HIV</w:t>
      </w:r>
      <w:r w:rsidR="00E628BE" w:rsidRPr="00C00335">
        <w:t> = </w:t>
      </w:r>
      <w:r w:rsidR="00A57EF2" w:rsidRPr="00C00335">
        <w:t>human immunodeficiency virus</w:t>
      </w:r>
    </w:p>
    <w:p w14:paraId="2BBB36F4" w14:textId="5C5FD2E6" w:rsidR="009471AC" w:rsidRPr="00C00335" w:rsidRDefault="00342B01" w:rsidP="00C03EBD">
      <w:pPr>
        <w:pStyle w:val="Source2"/>
      </w:pPr>
      <w:proofErr w:type="spellStart"/>
      <w:r w:rsidRPr="00C00335">
        <w:rPr>
          <w:vertAlign w:val="superscript"/>
        </w:rPr>
        <w:t>a</w:t>
      </w:r>
      <w:proofErr w:type="spellEnd"/>
      <w:r w:rsidRPr="00C00335">
        <w:rPr>
          <w:vertAlign w:val="superscript"/>
        </w:rPr>
        <w:t xml:space="preserve"> </w:t>
      </w:r>
      <w:r w:rsidR="005D7306" w:rsidRPr="00C00335">
        <w:t xml:space="preserve">Examined ART use as a function of sex, race/ethnicity, </w:t>
      </w:r>
      <w:r w:rsidR="006B24BF" w:rsidRPr="00C00335">
        <w:t>HIV</w:t>
      </w:r>
      <w:r w:rsidR="005D7306" w:rsidRPr="00C00335">
        <w:t xml:space="preserve"> risk group, age, and CD4 history (no test&lt;</w:t>
      </w:r>
      <w:r w:rsidR="006E0C2B" w:rsidRPr="00C00335">
        <w:t xml:space="preserve"> </w:t>
      </w:r>
      <w:r w:rsidR="005D7306" w:rsidRPr="00C00335">
        <w:t>500 cells/mm</w:t>
      </w:r>
      <w:r w:rsidR="005D7306" w:rsidRPr="00C00335">
        <w:rPr>
          <w:vertAlign w:val="superscript"/>
        </w:rPr>
        <w:t>3</w:t>
      </w:r>
      <w:r w:rsidR="005D7306" w:rsidRPr="00C00335">
        <w:t>, one or more tests between 500 and 350 cells/mm</w:t>
      </w:r>
      <w:r w:rsidR="005D7306" w:rsidRPr="00C00335">
        <w:rPr>
          <w:vertAlign w:val="superscript"/>
        </w:rPr>
        <w:t>3</w:t>
      </w:r>
      <w:r w:rsidR="005D7306" w:rsidRPr="00C00335">
        <w:t xml:space="preserve">, </w:t>
      </w:r>
      <w:r w:rsidR="005B1CD9" w:rsidRPr="00C00335">
        <w:t xml:space="preserve">one </w:t>
      </w:r>
      <w:r w:rsidR="005D7306" w:rsidRPr="00C00335">
        <w:t>test ≤</w:t>
      </w:r>
      <w:r w:rsidR="006E0C2B" w:rsidRPr="00C00335">
        <w:t xml:space="preserve"> </w:t>
      </w:r>
      <w:r w:rsidR="005D7306" w:rsidRPr="00C00335">
        <w:t>350 cells/mm</w:t>
      </w:r>
      <w:r w:rsidR="005D7306" w:rsidRPr="00C00335">
        <w:rPr>
          <w:vertAlign w:val="superscript"/>
        </w:rPr>
        <w:t>3</w:t>
      </w:r>
      <w:r w:rsidR="005D7306" w:rsidRPr="00C00335">
        <w:t xml:space="preserve">, and </w:t>
      </w:r>
      <w:r w:rsidR="005B1CD9" w:rsidRPr="00C00335">
        <w:t xml:space="preserve">two </w:t>
      </w:r>
      <w:r w:rsidR="005D7306" w:rsidRPr="00C00335">
        <w:t>or more tests ≤</w:t>
      </w:r>
      <w:r w:rsidR="006E0C2B" w:rsidRPr="00C00335">
        <w:t xml:space="preserve"> </w:t>
      </w:r>
      <w:r w:rsidR="005D7306" w:rsidRPr="00C00335">
        <w:t>350 cells/mm</w:t>
      </w:r>
      <w:r w:rsidR="005D7306" w:rsidRPr="00C00335">
        <w:rPr>
          <w:vertAlign w:val="superscript"/>
        </w:rPr>
        <w:t>3</w:t>
      </w:r>
      <w:r w:rsidR="005D7306" w:rsidRPr="00C00335">
        <w:t>)</w:t>
      </w:r>
      <w:r w:rsidR="005B1CD9" w:rsidRPr="00C00335">
        <w:t>.</w:t>
      </w:r>
      <w:r w:rsidR="005D7306" w:rsidRPr="00C00335">
        <w:t xml:space="preserve"> </w:t>
      </w:r>
      <w:r w:rsidR="00E3130F" w:rsidRPr="00C00335">
        <w:rPr>
          <w:rFonts w:ascii="Calibri" w:hAnsi="Calibri"/>
          <w:sz w:val="22"/>
        </w:rPr>
        <w:t>Fleishman et al., (2012) report</w:t>
      </w:r>
      <w:r w:rsidR="006304C4" w:rsidRPr="00C00335">
        <w:rPr>
          <w:rFonts w:ascii="Calibri" w:hAnsi="Calibri"/>
          <w:sz w:val="22"/>
        </w:rPr>
        <w:t>ed</w:t>
      </w:r>
      <w:r w:rsidR="00E3130F" w:rsidRPr="00C00335">
        <w:rPr>
          <w:rFonts w:ascii="Calibri" w:hAnsi="Calibri"/>
          <w:sz w:val="22"/>
        </w:rPr>
        <w:t xml:space="preserve"> the proportion of patients in care who initiated ART in 2008 with CD4 levels of interest based on the HIV Research Network (HIVRN) study of HIV-infected adults (&gt;</w:t>
      </w:r>
      <w:r w:rsidR="006E0C2B" w:rsidRPr="00C00335">
        <w:rPr>
          <w:rFonts w:ascii="Calibri" w:hAnsi="Calibri"/>
          <w:sz w:val="22"/>
        </w:rPr>
        <w:t xml:space="preserve"> </w:t>
      </w:r>
      <w:r w:rsidR="00E3130F" w:rsidRPr="00C00335">
        <w:rPr>
          <w:rFonts w:ascii="Calibri" w:hAnsi="Calibri"/>
          <w:sz w:val="22"/>
        </w:rPr>
        <w:t>18 years of) age who first presented for clinical care during the period from Jan</w:t>
      </w:r>
      <w:r w:rsidR="00D15040" w:rsidRPr="00C00335">
        <w:rPr>
          <w:rFonts w:ascii="Calibri" w:hAnsi="Calibri"/>
          <w:sz w:val="22"/>
        </w:rPr>
        <w:t>uary</w:t>
      </w:r>
      <w:r w:rsidR="00E3130F" w:rsidRPr="00C00335">
        <w:rPr>
          <w:rFonts w:ascii="Calibri" w:hAnsi="Calibri"/>
          <w:sz w:val="22"/>
        </w:rPr>
        <w:t xml:space="preserve"> 1997</w:t>
      </w:r>
      <w:r w:rsidR="00D15040" w:rsidRPr="00C00335">
        <w:rPr>
          <w:rFonts w:ascii="Calibri" w:hAnsi="Calibri"/>
          <w:sz w:val="22"/>
        </w:rPr>
        <w:t xml:space="preserve"> to </w:t>
      </w:r>
      <w:r w:rsidR="00E3130F" w:rsidRPr="00C00335">
        <w:rPr>
          <w:rFonts w:ascii="Calibri" w:hAnsi="Calibri"/>
          <w:sz w:val="22"/>
        </w:rPr>
        <w:t>Dec</w:t>
      </w:r>
      <w:r w:rsidR="00D15040" w:rsidRPr="00C00335">
        <w:rPr>
          <w:rFonts w:ascii="Calibri" w:hAnsi="Calibri"/>
          <w:sz w:val="22"/>
        </w:rPr>
        <w:t>ember</w:t>
      </w:r>
      <w:r w:rsidR="00E3130F" w:rsidRPr="00C00335">
        <w:rPr>
          <w:rFonts w:ascii="Calibri" w:hAnsi="Calibri"/>
          <w:sz w:val="22"/>
        </w:rPr>
        <w:t xml:space="preserve"> 2007. We assumed that </w:t>
      </w:r>
      <w:r w:rsidR="006E0C2B" w:rsidRPr="00C00335">
        <w:rPr>
          <w:rFonts w:ascii="Calibri" w:hAnsi="Calibri"/>
          <w:sz w:val="22"/>
        </w:rPr>
        <w:t>one</w:t>
      </w:r>
      <w:r w:rsidR="00E3130F" w:rsidRPr="00C00335">
        <w:rPr>
          <w:rFonts w:ascii="Calibri" w:hAnsi="Calibri"/>
          <w:sz w:val="22"/>
        </w:rPr>
        <w:t xml:space="preserve"> test with ≤</w:t>
      </w:r>
      <w:r w:rsidR="006E0C2B" w:rsidRPr="00C00335">
        <w:rPr>
          <w:rFonts w:ascii="Calibri" w:hAnsi="Calibri"/>
          <w:sz w:val="22"/>
        </w:rPr>
        <w:t xml:space="preserve"> </w:t>
      </w:r>
      <w:r w:rsidR="00E3130F" w:rsidRPr="00C00335">
        <w:rPr>
          <w:rFonts w:ascii="Calibri" w:hAnsi="Calibri"/>
          <w:sz w:val="22"/>
        </w:rPr>
        <w:t>350 cells/mm</w:t>
      </w:r>
      <w:r w:rsidR="00E3130F" w:rsidRPr="00C00335">
        <w:rPr>
          <w:rFonts w:ascii="Calibri" w:hAnsi="Calibri"/>
          <w:sz w:val="22"/>
          <w:vertAlign w:val="superscript"/>
        </w:rPr>
        <w:t>3</w:t>
      </w:r>
      <w:r w:rsidR="00E3130F" w:rsidRPr="00C00335">
        <w:rPr>
          <w:rFonts w:ascii="Calibri" w:hAnsi="Calibri"/>
          <w:sz w:val="22"/>
        </w:rPr>
        <w:t xml:space="preserve"> is approximation for CD4 250-350 in our model and </w:t>
      </w:r>
      <w:r w:rsidR="006E0C2B" w:rsidRPr="00C00335">
        <w:rPr>
          <w:rFonts w:ascii="Calibri" w:hAnsi="Calibri"/>
          <w:sz w:val="22"/>
        </w:rPr>
        <w:t>two</w:t>
      </w:r>
      <w:r w:rsidR="00E3130F" w:rsidRPr="00C00335">
        <w:rPr>
          <w:rFonts w:ascii="Calibri" w:hAnsi="Calibri"/>
          <w:sz w:val="22"/>
        </w:rPr>
        <w:t xml:space="preserve"> tests with ≤</w:t>
      </w:r>
      <w:r w:rsidR="006E0C2B" w:rsidRPr="00C00335">
        <w:rPr>
          <w:rFonts w:ascii="Calibri" w:hAnsi="Calibri"/>
          <w:sz w:val="22"/>
        </w:rPr>
        <w:t xml:space="preserve"> </w:t>
      </w:r>
      <w:r w:rsidR="00E3130F" w:rsidRPr="00C00335">
        <w:rPr>
          <w:rFonts w:ascii="Calibri" w:hAnsi="Calibri"/>
          <w:sz w:val="22"/>
        </w:rPr>
        <w:t>350 cells/mm</w:t>
      </w:r>
      <w:r w:rsidR="00E3130F" w:rsidRPr="00C00335">
        <w:rPr>
          <w:rFonts w:ascii="Calibri" w:hAnsi="Calibri"/>
          <w:sz w:val="22"/>
          <w:vertAlign w:val="superscript"/>
        </w:rPr>
        <w:t>3</w:t>
      </w:r>
      <w:r w:rsidR="00E3130F" w:rsidRPr="00C00335">
        <w:rPr>
          <w:rFonts w:ascii="Calibri" w:hAnsi="Calibri"/>
          <w:sz w:val="22"/>
        </w:rPr>
        <w:t xml:space="preserve"> is for CD4&lt;200.</w:t>
      </w:r>
    </w:p>
    <w:p w14:paraId="6A78D1A1" w14:textId="07FF00DF" w:rsidR="00A57EF2" w:rsidRPr="00C00335" w:rsidRDefault="00A57EF2" w:rsidP="000B68B7">
      <w:pPr>
        <w:pStyle w:val="TableTitle"/>
        <w:spacing w:before="120"/>
      </w:pPr>
      <w:r w:rsidRPr="00C00335">
        <w:br w:type="page"/>
      </w:r>
      <w:bookmarkStart w:id="34" w:name="_Toc89257593"/>
      <w:r w:rsidRPr="00C00335">
        <w:lastRenderedPageBreak/>
        <w:t xml:space="preserve">Table </w:t>
      </w:r>
      <w:r w:rsidR="00F36478" w:rsidRPr="00C00335">
        <w:t>5</w:t>
      </w:r>
      <w:r w:rsidR="00740DFC" w:rsidRPr="00C00335">
        <w:t>.</w:t>
      </w:r>
      <w:r w:rsidR="007006E8">
        <w:t>5</w:t>
      </w:r>
      <w:r w:rsidRPr="00C00335">
        <w:t>.</w:t>
      </w:r>
      <w:r w:rsidRPr="00C00335">
        <w:tab/>
        <w:t>Other Continuum-of-Care Probabilities</w:t>
      </w:r>
      <w:bookmarkEnd w:id="34"/>
      <w:r w:rsidRPr="00C00335">
        <w:t xml:space="preserve"> </w:t>
      </w:r>
    </w:p>
    <w:tbl>
      <w:tblPr>
        <w:tblW w:w="5000"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071"/>
        <w:gridCol w:w="1761"/>
        <w:gridCol w:w="1761"/>
        <w:gridCol w:w="1762"/>
        <w:gridCol w:w="3605"/>
      </w:tblGrid>
      <w:tr w:rsidR="00A57EF2" w:rsidRPr="00C00335" w14:paraId="78E764E7" w14:textId="77777777" w:rsidTr="00260D8A">
        <w:trPr>
          <w:cantSplit/>
          <w:tblHeader/>
        </w:trPr>
        <w:tc>
          <w:tcPr>
            <w:tcW w:w="4071" w:type="dxa"/>
            <w:tcBorders>
              <w:top w:val="single" w:sz="12" w:space="0" w:color="000000"/>
              <w:bottom w:val="single" w:sz="6" w:space="0" w:color="000000"/>
            </w:tcBorders>
            <w:shd w:val="clear" w:color="auto" w:fill="auto"/>
            <w:noWrap/>
            <w:vAlign w:val="bottom"/>
            <w:hideMark/>
          </w:tcPr>
          <w:p w14:paraId="380EEB39" w14:textId="77777777" w:rsidR="00A57EF2" w:rsidRPr="00C00335" w:rsidRDefault="000F52F1" w:rsidP="003B19DD">
            <w:pPr>
              <w:pStyle w:val="TableHeaders"/>
            </w:pPr>
            <w:r w:rsidRPr="00C00335">
              <w:t>Parameter</w:t>
            </w:r>
          </w:p>
        </w:tc>
        <w:tc>
          <w:tcPr>
            <w:tcW w:w="1761" w:type="dxa"/>
            <w:tcBorders>
              <w:top w:val="single" w:sz="12" w:space="0" w:color="000000"/>
              <w:bottom w:val="single" w:sz="6" w:space="0" w:color="000000"/>
            </w:tcBorders>
            <w:shd w:val="clear" w:color="auto" w:fill="auto"/>
            <w:noWrap/>
            <w:vAlign w:val="bottom"/>
            <w:hideMark/>
          </w:tcPr>
          <w:p w14:paraId="2F62CC77" w14:textId="77777777" w:rsidR="00A57EF2" w:rsidRPr="00C00335" w:rsidRDefault="00A57EF2" w:rsidP="003B19DD">
            <w:pPr>
              <w:pStyle w:val="TableHeaders"/>
            </w:pPr>
            <w:r w:rsidRPr="00C00335">
              <w:t>Black</w:t>
            </w:r>
          </w:p>
        </w:tc>
        <w:tc>
          <w:tcPr>
            <w:tcW w:w="1761" w:type="dxa"/>
            <w:tcBorders>
              <w:top w:val="single" w:sz="12" w:space="0" w:color="000000"/>
              <w:bottom w:val="single" w:sz="6" w:space="0" w:color="000000"/>
            </w:tcBorders>
            <w:shd w:val="clear" w:color="auto" w:fill="auto"/>
            <w:noWrap/>
            <w:vAlign w:val="bottom"/>
            <w:hideMark/>
          </w:tcPr>
          <w:p w14:paraId="7C4AB423" w14:textId="77777777" w:rsidR="00A57EF2" w:rsidRPr="00C00335" w:rsidRDefault="00A57EF2" w:rsidP="003B19DD">
            <w:pPr>
              <w:pStyle w:val="TableHeaders"/>
            </w:pPr>
            <w:r w:rsidRPr="00C00335">
              <w:t>Hispanic</w:t>
            </w:r>
          </w:p>
        </w:tc>
        <w:tc>
          <w:tcPr>
            <w:tcW w:w="1762" w:type="dxa"/>
            <w:tcBorders>
              <w:top w:val="single" w:sz="12" w:space="0" w:color="000000"/>
              <w:bottom w:val="single" w:sz="6" w:space="0" w:color="000000"/>
            </w:tcBorders>
            <w:shd w:val="clear" w:color="auto" w:fill="auto"/>
            <w:noWrap/>
            <w:vAlign w:val="bottom"/>
            <w:hideMark/>
          </w:tcPr>
          <w:p w14:paraId="58EDAAC9" w14:textId="5CD12C0C" w:rsidR="00A57EF2" w:rsidRPr="00C00335" w:rsidRDefault="00896735" w:rsidP="003B19DD">
            <w:pPr>
              <w:pStyle w:val="TableHeaders"/>
            </w:pPr>
            <w:r>
              <w:t>White/other</w:t>
            </w:r>
          </w:p>
        </w:tc>
        <w:tc>
          <w:tcPr>
            <w:tcW w:w="3605" w:type="dxa"/>
            <w:tcBorders>
              <w:top w:val="single" w:sz="12" w:space="0" w:color="000000"/>
              <w:bottom w:val="single" w:sz="6" w:space="0" w:color="000000"/>
            </w:tcBorders>
            <w:shd w:val="clear" w:color="auto" w:fill="auto"/>
            <w:noWrap/>
            <w:vAlign w:val="bottom"/>
            <w:hideMark/>
          </w:tcPr>
          <w:p w14:paraId="30BDB577" w14:textId="77777777" w:rsidR="00A57EF2" w:rsidRPr="00C00335" w:rsidRDefault="00A57EF2" w:rsidP="003B19DD">
            <w:pPr>
              <w:pStyle w:val="TableHeaders"/>
            </w:pPr>
            <w:r w:rsidRPr="00C00335">
              <w:t>Source</w:t>
            </w:r>
          </w:p>
        </w:tc>
      </w:tr>
      <w:tr w:rsidR="00FB3100" w:rsidRPr="005471D8" w14:paraId="3463B8CE" w14:textId="77777777" w:rsidTr="00251AFF">
        <w:trPr>
          <w:cantSplit/>
        </w:trPr>
        <w:tc>
          <w:tcPr>
            <w:tcW w:w="4071" w:type="dxa"/>
            <w:tcBorders>
              <w:top w:val="single" w:sz="6" w:space="0" w:color="000000"/>
              <w:bottom w:val="single" w:sz="4" w:space="0" w:color="808080" w:themeColor="background1" w:themeShade="80"/>
            </w:tcBorders>
            <w:shd w:val="clear" w:color="auto" w:fill="auto"/>
            <w:noWrap/>
          </w:tcPr>
          <w:p w14:paraId="563EC48F" w14:textId="5F93BBAC" w:rsidR="00FB3100" w:rsidRPr="005471D8" w:rsidRDefault="00FB3100" w:rsidP="003B19DD">
            <w:pPr>
              <w:pStyle w:val="TableText"/>
              <w:spacing w:before="40"/>
            </w:pPr>
            <w:r w:rsidRPr="005471D8">
              <w:t>Percentage of tests performed in nonclinical (vs. clinical) settings</w:t>
            </w:r>
          </w:p>
        </w:tc>
        <w:tc>
          <w:tcPr>
            <w:tcW w:w="5284" w:type="dxa"/>
            <w:gridSpan w:val="3"/>
            <w:tcBorders>
              <w:top w:val="single" w:sz="6" w:space="0" w:color="000000"/>
              <w:bottom w:val="single" w:sz="4" w:space="0" w:color="808080" w:themeColor="background1" w:themeShade="80"/>
            </w:tcBorders>
            <w:shd w:val="clear" w:color="auto" w:fill="auto"/>
            <w:noWrap/>
          </w:tcPr>
          <w:p w14:paraId="7001A3F9" w14:textId="55909DCF" w:rsidR="00FB3100" w:rsidRPr="005471D8" w:rsidRDefault="00FB3100" w:rsidP="003B19DD">
            <w:pPr>
              <w:pStyle w:val="TableTextDec"/>
              <w:tabs>
                <w:tab w:val="clear" w:pos="1015"/>
                <w:tab w:val="decimal" w:pos="715"/>
              </w:tabs>
              <w:spacing w:before="40"/>
            </w:pPr>
            <w:r w:rsidRPr="005471D8">
              <w:t>-------------------------16%-------------------------------</w:t>
            </w:r>
          </w:p>
        </w:tc>
        <w:tc>
          <w:tcPr>
            <w:tcW w:w="3605" w:type="dxa"/>
            <w:tcBorders>
              <w:top w:val="single" w:sz="6" w:space="0" w:color="000000"/>
              <w:bottom w:val="single" w:sz="4" w:space="0" w:color="808080" w:themeColor="background1" w:themeShade="80"/>
            </w:tcBorders>
            <w:shd w:val="clear" w:color="auto" w:fill="auto"/>
            <w:noWrap/>
          </w:tcPr>
          <w:p w14:paraId="09FC7010" w14:textId="674FE974" w:rsidR="00FB3100" w:rsidRPr="005471D8" w:rsidRDefault="00FB3100" w:rsidP="0037441C">
            <w:pPr>
              <w:pStyle w:val="TableText"/>
              <w:spacing w:before="40"/>
            </w:pPr>
            <w:r w:rsidRPr="005471D8">
              <w:t>CDC (2013e)</w:t>
            </w:r>
          </w:p>
        </w:tc>
      </w:tr>
      <w:tr w:rsidR="00FB3100" w:rsidRPr="005471D8" w14:paraId="2EE8D3A4" w14:textId="77777777" w:rsidTr="00251AFF">
        <w:trPr>
          <w:cantSplit/>
        </w:trPr>
        <w:tc>
          <w:tcPr>
            <w:tcW w:w="9355" w:type="dxa"/>
            <w:gridSpan w:val="4"/>
            <w:tcBorders>
              <w:top w:val="single" w:sz="6" w:space="0" w:color="000000"/>
              <w:bottom w:val="single" w:sz="4" w:space="0" w:color="808080" w:themeColor="background1" w:themeShade="80"/>
            </w:tcBorders>
            <w:shd w:val="clear" w:color="auto" w:fill="auto"/>
            <w:noWrap/>
            <w:hideMark/>
          </w:tcPr>
          <w:p w14:paraId="4A1E38F7" w14:textId="0BFA8F6C" w:rsidR="00FB3100" w:rsidRPr="00522F70" w:rsidRDefault="00FB3100" w:rsidP="003B19DD">
            <w:pPr>
              <w:pStyle w:val="TableTextDec"/>
              <w:tabs>
                <w:tab w:val="clear" w:pos="1015"/>
                <w:tab w:val="decimal" w:pos="715"/>
              </w:tabs>
              <w:spacing w:before="40"/>
            </w:pPr>
            <w:r w:rsidRPr="00522F70">
              <w:t>Percentage of tests that are rapid vs. conventional</w:t>
            </w:r>
          </w:p>
        </w:tc>
        <w:tc>
          <w:tcPr>
            <w:tcW w:w="3605" w:type="dxa"/>
            <w:tcBorders>
              <w:top w:val="single" w:sz="6" w:space="0" w:color="000000"/>
              <w:bottom w:val="single" w:sz="4" w:space="0" w:color="808080" w:themeColor="background1" w:themeShade="80"/>
            </w:tcBorders>
            <w:shd w:val="clear" w:color="auto" w:fill="auto"/>
            <w:noWrap/>
            <w:hideMark/>
          </w:tcPr>
          <w:p w14:paraId="047C4828" w14:textId="507FCFCF" w:rsidR="00FB3100" w:rsidRPr="00522F70" w:rsidRDefault="00FB3100" w:rsidP="0037441C">
            <w:pPr>
              <w:pStyle w:val="TableText"/>
              <w:spacing w:before="40"/>
            </w:pPr>
          </w:p>
        </w:tc>
      </w:tr>
      <w:tr w:rsidR="00FB3100" w:rsidRPr="005471D8" w14:paraId="26E82545" w14:textId="77777777" w:rsidTr="00260D8A">
        <w:trPr>
          <w:cantSplit/>
        </w:trPr>
        <w:tc>
          <w:tcPr>
            <w:tcW w:w="4071" w:type="dxa"/>
            <w:tcBorders>
              <w:top w:val="single" w:sz="6" w:space="0" w:color="000000"/>
              <w:bottom w:val="single" w:sz="4" w:space="0" w:color="808080" w:themeColor="background1" w:themeShade="80"/>
            </w:tcBorders>
            <w:shd w:val="clear" w:color="auto" w:fill="auto"/>
            <w:noWrap/>
          </w:tcPr>
          <w:p w14:paraId="144D6897" w14:textId="320CD785" w:rsidR="00FB3100" w:rsidRPr="005471D8" w:rsidRDefault="00FB3100" w:rsidP="00CB2861">
            <w:pPr>
              <w:pStyle w:val="TableText"/>
              <w:spacing w:before="40"/>
              <w:ind w:left="274"/>
            </w:pPr>
            <w:r w:rsidRPr="005471D8">
              <w:t>Clinical setting</w:t>
            </w:r>
          </w:p>
        </w:tc>
        <w:tc>
          <w:tcPr>
            <w:tcW w:w="1761" w:type="dxa"/>
            <w:tcBorders>
              <w:top w:val="single" w:sz="6" w:space="0" w:color="000000"/>
              <w:bottom w:val="single" w:sz="4" w:space="0" w:color="808080" w:themeColor="background1" w:themeShade="80"/>
            </w:tcBorders>
            <w:shd w:val="clear" w:color="auto" w:fill="auto"/>
            <w:noWrap/>
          </w:tcPr>
          <w:p w14:paraId="78B21309" w14:textId="0C65D045" w:rsidR="00FB3100" w:rsidRPr="005471D8" w:rsidRDefault="00FB3100" w:rsidP="00FB3100">
            <w:pPr>
              <w:pStyle w:val="TableTextDec"/>
              <w:tabs>
                <w:tab w:val="clear" w:pos="1015"/>
                <w:tab w:val="decimal" w:pos="715"/>
              </w:tabs>
              <w:spacing w:before="40"/>
            </w:pPr>
            <w:r w:rsidRPr="005471D8">
              <w:t>50%</w:t>
            </w:r>
          </w:p>
        </w:tc>
        <w:tc>
          <w:tcPr>
            <w:tcW w:w="1761" w:type="dxa"/>
            <w:tcBorders>
              <w:top w:val="single" w:sz="6" w:space="0" w:color="000000"/>
              <w:bottom w:val="single" w:sz="4" w:space="0" w:color="808080" w:themeColor="background1" w:themeShade="80"/>
            </w:tcBorders>
            <w:shd w:val="clear" w:color="auto" w:fill="auto"/>
            <w:noWrap/>
          </w:tcPr>
          <w:p w14:paraId="62914A96" w14:textId="38F3912E" w:rsidR="00FB3100" w:rsidRPr="005471D8" w:rsidRDefault="00FB3100" w:rsidP="00FB3100">
            <w:pPr>
              <w:pStyle w:val="TableTextDec"/>
              <w:tabs>
                <w:tab w:val="clear" w:pos="1015"/>
                <w:tab w:val="decimal" w:pos="715"/>
              </w:tabs>
              <w:spacing w:before="40"/>
            </w:pPr>
            <w:r w:rsidRPr="005471D8">
              <w:t>50%</w:t>
            </w:r>
          </w:p>
        </w:tc>
        <w:tc>
          <w:tcPr>
            <w:tcW w:w="1762" w:type="dxa"/>
            <w:tcBorders>
              <w:top w:val="single" w:sz="6" w:space="0" w:color="000000"/>
              <w:bottom w:val="single" w:sz="4" w:space="0" w:color="808080" w:themeColor="background1" w:themeShade="80"/>
            </w:tcBorders>
            <w:shd w:val="clear" w:color="auto" w:fill="auto"/>
            <w:noWrap/>
          </w:tcPr>
          <w:p w14:paraId="7AE74251" w14:textId="731553D5" w:rsidR="00FB3100" w:rsidRPr="005471D8" w:rsidRDefault="00FB3100" w:rsidP="00FB3100">
            <w:pPr>
              <w:pStyle w:val="TableTextDec"/>
              <w:tabs>
                <w:tab w:val="clear" w:pos="1015"/>
                <w:tab w:val="decimal" w:pos="715"/>
              </w:tabs>
              <w:spacing w:before="40"/>
            </w:pPr>
            <w:r w:rsidRPr="005471D8">
              <w:t>50%</w:t>
            </w:r>
          </w:p>
        </w:tc>
        <w:tc>
          <w:tcPr>
            <w:tcW w:w="3605" w:type="dxa"/>
            <w:tcBorders>
              <w:top w:val="single" w:sz="6" w:space="0" w:color="000000"/>
              <w:bottom w:val="single" w:sz="4" w:space="0" w:color="808080" w:themeColor="background1" w:themeShade="80"/>
            </w:tcBorders>
            <w:shd w:val="clear" w:color="auto" w:fill="auto"/>
            <w:noWrap/>
          </w:tcPr>
          <w:p w14:paraId="14E817DD" w14:textId="49025A5B" w:rsidR="00FB3100" w:rsidRPr="005471D8" w:rsidRDefault="00FB3100" w:rsidP="00FB3100">
            <w:pPr>
              <w:pStyle w:val="TableText"/>
              <w:spacing w:before="40"/>
            </w:pPr>
            <w:r w:rsidRPr="005471D8">
              <w:t>Assumption based on Huang et al. (2015)</w:t>
            </w:r>
          </w:p>
        </w:tc>
      </w:tr>
      <w:tr w:rsidR="00FB3100" w:rsidRPr="00C00335" w14:paraId="61ABC082" w14:textId="77777777" w:rsidTr="00260D8A">
        <w:trPr>
          <w:cantSplit/>
        </w:trPr>
        <w:tc>
          <w:tcPr>
            <w:tcW w:w="4071" w:type="dxa"/>
            <w:tcBorders>
              <w:top w:val="single" w:sz="6" w:space="0" w:color="000000"/>
              <w:bottom w:val="single" w:sz="4" w:space="0" w:color="808080" w:themeColor="background1" w:themeShade="80"/>
            </w:tcBorders>
            <w:shd w:val="clear" w:color="auto" w:fill="auto"/>
            <w:noWrap/>
          </w:tcPr>
          <w:p w14:paraId="2E11C7FE" w14:textId="4193A43B" w:rsidR="00FB3100" w:rsidRPr="005471D8" w:rsidRDefault="00FB3100" w:rsidP="00CB2861">
            <w:pPr>
              <w:pStyle w:val="TableText"/>
              <w:spacing w:before="40"/>
              <w:ind w:left="274"/>
            </w:pPr>
            <w:r w:rsidRPr="005471D8">
              <w:t>Nonclinical setting</w:t>
            </w:r>
          </w:p>
        </w:tc>
        <w:tc>
          <w:tcPr>
            <w:tcW w:w="1761" w:type="dxa"/>
            <w:tcBorders>
              <w:top w:val="single" w:sz="6" w:space="0" w:color="000000"/>
              <w:bottom w:val="single" w:sz="4" w:space="0" w:color="808080" w:themeColor="background1" w:themeShade="80"/>
            </w:tcBorders>
            <w:shd w:val="clear" w:color="auto" w:fill="auto"/>
            <w:noWrap/>
          </w:tcPr>
          <w:p w14:paraId="7B3239D4" w14:textId="3302BBA0" w:rsidR="00FB3100" w:rsidRPr="005471D8" w:rsidRDefault="00FB3100" w:rsidP="00FB3100">
            <w:pPr>
              <w:pStyle w:val="TableTextDec"/>
              <w:tabs>
                <w:tab w:val="clear" w:pos="1015"/>
                <w:tab w:val="decimal" w:pos="715"/>
              </w:tabs>
              <w:spacing w:before="40"/>
            </w:pPr>
            <w:r w:rsidRPr="005471D8">
              <w:t>100%</w:t>
            </w:r>
          </w:p>
        </w:tc>
        <w:tc>
          <w:tcPr>
            <w:tcW w:w="1761" w:type="dxa"/>
            <w:tcBorders>
              <w:top w:val="single" w:sz="6" w:space="0" w:color="000000"/>
              <w:bottom w:val="single" w:sz="4" w:space="0" w:color="808080" w:themeColor="background1" w:themeShade="80"/>
            </w:tcBorders>
            <w:shd w:val="clear" w:color="auto" w:fill="auto"/>
            <w:noWrap/>
          </w:tcPr>
          <w:p w14:paraId="50E1830F" w14:textId="059C8975" w:rsidR="00FB3100" w:rsidRPr="005471D8" w:rsidRDefault="00FB3100" w:rsidP="00FB3100">
            <w:pPr>
              <w:pStyle w:val="TableTextDec"/>
              <w:tabs>
                <w:tab w:val="clear" w:pos="1015"/>
                <w:tab w:val="decimal" w:pos="715"/>
              </w:tabs>
              <w:spacing w:before="40"/>
            </w:pPr>
            <w:r w:rsidRPr="005471D8">
              <w:t>100%</w:t>
            </w:r>
          </w:p>
        </w:tc>
        <w:tc>
          <w:tcPr>
            <w:tcW w:w="1762" w:type="dxa"/>
            <w:tcBorders>
              <w:top w:val="single" w:sz="6" w:space="0" w:color="000000"/>
              <w:bottom w:val="single" w:sz="4" w:space="0" w:color="808080" w:themeColor="background1" w:themeShade="80"/>
            </w:tcBorders>
            <w:shd w:val="clear" w:color="auto" w:fill="auto"/>
            <w:noWrap/>
          </w:tcPr>
          <w:p w14:paraId="766DB8D4" w14:textId="615202C7" w:rsidR="00FB3100" w:rsidRPr="005471D8" w:rsidRDefault="00FB3100" w:rsidP="00FB3100">
            <w:pPr>
              <w:pStyle w:val="TableTextDec"/>
              <w:tabs>
                <w:tab w:val="clear" w:pos="1015"/>
                <w:tab w:val="decimal" w:pos="715"/>
              </w:tabs>
              <w:spacing w:before="40"/>
            </w:pPr>
            <w:r w:rsidRPr="005471D8">
              <w:t>100%</w:t>
            </w:r>
          </w:p>
        </w:tc>
        <w:tc>
          <w:tcPr>
            <w:tcW w:w="3605" w:type="dxa"/>
            <w:tcBorders>
              <w:top w:val="single" w:sz="6" w:space="0" w:color="000000"/>
              <w:bottom w:val="single" w:sz="4" w:space="0" w:color="808080" w:themeColor="background1" w:themeShade="80"/>
            </w:tcBorders>
            <w:shd w:val="clear" w:color="auto" w:fill="auto"/>
            <w:noWrap/>
          </w:tcPr>
          <w:p w14:paraId="6A5889CF" w14:textId="581030BE" w:rsidR="00FB3100" w:rsidRPr="005471D8" w:rsidRDefault="00FB3100" w:rsidP="00FB3100">
            <w:pPr>
              <w:pStyle w:val="TableText"/>
              <w:spacing w:before="40"/>
            </w:pPr>
            <w:r w:rsidRPr="005471D8">
              <w:t>Assumed that all tests in nonclinical setting are rapid</w:t>
            </w:r>
          </w:p>
        </w:tc>
      </w:tr>
      <w:tr w:rsidR="00FB3100" w:rsidRPr="00C00335" w14:paraId="27B809BD" w14:textId="77777777" w:rsidTr="00260D8A">
        <w:trPr>
          <w:cantSplit/>
        </w:trPr>
        <w:tc>
          <w:tcPr>
            <w:tcW w:w="12960" w:type="dxa"/>
            <w:gridSpan w:val="5"/>
            <w:tcBorders>
              <w:top w:val="single" w:sz="4" w:space="0" w:color="808080" w:themeColor="background1" w:themeShade="80"/>
              <w:bottom w:val="single" w:sz="4" w:space="0" w:color="808080" w:themeColor="background1" w:themeShade="80"/>
            </w:tcBorders>
            <w:shd w:val="clear" w:color="auto" w:fill="auto"/>
            <w:noWrap/>
            <w:hideMark/>
          </w:tcPr>
          <w:p w14:paraId="350BFB64" w14:textId="77777777" w:rsidR="00FB3100" w:rsidRPr="00C00335" w:rsidRDefault="00FB3100" w:rsidP="00FB3100">
            <w:pPr>
              <w:pStyle w:val="TableText"/>
              <w:spacing w:before="40"/>
            </w:pPr>
            <w:r w:rsidRPr="00C00335">
              <w:t>Probability of being notified of status if tested with the following:</w:t>
            </w:r>
          </w:p>
        </w:tc>
      </w:tr>
      <w:tr w:rsidR="00FB3100" w:rsidRPr="00C00335" w14:paraId="6ED8254F"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hideMark/>
          </w:tcPr>
          <w:p w14:paraId="5A5A6C67" w14:textId="77777777" w:rsidR="00FB3100" w:rsidRPr="00C00335" w:rsidRDefault="00FB3100" w:rsidP="00FB3100">
            <w:pPr>
              <w:pStyle w:val="TableText"/>
              <w:ind w:left="288"/>
            </w:pPr>
            <w:r w:rsidRPr="00C00335">
              <w:t>Conventional test</w:t>
            </w:r>
          </w:p>
        </w:tc>
        <w:tc>
          <w:tcPr>
            <w:tcW w:w="5284" w:type="dxa"/>
            <w:gridSpan w:val="3"/>
            <w:tcBorders>
              <w:top w:val="single" w:sz="4" w:space="0" w:color="808080" w:themeColor="background1" w:themeShade="80"/>
              <w:bottom w:val="single" w:sz="4" w:space="0" w:color="808080" w:themeColor="background1" w:themeShade="80"/>
            </w:tcBorders>
            <w:shd w:val="clear" w:color="auto" w:fill="auto"/>
            <w:noWrap/>
            <w:hideMark/>
          </w:tcPr>
          <w:p w14:paraId="59FD95F7" w14:textId="77777777" w:rsidR="00FB3100" w:rsidRPr="00C00335" w:rsidRDefault="00FB3100" w:rsidP="00FB3100">
            <w:pPr>
              <w:pStyle w:val="TableText"/>
              <w:spacing w:before="40"/>
            </w:pPr>
            <w:r w:rsidRPr="00C00335">
              <w:t>-------------------------0.80-------------------------------</w:t>
            </w:r>
          </w:p>
        </w:tc>
        <w:tc>
          <w:tcPr>
            <w:tcW w:w="3605" w:type="dxa"/>
            <w:vMerge w:val="restart"/>
            <w:tcBorders>
              <w:top w:val="single" w:sz="4" w:space="0" w:color="808080" w:themeColor="background1" w:themeShade="80"/>
              <w:bottom w:val="single" w:sz="4" w:space="0" w:color="808080" w:themeColor="background1" w:themeShade="80"/>
            </w:tcBorders>
            <w:shd w:val="clear" w:color="auto" w:fill="auto"/>
            <w:noWrap/>
            <w:hideMark/>
          </w:tcPr>
          <w:p w14:paraId="706F09CE" w14:textId="6CA65BD0" w:rsidR="00FB3100" w:rsidRPr="00C00335" w:rsidRDefault="00FB3100" w:rsidP="00FB3100">
            <w:pPr>
              <w:pStyle w:val="TableText"/>
              <w:spacing w:before="40"/>
            </w:pPr>
            <w:r w:rsidRPr="00C00335">
              <w:t>Huang et al. (2015)</w:t>
            </w:r>
          </w:p>
        </w:tc>
      </w:tr>
      <w:tr w:rsidR="00FB3100" w:rsidRPr="00C00335" w14:paraId="6A8157E5"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hideMark/>
          </w:tcPr>
          <w:p w14:paraId="751C431A" w14:textId="77777777" w:rsidR="00FB3100" w:rsidRPr="00C00335" w:rsidRDefault="00FB3100" w:rsidP="00FB3100">
            <w:pPr>
              <w:pStyle w:val="TableText"/>
              <w:ind w:left="288"/>
            </w:pPr>
            <w:r w:rsidRPr="00C00335">
              <w:t>Rapid test</w:t>
            </w:r>
          </w:p>
        </w:tc>
        <w:tc>
          <w:tcPr>
            <w:tcW w:w="5284" w:type="dxa"/>
            <w:gridSpan w:val="3"/>
            <w:tcBorders>
              <w:top w:val="single" w:sz="4" w:space="0" w:color="808080" w:themeColor="background1" w:themeShade="80"/>
              <w:bottom w:val="single" w:sz="4" w:space="0" w:color="808080" w:themeColor="background1" w:themeShade="80"/>
            </w:tcBorders>
            <w:shd w:val="clear" w:color="auto" w:fill="auto"/>
            <w:noWrap/>
            <w:hideMark/>
          </w:tcPr>
          <w:p w14:paraId="584742F1" w14:textId="77777777" w:rsidR="00FB3100" w:rsidRPr="00C00335" w:rsidRDefault="00FB3100" w:rsidP="00FB3100">
            <w:pPr>
              <w:pStyle w:val="TableText"/>
              <w:spacing w:before="40"/>
            </w:pPr>
            <w:r w:rsidRPr="00C00335">
              <w:t>-------------------------1.00-------------------------------</w:t>
            </w:r>
          </w:p>
        </w:tc>
        <w:tc>
          <w:tcPr>
            <w:tcW w:w="3605" w:type="dxa"/>
            <w:vMerge/>
            <w:tcBorders>
              <w:top w:val="single" w:sz="4" w:space="0" w:color="808080" w:themeColor="background1" w:themeShade="80"/>
              <w:bottom w:val="single" w:sz="4" w:space="0" w:color="808080" w:themeColor="background1" w:themeShade="80"/>
            </w:tcBorders>
            <w:shd w:val="clear" w:color="auto" w:fill="auto"/>
            <w:noWrap/>
            <w:hideMark/>
          </w:tcPr>
          <w:p w14:paraId="40DFF330" w14:textId="77777777" w:rsidR="00FB3100" w:rsidRPr="00C00335" w:rsidRDefault="00FB3100" w:rsidP="00FB3100">
            <w:pPr>
              <w:pStyle w:val="Tabletext0"/>
              <w:spacing w:before="40"/>
            </w:pPr>
          </w:p>
        </w:tc>
      </w:tr>
      <w:tr w:rsidR="00FB3100" w:rsidRPr="00C00335" w14:paraId="4C6EE7F4" w14:textId="77777777" w:rsidTr="00260D8A">
        <w:trPr>
          <w:cantSplit/>
        </w:trPr>
        <w:tc>
          <w:tcPr>
            <w:tcW w:w="12960" w:type="dxa"/>
            <w:gridSpan w:val="5"/>
            <w:tcBorders>
              <w:top w:val="single" w:sz="4" w:space="0" w:color="808080" w:themeColor="background1" w:themeShade="80"/>
              <w:bottom w:val="single" w:sz="4" w:space="0" w:color="808080" w:themeColor="background1" w:themeShade="80"/>
            </w:tcBorders>
            <w:shd w:val="clear" w:color="auto" w:fill="auto"/>
            <w:noWrap/>
          </w:tcPr>
          <w:p w14:paraId="2A7E5AD2" w14:textId="09019E05" w:rsidR="00FB3100" w:rsidRPr="00C00335" w:rsidRDefault="00FB3100" w:rsidP="00FB3100">
            <w:pPr>
              <w:pStyle w:val="TableText"/>
              <w:spacing w:before="40"/>
            </w:pPr>
            <w:r w:rsidRPr="00C00335">
              <w:t xml:space="preserve">Annual probability of diagnosed individual linked to HIV care at diagnosis </w:t>
            </w:r>
          </w:p>
        </w:tc>
      </w:tr>
      <w:tr w:rsidR="00FB3100" w:rsidRPr="00C00335" w14:paraId="2203A1E6"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55C56849" w14:textId="5FDB572B" w:rsidR="00FB3100" w:rsidRPr="00C00335" w:rsidRDefault="00FB3100" w:rsidP="00FB3100">
            <w:pPr>
              <w:pStyle w:val="TableText"/>
              <w:spacing w:before="40"/>
              <w:ind w:left="270"/>
            </w:pP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7A607B68" w14:textId="4DD1DEBB" w:rsidR="00FB3100" w:rsidRPr="00C00335" w:rsidRDefault="00FB3100" w:rsidP="00FB3100">
            <w:pPr>
              <w:pStyle w:val="TableTextDec"/>
              <w:tabs>
                <w:tab w:val="clear" w:pos="1015"/>
                <w:tab w:val="decimal" w:pos="715"/>
              </w:tabs>
              <w:spacing w:before="40"/>
            </w:pPr>
            <w:r w:rsidRPr="00C00335">
              <w:t>0.790</w:t>
            </w:r>
          </w:p>
        </w:tc>
        <w:tc>
          <w:tcPr>
            <w:tcW w:w="1761" w:type="dxa"/>
            <w:tcBorders>
              <w:top w:val="single" w:sz="4" w:space="0" w:color="808080" w:themeColor="background1" w:themeShade="80"/>
              <w:bottom w:val="single" w:sz="4" w:space="0" w:color="808080" w:themeColor="background1" w:themeShade="80"/>
            </w:tcBorders>
            <w:shd w:val="clear" w:color="auto" w:fill="auto"/>
          </w:tcPr>
          <w:p w14:paraId="626B32B3" w14:textId="16E5B549" w:rsidR="00FB3100" w:rsidRPr="00C00335" w:rsidRDefault="00FB3100" w:rsidP="00FB3100">
            <w:pPr>
              <w:pStyle w:val="TableTextDec"/>
              <w:tabs>
                <w:tab w:val="clear" w:pos="1015"/>
                <w:tab w:val="decimal" w:pos="715"/>
              </w:tabs>
              <w:spacing w:before="40"/>
            </w:pPr>
            <w:r w:rsidRPr="00C00335">
              <w:t>0.830</w:t>
            </w:r>
          </w:p>
        </w:tc>
        <w:tc>
          <w:tcPr>
            <w:tcW w:w="1762" w:type="dxa"/>
            <w:tcBorders>
              <w:top w:val="single" w:sz="4" w:space="0" w:color="808080" w:themeColor="background1" w:themeShade="80"/>
              <w:bottom w:val="single" w:sz="4" w:space="0" w:color="808080" w:themeColor="background1" w:themeShade="80"/>
            </w:tcBorders>
            <w:shd w:val="clear" w:color="auto" w:fill="auto"/>
          </w:tcPr>
          <w:p w14:paraId="113EA0E6" w14:textId="05686CF1" w:rsidR="00FB3100" w:rsidRPr="00C00335" w:rsidRDefault="00FB3100" w:rsidP="00FB3100">
            <w:pPr>
              <w:pStyle w:val="TableTextDec"/>
              <w:tabs>
                <w:tab w:val="clear" w:pos="1015"/>
                <w:tab w:val="decimal" w:pos="715"/>
              </w:tabs>
              <w:spacing w:before="40"/>
            </w:pPr>
            <w:r w:rsidRPr="00C00335">
              <w:t>0.860</w:t>
            </w:r>
          </w:p>
        </w:tc>
        <w:tc>
          <w:tcPr>
            <w:tcW w:w="3605" w:type="dxa"/>
            <w:tcBorders>
              <w:top w:val="single" w:sz="4" w:space="0" w:color="808080" w:themeColor="background1" w:themeShade="80"/>
              <w:bottom w:val="single" w:sz="4" w:space="0" w:color="808080" w:themeColor="background1" w:themeShade="80"/>
            </w:tcBorders>
            <w:shd w:val="clear" w:color="auto" w:fill="auto"/>
            <w:noWrap/>
          </w:tcPr>
          <w:p w14:paraId="2AAF4C02" w14:textId="075A8780" w:rsidR="00FB3100" w:rsidRPr="00C00335" w:rsidRDefault="00FB3100" w:rsidP="00FB3100">
            <w:pPr>
              <w:pStyle w:val="TableText"/>
              <w:spacing w:before="40"/>
            </w:pPr>
            <w:r w:rsidRPr="00C00335">
              <w:t>CDC (2015)</w:t>
            </w:r>
          </w:p>
        </w:tc>
      </w:tr>
      <w:tr w:rsidR="00FB3100" w:rsidRPr="00C00335" w14:paraId="00B00566" w14:textId="77777777" w:rsidTr="00260D8A">
        <w:trPr>
          <w:cantSplit/>
        </w:trPr>
        <w:tc>
          <w:tcPr>
            <w:tcW w:w="12960" w:type="dxa"/>
            <w:gridSpan w:val="5"/>
            <w:tcBorders>
              <w:top w:val="single" w:sz="4" w:space="0" w:color="808080" w:themeColor="background1" w:themeShade="80"/>
              <w:bottom w:val="single" w:sz="4" w:space="0" w:color="808080" w:themeColor="background1" w:themeShade="80"/>
            </w:tcBorders>
            <w:shd w:val="clear" w:color="auto" w:fill="auto"/>
            <w:noWrap/>
            <w:hideMark/>
          </w:tcPr>
          <w:p w14:paraId="0066BEBD" w14:textId="1448604D" w:rsidR="00FB3100" w:rsidRPr="00C00335" w:rsidRDefault="00FB3100" w:rsidP="00FB3100">
            <w:pPr>
              <w:pStyle w:val="TableText"/>
              <w:spacing w:before="40"/>
            </w:pPr>
            <w:r w:rsidRPr="00C00335">
              <w:t>Annual probability of diagnosed individual linked to HIV care each year after first year if CD4&gt;350 (</w:t>
            </w:r>
            <w:r w:rsidRPr="00C00335">
              <w:rPr>
                <w:i/>
                <w:iCs/>
              </w:rPr>
              <w:t>h</w:t>
            </w:r>
            <w:r w:rsidRPr="00C00335">
              <w:t xml:space="preserve"> = 1, 2, 3) in second time period </w:t>
            </w:r>
          </w:p>
        </w:tc>
      </w:tr>
      <w:tr w:rsidR="00FB3100" w:rsidRPr="00C00335" w14:paraId="6B28E9F3"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7BCBB806" w14:textId="77777777" w:rsidR="00FB3100" w:rsidRPr="00C00335" w:rsidRDefault="00FB3100" w:rsidP="00FB3100">
            <w:pPr>
              <w:pStyle w:val="TableText"/>
              <w:spacing w:before="40"/>
              <w:ind w:firstLine="270"/>
            </w:pP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515FBF91" w14:textId="10732032" w:rsidR="00FB3100" w:rsidRPr="00C00335" w:rsidRDefault="00FA40DE" w:rsidP="00FB3100">
            <w:pPr>
              <w:pStyle w:val="TableTextDec"/>
              <w:tabs>
                <w:tab w:val="clear" w:pos="1015"/>
                <w:tab w:val="decimal" w:pos="715"/>
              </w:tabs>
              <w:spacing w:before="40"/>
            </w:pPr>
            <w:r w:rsidRPr="00FA40DE">
              <w:rPr>
                <w:i/>
              </w:rPr>
              <w:t>0.288</w:t>
            </w: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61450C7E" w14:textId="5AD105F4" w:rsidR="00FB3100" w:rsidRPr="00C00335" w:rsidRDefault="00FA40DE" w:rsidP="00FB3100">
            <w:pPr>
              <w:pStyle w:val="TableTextDec"/>
              <w:tabs>
                <w:tab w:val="clear" w:pos="1015"/>
                <w:tab w:val="decimal" w:pos="715"/>
              </w:tabs>
              <w:spacing w:before="40"/>
            </w:pPr>
            <w:r w:rsidRPr="00FA40DE">
              <w:rPr>
                <w:i/>
              </w:rPr>
              <w:t>0.305</w:t>
            </w:r>
          </w:p>
        </w:tc>
        <w:tc>
          <w:tcPr>
            <w:tcW w:w="1762" w:type="dxa"/>
            <w:tcBorders>
              <w:top w:val="single" w:sz="4" w:space="0" w:color="808080" w:themeColor="background1" w:themeShade="80"/>
              <w:bottom w:val="single" w:sz="4" w:space="0" w:color="808080" w:themeColor="background1" w:themeShade="80"/>
            </w:tcBorders>
            <w:shd w:val="clear" w:color="auto" w:fill="auto"/>
            <w:noWrap/>
          </w:tcPr>
          <w:p w14:paraId="30FD306A" w14:textId="440F1412" w:rsidR="00FB3100" w:rsidRPr="00C00335" w:rsidRDefault="00FA40DE" w:rsidP="00FB3100">
            <w:pPr>
              <w:pStyle w:val="TableTextDec"/>
              <w:tabs>
                <w:tab w:val="clear" w:pos="1015"/>
                <w:tab w:val="decimal" w:pos="715"/>
              </w:tabs>
              <w:spacing w:before="40"/>
            </w:pPr>
            <w:r w:rsidRPr="00FA40DE">
              <w:rPr>
                <w:i/>
              </w:rPr>
              <w:t>0.309</w:t>
            </w:r>
          </w:p>
        </w:tc>
        <w:tc>
          <w:tcPr>
            <w:tcW w:w="3605" w:type="dxa"/>
            <w:tcBorders>
              <w:top w:val="single" w:sz="4" w:space="0" w:color="808080" w:themeColor="background1" w:themeShade="80"/>
              <w:bottom w:val="single" w:sz="4" w:space="0" w:color="808080" w:themeColor="background1" w:themeShade="80"/>
            </w:tcBorders>
            <w:shd w:val="clear" w:color="auto" w:fill="auto"/>
            <w:noWrap/>
          </w:tcPr>
          <w:p w14:paraId="7C3728E6" w14:textId="77777777" w:rsidR="00FB3100" w:rsidRPr="00C00335" w:rsidRDefault="00FB3100" w:rsidP="00FB3100">
            <w:pPr>
              <w:pStyle w:val="TableText"/>
              <w:spacing w:before="40"/>
            </w:pPr>
            <w:r w:rsidRPr="00C00335">
              <w:t>Determined by calibration</w:t>
            </w:r>
          </w:p>
        </w:tc>
      </w:tr>
      <w:tr w:rsidR="00FB3100" w:rsidRPr="00C00335" w14:paraId="1AF37F42" w14:textId="77777777" w:rsidTr="00260D8A">
        <w:trPr>
          <w:cantSplit/>
        </w:trPr>
        <w:tc>
          <w:tcPr>
            <w:tcW w:w="9355" w:type="dxa"/>
            <w:gridSpan w:val="4"/>
            <w:tcBorders>
              <w:top w:val="single" w:sz="4" w:space="0" w:color="808080" w:themeColor="background1" w:themeShade="80"/>
              <w:bottom w:val="single" w:sz="4" w:space="0" w:color="808080" w:themeColor="background1" w:themeShade="80"/>
            </w:tcBorders>
            <w:shd w:val="clear" w:color="auto" w:fill="auto"/>
            <w:noWrap/>
          </w:tcPr>
          <w:p w14:paraId="1BA40CC9" w14:textId="76E3DDAE" w:rsidR="00FB3100" w:rsidRPr="00C00335" w:rsidRDefault="00FB3100" w:rsidP="00FB3100">
            <w:pPr>
              <w:pStyle w:val="TableTextDec"/>
              <w:tabs>
                <w:tab w:val="clear" w:pos="1015"/>
                <w:tab w:val="decimal" w:pos="715"/>
              </w:tabs>
              <w:spacing w:before="40"/>
            </w:pPr>
            <w:r w:rsidRPr="00C00335">
              <w:t xml:space="preserve">Relative risk of linkage to HIV care in </w:t>
            </w:r>
            <w:r w:rsidR="005471D8">
              <w:t>first</w:t>
            </w:r>
            <w:r w:rsidR="005471D8" w:rsidRPr="00C00335">
              <w:t xml:space="preserve"> </w:t>
            </w:r>
            <w:r w:rsidRPr="00C00335">
              <w:t>time period, after diagnosis if CD4 ≤ 350, by disease stage (reference: CD4&gt;350)</w:t>
            </w:r>
          </w:p>
        </w:tc>
        <w:tc>
          <w:tcPr>
            <w:tcW w:w="3605" w:type="dxa"/>
            <w:tcBorders>
              <w:top w:val="single" w:sz="4" w:space="0" w:color="808080" w:themeColor="background1" w:themeShade="80"/>
              <w:bottom w:val="single" w:sz="4" w:space="0" w:color="808080" w:themeColor="background1" w:themeShade="80"/>
            </w:tcBorders>
            <w:shd w:val="clear" w:color="auto" w:fill="auto"/>
            <w:noWrap/>
          </w:tcPr>
          <w:p w14:paraId="7F8B3815" w14:textId="77777777" w:rsidR="00FB3100" w:rsidRPr="00C00335" w:rsidRDefault="00FB3100" w:rsidP="00FB3100">
            <w:pPr>
              <w:pStyle w:val="TableText"/>
              <w:spacing w:before="40"/>
            </w:pPr>
          </w:p>
        </w:tc>
      </w:tr>
      <w:tr w:rsidR="00FB3100" w:rsidRPr="00C00335" w14:paraId="33CEB8AE"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0A65C399" w14:textId="4C8E3387" w:rsidR="00FB3100" w:rsidRPr="00C00335" w:rsidRDefault="00FB3100" w:rsidP="00FB3100">
            <w:pPr>
              <w:pStyle w:val="TableText"/>
              <w:tabs>
                <w:tab w:val="left" w:pos="3255"/>
              </w:tabs>
              <w:ind w:left="288"/>
            </w:pPr>
            <w:r w:rsidRPr="00C00335">
              <w:t>CD4 200–350 (</w:t>
            </w:r>
            <w:r w:rsidRPr="00C00335">
              <w:rPr>
                <w:i/>
                <w:iCs/>
              </w:rPr>
              <w:t>h</w:t>
            </w:r>
            <w:r w:rsidRPr="00C00335">
              <w:t> = 4)</w:t>
            </w:r>
          </w:p>
        </w:tc>
        <w:tc>
          <w:tcPr>
            <w:tcW w:w="5284" w:type="dxa"/>
            <w:gridSpan w:val="3"/>
            <w:tcBorders>
              <w:top w:val="single" w:sz="4" w:space="0" w:color="808080" w:themeColor="background1" w:themeShade="80"/>
              <w:bottom w:val="single" w:sz="4" w:space="0" w:color="808080" w:themeColor="background1" w:themeShade="80"/>
            </w:tcBorders>
            <w:shd w:val="clear" w:color="auto" w:fill="auto"/>
            <w:noWrap/>
          </w:tcPr>
          <w:p w14:paraId="7D0D7608" w14:textId="7C6C17C2" w:rsidR="00FB3100" w:rsidRPr="00C00335" w:rsidRDefault="00FB3100" w:rsidP="00FB3100">
            <w:pPr>
              <w:pStyle w:val="TableTextDec"/>
              <w:tabs>
                <w:tab w:val="clear" w:pos="1015"/>
                <w:tab w:val="decimal" w:pos="715"/>
              </w:tabs>
              <w:spacing w:before="40"/>
            </w:pPr>
            <w:r w:rsidRPr="00C00335">
              <w:t>------------------------------</w:t>
            </w:r>
            <w:r w:rsidR="00FA40DE" w:rsidRPr="00FA40DE">
              <w:rPr>
                <w:i/>
              </w:rPr>
              <w:t>7.240</w:t>
            </w:r>
            <w:r w:rsidRPr="00C00335">
              <w:t>-------------------------</w:t>
            </w:r>
          </w:p>
        </w:tc>
        <w:tc>
          <w:tcPr>
            <w:tcW w:w="3605" w:type="dxa"/>
            <w:vMerge w:val="restart"/>
            <w:tcBorders>
              <w:top w:val="single" w:sz="4" w:space="0" w:color="808080" w:themeColor="background1" w:themeShade="80"/>
            </w:tcBorders>
            <w:shd w:val="clear" w:color="auto" w:fill="auto"/>
            <w:noWrap/>
          </w:tcPr>
          <w:p w14:paraId="08760C9E" w14:textId="77777777" w:rsidR="00FB3100" w:rsidRPr="00C00335" w:rsidRDefault="00FB3100" w:rsidP="00FB3100">
            <w:pPr>
              <w:pStyle w:val="TableText"/>
              <w:spacing w:before="40"/>
            </w:pPr>
            <w:r w:rsidRPr="00C00335">
              <w:t>Determined by calibration</w:t>
            </w:r>
          </w:p>
        </w:tc>
      </w:tr>
      <w:tr w:rsidR="00FB3100" w:rsidRPr="00C00335" w14:paraId="1A4008F5"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4D95E03D" w14:textId="333DD350" w:rsidR="00FB3100" w:rsidRPr="00C00335" w:rsidRDefault="00FB3100" w:rsidP="00FB3100">
            <w:pPr>
              <w:pStyle w:val="TableText"/>
              <w:tabs>
                <w:tab w:val="left" w:pos="3255"/>
              </w:tabs>
              <w:ind w:left="288"/>
            </w:pPr>
            <w:r w:rsidRPr="00C00335">
              <w:t>CD4 &lt; 200 (</w:t>
            </w:r>
            <w:r w:rsidRPr="00C00335">
              <w:rPr>
                <w:i/>
                <w:iCs/>
              </w:rPr>
              <w:t>h</w:t>
            </w:r>
            <w:r w:rsidRPr="00C00335">
              <w:t> = 5)</w:t>
            </w:r>
          </w:p>
        </w:tc>
        <w:tc>
          <w:tcPr>
            <w:tcW w:w="5284" w:type="dxa"/>
            <w:gridSpan w:val="3"/>
            <w:tcBorders>
              <w:top w:val="single" w:sz="4" w:space="0" w:color="808080" w:themeColor="background1" w:themeShade="80"/>
              <w:bottom w:val="single" w:sz="4" w:space="0" w:color="808080" w:themeColor="background1" w:themeShade="80"/>
            </w:tcBorders>
            <w:shd w:val="clear" w:color="auto" w:fill="auto"/>
            <w:noWrap/>
          </w:tcPr>
          <w:p w14:paraId="661A45E8" w14:textId="19BF4CA7" w:rsidR="00FB3100" w:rsidRPr="00C00335" w:rsidRDefault="00FB3100" w:rsidP="00FB3100">
            <w:pPr>
              <w:pStyle w:val="TableTextDec"/>
              <w:tabs>
                <w:tab w:val="clear" w:pos="1015"/>
                <w:tab w:val="decimal" w:pos="715"/>
              </w:tabs>
              <w:spacing w:before="40"/>
            </w:pPr>
            <w:r w:rsidRPr="00C00335">
              <w:t>------------------------------</w:t>
            </w:r>
            <w:r w:rsidR="00FA40DE" w:rsidRPr="00FA40DE">
              <w:rPr>
                <w:i/>
              </w:rPr>
              <w:t>6.653</w:t>
            </w:r>
            <w:r w:rsidRPr="00C00335">
              <w:t>-------------------------</w:t>
            </w:r>
          </w:p>
        </w:tc>
        <w:tc>
          <w:tcPr>
            <w:tcW w:w="3605" w:type="dxa"/>
            <w:vMerge/>
            <w:tcBorders>
              <w:bottom w:val="single" w:sz="4" w:space="0" w:color="808080" w:themeColor="background1" w:themeShade="80"/>
            </w:tcBorders>
            <w:shd w:val="clear" w:color="auto" w:fill="auto"/>
            <w:noWrap/>
          </w:tcPr>
          <w:p w14:paraId="18F8C23B" w14:textId="77777777" w:rsidR="00FB3100" w:rsidRPr="00C00335" w:rsidRDefault="00FB3100" w:rsidP="00FB3100">
            <w:pPr>
              <w:pStyle w:val="TableText"/>
              <w:spacing w:before="40"/>
            </w:pPr>
          </w:p>
        </w:tc>
      </w:tr>
      <w:tr w:rsidR="00FB3100" w:rsidRPr="00C00335" w14:paraId="53BE07BD" w14:textId="77777777" w:rsidTr="00260D8A">
        <w:trPr>
          <w:cantSplit/>
        </w:trPr>
        <w:tc>
          <w:tcPr>
            <w:tcW w:w="9355" w:type="dxa"/>
            <w:gridSpan w:val="4"/>
            <w:tcBorders>
              <w:top w:val="single" w:sz="4" w:space="0" w:color="808080" w:themeColor="background1" w:themeShade="80"/>
              <w:bottom w:val="single" w:sz="4" w:space="0" w:color="808080" w:themeColor="background1" w:themeShade="80"/>
            </w:tcBorders>
            <w:shd w:val="clear" w:color="auto" w:fill="auto"/>
            <w:noWrap/>
          </w:tcPr>
          <w:p w14:paraId="3D3B5B78" w14:textId="0AF921EE" w:rsidR="00FB3100" w:rsidRPr="00C00335" w:rsidRDefault="00FB3100" w:rsidP="00FB3100">
            <w:pPr>
              <w:pStyle w:val="TableTextDec"/>
              <w:tabs>
                <w:tab w:val="clear" w:pos="1015"/>
                <w:tab w:val="decimal" w:pos="715"/>
              </w:tabs>
              <w:spacing w:before="40"/>
            </w:pPr>
            <w:r w:rsidRPr="00C00335">
              <w:t xml:space="preserve">Annual probability of dropping out of care if linked to HIV care (from </w:t>
            </w:r>
            <w:r w:rsidRPr="00C00335">
              <w:rPr>
                <w:i/>
              </w:rPr>
              <w:t>r</w:t>
            </w:r>
            <w:r w:rsidRPr="00C00335">
              <w:t xml:space="preserve"> = 3 to </w:t>
            </w:r>
            <w:r w:rsidRPr="00C00335">
              <w:rPr>
                <w:i/>
              </w:rPr>
              <w:t>r</w:t>
            </w:r>
            <w:r w:rsidRPr="00C00335">
              <w:t xml:space="preserve"> = 2) in </w:t>
            </w:r>
            <w:r w:rsidR="005471D8">
              <w:t>first</w:t>
            </w:r>
            <w:r w:rsidR="005471D8" w:rsidRPr="00C00335">
              <w:t xml:space="preserve"> </w:t>
            </w:r>
            <w:r w:rsidRPr="00C00335">
              <w:t xml:space="preserve">time period </w:t>
            </w:r>
          </w:p>
        </w:tc>
        <w:tc>
          <w:tcPr>
            <w:tcW w:w="3605" w:type="dxa"/>
            <w:tcBorders>
              <w:bottom w:val="single" w:sz="4" w:space="0" w:color="808080" w:themeColor="background1" w:themeShade="80"/>
            </w:tcBorders>
            <w:shd w:val="clear" w:color="auto" w:fill="auto"/>
            <w:noWrap/>
          </w:tcPr>
          <w:p w14:paraId="2930E496" w14:textId="77777777" w:rsidR="00FB3100" w:rsidRPr="00C00335" w:rsidRDefault="00FB3100" w:rsidP="00FB3100">
            <w:pPr>
              <w:pStyle w:val="TableText"/>
              <w:spacing w:before="40"/>
            </w:pPr>
          </w:p>
        </w:tc>
      </w:tr>
      <w:tr w:rsidR="00FB3100" w:rsidRPr="00C00335" w14:paraId="22D8E1D5"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6A9F7994" w14:textId="6DC5AECD" w:rsidR="00FB3100" w:rsidRPr="00C00335" w:rsidRDefault="00FB3100" w:rsidP="00FB3100">
            <w:pPr>
              <w:pStyle w:val="TableText"/>
              <w:tabs>
                <w:tab w:val="left" w:pos="3255"/>
              </w:tabs>
              <w:ind w:left="288"/>
            </w:pP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61CD3458" w14:textId="1AECA21F" w:rsidR="00FB3100" w:rsidRPr="00C00335" w:rsidRDefault="00FA40DE" w:rsidP="00FB3100">
            <w:pPr>
              <w:pStyle w:val="TableTextDec"/>
              <w:tabs>
                <w:tab w:val="clear" w:pos="1015"/>
                <w:tab w:val="decimal" w:pos="715"/>
              </w:tabs>
              <w:spacing w:before="40"/>
            </w:pPr>
            <w:r w:rsidRPr="00FA40DE">
              <w:rPr>
                <w:i/>
              </w:rPr>
              <w:t>0.079</w:t>
            </w:r>
          </w:p>
        </w:tc>
        <w:tc>
          <w:tcPr>
            <w:tcW w:w="1761" w:type="dxa"/>
            <w:tcBorders>
              <w:top w:val="single" w:sz="4" w:space="0" w:color="808080" w:themeColor="background1" w:themeShade="80"/>
              <w:bottom w:val="single" w:sz="4" w:space="0" w:color="808080" w:themeColor="background1" w:themeShade="80"/>
            </w:tcBorders>
            <w:shd w:val="clear" w:color="auto" w:fill="auto"/>
          </w:tcPr>
          <w:p w14:paraId="185DF827" w14:textId="36CC0CC5" w:rsidR="00FB3100" w:rsidRPr="00C00335" w:rsidRDefault="00FA40DE" w:rsidP="00FB3100">
            <w:pPr>
              <w:pStyle w:val="TableTextDec"/>
              <w:tabs>
                <w:tab w:val="clear" w:pos="1015"/>
                <w:tab w:val="decimal" w:pos="715"/>
              </w:tabs>
              <w:spacing w:before="40"/>
            </w:pPr>
            <w:r w:rsidRPr="00FA40DE">
              <w:rPr>
                <w:i/>
              </w:rPr>
              <w:t>0.096</w:t>
            </w:r>
          </w:p>
        </w:tc>
        <w:tc>
          <w:tcPr>
            <w:tcW w:w="1762" w:type="dxa"/>
            <w:tcBorders>
              <w:top w:val="single" w:sz="4" w:space="0" w:color="808080" w:themeColor="background1" w:themeShade="80"/>
              <w:bottom w:val="single" w:sz="4" w:space="0" w:color="808080" w:themeColor="background1" w:themeShade="80"/>
            </w:tcBorders>
            <w:shd w:val="clear" w:color="auto" w:fill="auto"/>
          </w:tcPr>
          <w:p w14:paraId="03080766" w14:textId="0BE0CAD2" w:rsidR="00FB3100" w:rsidRPr="00C00335" w:rsidRDefault="00FA40DE" w:rsidP="00FB3100">
            <w:pPr>
              <w:pStyle w:val="TableTextDec"/>
              <w:tabs>
                <w:tab w:val="clear" w:pos="1015"/>
                <w:tab w:val="decimal" w:pos="715"/>
              </w:tabs>
              <w:spacing w:before="40"/>
            </w:pPr>
            <w:r w:rsidRPr="00FA40DE">
              <w:rPr>
                <w:i/>
              </w:rPr>
              <w:t>0.103</w:t>
            </w:r>
          </w:p>
        </w:tc>
        <w:tc>
          <w:tcPr>
            <w:tcW w:w="3605" w:type="dxa"/>
            <w:shd w:val="clear" w:color="auto" w:fill="auto"/>
            <w:noWrap/>
          </w:tcPr>
          <w:p w14:paraId="6610855B" w14:textId="2856AFFC" w:rsidR="00FB3100" w:rsidRPr="00C00335" w:rsidRDefault="00FB3100" w:rsidP="00FB3100">
            <w:pPr>
              <w:pStyle w:val="TableText"/>
              <w:spacing w:before="40"/>
            </w:pPr>
            <w:r w:rsidRPr="00C00335">
              <w:t>Determined by calibration</w:t>
            </w:r>
          </w:p>
        </w:tc>
      </w:tr>
      <w:tr w:rsidR="00FB3100" w:rsidRPr="00C00335" w14:paraId="1C5A3C8A" w14:textId="77777777" w:rsidTr="00260D8A">
        <w:trPr>
          <w:cantSplit/>
        </w:trPr>
        <w:tc>
          <w:tcPr>
            <w:tcW w:w="9355" w:type="dxa"/>
            <w:gridSpan w:val="4"/>
            <w:tcBorders>
              <w:top w:val="single" w:sz="4" w:space="0" w:color="808080" w:themeColor="background1" w:themeShade="80"/>
              <w:bottom w:val="single" w:sz="4" w:space="0" w:color="808080" w:themeColor="background1" w:themeShade="80"/>
            </w:tcBorders>
            <w:shd w:val="clear" w:color="auto" w:fill="auto"/>
            <w:noWrap/>
          </w:tcPr>
          <w:p w14:paraId="2C2CDE52" w14:textId="6A74A5F9" w:rsidR="00FB3100" w:rsidRPr="00C00335" w:rsidRDefault="00FB3100" w:rsidP="00FB3100">
            <w:pPr>
              <w:pStyle w:val="TableTextDec"/>
              <w:tabs>
                <w:tab w:val="clear" w:pos="1015"/>
                <w:tab w:val="decimal" w:pos="715"/>
              </w:tabs>
              <w:spacing w:before="40"/>
            </w:pPr>
            <w:r w:rsidRPr="00C00335">
              <w:t xml:space="preserve">Annual probability of dropping out of ART and moving to linked-to-HIV-care (from </w:t>
            </w:r>
            <w:r w:rsidRPr="00C00335">
              <w:rPr>
                <w:i/>
                <w:iCs/>
              </w:rPr>
              <w:t>r</w:t>
            </w:r>
            <w:r w:rsidRPr="00C00335">
              <w:t xml:space="preserve"> = 4 to </w:t>
            </w:r>
            <w:r w:rsidRPr="00C00335">
              <w:rPr>
                <w:i/>
                <w:iCs/>
              </w:rPr>
              <w:t>r</w:t>
            </w:r>
            <w:r w:rsidRPr="00C00335">
              <w:t xml:space="preserve"> = 3) in </w:t>
            </w:r>
            <w:r w:rsidR="005471D8">
              <w:t>first</w:t>
            </w:r>
            <w:r w:rsidR="005471D8" w:rsidRPr="00C00335">
              <w:t xml:space="preserve"> </w:t>
            </w:r>
            <w:r w:rsidRPr="00C00335">
              <w:t>time period</w:t>
            </w:r>
            <w:r w:rsidR="00522F70">
              <w:t>, by race/ethnicity</w:t>
            </w:r>
            <w:r w:rsidRPr="00C00335">
              <w:t xml:space="preserve"> </w:t>
            </w:r>
          </w:p>
        </w:tc>
        <w:tc>
          <w:tcPr>
            <w:tcW w:w="3605" w:type="dxa"/>
            <w:tcBorders>
              <w:bottom w:val="single" w:sz="4" w:space="0" w:color="808080" w:themeColor="background1" w:themeShade="80"/>
            </w:tcBorders>
            <w:shd w:val="clear" w:color="auto" w:fill="auto"/>
            <w:noWrap/>
          </w:tcPr>
          <w:p w14:paraId="5059B3F9" w14:textId="77777777" w:rsidR="00FB3100" w:rsidRPr="00C00335" w:rsidRDefault="00FB3100" w:rsidP="00FB3100">
            <w:pPr>
              <w:pStyle w:val="TableText"/>
              <w:spacing w:before="40"/>
            </w:pPr>
          </w:p>
        </w:tc>
      </w:tr>
      <w:tr w:rsidR="00FB3100" w:rsidRPr="00C00335" w14:paraId="1ADA9CF4" w14:textId="77777777" w:rsidTr="00260D8A">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03570FB6" w14:textId="4E095E57" w:rsidR="00FB3100" w:rsidRPr="00C00335" w:rsidRDefault="00FB3100" w:rsidP="00FB3100">
            <w:pPr>
              <w:pStyle w:val="TableText"/>
              <w:tabs>
                <w:tab w:val="left" w:pos="3255"/>
              </w:tabs>
              <w:ind w:left="288"/>
            </w:pP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3E0268FF" w14:textId="6275C126" w:rsidR="00FB3100" w:rsidRPr="00C00335" w:rsidRDefault="00FA40DE" w:rsidP="00FB3100">
            <w:pPr>
              <w:pStyle w:val="TableTextDec"/>
              <w:tabs>
                <w:tab w:val="clear" w:pos="1015"/>
                <w:tab w:val="decimal" w:pos="715"/>
              </w:tabs>
              <w:spacing w:before="40"/>
            </w:pPr>
            <w:r w:rsidRPr="00FA40DE">
              <w:rPr>
                <w:i/>
              </w:rPr>
              <w:t>0.023</w:t>
            </w:r>
          </w:p>
        </w:tc>
        <w:tc>
          <w:tcPr>
            <w:tcW w:w="1761" w:type="dxa"/>
            <w:tcBorders>
              <w:top w:val="single" w:sz="4" w:space="0" w:color="808080" w:themeColor="background1" w:themeShade="80"/>
              <w:bottom w:val="single" w:sz="4" w:space="0" w:color="808080" w:themeColor="background1" w:themeShade="80"/>
            </w:tcBorders>
            <w:shd w:val="clear" w:color="auto" w:fill="auto"/>
          </w:tcPr>
          <w:p w14:paraId="7D82DB18" w14:textId="6805AD88" w:rsidR="00FB3100" w:rsidRPr="00C00335" w:rsidRDefault="00FA40DE" w:rsidP="00FB3100">
            <w:pPr>
              <w:pStyle w:val="TableTextDec"/>
              <w:tabs>
                <w:tab w:val="clear" w:pos="1015"/>
                <w:tab w:val="decimal" w:pos="715"/>
              </w:tabs>
              <w:spacing w:before="40"/>
            </w:pPr>
            <w:r w:rsidRPr="00FA40DE">
              <w:rPr>
                <w:i/>
              </w:rPr>
              <w:t>0.033</w:t>
            </w:r>
          </w:p>
        </w:tc>
        <w:tc>
          <w:tcPr>
            <w:tcW w:w="1762" w:type="dxa"/>
            <w:tcBorders>
              <w:top w:val="single" w:sz="4" w:space="0" w:color="808080" w:themeColor="background1" w:themeShade="80"/>
              <w:bottom w:val="single" w:sz="4" w:space="0" w:color="808080" w:themeColor="background1" w:themeShade="80"/>
            </w:tcBorders>
            <w:shd w:val="clear" w:color="auto" w:fill="auto"/>
          </w:tcPr>
          <w:p w14:paraId="201C2D78" w14:textId="6CE4164E" w:rsidR="00FB3100" w:rsidRPr="00C00335" w:rsidRDefault="00FA40DE" w:rsidP="00FB3100">
            <w:pPr>
              <w:pStyle w:val="TableTextDec"/>
              <w:tabs>
                <w:tab w:val="clear" w:pos="1015"/>
                <w:tab w:val="decimal" w:pos="715"/>
              </w:tabs>
              <w:spacing w:before="40"/>
            </w:pPr>
            <w:r w:rsidRPr="00FA40DE">
              <w:rPr>
                <w:i/>
              </w:rPr>
              <w:t>0.035</w:t>
            </w:r>
          </w:p>
        </w:tc>
        <w:tc>
          <w:tcPr>
            <w:tcW w:w="3605" w:type="dxa"/>
            <w:shd w:val="clear" w:color="auto" w:fill="auto"/>
            <w:noWrap/>
          </w:tcPr>
          <w:p w14:paraId="740910E8" w14:textId="562F6B4B" w:rsidR="00FB3100" w:rsidRPr="00C00335" w:rsidRDefault="00FB3100" w:rsidP="00FB3100">
            <w:pPr>
              <w:pStyle w:val="TableText"/>
              <w:spacing w:before="40"/>
            </w:pPr>
            <w:r w:rsidRPr="00C00335">
              <w:t>Determined by calibration</w:t>
            </w:r>
          </w:p>
        </w:tc>
      </w:tr>
    </w:tbl>
    <w:p w14:paraId="0CC22557" w14:textId="77777777" w:rsidR="001A6C07" w:rsidRPr="00C00335" w:rsidRDefault="001A6C07" w:rsidP="001A6C07">
      <w:pPr>
        <w:pStyle w:val="Tablecont"/>
      </w:pPr>
      <w:r w:rsidRPr="00C00335">
        <w:t>(continued)</w:t>
      </w:r>
    </w:p>
    <w:p w14:paraId="0F1F2B03" w14:textId="002AC38B" w:rsidR="001A6C07" w:rsidRPr="00C00335" w:rsidRDefault="001A6C07" w:rsidP="000B68B7">
      <w:pPr>
        <w:pStyle w:val="TableTitlecont"/>
      </w:pPr>
      <w:r w:rsidRPr="00C00335">
        <w:lastRenderedPageBreak/>
        <w:t>Table 5.</w:t>
      </w:r>
      <w:r w:rsidR="007006E8">
        <w:t>5</w:t>
      </w:r>
      <w:r w:rsidRPr="00C00335">
        <w:t>.</w:t>
      </w:r>
      <w:r w:rsidRPr="00C00335">
        <w:tab/>
        <w:t>Other Continuum-of-Care Probabilities (continued)</w:t>
      </w:r>
    </w:p>
    <w:tbl>
      <w:tblPr>
        <w:tblW w:w="5000"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071"/>
        <w:gridCol w:w="1761"/>
        <w:gridCol w:w="1761"/>
        <w:gridCol w:w="1762"/>
        <w:gridCol w:w="3605"/>
      </w:tblGrid>
      <w:tr w:rsidR="001A6C07" w:rsidRPr="00C00335" w14:paraId="71EB91B4" w14:textId="77777777" w:rsidTr="00260D8A">
        <w:trPr>
          <w:cantSplit/>
          <w:tblHeader/>
        </w:trPr>
        <w:tc>
          <w:tcPr>
            <w:tcW w:w="4071" w:type="dxa"/>
            <w:tcBorders>
              <w:top w:val="single" w:sz="12" w:space="0" w:color="000000"/>
              <w:bottom w:val="single" w:sz="6" w:space="0" w:color="auto"/>
            </w:tcBorders>
            <w:shd w:val="clear" w:color="auto" w:fill="auto"/>
            <w:noWrap/>
            <w:vAlign w:val="bottom"/>
            <w:hideMark/>
          </w:tcPr>
          <w:p w14:paraId="39C1D29B" w14:textId="77777777" w:rsidR="001A6C07" w:rsidRPr="00C00335" w:rsidRDefault="001A6C07" w:rsidP="00563F41">
            <w:pPr>
              <w:pStyle w:val="TableHeaders"/>
            </w:pPr>
            <w:r w:rsidRPr="00C00335">
              <w:t>Parameter</w:t>
            </w:r>
          </w:p>
        </w:tc>
        <w:tc>
          <w:tcPr>
            <w:tcW w:w="1761" w:type="dxa"/>
            <w:tcBorders>
              <w:top w:val="single" w:sz="12" w:space="0" w:color="000000"/>
              <w:bottom w:val="single" w:sz="6" w:space="0" w:color="auto"/>
            </w:tcBorders>
            <w:shd w:val="clear" w:color="auto" w:fill="auto"/>
            <w:noWrap/>
            <w:vAlign w:val="bottom"/>
            <w:hideMark/>
          </w:tcPr>
          <w:p w14:paraId="5BB946D8" w14:textId="77777777" w:rsidR="001A6C07" w:rsidRPr="00C00335" w:rsidRDefault="001A6C07" w:rsidP="00563F41">
            <w:pPr>
              <w:pStyle w:val="TableHeaders"/>
            </w:pPr>
            <w:r w:rsidRPr="00C00335">
              <w:t>Black</w:t>
            </w:r>
          </w:p>
        </w:tc>
        <w:tc>
          <w:tcPr>
            <w:tcW w:w="1761" w:type="dxa"/>
            <w:tcBorders>
              <w:top w:val="single" w:sz="12" w:space="0" w:color="000000"/>
              <w:bottom w:val="single" w:sz="6" w:space="0" w:color="auto"/>
            </w:tcBorders>
            <w:shd w:val="clear" w:color="auto" w:fill="auto"/>
            <w:noWrap/>
            <w:vAlign w:val="bottom"/>
            <w:hideMark/>
          </w:tcPr>
          <w:p w14:paraId="6DDFB1B2" w14:textId="77777777" w:rsidR="001A6C07" w:rsidRPr="00C00335" w:rsidRDefault="001A6C07" w:rsidP="00563F41">
            <w:pPr>
              <w:pStyle w:val="TableHeaders"/>
            </w:pPr>
            <w:r w:rsidRPr="00C00335">
              <w:t>Hispanic</w:t>
            </w:r>
          </w:p>
        </w:tc>
        <w:tc>
          <w:tcPr>
            <w:tcW w:w="1762" w:type="dxa"/>
            <w:tcBorders>
              <w:top w:val="single" w:sz="12" w:space="0" w:color="000000"/>
              <w:bottom w:val="single" w:sz="6" w:space="0" w:color="auto"/>
            </w:tcBorders>
            <w:shd w:val="clear" w:color="auto" w:fill="auto"/>
            <w:noWrap/>
            <w:vAlign w:val="bottom"/>
            <w:hideMark/>
          </w:tcPr>
          <w:p w14:paraId="39B0E2B7" w14:textId="039C48CC" w:rsidR="001A6C07" w:rsidRPr="00C00335" w:rsidRDefault="00896735" w:rsidP="00563F41">
            <w:pPr>
              <w:pStyle w:val="TableHeaders"/>
            </w:pPr>
            <w:r>
              <w:t>White/other</w:t>
            </w:r>
          </w:p>
        </w:tc>
        <w:tc>
          <w:tcPr>
            <w:tcW w:w="3605" w:type="dxa"/>
            <w:tcBorders>
              <w:top w:val="single" w:sz="12" w:space="0" w:color="000000"/>
              <w:bottom w:val="single" w:sz="6" w:space="0" w:color="auto"/>
            </w:tcBorders>
            <w:shd w:val="clear" w:color="auto" w:fill="auto"/>
            <w:noWrap/>
            <w:vAlign w:val="bottom"/>
            <w:hideMark/>
          </w:tcPr>
          <w:p w14:paraId="51F6536E" w14:textId="77777777" w:rsidR="001A6C07" w:rsidRPr="00C00335" w:rsidRDefault="001A6C07" w:rsidP="00563F41">
            <w:pPr>
              <w:pStyle w:val="TableHeaders"/>
            </w:pPr>
            <w:r w:rsidRPr="00C00335">
              <w:t>Source</w:t>
            </w:r>
          </w:p>
        </w:tc>
      </w:tr>
      <w:tr w:rsidR="00FB3100" w:rsidRPr="00EF2327" w14:paraId="7E9F0F62" w14:textId="77777777" w:rsidTr="00251AFF">
        <w:trPr>
          <w:cantSplit/>
        </w:trPr>
        <w:tc>
          <w:tcPr>
            <w:tcW w:w="9355" w:type="dxa"/>
            <w:gridSpan w:val="4"/>
            <w:tcBorders>
              <w:top w:val="single" w:sz="6" w:space="0" w:color="auto"/>
              <w:bottom w:val="single" w:sz="4" w:space="0" w:color="808080" w:themeColor="background1" w:themeShade="80"/>
            </w:tcBorders>
            <w:shd w:val="clear" w:color="auto" w:fill="auto"/>
            <w:noWrap/>
          </w:tcPr>
          <w:p w14:paraId="5F0EC949" w14:textId="5D792A9A" w:rsidR="00FB3100" w:rsidRPr="00522F70" w:rsidRDefault="00FB3100" w:rsidP="00FF73B7">
            <w:pPr>
              <w:pStyle w:val="TableTextDec"/>
              <w:tabs>
                <w:tab w:val="clear" w:pos="1015"/>
                <w:tab w:val="decimal" w:pos="715"/>
              </w:tabs>
              <w:spacing w:before="40"/>
            </w:pPr>
            <w:r w:rsidRPr="00522F70">
              <w:t xml:space="preserve">Relative risk of dropping out of ART and moving to linked-to-HIV-care (from </w:t>
            </w:r>
            <w:r w:rsidRPr="00522F70">
              <w:rPr>
                <w:i/>
                <w:iCs/>
              </w:rPr>
              <w:t>r</w:t>
            </w:r>
            <w:r w:rsidRPr="00522F70">
              <w:t xml:space="preserve"> = 4 to </w:t>
            </w:r>
            <w:r w:rsidRPr="00522F70">
              <w:rPr>
                <w:i/>
                <w:iCs/>
              </w:rPr>
              <w:t>r</w:t>
            </w:r>
            <w:r w:rsidRPr="00522F70">
              <w:t xml:space="preserve"> = 3) in </w:t>
            </w:r>
            <w:r w:rsidR="005471D8" w:rsidRPr="00522F70">
              <w:t xml:space="preserve">first </w:t>
            </w:r>
            <w:r w:rsidRPr="00522F70">
              <w:t xml:space="preserve">time period, by age group </w:t>
            </w:r>
            <w:r w:rsidR="00522F70">
              <w:t>(versus a</w:t>
            </w:r>
            <w:r w:rsidR="00522F70" w:rsidRPr="00C00335">
              <w:t xml:space="preserve">nnual probability </w:t>
            </w:r>
            <w:r w:rsidR="00522F70">
              <w:t>by race/ethnicity, reported above)</w:t>
            </w:r>
          </w:p>
        </w:tc>
        <w:tc>
          <w:tcPr>
            <w:tcW w:w="3605" w:type="dxa"/>
            <w:tcBorders>
              <w:top w:val="single" w:sz="6" w:space="0" w:color="auto"/>
            </w:tcBorders>
            <w:shd w:val="clear" w:color="auto" w:fill="auto"/>
            <w:noWrap/>
          </w:tcPr>
          <w:p w14:paraId="554CCE9C" w14:textId="77777777" w:rsidR="00FB3100" w:rsidRPr="00522F70" w:rsidRDefault="00FB3100" w:rsidP="00FF73B7">
            <w:pPr>
              <w:pStyle w:val="TableText"/>
              <w:spacing w:before="40"/>
            </w:pPr>
          </w:p>
        </w:tc>
      </w:tr>
      <w:tr w:rsidR="00FB3100" w:rsidRPr="00EF2327" w14:paraId="28BEA03A"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629EC30D" w14:textId="5515921D" w:rsidR="00FB3100" w:rsidRPr="00522F70" w:rsidRDefault="00FB3100" w:rsidP="00FB3100">
            <w:pPr>
              <w:pStyle w:val="TableText"/>
              <w:spacing w:before="40"/>
              <w:ind w:left="288"/>
            </w:pPr>
            <w:r w:rsidRPr="00522F70">
              <w:t>13</w:t>
            </w:r>
            <w:r w:rsidR="00CF40EF" w:rsidRPr="00522F70">
              <w:t>–</w:t>
            </w:r>
            <w:r w:rsidRPr="00522F70">
              <w:t>17</w:t>
            </w:r>
          </w:p>
        </w:tc>
        <w:tc>
          <w:tcPr>
            <w:tcW w:w="5284" w:type="dxa"/>
            <w:gridSpan w:val="3"/>
            <w:tcBorders>
              <w:top w:val="single" w:sz="6" w:space="0" w:color="auto"/>
              <w:bottom w:val="single" w:sz="4" w:space="0" w:color="808080" w:themeColor="background1" w:themeShade="80"/>
            </w:tcBorders>
            <w:shd w:val="clear" w:color="auto" w:fill="auto"/>
            <w:noWrap/>
          </w:tcPr>
          <w:p w14:paraId="7FADB5EA" w14:textId="488890A2" w:rsidR="00FB3100" w:rsidRPr="00522F70" w:rsidRDefault="00FB3100" w:rsidP="00FB3100">
            <w:pPr>
              <w:pStyle w:val="TableTextDec"/>
              <w:tabs>
                <w:tab w:val="clear" w:pos="1015"/>
                <w:tab w:val="decimal" w:pos="715"/>
              </w:tabs>
              <w:spacing w:before="40"/>
            </w:pPr>
            <w:r w:rsidRPr="00522F70">
              <w:t>------------------------------</w:t>
            </w:r>
            <w:r w:rsidR="00FA40DE" w:rsidRPr="00FA40DE">
              <w:rPr>
                <w:i/>
              </w:rPr>
              <w:t>1.12</w:t>
            </w:r>
            <w:r w:rsidRPr="00522F70">
              <w:t>-------------------------</w:t>
            </w:r>
          </w:p>
        </w:tc>
        <w:tc>
          <w:tcPr>
            <w:tcW w:w="3605" w:type="dxa"/>
            <w:vMerge w:val="restart"/>
            <w:tcBorders>
              <w:top w:val="single" w:sz="6" w:space="0" w:color="auto"/>
            </w:tcBorders>
            <w:shd w:val="clear" w:color="auto" w:fill="auto"/>
            <w:noWrap/>
          </w:tcPr>
          <w:p w14:paraId="4628DD4D" w14:textId="11940779" w:rsidR="00FB3100" w:rsidRPr="00522F70" w:rsidRDefault="00FB3100" w:rsidP="00FB3100">
            <w:pPr>
              <w:pStyle w:val="TableText"/>
              <w:spacing w:before="40"/>
            </w:pPr>
            <w:r w:rsidRPr="00522F70">
              <w:t>Calculated from odds ratio found by Sabin et al. (2009) (for the odds of discontinuing HAART within the first year for reasons other than virological failure) and from estimates of annual probability of dropping off ART if</w:t>
            </w:r>
            <w:r w:rsidR="00CF40EF" w:rsidRPr="00522F70">
              <w:t xml:space="preserve"> on</w:t>
            </w:r>
            <w:r w:rsidRPr="00522F70">
              <w:t xml:space="preserve"> </w:t>
            </w:r>
            <w:r w:rsidR="00280171">
              <w:t>ART-not-VLS</w:t>
            </w:r>
            <w:r w:rsidRPr="00522F70">
              <w:t>, which are determined by calibration.</w:t>
            </w:r>
          </w:p>
        </w:tc>
      </w:tr>
      <w:tr w:rsidR="00FB3100" w:rsidRPr="00EF2327" w14:paraId="6FA4A68B"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4EADCF2B" w14:textId="37933FA2" w:rsidR="00FB3100" w:rsidRPr="00522F70" w:rsidRDefault="00FB3100" w:rsidP="00FB3100">
            <w:pPr>
              <w:pStyle w:val="TableText"/>
              <w:spacing w:before="40"/>
              <w:ind w:left="288"/>
            </w:pPr>
            <w:r w:rsidRPr="00522F70">
              <w:t>18</w:t>
            </w:r>
            <w:r w:rsidR="00CF40EF" w:rsidRPr="00522F70">
              <w:t>–</w:t>
            </w:r>
            <w:r w:rsidRPr="00522F70">
              <w:t>24</w:t>
            </w:r>
          </w:p>
        </w:tc>
        <w:tc>
          <w:tcPr>
            <w:tcW w:w="5284" w:type="dxa"/>
            <w:gridSpan w:val="3"/>
            <w:tcBorders>
              <w:top w:val="single" w:sz="6" w:space="0" w:color="auto"/>
              <w:bottom w:val="single" w:sz="4" w:space="0" w:color="808080" w:themeColor="background1" w:themeShade="80"/>
            </w:tcBorders>
            <w:shd w:val="clear" w:color="auto" w:fill="auto"/>
            <w:noWrap/>
          </w:tcPr>
          <w:p w14:paraId="7CF17DDB" w14:textId="3A2175DC" w:rsidR="00FB3100" w:rsidRPr="00522F70" w:rsidRDefault="00FB3100" w:rsidP="00FB3100">
            <w:pPr>
              <w:pStyle w:val="TableTextDec"/>
              <w:tabs>
                <w:tab w:val="clear" w:pos="1015"/>
                <w:tab w:val="decimal" w:pos="715"/>
              </w:tabs>
              <w:spacing w:before="40"/>
            </w:pPr>
            <w:r w:rsidRPr="00522F70">
              <w:t>------------------------------</w:t>
            </w:r>
            <w:r w:rsidR="00FA40DE" w:rsidRPr="00FA40DE">
              <w:rPr>
                <w:i/>
              </w:rPr>
              <w:t>1.12</w:t>
            </w:r>
            <w:r w:rsidRPr="00522F70">
              <w:t>-------------------------</w:t>
            </w:r>
          </w:p>
        </w:tc>
        <w:tc>
          <w:tcPr>
            <w:tcW w:w="3605" w:type="dxa"/>
            <w:vMerge/>
            <w:shd w:val="clear" w:color="auto" w:fill="auto"/>
            <w:noWrap/>
          </w:tcPr>
          <w:p w14:paraId="57764793" w14:textId="77777777" w:rsidR="00FB3100" w:rsidRPr="00522F70" w:rsidRDefault="00FB3100" w:rsidP="00FB3100">
            <w:pPr>
              <w:pStyle w:val="TableText"/>
              <w:spacing w:before="40"/>
            </w:pPr>
          </w:p>
        </w:tc>
      </w:tr>
      <w:tr w:rsidR="00FB3100" w:rsidRPr="00EF2327" w14:paraId="03260E17"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2DF8C6EF" w14:textId="26FD0AF6" w:rsidR="00FB3100" w:rsidRPr="00522F70" w:rsidRDefault="00FB3100" w:rsidP="00FB3100">
            <w:pPr>
              <w:pStyle w:val="TableText"/>
              <w:spacing w:before="40"/>
              <w:ind w:left="288"/>
            </w:pPr>
            <w:r w:rsidRPr="00522F70">
              <w:t>25</w:t>
            </w:r>
            <w:r w:rsidR="00CF40EF" w:rsidRPr="00522F70">
              <w:t>–</w:t>
            </w:r>
            <w:r w:rsidRPr="00522F70">
              <w:t>34</w:t>
            </w:r>
          </w:p>
        </w:tc>
        <w:tc>
          <w:tcPr>
            <w:tcW w:w="5284" w:type="dxa"/>
            <w:gridSpan w:val="3"/>
            <w:tcBorders>
              <w:top w:val="single" w:sz="6" w:space="0" w:color="auto"/>
              <w:bottom w:val="single" w:sz="4" w:space="0" w:color="808080" w:themeColor="background1" w:themeShade="80"/>
            </w:tcBorders>
            <w:shd w:val="clear" w:color="auto" w:fill="auto"/>
            <w:noWrap/>
          </w:tcPr>
          <w:p w14:paraId="3BF49B96" w14:textId="6E564403" w:rsidR="00FB3100" w:rsidRPr="00522F70" w:rsidRDefault="00FB3100" w:rsidP="00FB3100">
            <w:pPr>
              <w:pStyle w:val="TableTextDec"/>
              <w:tabs>
                <w:tab w:val="clear" w:pos="1015"/>
                <w:tab w:val="decimal" w:pos="715"/>
              </w:tabs>
              <w:spacing w:before="40"/>
            </w:pPr>
            <w:r w:rsidRPr="00522F70">
              <w:t>------------------------------</w:t>
            </w:r>
            <w:r w:rsidR="00FA40DE" w:rsidRPr="00FA40DE">
              <w:rPr>
                <w:i/>
              </w:rPr>
              <w:t>1.06</w:t>
            </w:r>
            <w:r w:rsidRPr="00522F70">
              <w:t>-------------------------</w:t>
            </w:r>
          </w:p>
        </w:tc>
        <w:tc>
          <w:tcPr>
            <w:tcW w:w="3605" w:type="dxa"/>
            <w:vMerge/>
            <w:shd w:val="clear" w:color="auto" w:fill="auto"/>
            <w:noWrap/>
          </w:tcPr>
          <w:p w14:paraId="32019E63" w14:textId="77777777" w:rsidR="00FB3100" w:rsidRPr="00522F70" w:rsidRDefault="00FB3100" w:rsidP="00FB3100">
            <w:pPr>
              <w:pStyle w:val="TableText"/>
              <w:spacing w:before="40"/>
            </w:pPr>
          </w:p>
        </w:tc>
      </w:tr>
      <w:tr w:rsidR="00FB3100" w:rsidRPr="00EF2327" w14:paraId="3DBD521F"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788D732B" w14:textId="549A426D" w:rsidR="00FB3100" w:rsidRPr="00522F70" w:rsidRDefault="00FB3100" w:rsidP="00FB3100">
            <w:pPr>
              <w:pStyle w:val="TableText"/>
              <w:spacing w:before="40"/>
              <w:ind w:left="288"/>
            </w:pPr>
            <w:r w:rsidRPr="00522F70">
              <w:t>35</w:t>
            </w:r>
            <w:r w:rsidR="00CF40EF" w:rsidRPr="00522F70">
              <w:t>–</w:t>
            </w:r>
            <w:r w:rsidRPr="00522F70">
              <w:t>44</w:t>
            </w:r>
          </w:p>
        </w:tc>
        <w:tc>
          <w:tcPr>
            <w:tcW w:w="5284" w:type="dxa"/>
            <w:gridSpan w:val="3"/>
            <w:tcBorders>
              <w:top w:val="single" w:sz="6" w:space="0" w:color="auto"/>
              <w:bottom w:val="single" w:sz="4" w:space="0" w:color="808080" w:themeColor="background1" w:themeShade="80"/>
            </w:tcBorders>
            <w:shd w:val="clear" w:color="auto" w:fill="auto"/>
            <w:noWrap/>
          </w:tcPr>
          <w:p w14:paraId="658839CC" w14:textId="053E5107" w:rsidR="00FB3100" w:rsidRPr="00522F70" w:rsidRDefault="00FB3100" w:rsidP="00FB3100">
            <w:pPr>
              <w:pStyle w:val="TableTextDec"/>
              <w:tabs>
                <w:tab w:val="clear" w:pos="1015"/>
                <w:tab w:val="decimal" w:pos="715"/>
              </w:tabs>
              <w:spacing w:before="40"/>
            </w:pPr>
            <w:r w:rsidRPr="00522F70">
              <w:t>------------------------------</w:t>
            </w:r>
            <w:r w:rsidR="00FA40DE" w:rsidRPr="00FA40DE">
              <w:rPr>
                <w:i/>
              </w:rPr>
              <w:t>1.03</w:t>
            </w:r>
            <w:r w:rsidRPr="00522F70">
              <w:t>-------------------------</w:t>
            </w:r>
          </w:p>
        </w:tc>
        <w:tc>
          <w:tcPr>
            <w:tcW w:w="3605" w:type="dxa"/>
            <w:vMerge/>
            <w:shd w:val="clear" w:color="auto" w:fill="auto"/>
            <w:noWrap/>
          </w:tcPr>
          <w:p w14:paraId="361E26A5" w14:textId="77777777" w:rsidR="00FB3100" w:rsidRPr="00522F70" w:rsidRDefault="00FB3100" w:rsidP="00FB3100">
            <w:pPr>
              <w:pStyle w:val="TableText"/>
              <w:spacing w:before="40"/>
            </w:pPr>
          </w:p>
        </w:tc>
      </w:tr>
      <w:tr w:rsidR="00FB3100" w:rsidRPr="00EF2327" w14:paraId="709736A2"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57F6DDC0" w14:textId="3CF33F3E" w:rsidR="00FB3100" w:rsidRPr="00522F70" w:rsidRDefault="00FB3100" w:rsidP="00FB3100">
            <w:pPr>
              <w:pStyle w:val="TableText"/>
              <w:spacing w:before="40"/>
              <w:ind w:left="288"/>
            </w:pPr>
            <w:r w:rsidRPr="00522F70">
              <w:t>45</w:t>
            </w:r>
            <w:r w:rsidR="00CF40EF" w:rsidRPr="00522F70">
              <w:t>–</w:t>
            </w:r>
            <w:r w:rsidRPr="00522F70">
              <w:t>54</w:t>
            </w:r>
          </w:p>
        </w:tc>
        <w:tc>
          <w:tcPr>
            <w:tcW w:w="5284" w:type="dxa"/>
            <w:gridSpan w:val="3"/>
            <w:tcBorders>
              <w:top w:val="single" w:sz="6" w:space="0" w:color="auto"/>
              <w:bottom w:val="single" w:sz="4" w:space="0" w:color="808080" w:themeColor="background1" w:themeShade="80"/>
            </w:tcBorders>
            <w:shd w:val="clear" w:color="auto" w:fill="auto"/>
            <w:noWrap/>
          </w:tcPr>
          <w:p w14:paraId="34A603DD" w14:textId="6FBD2AD9" w:rsidR="00FB3100" w:rsidRPr="00522F70" w:rsidRDefault="00FB3100" w:rsidP="00FB3100">
            <w:pPr>
              <w:pStyle w:val="TableTextDec"/>
              <w:tabs>
                <w:tab w:val="clear" w:pos="1015"/>
                <w:tab w:val="decimal" w:pos="715"/>
              </w:tabs>
              <w:spacing w:before="40"/>
            </w:pPr>
            <w:r w:rsidRPr="00522F70">
              <w:t>------------------------------</w:t>
            </w:r>
            <w:r w:rsidR="007A57D6" w:rsidRPr="007A57D6">
              <w:rPr>
                <w:i/>
              </w:rPr>
              <w:t>1.10</w:t>
            </w:r>
            <w:r w:rsidRPr="00522F70">
              <w:t>-------------------------</w:t>
            </w:r>
          </w:p>
        </w:tc>
        <w:tc>
          <w:tcPr>
            <w:tcW w:w="3605" w:type="dxa"/>
            <w:vMerge/>
            <w:shd w:val="clear" w:color="auto" w:fill="auto"/>
            <w:noWrap/>
          </w:tcPr>
          <w:p w14:paraId="5FEF0B73" w14:textId="77777777" w:rsidR="00FB3100" w:rsidRPr="00522F70" w:rsidRDefault="00FB3100" w:rsidP="00FB3100">
            <w:pPr>
              <w:pStyle w:val="TableText"/>
              <w:spacing w:before="40"/>
            </w:pPr>
          </w:p>
        </w:tc>
      </w:tr>
      <w:tr w:rsidR="00FB3100" w:rsidRPr="00EF2327" w14:paraId="261C89BB"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3D64279B" w14:textId="5ACDF9B9" w:rsidR="00FB3100" w:rsidRPr="00522F70" w:rsidRDefault="00FB3100" w:rsidP="00FB3100">
            <w:pPr>
              <w:pStyle w:val="TableText"/>
              <w:spacing w:before="40"/>
              <w:ind w:left="288"/>
            </w:pPr>
            <w:r w:rsidRPr="00522F70">
              <w:t>55</w:t>
            </w:r>
            <w:r w:rsidR="00CF40EF" w:rsidRPr="00522F70">
              <w:t>–</w:t>
            </w:r>
            <w:r w:rsidRPr="00522F70">
              <w:t>64</w:t>
            </w:r>
          </w:p>
        </w:tc>
        <w:tc>
          <w:tcPr>
            <w:tcW w:w="5284" w:type="dxa"/>
            <w:gridSpan w:val="3"/>
            <w:tcBorders>
              <w:top w:val="single" w:sz="6" w:space="0" w:color="auto"/>
              <w:bottom w:val="single" w:sz="4" w:space="0" w:color="808080" w:themeColor="background1" w:themeShade="80"/>
            </w:tcBorders>
            <w:shd w:val="clear" w:color="auto" w:fill="auto"/>
            <w:noWrap/>
          </w:tcPr>
          <w:p w14:paraId="46504631" w14:textId="12050D90" w:rsidR="00FB3100" w:rsidRPr="00522F70" w:rsidRDefault="00FB3100" w:rsidP="00FB3100">
            <w:pPr>
              <w:pStyle w:val="TableTextDec"/>
              <w:tabs>
                <w:tab w:val="clear" w:pos="1015"/>
                <w:tab w:val="decimal" w:pos="715"/>
              </w:tabs>
              <w:spacing w:before="40"/>
            </w:pPr>
            <w:r w:rsidRPr="00522F70">
              <w:t>------------------------------</w:t>
            </w:r>
            <w:r w:rsidR="007A57D6" w:rsidRPr="007A57D6">
              <w:rPr>
                <w:i/>
              </w:rPr>
              <w:t>1.14</w:t>
            </w:r>
            <w:r w:rsidRPr="00522F70">
              <w:t>-------------------------</w:t>
            </w:r>
          </w:p>
        </w:tc>
        <w:tc>
          <w:tcPr>
            <w:tcW w:w="3605" w:type="dxa"/>
            <w:vMerge/>
            <w:shd w:val="clear" w:color="auto" w:fill="auto"/>
            <w:noWrap/>
          </w:tcPr>
          <w:p w14:paraId="10A1B153" w14:textId="77777777" w:rsidR="00FB3100" w:rsidRPr="00522F70" w:rsidRDefault="00FB3100" w:rsidP="00FB3100">
            <w:pPr>
              <w:pStyle w:val="TableText"/>
              <w:spacing w:before="40"/>
            </w:pPr>
          </w:p>
        </w:tc>
      </w:tr>
      <w:tr w:rsidR="00FB3100" w:rsidRPr="00C00335" w14:paraId="466F3B26"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26583411" w14:textId="1E5AB25F" w:rsidR="00FB3100" w:rsidRPr="00522F70" w:rsidRDefault="00FB3100" w:rsidP="00FB3100">
            <w:pPr>
              <w:pStyle w:val="TableText"/>
              <w:spacing w:before="40"/>
              <w:ind w:left="288"/>
            </w:pPr>
            <w:r w:rsidRPr="00522F70">
              <w:t>65+</w:t>
            </w:r>
          </w:p>
        </w:tc>
        <w:tc>
          <w:tcPr>
            <w:tcW w:w="5284" w:type="dxa"/>
            <w:gridSpan w:val="3"/>
            <w:tcBorders>
              <w:top w:val="single" w:sz="6" w:space="0" w:color="auto"/>
              <w:bottom w:val="single" w:sz="4" w:space="0" w:color="808080" w:themeColor="background1" w:themeShade="80"/>
            </w:tcBorders>
            <w:shd w:val="clear" w:color="auto" w:fill="auto"/>
            <w:noWrap/>
          </w:tcPr>
          <w:p w14:paraId="20D23CE8" w14:textId="1CAC5C22" w:rsidR="00FB3100" w:rsidRPr="00522F70" w:rsidRDefault="00FB3100" w:rsidP="00FB3100">
            <w:pPr>
              <w:pStyle w:val="TableTextDec"/>
              <w:tabs>
                <w:tab w:val="clear" w:pos="1015"/>
                <w:tab w:val="decimal" w:pos="715"/>
              </w:tabs>
              <w:spacing w:before="40"/>
            </w:pPr>
            <w:r w:rsidRPr="00522F70">
              <w:t>------------------------------</w:t>
            </w:r>
            <w:r w:rsidR="007A57D6" w:rsidRPr="007A57D6">
              <w:rPr>
                <w:i/>
              </w:rPr>
              <w:t>1.14</w:t>
            </w:r>
            <w:r w:rsidRPr="00522F70">
              <w:t>-------------------------</w:t>
            </w:r>
          </w:p>
        </w:tc>
        <w:tc>
          <w:tcPr>
            <w:tcW w:w="3605" w:type="dxa"/>
            <w:vMerge/>
            <w:shd w:val="clear" w:color="auto" w:fill="auto"/>
            <w:noWrap/>
          </w:tcPr>
          <w:p w14:paraId="3C7743C2" w14:textId="77777777" w:rsidR="00FB3100" w:rsidRPr="00522F70" w:rsidRDefault="00FB3100" w:rsidP="00FB3100">
            <w:pPr>
              <w:pStyle w:val="TableText"/>
              <w:spacing w:before="40"/>
            </w:pPr>
          </w:p>
        </w:tc>
      </w:tr>
      <w:tr w:rsidR="00FB3100" w:rsidRPr="00C00335" w14:paraId="2F8294B2"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52FBB554" w14:textId="6C78239E" w:rsidR="00FB3100" w:rsidRPr="00522F70" w:rsidRDefault="00FB3100" w:rsidP="00CB2861">
            <w:pPr>
              <w:pStyle w:val="TableText"/>
              <w:spacing w:before="40"/>
            </w:pPr>
            <w:r w:rsidRPr="00522F70">
              <w:t xml:space="preserve">Annual probability of dropping out of ART (from </w:t>
            </w:r>
            <w:r w:rsidRPr="00522F70">
              <w:rPr>
                <w:i/>
                <w:iCs/>
              </w:rPr>
              <w:t>r</w:t>
            </w:r>
            <w:r w:rsidRPr="00522F70">
              <w:t xml:space="preserve"> = 4 to </w:t>
            </w:r>
            <w:r w:rsidRPr="00522F70">
              <w:rPr>
                <w:i/>
                <w:iCs/>
              </w:rPr>
              <w:t>r</w:t>
            </w:r>
            <w:r w:rsidRPr="00522F70">
              <w:t> = 2)</w:t>
            </w:r>
            <w:r w:rsidRPr="00522F70">
              <w:rPr>
                <w:vertAlign w:val="superscript"/>
              </w:rPr>
              <w:t>b</w:t>
            </w:r>
            <w:r w:rsidRPr="00522F70">
              <w:t xml:space="preserve"> in </w:t>
            </w:r>
            <w:r w:rsidR="005471D8" w:rsidRPr="00522F70">
              <w:t xml:space="preserve">first </w:t>
            </w:r>
            <w:r w:rsidRPr="00522F70">
              <w:t>time period</w:t>
            </w:r>
          </w:p>
        </w:tc>
        <w:tc>
          <w:tcPr>
            <w:tcW w:w="1761" w:type="dxa"/>
            <w:tcBorders>
              <w:top w:val="single" w:sz="6" w:space="0" w:color="auto"/>
              <w:bottom w:val="single" w:sz="4" w:space="0" w:color="808080" w:themeColor="background1" w:themeShade="80"/>
            </w:tcBorders>
            <w:shd w:val="clear" w:color="auto" w:fill="auto"/>
            <w:noWrap/>
          </w:tcPr>
          <w:p w14:paraId="720F8F22" w14:textId="245F2E43" w:rsidR="00FB3100" w:rsidRPr="00522F70" w:rsidRDefault="00FB3100" w:rsidP="00FB3100">
            <w:pPr>
              <w:pStyle w:val="TableTextDec"/>
              <w:tabs>
                <w:tab w:val="clear" w:pos="1015"/>
                <w:tab w:val="decimal" w:pos="715"/>
              </w:tabs>
              <w:spacing w:before="40"/>
            </w:pPr>
            <w:r w:rsidRPr="00522F70">
              <w:t>0.000</w:t>
            </w:r>
          </w:p>
        </w:tc>
        <w:tc>
          <w:tcPr>
            <w:tcW w:w="1761" w:type="dxa"/>
            <w:tcBorders>
              <w:top w:val="single" w:sz="6" w:space="0" w:color="auto"/>
              <w:bottom w:val="single" w:sz="4" w:space="0" w:color="808080" w:themeColor="background1" w:themeShade="80"/>
            </w:tcBorders>
            <w:shd w:val="clear" w:color="auto" w:fill="auto"/>
          </w:tcPr>
          <w:p w14:paraId="59F31033" w14:textId="727E96CE" w:rsidR="00FB3100" w:rsidRPr="00522F70" w:rsidRDefault="00FB3100" w:rsidP="00FB3100">
            <w:pPr>
              <w:pStyle w:val="TableTextDec"/>
              <w:tabs>
                <w:tab w:val="clear" w:pos="1015"/>
                <w:tab w:val="decimal" w:pos="715"/>
              </w:tabs>
              <w:spacing w:before="40"/>
            </w:pPr>
            <w:r w:rsidRPr="00522F70">
              <w:t>0.000</w:t>
            </w:r>
          </w:p>
        </w:tc>
        <w:tc>
          <w:tcPr>
            <w:tcW w:w="1762" w:type="dxa"/>
            <w:tcBorders>
              <w:top w:val="single" w:sz="6" w:space="0" w:color="auto"/>
              <w:bottom w:val="single" w:sz="4" w:space="0" w:color="808080" w:themeColor="background1" w:themeShade="80"/>
            </w:tcBorders>
            <w:shd w:val="clear" w:color="auto" w:fill="auto"/>
          </w:tcPr>
          <w:p w14:paraId="1D6845AA" w14:textId="7D6C5BD6" w:rsidR="00FB3100" w:rsidRPr="00522F70" w:rsidRDefault="00FB3100" w:rsidP="00FB3100">
            <w:pPr>
              <w:pStyle w:val="TableTextDec"/>
              <w:tabs>
                <w:tab w:val="clear" w:pos="1015"/>
                <w:tab w:val="decimal" w:pos="715"/>
              </w:tabs>
              <w:spacing w:before="40"/>
            </w:pPr>
            <w:r w:rsidRPr="00522F70">
              <w:t>0.000</w:t>
            </w:r>
          </w:p>
        </w:tc>
        <w:tc>
          <w:tcPr>
            <w:tcW w:w="3605" w:type="dxa"/>
            <w:tcBorders>
              <w:top w:val="single" w:sz="6" w:space="0" w:color="auto"/>
            </w:tcBorders>
            <w:shd w:val="clear" w:color="auto" w:fill="auto"/>
            <w:noWrap/>
          </w:tcPr>
          <w:p w14:paraId="44453EAF" w14:textId="410C1C73" w:rsidR="00FB3100" w:rsidRPr="00522F70" w:rsidRDefault="00FB3100" w:rsidP="00FB3100">
            <w:pPr>
              <w:pStyle w:val="TableText"/>
              <w:spacing w:before="40"/>
            </w:pPr>
            <w:r w:rsidRPr="00522F70">
              <w:t>Flow not considered in base model.</w:t>
            </w:r>
          </w:p>
        </w:tc>
      </w:tr>
      <w:tr w:rsidR="00FB3100" w:rsidRPr="00C00335" w14:paraId="455F693E" w14:textId="77777777" w:rsidTr="00251AFF">
        <w:trPr>
          <w:cantSplit/>
        </w:trPr>
        <w:tc>
          <w:tcPr>
            <w:tcW w:w="4071" w:type="dxa"/>
            <w:tcBorders>
              <w:top w:val="single" w:sz="6" w:space="0" w:color="auto"/>
              <w:bottom w:val="single" w:sz="4" w:space="0" w:color="808080" w:themeColor="background1" w:themeShade="80"/>
            </w:tcBorders>
            <w:shd w:val="clear" w:color="auto" w:fill="auto"/>
            <w:noWrap/>
          </w:tcPr>
          <w:p w14:paraId="5CBBEE16" w14:textId="57FB5C35" w:rsidR="00FB3100" w:rsidRDefault="00FB3100" w:rsidP="00CB2861">
            <w:pPr>
              <w:pStyle w:val="TableText"/>
              <w:spacing w:before="40"/>
            </w:pPr>
            <w:r w:rsidRPr="00C00335">
              <w:t xml:space="preserve">Annual probability of loss of VLS if VLS (from </w:t>
            </w:r>
            <w:r w:rsidRPr="00C00335">
              <w:rPr>
                <w:i/>
                <w:iCs/>
              </w:rPr>
              <w:t>r</w:t>
            </w:r>
            <w:r w:rsidRPr="00C00335">
              <w:t xml:space="preserve"> = 5 to </w:t>
            </w:r>
            <w:r w:rsidRPr="00C00335">
              <w:rPr>
                <w:i/>
                <w:iCs/>
              </w:rPr>
              <w:t>r</w:t>
            </w:r>
            <w:r w:rsidRPr="00C00335">
              <w:t xml:space="preserve"> = 4) in </w:t>
            </w:r>
            <w:r w:rsidR="005471D8">
              <w:t>first</w:t>
            </w:r>
            <w:r w:rsidR="005471D8" w:rsidRPr="00C00335">
              <w:t xml:space="preserve"> </w:t>
            </w:r>
            <w:r w:rsidRPr="00C00335">
              <w:t xml:space="preserve">time period </w:t>
            </w:r>
          </w:p>
        </w:tc>
        <w:tc>
          <w:tcPr>
            <w:tcW w:w="1761" w:type="dxa"/>
            <w:tcBorders>
              <w:top w:val="single" w:sz="6" w:space="0" w:color="auto"/>
              <w:bottom w:val="single" w:sz="4" w:space="0" w:color="808080" w:themeColor="background1" w:themeShade="80"/>
            </w:tcBorders>
            <w:shd w:val="clear" w:color="auto" w:fill="auto"/>
            <w:noWrap/>
          </w:tcPr>
          <w:p w14:paraId="1C6BBF7D" w14:textId="2DED6BB5" w:rsidR="00FB3100" w:rsidRPr="00C00335" w:rsidRDefault="007A57D6" w:rsidP="00FB3100">
            <w:pPr>
              <w:pStyle w:val="TableTextDec"/>
              <w:tabs>
                <w:tab w:val="clear" w:pos="1015"/>
                <w:tab w:val="decimal" w:pos="715"/>
              </w:tabs>
              <w:spacing w:before="40"/>
            </w:pPr>
            <w:r w:rsidRPr="007A57D6">
              <w:rPr>
                <w:i/>
              </w:rPr>
              <w:t>0.184</w:t>
            </w:r>
          </w:p>
        </w:tc>
        <w:tc>
          <w:tcPr>
            <w:tcW w:w="1761" w:type="dxa"/>
            <w:tcBorders>
              <w:top w:val="single" w:sz="6" w:space="0" w:color="auto"/>
              <w:bottom w:val="single" w:sz="4" w:space="0" w:color="808080" w:themeColor="background1" w:themeShade="80"/>
            </w:tcBorders>
            <w:shd w:val="clear" w:color="auto" w:fill="auto"/>
          </w:tcPr>
          <w:p w14:paraId="6C9DF202" w14:textId="33ACCFBD" w:rsidR="00FB3100" w:rsidRPr="00C00335" w:rsidRDefault="007A57D6" w:rsidP="00FB3100">
            <w:pPr>
              <w:pStyle w:val="TableTextDec"/>
              <w:tabs>
                <w:tab w:val="clear" w:pos="1015"/>
                <w:tab w:val="decimal" w:pos="715"/>
              </w:tabs>
              <w:spacing w:before="40"/>
            </w:pPr>
            <w:r w:rsidRPr="007A57D6">
              <w:rPr>
                <w:i/>
              </w:rPr>
              <w:t>0.171</w:t>
            </w:r>
          </w:p>
        </w:tc>
        <w:tc>
          <w:tcPr>
            <w:tcW w:w="1762" w:type="dxa"/>
            <w:tcBorders>
              <w:top w:val="single" w:sz="6" w:space="0" w:color="auto"/>
              <w:bottom w:val="single" w:sz="4" w:space="0" w:color="808080" w:themeColor="background1" w:themeShade="80"/>
            </w:tcBorders>
            <w:shd w:val="clear" w:color="auto" w:fill="auto"/>
          </w:tcPr>
          <w:p w14:paraId="30A9A606" w14:textId="47A14150" w:rsidR="00FB3100" w:rsidRPr="00C00335" w:rsidRDefault="007A57D6" w:rsidP="00FB3100">
            <w:pPr>
              <w:pStyle w:val="TableTextDec"/>
              <w:tabs>
                <w:tab w:val="clear" w:pos="1015"/>
                <w:tab w:val="decimal" w:pos="715"/>
              </w:tabs>
              <w:spacing w:before="40"/>
            </w:pPr>
            <w:r w:rsidRPr="007A57D6">
              <w:rPr>
                <w:i/>
              </w:rPr>
              <w:t>0.046</w:t>
            </w:r>
          </w:p>
        </w:tc>
        <w:tc>
          <w:tcPr>
            <w:tcW w:w="3605" w:type="dxa"/>
            <w:tcBorders>
              <w:top w:val="single" w:sz="6" w:space="0" w:color="auto"/>
            </w:tcBorders>
            <w:shd w:val="clear" w:color="auto" w:fill="auto"/>
            <w:noWrap/>
          </w:tcPr>
          <w:p w14:paraId="7752FA76" w14:textId="62ED5606" w:rsidR="00FB3100" w:rsidRDefault="00FB3100" w:rsidP="00FB3100">
            <w:pPr>
              <w:pStyle w:val="TableText"/>
              <w:spacing w:before="40"/>
            </w:pPr>
            <w:r w:rsidRPr="00C00335">
              <w:t>Determined by calibration</w:t>
            </w:r>
          </w:p>
        </w:tc>
      </w:tr>
      <w:tr w:rsidR="00FB3100" w:rsidRPr="00522F70" w14:paraId="278F695A" w14:textId="77777777" w:rsidTr="00251AFF">
        <w:trPr>
          <w:cantSplit/>
        </w:trPr>
        <w:tc>
          <w:tcPr>
            <w:tcW w:w="9355" w:type="dxa"/>
            <w:gridSpan w:val="4"/>
            <w:tcBorders>
              <w:top w:val="single" w:sz="6" w:space="0" w:color="auto"/>
              <w:bottom w:val="single" w:sz="4" w:space="0" w:color="808080" w:themeColor="background1" w:themeShade="80"/>
            </w:tcBorders>
            <w:shd w:val="clear" w:color="auto" w:fill="auto"/>
            <w:noWrap/>
          </w:tcPr>
          <w:p w14:paraId="44CB8A19" w14:textId="07397D4E" w:rsidR="00FB3100" w:rsidRPr="00522F70" w:rsidRDefault="00FB3100" w:rsidP="00FB3100">
            <w:pPr>
              <w:pStyle w:val="TableTextDec"/>
              <w:tabs>
                <w:tab w:val="clear" w:pos="1015"/>
                <w:tab w:val="decimal" w:pos="715"/>
              </w:tabs>
              <w:spacing w:before="40"/>
            </w:pPr>
            <w:r w:rsidRPr="00522F70">
              <w:t xml:space="preserve">Relative risk of loss of VLS if VLS (from </w:t>
            </w:r>
            <w:r w:rsidRPr="00522F70">
              <w:rPr>
                <w:i/>
                <w:iCs/>
              </w:rPr>
              <w:t>r</w:t>
            </w:r>
            <w:r w:rsidRPr="00522F70">
              <w:t xml:space="preserve"> = 5 to </w:t>
            </w:r>
            <w:r w:rsidRPr="00522F70">
              <w:rPr>
                <w:i/>
                <w:iCs/>
              </w:rPr>
              <w:t>r</w:t>
            </w:r>
            <w:r w:rsidRPr="00522F70">
              <w:t xml:space="preserve"> = 4) in </w:t>
            </w:r>
            <w:r w:rsidR="005471D8" w:rsidRPr="00522F70">
              <w:t xml:space="preserve">first </w:t>
            </w:r>
            <w:r w:rsidRPr="00522F70">
              <w:t>time period, by transmission group (reference: HET)</w:t>
            </w:r>
          </w:p>
        </w:tc>
        <w:tc>
          <w:tcPr>
            <w:tcW w:w="3605" w:type="dxa"/>
            <w:tcBorders>
              <w:top w:val="single" w:sz="6" w:space="0" w:color="auto"/>
            </w:tcBorders>
            <w:shd w:val="clear" w:color="auto" w:fill="auto"/>
            <w:noWrap/>
          </w:tcPr>
          <w:p w14:paraId="4F7DC8DB" w14:textId="77777777" w:rsidR="00FB3100" w:rsidRPr="00522F70" w:rsidRDefault="00FB3100" w:rsidP="00FB3100">
            <w:pPr>
              <w:pStyle w:val="TableText"/>
              <w:spacing w:before="40"/>
            </w:pPr>
          </w:p>
        </w:tc>
      </w:tr>
      <w:tr w:rsidR="00FB3100" w:rsidRPr="00522F70" w14:paraId="20A01E8E"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2CC7D37" w14:textId="46DB93A5" w:rsidR="00FB3100" w:rsidRPr="00522F70" w:rsidRDefault="00FB3100" w:rsidP="00CB2861">
            <w:pPr>
              <w:pStyle w:val="TableText"/>
              <w:spacing w:before="40"/>
              <w:ind w:left="288"/>
            </w:pPr>
            <w:r w:rsidRPr="00522F70">
              <w:t>MSM</w:t>
            </w:r>
          </w:p>
        </w:tc>
        <w:tc>
          <w:tcPr>
            <w:tcW w:w="5284" w:type="dxa"/>
            <w:gridSpan w:val="3"/>
            <w:tcBorders>
              <w:top w:val="single" w:sz="6" w:space="0" w:color="auto"/>
              <w:bottom w:val="single" w:sz="4" w:space="0" w:color="808080" w:themeColor="background1" w:themeShade="80"/>
            </w:tcBorders>
            <w:shd w:val="clear" w:color="auto" w:fill="auto"/>
            <w:noWrap/>
          </w:tcPr>
          <w:p w14:paraId="0613C9DD" w14:textId="341E6294" w:rsidR="00FB3100" w:rsidRPr="00522F70" w:rsidRDefault="00FB3100" w:rsidP="00FB3100">
            <w:pPr>
              <w:pStyle w:val="TableTextDec"/>
              <w:tabs>
                <w:tab w:val="clear" w:pos="1015"/>
                <w:tab w:val="decimal" w:pos="715"/>
              </w:tabs>
              <w:spacing w:before="40"/>
            </w:pPr>
            <w:r w:rsidRPr="00522F70">
              <w:t>------------------------------</w:t>
            </w:r>
            <w:r w:rsidR="007A57D6" w:rsidRPr="007A57D6">
              <w:rPr>
                <w:i/>
              </w:rPr>
              <w:t>1.896</w:t>
            </w:r>
            <w:r w:rsidRPr="00522F70">
              <w:t>-------------------------</w:t>
            </w:r>
          </w:p>
        </w:tc>
        <w:tc>
          <w:tcPr>
            <w:tcW w:w="3605" w:type="dxa"/>
            <w:vMerge w:val="restart"/>
            <w:tcBorders>
              <w:top w:val="single" w:sz="6" w:space="0" w:color="auto"/>
            </w:tcBorders>
            <w:shd w:val="clear" w:color="auto" w:fill="auto"/>
            <w:noWrap/>
          </w:tcPr>
          <w:p w14:paraId="4033DC88" w14:textId="40F064D9" w:rsidR="00FB3100" w:rsidRPr="00522F70" w:rsidRDefault="00FB3100" w:rsidP="00FB3100">
            <w:pPr>
              <w:pStyle w:val="TableText"/>
              <w:spacing w:before="40"/>
            </w:pPr>
            <w:r w:rsidRPr="00522F70">
              <w:t>Determined by calibration</w:t>
            </w:r>
          </w:p>
        </w:tc>
      </w:tr>
      <w:tr w:rsidR="00FB3100" w:rsidRPr="00522F70" w14:paraId="66039F1E"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3F5BEFA1" w14:textId="0C983B35" w:rsidR="00FB3100" w:rsidRPr="00522F70" w:rsidRDefault="00FB3100" w:rsidP="00CB2861">
            <w:pPr>
              <w:pStyle w:val="TableText"/>
              <w:spacing w:before="40"/>
              <w:ind w:left="288"/>
            </w:pPr>
            <w:r w:rsidRPr="00522F70">
              <w:t>PWID</w:t>
            </w:r>
          </w:p>
        </w:tc>
        <w:tc>
          <w:tcPr>
            <w:tcW w:w="5284" w:type="dxa"/>
            <w:gridSpan w:val="3"/>
            <w:tcBorders>
              <w:top w:val="single" w:sz="6" w:space="0" w:color="auto"/>
              <w:bottom w:val="single" w:sz="4" w:space="0" w:color="808080" w:themeColor="background1" w:themeShade="80"/>
            </w:tcBorders>
            <w:shd w:val="clear" w:color="auto" w:fill="auto"/>
            <w:noWrap/>
          </w:tcPr>
          <w:p w14:paraId="01CD7FBB" w14:textId="250353A2" w:rsidR="00FB3100" w:rsidRPr="00522F70" w:rsidRDefault="00FB3100" w:rsidP="00FB3100">
            <w:pPr>
              <w:pStyle w:val="TableTextDec"/>
              <w:tabs>
                <w:tab w:val="clear" w:pos="1015"/>
                <w:tab w:val="decimal" w:pos="715"/>
              </w:tabs>
              <w:spacing w:before="40"/>
            </w:pPr>
            <w:r w:rsidRPr="00522F70">
              <w:t>------------------------------</w:t>
            </w:r>
            <w:r w:rsidR="007A57D6" w:rsidRPr="007A57D6">
              <w:rPr>
                <w:i/>
              </w:rPr>
              <w:t>3.063</w:t>
            </w:r>
            <w:r w:rsidRPr="00522F70">
              <w:t>-------------------------</w:t>
            </w:r>
          </w:p>
        </w:tc>
        <w:tc>
          <w:tcPr>
            <w:tcW w:w="3605" w:type="dxa"/>
            <w:vMerge/>
            <w:tcBorders>
              <w:bottom w:val="single" w:sz="4" w:space="0" w:color="808080" w:themeColor="background1" w:themeShade="80"/>
            </w:tcBorders>
            <w:shd w:val="clear" w:color="auto" w:fill="auto"/>
            <w:noWrap/>
          </w:tcPr>
          <w:p w14:paraId="43A9D956" w14:textId="77777777" w:rsidR="00FB3100" w:rsidRPr="00522F70" w:rsidRDefault="00FB3100" w:rsidP="00FB3100">
            <w:pPr>
              <w:pStyle w:val="TableText"/>
              <w:spacing w:before="40"/>
            </w:pPr>
          </w:p>
        </w:tc>
      </w:tr>
      <w:tr w:rsidR="00FB3100" w:rsidRPr="00522F70" w14:paraId="1165AF2C" w14:textId="77777777" w:rsidTr="00836279">
        <w:trPr>
          <w:cantSplit/>
        </w:trPr>
        <w:tc>
          <w:tcPr>
            <w:tcW w:w="9355" w:type="dxa"/>
            <w:gridSpan w:val="4"/>
            <w:tcBorders>
              <w:top w:val="single" w:sz="6" w:space="0" w:color="auto"/>
              <w:bottom w:val="single" w:sz="4" w:space="0" w:color="808080" w:themeColor="background1" w:themeShade="80"/>
            </w:tcBorders>
            <w:shd w:val="clear" w:color="auto" w:fill="auto"/>
            <w:noWrap/>
          </w:tcPr>
          <w:p w14:paraId="50A8BAB4" w14:textId="4388C16C" w:rsidR="00FB3100" w:rsidRPr="00522F70" w:rsidRDefault="00FB3100" w:rsidP="00FB3100">
            <w:pPr>
              <w:pStyle w:val="TableTextDec"/>
              <w:tabs>
                <w:tab w:val="clear" w:pos="1015"/>
                <w:tab w:val="decimal" w:pos="715"/>
              </w:tabs>
              <w:spacing w:before="40"/>
            </w:pPr>
            <w:r w:rsidRPr="00522F70">
              <w:t xml:space="preserve">Relative risk of loss of VLS if VLS (from </w:t>
            </w:r>
            <w:r w:rsidRPr="00522F70">
              <w:rPr>
                <w:i/>
                <w:iCs/>
              </w:rPr>
              <w:t>r</w:t>
            </w:r>
            <w:r w:rsidRPr="00522F70">
              <w:t xml:space="preserve"> = 5 to </w:t>
            </w:r>
            <w:r w:rsidRPr="00522F70">
              <w:rPr>
                <w:i/>
                <w:iCs/>
              </w:rPr>
              <w:t>r</w:t>
            </w:r>
            <w:r w:rsidRPr="00522F70">
              <w:t xml:space="preserve"> = 4) in </w:t>
            </w:r>
            <w:r w:rsidR="005471D8" w:rsidRPr="00522F70">
              <w:t xml:space="preserve">first </w:t>
            </w:r>
            <w:r w:rsidRPr="00522F70">
              <w:t>time period, by age group (reference: 13</w:t>
            </w:r>
            <w:r w:rsidR="000268B4" w:rsidRPr="00522F70">
              <w:t>–</w:t>
            </w:r>
            <w:r w:rsidRPr="00522F70">
              <w:t>17)</w:t>
            </w:r>
          </w:p>
        </w:tc>
        <w:tc>
          <w:tcPr>
            <w:tcW w:w="3605" w:type="dxa"/>
            <w:tcBorders>
              <w:top w:val="single" w:sz="6" w:space="0" w:color="auto"/>
              <w:bottom w:val="single" w:sz="4" w:space="0" w:color="808080" w:themeColor="background1" w:themeShade="80"/>
            </w:tcBorders>
            <w:shd w:val="clear" w:color="auto" w:fill="auto"/>
            <w:noWrap/>
          </w:tcPr>
          <w:p w14:paraId="740F7E1A" w14:textId="77777777" w:rsidR="00FB3100" w:rsidRPr="00522F70" w:rsidRDefault="00FB3100" w:rsidP="00FB3100">
            <w:pPr>
              <w:pStyle w:val="TableText"/>
              <w:spacing w:before="40"/>
            </w:pPr>
          </w:p>
        </w:tc>
      </w:tr>
      <w:tr w:rsidR="00FB3100" w:rsidRPr="00522F70" w14:paraId="2C481910"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4EB32C5A" w14:textId="265BB5CB" w:rsidR="00FB3100" w:rsidRPr="00522F70" w:rsidRDefault="00FB3100" w:rsidP="00FB3100">
            <w:pPr>
              <w:pStyle w:val="TableText"/>
              <w:spacing w:before="40"/>
              <w:ind w:left="288"/>
            </w:pPr>
            <w:r w:rsidRPr="00522F70">
              <w:t>18</w:t>
            </w:r>
            <w:r w:rsidR="000268B4" w:rsidRPr="00522F70">
              <w:t>–</w:t>
            </w:r>
            <w:r w:rsidRPr="00522F70">
              <w:t>24</w:t>
            </w:r>
          </w:p>
        </w:tc>
        <w:tc>
          <w:tcPr>
            <w:tcW w:w="5284" w:type="dxa"/>
            <w:gridSpan w:val="3"/>
            <w:tcBorders>
              <w:top w:val="single" w:sz="6" w:space="0" w:color="auto"/>
              <w:bottom w:val="single" w:sz="4" w:space="0" w:color="808080" w:themeColor="background1" w:themeShade="80"/>
            </w:tcBorders>
            <w:shd w:val="clear" w:color="auto" w:fill="auto"/>
            <w:noWrap/>
          </w:tcPr>
          <w:p w14:paraId="4AB94BF1" w14:textId="4763C291" w:rsidR="00FB3100" w:rsidRPr="00522F70" w:rsidRDefault="00FB3100" w:rsidP="00FB3100">
            <w:pPr>
              <w:pStyle w:val="TableTextDec"/>
              <w:tabs>
                <w:tab w:val="clear" w:pos="1015"/>
                <w:tab w:val="decimal" w:pos="715"/>
              </w:tabs>
              <w:spacing w:before="40"/>
            </w:pPr>
            <w:r w:rsidRPr="00522F70">
              <w:t>------------------------------</w:t>
            </w:r>
            <w:r w:rsidR="007A57D6" w:rsidRPr="007A57D6">
              <w:rPr>
                <w:i/>
              </w:rPr>
              <w:t>3.16</w:t>
            </w:r>
            <w:r w:rsidRPr="00522F70">
              <w:t>-------------------------</w:t>
            </w:r>
          </w:p>
        </w:tc>
        <w:tc>
          <w:tcPr>
            <w:tcW w:w="3605" w:type="dxa"/>
            <w:vMerge w:val="restart"/>
            <w:tcBorders>
              <w:top w:val="single" w:sz="6" w:space="0" w:color="auto"/>
            </w:tcBorders>
            <w:shd w:val="clear" w:color="auto" w:fill="auto"/>
            <w:noWrap/>
          </w:tcPr>
          <w:p w14:paraId="41A32ED3" w14:textId="519C34C8" w:rsidR="00FB3100" w:rsidRPr="00522F70" w:rsidRDefault="00FB3100" w:rsidP="00FB3100">
            <w:pPr>
              <w:pStyle w:val="TableText"/>
              <w:spacing w:before="40"/>
            </w:pPr>
            <w:r w:rsidRPr="00522F70">
              <w:t>Determined by calibration</w:t>
            </w:r>
          </w:p>
        </w:tc>
      </w:tr>
      <w:tr w:rsidR="00FB3100" w:rsidRPr="00522F70" w14:paraId="53B1AFBC"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49065A08" w14:textId="275A0384" w:rsidR="00FB3100" w:rsidRPr="00522F70" w:rsidRDefault="00FB3100" w:rsidP="00FB3100">
            <w:pPr>
              <w:pStyle w:val="TableText"/>
              <w:spacing w:before="40"/>
              <w:ind w:left="288"/>
            </w:pPr>
            <w:r w:rsidRPr="00522F70">
              <w:t>25</w:t>
            </w:r>
            <w:r w:rsidR="000268B4" w:rsidRPr="00522F70">
              <w:t>–</w:t>
            </w:r>
            <w:r w:rsidRPr="00522F70">
              <w:t>34</w:t>
            </w:r>
          </w:p>
        </w:tc>
        <w:tc>
          <w:tcPr>
            <w:tcW w:w="5284" w:type="dxa"/>
            <w:gridSpan w:val="3"/>
            <w:tcBorders>
              <w:top w:val="single" w:sz="6" w:space="0" w:color="auto"/>
              <w:bottom w:val="single" w:sz="4" w:space="0" w:color="808080" w:themeColor="background1" w:themeShade="80"/>
            </w:tcBorders>
            <w:shd w:val="clear" w:color="auto" w:fill="auto"/>
            <w:noWrap/>
          </w:tcPr>
          <w:p w14:paraId="13B8C86A" w14:textId="500ABCEE" w:rsidR="00FB3100" w:rsidRPr="00522F70" w:rsidRDefault="00FB3100" w:rsidP="00FB3100">
            <w:pPr>
              <w:pStyle w:val="TableTextDec"/>
              <w:tabs>
                <w:tab w:val="clear" w:pos="1015"/>
                <w:tab w:val="decimal" w:pos="715"/>
              </w:tabs>
              <w:spacing w:before="40"/>
            </w:pPr>
            <w:r w:rsidRPr="00522F70">
              <w:t>------------------------------</w:t>
            </w:r>
            <w:r w:rsidR="007A57D6" w:rsidRPr="007A57D6">
              <w:rPr>
                <w:i/>
              </w:rPr>
              <w:t>3.74</w:t>
            </w:r>
            <w:r w:rsidRPr="00522F70">
              <w:t>-------------------------</w:t>
            </w:r>
          </w:p>
        </w:tc>
        <w:tc>
          <w:tcPr>
            <w:tcW w:w="3605" w:type="dxa"/>
            <w:vMerge/>
            <w:shd w:val="clear" w:color="auto" w:fill="auto"/>
            <w:noWrap/>
          </w:tcPr>
          <w:p w14:paraId="32ED4660" w14:textId="77777777" w:rsidR="00FB3100" w:rsidRPr="00522F70" w:rsidRDefault="00FB3100" w:rsidP="00FB3100">
            <w:pPr>
              <w:pStyle w:val="TableText"/>
              <w:spacing w:before="40"/>
            </w:pPr>
          </w:p>
        </w:tc>
      </w:tr>
      <w:tr w:rsidR="00FB3100" w:rsidRPr="00522F70" w14:paraId="3758BD0C"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0688ACD4" w14:textId="43459F77" w:rsidR="00FB3100" w:rsidRPr="00522F70" w:rsidRDefault="00FB3100" w:rsidP="00FB3100">
            <w:pPr>
              <w:pStyle w:val="TableText"/>
              <w:spacing w:before="40"/>
              <w:ind w:left="288"/>
            </w:pPr>
            <w:r w:rsidRPr="00522F70">
              <w:t>35</w:t>
            </w:r>
            <w:r w:rsidR="000268B4" w:rsidRPr="00522F70">
              <w:t>–</w:t>
            </w:r>
            <w:r w:rsidRPr="00522F70">
              <w:t>44</w:t>
            </w:r>
          </w:p>
        </w:tc>
        <w:tc>
          <w:tcPr>
            <w:tcW w:w="5284" w:type="dxa"/>
            <w:gridSpan w:val="3"/>
            <w:tcBorders>
              <w:top w:val="single" w:sz="6" w:space="0" w:color="auto"/>
              <w:bottom w:val="single" w:sz="4" w:space="0" w:color="808080" w:themeColor="background1" w:themeShade="80"/>
            </w:tcBorders>
            <w:shd w:val="clear" w:color="auto" w:fill="auto"/>
            <w:noWrap/>
          </w:tcPr>
          <w:p w14:paraId="445AE74E" w14:textId="49065A68" w:rsidR="00FB3100" w:rsidRPr="00522F70" w:rsidRDefault="00FB3100" w:rsidP="00FB3100">
            <w:pPr>
              <w:pStyle w:val="TableTextDec"/>
              <w:tabs>
                <w:tab w:val="clear" w:pos="1015"/>
                <w:tab w:val="decimal" w:pos="715"/>
              </w:tabs>
              <w:spacing w:before="40"/>
            </w:pPr>
            <w:r w:rsidRPr="00522F70">
              <w:t>------------------------------</w:t>
            </w:r>
            <w:r w:rsidR="007A57D6" w:rsidRPr="007A57D6">
              <w:rPr>
                <w:i/>
              </w:rPr>
              <w:t>3.79</w:t>
            </w:r>
            <w:r w:rsidRPr="00522F70">
              <w:t>-------------------------</w:t>
            </w:r>
          </w:p>
        </w:tc>
        <w:tc>
          <w:tcPr>
            <w:tcW w:w="3605" w:type="dxa"/>
            <w:vMerge/>
            <w:shd w:val="clear" w:color="auto" w:fill="auto"/>
            <w:noWrap/>
          </w:tcPr>
          <w:p w14:paraId="6E686E34" w14:textId="77777777" w:rsidR="00FB3100" w:rsidRPr="00522F70" w:rsidRDefault="00FB3100" w:rsidP="00FB3100">
            <w:pPr>
              <w:pStyle w:val="TableText"/>
              <w:spacing w:before="40"/>
            </w:pPr>
          </w:p>
        </w:tc>
      </w:tr>
      <w:tr w:rsidR="00FB3100" w:rsidRPr="00522F70" w14:paraId="5194B2AE"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1D97D92" w14:textId="61038121" w:rsidR="00FB3100" w:rsidRPr="00522F70" w:rsidRDefault="00FB3100" w:rsidP="00FB3100">
            <w:pPr>
              <w:pStyle w:val="TableText"/>
              <w:spacing w:before="40"/>
              <w:ind w:left="288"/>
            </w:pPr>
            <w:r w:rsidRPr="00522F70">
              <w:t>45</w:t>
            </w:r>
            <w:r w:rsidR="000268B4" w:rsidRPr="00522F70">
              <w:t>–</w:t>
            </w:r>
            <w:r w:rsidRPr="00522F70">
              <w:t>54</w:t>
            </w:r>
          </w:p>
        </w:tc>
        <w:tc>
          <w:tcPr>
            <w:tcW w:w="5284" w:type="dxa"/>
            <w:gridSpan w:val="3"/>
            <w:tcBorders>
              <w:top w:val="single" w:sz="6" w:space="0" w:color="auto"/>
              <w:bottom w:val="single" w:sz="4" w:space="0" w:color="808080" w:themeColor="background1" w:themeShade="80"/>
            </w:tcBorders>
            <w:shd w:val="clear" w:color="auto" w:fill="auto"/>
            <w:noWrap/>
          </w:tcPr>
          <w:p w14:paraId="5FB312A5" w14:textId="79C7933B" w:rsidR="00FB3100" w:rsidRPr="00522F70" w:rsidRDefault="00FB3100" w:rsidP="00FB3100">
            <w:pPr>
              <w:pStyle w:val="TableTextDec"/>
              <w:tabs>
                <w:tab w:val="clear" w:pos="1015"/>
                <w:tab w:val="decimal" w:pos="715"/>
              </w:tabs>
              <w:spacing w:before="40"/>
            </w:pPr>
            <w:r w:rsidRPr="00522F70">
              <w:t>------------------------------</w:t>
            </w:r>
            <w:r w:rsidR="007A57D6" w:rsidRPr="007A57D6">
              <w:rPr>
                <w:i/>
              </w:rPr>
              <w:t>2.91</w:t>
            </w:r>
            <w:r w:rsidRPr="00522F70">
              <w:t>-------------------------</w:t>
            </w:r>
          </w:p>
        </w:tc>
        <w:tc>
          <w:tcPr>
            <w:tcW w:w="3605" w:type="dxa"/>
            <w:vMerge/>
            <w:shd w:val="clear" w:color="auto" w:fill="auto"/>
            <w:noWrap/>
          </w:tcPr>
          <w:p w14:paraId="73DF1E27" w14:textId="77777777" w:rsidR="00FB3100" w:rsidRPr="00522F70" w:rsidRDefault="00FB3100" w:rsidP="00FB3100">
            <w:pPr>
              <w:pStyle w:val="TableText"/>
              <w:spacing w:before="40"/>
            </w:pPr>
          </w:p>
        </w:tc>
      </w:tr>
      <w:tr w:rsidR="00FB3100" w:rsidRPr="00522F70" w14:paraId="15ED5C39"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700505E5" w14:textId="5E7DB437" w:rsidR="00FB3100" w:rsidRPr="00522F70" w:rsidRDefault="00FB3100" w:rsidP="00FB3100">
            <w:pPr>
              <w:pStyle w:val="TableText"/>
              <w:spacing w:before="40"/>
              <w:ind w:left="288"/>
            </w:pPr>
            <w:r w:rsidRPr="00522F70">
              <w:t>55</w:t>
            </w:r>
            <w:r w:rsidR="000268B4" w:rsidRPr="00522F70">
              <w:t>–</w:t>
            </w:r>
            <w:r w:rsidRPr="00522F70">
              <w:t>64</w:t>
            </w:r>
          </w:p>
        </w:tc>
        <w:tc>
          <w:tcPr>
            <w:tcW w:w="5284" w:type="dxa"/>
            <w:gridSpan w:val="3"/>
            <w:tcBorders>
              <w:top w:val="single" w:sz="6" w:space="0" w:color="auto"/>
              <w:bottom w:val="single" w:sz="4" w:space="0" w:color="808080" w:themeColor="background1" w:themeShade="80"/>
            </w:tcBorders>
            <w:shd w:val="clear" w:color="auto" w:fill="auto"/>
            <w:noWrap/>
          </w:tcPr>
          <w:p w14:paraId="0BC008EC" w14:textId="344AC3F9" w:rsidR="00FB3100" w:rsidRPr="00522F70" w:rsidRDefault="00FB3100" w:rsidP="00FB3100">
            <w:pPr>
              <w:pStyle w:val="TableTextDec"/>
              <w:tabs>
                <w:tab w:val="clear" w:pos="1015"/>
                <w:tab w:val="decimal" w:pos="715"/>
              </w:tabs>
              <w:spacing w:before="40"/>
            </w:pPr>
            <w:r w:rsidRPr="00522F70">
              <w:t>------------------------------</w:t>
            </w:r>
            <w:r w:rsidR="007A57D6" w:rsidRPr="007A57D6">
              <w:rPr>
                <w:i/>
              </w:rPr>
              <w:t>1.92</w:t>
            </w:r>
            <w:r w:rsidRPr="00522F70">
              <w:t>-------------------------</w:t>
            </w:r>
          </w:p>
        </w:tc>
        <w:tc>
          <w:tcPr>
            <w:tcW w:w="3605" w:type="dxa"/>
            <w:vMerge/>
            <w:shd w:val="clear" w:color="auto" w:fill="auto"/>
            <w:noWrap/>
          </w:tcPr>
          <w:p w14:paraId="6122FA68" w14:textId="77777777" w:rsidR="00FB3100" w:rsidRPr="00522F70" w:rsidRDefault="00FB3100" w:rsidP="00FB3100">
            <w:pPr>
              <w:pStyle w:val="TableText"/>
              <w:spacing w:before="40"/>
            </w:pPr>
          </w:p>
        </w:tc>
      </w:tr>
      <w:tr w:rsidR="00FB3100" w:rsidRPr="00522F70" w14:paraId="3AE36C27"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8D88281" w14:textId="1CB37F9D" w:rsidR="00FB3100" w:rsidRPr="00522F70" w:rsidRDefault="00FB3100" w:rsidP="00FB3100">
            <w:pPr>
              <w:pStyle w:val="TableText"/>
              <w:spacing w:before="40"/>
              <w:ind w:left="288"/>
            </w:pPr>
            <w:r w:rsidRPr="00522F70">
              <w:t>65+</w:t>
            </w:r>
          </w:p>
        </w:tc>
        <w:tc>
          <w:tcPr>
            <w:tcW w:w="5284" w:type="dxa"/>
            <w:gridSpan w:val="3"/>
            <w:tcBorders>
              <w:top w:val="single" w:sz="6" w:space="0" w:color="auto"/>
              <w:bottom w:val="single" w:sz="4" w:space="0" w:color="808080" w:themeColor="background1" w:themeShade="80"/>
            </w:tcBorders>
            <w:shd w:val="clear" w:color="auto" w:fill="auto"/>
            <w:noWrap/>
          </w:tcPr>
          <w:p w14:paraId="451340FE" w14:textId="6C859D7D" w:rsidR="00FB3100" w:rsidRPr="00522F70" w:rsidRDefault="00FB3100" w:rsidP="00FB3100">
            <w:pPr>
              <w:pStyle w:val="TableTextDec"/>
              <w:tabs>
                <w:tab w:val="clear" w:pos="1015"/>
                <w:tab w:val="decimal" w:pos="715"/>
              </w:tabs>
              <w:spacing w:before="40"/>
            </w:pPr>
            <w:r w:rsidRPr="00522F70">
              <w:t>------------------------------</w:t>
            </w:r>
            <w:r w:rsidR="007A57D6" w:rsidRPr="007A57D6">
              <w:rPr>
                <w:i/>
              </w:rPr>
              <w:t>1.83</w:t>
            </w:r>
            <w:r w:rsidRPr="00522F70">
              <w:t>-------------------------</w:t>
            </w:r>
          </w:p>
        </w:tc>
        <w:tc>
          <w:tcPr>
            <w:tcW w:w="3605" w:type="dxa"/>
            <w:vMerge/>
            <w:tcBorders>
              <w:bottom w:val="single" w:sz="4" w:space="0" w:color="808080" w:themeColor="background1" w:themeShade="80"/>
            </w:tcBorders>
            <w:shd w:val="clear" w:color="auto" w:fill="auto"/>
            <w:noWrap/>
          </w:tcPr>
          <w:p w14:paraId="0EB1179C" w14:textId="77777777" w:rsidR="00FB3100" w:rsidRPr="00522F70" w:rsidRDefault="00FB3100" w:rsidP="00FB3100">
            <w:pPr>
              <w:pStyle w:val="TableText"/>
              <w:spacing w:before="40"/>
            </w:pPr>
          </w:p>
        </w:tc>
      </w:tr>
    </w:tbl>
    <w:p w14:paraId="4D5B53C1" w14:textId="71E74281" w:rsidR="008903E9" w:rsidRDefault="008903E9" w:rsidP="00CB2861">
      <w:pPr>
        <w:pStyle w:val="Source2"/>
        <w:jc w:val="right"/>
      </w:pPr>
      <w:r w:rsidRPr="00522F70">
        <w:t>(continued</w:t>
      </w:r>
      <w:r>
        <w:t>)</w:t>
      </w:r>
    </w:p>
    <w:p w14:paraId="57A63FDD" w14:textId="5ED0C9FA" w:rsidR="00FF73B7" w:rsidRPr="00C00335" w:rsidRDefault="008903E9" w:rsidP="00FF73B7">
      <w:pPr>
        <w:pStyle w:val="TableTitlecont"/>
      </w:pPr>
      <w:r w:rsidRPr="00C00335">
        <w:lastRenderedPageBreak/>
        <w:t>Table 5.</w:t>
      </w:r>
      <w:r w:rsidR="00E058F0">
        <w:t>5</w:t>
      </w:r>
      <w:r w:rsidRPr="00C00335">
        <w:t>.</w:t>
      </w:r>
      <w:r w:rsidRPr="00C00335">
        <w:tab/>
        <w:t>Other Continuum-of-Care Probabilities</w:t>
      </w:r>
      <w:r w:rsidR="00FF73B7" w:rsidRPr="00C00335">
        <w:t xml:space="preserve"> (continued)</w:t>
      </w:r>
    </w:p>
    <w:tbl>
      <w:tblPr>
        <w:tblW w:w="5000"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4071"/>
        <w:gridCol w:w="1761"/>
        <w:gridCol w:w="1761"/>
        <w:gridCol w:w="1762"/>
        <w:gridCol w:w="3605"/>
      </w:tblGrid>
      <w:tr w:rsidR="00FF73B7" w:rsidRPr="00C00335" w14:paraId="6D0FF3F4" w14:textId="77777777" w:rsidTr="00836279">
        <w:trPr>
          <w:cantSplit/>
          <w:tblHeader/>
        </w:trPr>
        <w:tc>
          <w:tcPr>
            <w:tcW w:w="4071" w:type="dxa"/>
            <w:tcBorders>
              <w:top w:val="single" w:sz="12" w:space="0" w:color="000000"/>
              <w:bottom w:val="single" w:sz="6" w:space="0" w:color="auto"/>
            </w:tcBorders>
            <w:shd w:val="clear" w:color="auto" w:fill="auto"/>
            <w:noWrap/>
            <w:vAlign w:val="bottom"/>
            <w:hideMark/>
          </w:tcPr>
          <w:p w14:paraId="1FECE445" w14:textId="77777777" w:rsidR="00FF73B7" w:rsidRPr="00C00335" w:rsidRDefault="00FF73B7" w:rsidP="00836279">
            <w:pPr>
              <w:pStyle w:val="TableHeaders"/>
            </w:pPr>
            <w:r w:rsidRPr="00C00335">
              <w:t>Parameter</w:t>
            </w:r>
          </w:p>
        </w:tc>
        <w:tc>
          <w:tcPr>
            <w:tcW w:w="1761" w:type="dxa"/>
            <w:tcBorders>
              <w:top w:val="single" w:sz="12" w:space="0" w:color="000000"/>
              <w:bottom w:val="single" w:sz="6" w:space="0" w:color="auto"/>
            </w:tcBorders>
            <w:shd w:val="clear" w:color="auto" w:fill="auto"/>
            <w:noWrap/>
            <w:vAlign w:val="bottom"/>
            <w:hideMark/>
          </w:tcPr>
          <w:p w14:paraId="5DFDDC85" w14:textId="77777777" w:rsidR="00FF73B7" w:rsidRPr="00C00335" w:rsidRDefault="00FF73B7" w:rsidP="00836279">
            <w:pPr>
              <w:pStyle w:val="TableHeaders"/>
            </w:pPr>
            <w:r w:rsidRPr="00C00335">
              <w:t>Black</w:t>
            </w:r>
          </w:p>
        </w:tc>
        <w:tc>
          <w:tcPr>
            <w:tcW w:w="1761" w:type="dxa"/>
            <w:tcBorders>
              <w:top w:val="single" w:sz="12" w:space="0" w:color="000000"/>
              <w:bottom w:val="single" w:sz="6" w:space="0" w:color="auto"/>
            </w:tcBorders>
            <w:shd w:val="clear" w:color="auto" w:fill="auto"/>
            <w:noWrap/>
            <w:vAlign w:val="bottom"/>
            <w:hideMark/>
          </w:tcPr>
          <w:p w14:paraId="6F01AFA8" w14:textId="77777777" w:rsidR="00FF73B7" w:rsidRPr="00C00335" w:rsidRDefault="00FF73B7" w:rsidP="00836279">
            <w:pPr>
              <w:pStyle w:val="TableHeaders"/>
            </w:pPr>
            <w:r w:rsidRPr="00C00335">
              <w:t>Hispanic</w:t>
            </w:r>
          </w:p>
        </w:tc>
        <w:tc>
          <w:tcPr>
            <w:tcW w:w="1762" w:type="dxa"/>
            <w:tcBorders>
              <w:top w:val="single" w:sz="12" w:space="0" w:color="000000"/>
              <w:bottom w:val="single" w:sz="6" w:space="0" w:color="auto"/>
            </w:tcBorders>
            <w:shd w:val="clear" w:color="auto" w:fill="auto"/>
            <w:noWrap/>
            <w:vAlign w:val="bottom"/>
            <w:hideMark/>
          </w:tcPr>
          <w:p w14:paraId="2EBCBBF7" w14:textId="17778B08" w:rsidR="00FF73B7" w:rsidRPr="00C00335" w:rsidRDefault="00896735" w:rsidP="00836279">
            <w:pPr>
              <w:pStyle w:val="TableHeaders"/>
            </w:pPr>
            <w:r>
              <w:t>White/other</w:t>
            </w:r>
          </w:p>
        </w:tc>
        <w:tc>
          <w:tcPr>
            <w:tcW w:w="3605" w:type="dxa"/>
            <w:tcBorders>
              <w:top w:val="single" w:sz="12" w:space="0" w:color="000000"/>
              <w:bottom w:val="single" w:sz="6" w:space="0" w:color="auto"/>
            </w:tcBorders>
            <w:shd w:val="clear" w:color="auto" w:fill="auto"/>
            <w:noWrap/>
            <w:vAlign w:val="bottom"/>
            <w:hideMark/>
          </w:tcPr>
          <w:p w14:paraId="1983B6FE" w14:textId="77777777" w:rsidR="00FF73B7" w:rsidRPr="00C00335" w:rsidRDefault="00FF73B7" w:rsidP="00836279">
            <w:pPr>
              <w:pStyle w:val="TableHeaders"/>
            </w:pPr>
            <w:r w:rsidRPr="00C00335">
              <w:t>Source</w:t>
            </w:r>
          </w:p>
        </w:tc>
      </w:tr>
      <w:tr w:rsidR="003973F2" w:rsidRPr="00C00335" w14:paraId="7D24AC62" w14:textId="77777777" w:rsidTr="00C63DB4">
        <w:trPr>
          <w:cantSplit/>
        </w:trPr>
        <w:tc>
          <w:tcPr>
            <w:tcW w:w="4071" w:type="dxa"/>
            <w:tcBorders>
              <w:top w:val="single" w:sz="6" w:space="0" w:color="auto"/>
              <w:bottom w:val="single" w:sz="4" w:space="0" w:color="808080" w:themeColor="background1" w:themeShade="80"/>
            </w:tcBorders>
            <w:shd w:val="clear" w:color="auto" w:fill="auto"/>
            <w:noWrap/>
          </w:tcPr>
          <w:p w14:paraId="6A9E5EB9" w14:textId="62BB21D9" w:rsidR="003973F2" w:rsidRPr="00C00335" w:rsidRDefault="003973F2" w:rsidP="00C63DB4">
            <w:pPr>
              <w:pStyle w:val="TableText"/>
              <w:spacing w:before="40"/>
            </w:pPr>
            <w:r w:rsidRPr="00C00335">
              <w:t>Annual probability of transitioning from VLS to LTC no ART affects (from r = 5 to r = 3)</w:t>
            </w:r>
            <w:r w:rsidRPr="00C00335">
              <w:rPr>
                <w:vertAlign w:val="superscript"/>
              </w:rPr>
              <w:t xml:space="preserve"> b</w:t>
            </w:r>
            <w:r w:rsidRPr="00C00335">
              <w:t xml:space="preserve"> in </w:t>
            </w:r>
            <w:r w:rsidR="005471D8">
              <w:t>first</w:t>
            </w:r>
            <w:r w:rsidR="005471D8" w:rsidRPr="00C00335">
              <w:t xml:space="preserve"> </w:t>
            </w:r>
            <w:r w:rsidRPr="00C00335">
              <w:t>time period</w:t>
            </w:r>
          </w:p>
        </w:tc>
        <w:tc>
          <w:tcPr>
            <w:tcW w:w="1761" w:type="dxa"/>
            <w:tcBorders>
              <w:top w:val="single" w:sz="6" w:space="0" w:color="auto"/>
              <w:bottom w:val="single" w:sz="4" w:space="0" w:color="808080" w:themeColor="background1" w:themeShade="80"/>
            </w:tcBorders>
            <w:shd w:val="clear" w:color="auto" w:fill="auto"/>
            <w:noWrap/>
          </w:tcPr>
          <w:p w14:paraId="58A4CD20" w14:textId="77777777" w:rsidR="003973F2" w:rsidRPr="00C00335" w:rsidRDefault="003973F2" w:rsidP="00C63DB4">
            <w:pPr>
              <w:pStyle w:val="TableTextDec"/>
              <w:tabs>
                <w:tab w:val="clear" w:pos="1015"/>
                <w:tab w:val="decimal" w:pos="715"/>
              </w:tabs>
              <w:spacing w:before="40"/>
            </w:pPr>
            <w:r w:rsidRPr="00C00335">
              <w:t>0.000</w:t>
            </w:r>
          </w:p>
        </w:tc>
        <w:tc>
          <w:tcPr>
            <w:tcW w:w="1761" w:type="dxa"/>
            <w:tcBorders>
              <w:top w:val="single" w:sz="6" w:space="0" w:color="auto"/>
              <w:bottom w:val="single" w:sz="4" w:space="0" w:color="808080" w:themeColor="background1" w:themeShade="80"/>
            </w:tcBorders>
            <w:shd w:val="clear" w:color="auto" w:fill="auto"/>
            <w:noWrap/>
          </w:tcPr>
          <w:p w14:paraId="455E305F" w14:textId="77777777" w:rsidR="003973F2" w:rsidRPr="00C00335" w:rsidRDefault="003973F2" w:rsidP="00C63DB4">
            <w:pPr>
              <w:pStyle w:val="TableTextDec"/>
              <w:tabs>
                <w:tab w:val="clear" w:pos="1015"/>
                <w:tab w:val="decimal" w:pos="715"/>
              </w:tabs>
              <w:spacing w:before="40"/>
            </w:pPr>
            <w:r w:rsidRPr="00C00335">
              <w:t>0.000</w:t>
            </w:r>
          </w:p>
        </w:tc>
        <w:tc>
          <w:tcPr>
            <w:tcW w:w="1762" w:type="dxa"/>
            <w:tcBorders>
              <w:top w:val="single" w:sz="6" w:space="0" w:color="auto"/>
              <w:bottom w:val="single" w:sz="4" w:space="0" w:color="808080" w:themeColor="background1" w:themeShade="80"/>
            </w:tcBorders>
            <w:shd w:val="clear" w:color="auto" w:fill="auto"/>
            <w:noWrap/>
          </w:tcPr>
          <w:p w14:paraId="49728DFE" w14:textId="77777777" w:rsidR="003973F2" w:rsidRPr="00C00335" w:rsidRDefault="003973F2" w:rsidP="00C63DB4">
            <w:pPr>
              <w:pStyle w:val="TableTextDec"/>
              <w:tabs>
                <w:tab w:val="clear" w:pos="1015"/>
                <w:tab w:val="decimal" w:pos="715"/>
              </w:tabs>
              <w:spacing w:before="40"/>
            </w:pPr>
            <w:r w:rsidRPr="00C00335">
              <w:t>0.000</w:t>
            </w:r>
          </w:p>
        </w:tc>
        <w:tc>
          <w:tcPr>
            <w:tcW w:w="3605" w:type="dxa"/>
            <w:tcBorders>
              <w:top w:val="single" w:sz="6" w:space="0" w:color="auto"/>
              <w:bottom w:val="single" w:sz="4" w:space="0" w:color="808080" w:themeColor="background1" w:themeShade="80"/>
            </w:tcBorders>
            <w:shd w:val="clear" w:color="auto" w:fill="auto"/>
            <w:noWrap/>
          </w:tcPr>
          <w:p w14:paraId="4ABE2F2D" w14:textId="77777777" w:rsidR="003973F2" w:rsidRPr="00C00335" w:rsidRDefault="003973F2" w:rsidP="00C63DB4">
            <w:pPr>
              <w:pStyle w:val="TableText"/>
              <w:spacing w:before="40"/>
            </w:pPr>
            <w:r w:rsidRPr="00C00335">
              <w:t>Flow not considered in base model.</w:t>
            </w:r>
          </w:p>
        </w:tc>
      </w:tr>
      <w:tr w:rsidR="003973F2" w:rsidRPr="00C00335" w14:paraId="5C6D6D93" w14:textId="77777777" w:rsidTr="00C63DB4">
        <w:trPr>
          <w:cantSplit/>
        </w:trPr>
        <w:tc>
          <w:tcPr>
            <w:tcW w:w="4071" w:type="dxa"/>
            <w:tcBorders>
              <w:top w:val="single" w:sz="4" w:space="0" w:color="808080" w:themeColor="background1" w:themeShade="80"/>
              <w:bottom w:val="single" w:sz="4" w:space="0" w:color="808080" w:themeColor="background1" w:themeShade="80"/>
            </w:tcBorders>
            <w:shd w:val="clear" w:color="auto" w:fill="auto"/>
            <w:noWrap/>
          </w:tcPr>
          <w:p w14:paraId="02F6200B" w14:textId="400E742C" w:rsidR="003973F2" w:rsidRPr="00C00335" w:rsidRDefault="003973F2" w:rsidP="00C63DB4">
            <w:pPr>
              <w:pStyle w:val="TableText"/>
              <w:spacing w:before="40"/>
            </w:pPr>
            <w:r w:rsidRPr="00C00335">
              <w:t>Annual probability of transitioning from VLS to Aware (from r = 5 to r = 2)</w:t>
            </w:r>
            <w:r w:rsidRPr="00C00335">
              <w:rPr>
                <w:vertAlign w:val="superscript"/>
              </w:rPr>
              <w:t xml:space="preserve">b </w:t>
            </w:r>
            <w:r w:rsidRPr="00C00335">
              <w:t xml:space="preserve">in </w:t>
            </w:r>
            <w:r w:rsidR="005471D8">
              <w:t>first</w:t>
            </w:r>
            <w:r w:rsidR="005471D8" w:rsidRPr="00C00335">
              <w:t xml:space="preserve"> </w:t>
            </w:r>
            <w:r w:rsidRPr="00C00335">
              <w:t>time period</w:t>
            </w: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373803F6" w14:textId="77777777" w:rsidR="003973F2" w:rsidRPr="00C00335" w:rsidRDefault="003973F2" w:rsidP="00C63DB4">
            <w:pPr>
              <w:pStyle w:val="TableTextDec"/>
              <w:tabs>
                <w:tab w:val="clear" w:pos="1015"/>
                <w:tab w:val="decimal" w:pos="715"/>
              </w:tabs>
              <w:spacing w:before="40"/>
            </w:pPr>
            <w:r w:rsidRPr="00C00335">
              <w:t>0.000</w:t>
            </w:r>
          </w:p>
        </w:tc>
        <w:tc>
          <w:tcPr>
            <w:tcW w:w="1761" w:type="dxa"/>
            <w:tcBorders>
              <w:top w:val="single" w:sz="4" w:space="0" w:color="808080" w:themeColor="background1" w:themeShade="80"/>
              <w:bottom w:val="single" w:sz="4" w:space="0" w:color="808080" w:themeColor="background1" w:themeShade="80"/>
            </w:tcBorders>
            <w:shd w:val="clear" w:color="auto" w:fill="auto"/>
            <w:noWrap/>
          </w:tcPr>
          <w:p w14:paraId="7AFCD686" w14:textId="77777777" w:rsidR="003973F2" w:rsidRPr="00C00335" w:rsidRDefault="003973F2" w:rsidP="00C63DB4">
            <w:pPr>
              <w:pStyle w:val="TableTextDec"/>
              <w:tabs>
                <w:tab w:val="clear" w:pos="1015"/>
                <w:tab w:val="decimal" w:pos="715"/>
              </w:tabs>
              <w:spacing w:before="40"/>
            </w:pPr>
            <w:r w:rsidRPr="00C00335">
              <w:t>0.000</w:t>
            </w:r>
          </w:p>
        </w:tc>
        <w:tc>
          <w:tcPr>
            <w:tcW w:w="1762" w:type="dxa"/>
            <w:tcBorders>
              <w:top w:val="single" w:sz="4" w:space="0" w:color="808080" w:themeColor="background1" w:themeShade="80"/>
              <w:bottom w:val="single" w:sz="4" w:space="0" w:color="808080" w:themeColor="background1" w:themeShade="80"/>
            </w:tcBorders>
            <w:shd w:val="clear" w:color="auto" w:fill="auto"/>
            <w:noWrap/>
          </w:tcPr>
          <w:p w14:paraId="50BEC193" w14:textId="77777777" w:rsidR="003973F2" w:rsidRPr="00C00335" w:rsidRDefault="003973F2" w:rsidP="00C63DB4">
            <w:pPr>
              <w:pStyle w:val="TableTextDec"/>
              <w:tabs>
                <w:tab w:val="clear" w:pos="1015"/>
                <w:tab w:val="decimal" w:pos="715"/>
              </w:tabs>
              <w:spacing w:before="40"/>
            </w:pPr>
            <w:r w:rsidRPr="00C00335">
              <w:t>0.000</w:t>
            </w:r>
          </w:p>
        </w:tc>
        <w:tc>
          <w:tcPr>
            <w:tcW w:w="3605" w:type="dxa"/>
            <w:tcBorders>
              <w:top w:val="single" w:sz="4" w:space="0" w:color="808080" w:themeColor="background1" w:themeShade="80"/>
              <w:bottom w:val="single" w:sz="4" w:space="0" w:color="auto"/>
            </w:tcBorders>
            <w:shd w:val="clear" w:color="auto" w:fill="auto"/>
            <w:noWrap/>
          </w:tcPr>
          <w:p w14:paraId="4114F7A6" w14:textId="77777777" w:rsidR="003973F2" w:rsidRPr="00C00335" w:rsidRDefault="003973F2" w:rsidP="00C63DB4">
            <w:pPr>
              <w:pStyle w:val="TableText"/>
              <w:spacing w:before="40"/>
            </w:pPr>
            <w:r w:rsidRPr="00C00335">
              <w:t>Flow not considered in base model.</w:t>
            </w:r>
          </w:p>
        </w:tc>
      </w:tr>
      <w:tr w:rsidR="003973F2" w:rsidRPr="00C00335" w14:paraId="6ABAB942" w14:textId="77777777" w:rsidTr="00C63DB4">
        <w:trPr>
          <w:cantSplit/>
        </w:trPr>
        <w:tc>
          <w:tcPr>
            <w:tcW w:w="4071" w:type="dxa"/>
            <w:tcBorders>
              <w:top w:val="single" w:sz="4" w:space="0" w:color="808080" w:themeColor="background1" w:themeShade="80"/>
              <w:bottom w:val="single" w:sz="6" w:space="0" w:color="808080" w:themeColor="background1" w:themeShade="80"/>
            </w:tcBorders>
            <w:shd w:val="clear" w:color="auto" w:fill="auto"/>
            <w:noWrap/>
          </w:tcPr>
          <w:p w14:paraId="6D118B2C" w14:textId="058B9CDF" w:rsidR="003973F2" w:rsidRPr="00C00335" w:rsidRDefault="003973F2" w:rsidP="00C63DB4">
            <w:pPr>
              <w:pStyle w:val="TableText"/>
              <w:spacing w:before="40"/>
            </w:pPr>
            <w:r w:rsidRPr="00C00335">
              <w:t xml:space="preserve">Annual probability of becoming VLS if ART-not-VLS (from r = 4 to r = 5) in </w:t>
            </w:r>
            <w:r w:rsidR="005471D8">
              <w:t>first</w:t>
            </w:r>
            <w:r w:rsidR="005471D8" w:rsidRPr="00C00335">
              <w:t xml:space="preserve"> </w:t>
            </w:r>
            <w:r w:rsidRPr="00C00335">
              <w:t xml:space="preserve">time period </w:t>
            </w:r>
          </w:p>
        </w:tc>
        <w:tc>
          <w:tcPr>
            <w:tcW w:w="1761" w:type="dxa"/>
            <w:tcBorders>
              <w:top w:val="single" w:sz="4" w:space="0" w:color="808080" w:themeColor="background1" w:themeShade="80"/>
              <w:bottom w:val="single" w:sz="6" w:space="0" w:color="808080" w:themeColor="background1" w:themeShade="80"/>
            </w:tcBorders>
            <w:shd w:val="clear" w:color="auto" w:fill="auto"/>
            <w:noWrap/>
          </w:tcPr>
          <w:p w14:paraId="551510F7" w14:textId="251C4D93" w:rsidR="003973F2" w:rsidRPr="00A8318F" w:rsidRDefault="007A57D6" w:rsidP="00C63DB4">
            <w:pPr>
              <w:pStyle w:val="TableTextDec"/>
              <w:tabs>
                <w:tab w:val="clear" w:pos="1015"/>
                <w:tab w:val="decimal" w:pos="715"/>
              </w:tabs>
              <w:spacing w:before="40"/>
              <w:rPr>
                <w:i/>
                <w:iCs/>
              </w:rPr>
            </w:pPr>
            <w:r w:rsidRPr="007A57D6">
              <w:rPr>
                <w:i/>
                <w:iCs/>
              </w:rPr>
              <w:t>0.373</w:t>
            </w:r>
          </w:p>
        </w:tc>
        <w:tc>
          <w:tcPr>
            <w:tcW w:w="1761" w:type="dxa"/>
            <w:tcBorders>
              <w:top w:val="single" w:sz="4" w:space="0" w:color="808080" w:themeColor="background1" w:themeShade="80"/>
              <w:bottom w:val="single" w:sz="6" w:space="0" w:color="808080" w:themeColor="background1" w:themeShade="80"/>
            </w:tcBorders>
            <w:shd w:val="clear" w:color="auto" w:fill="auto"/>
            <w:noWrap/>
          </w:tcPr>
          <w:p w14:paraId="2438C8D8" w14:textId="4C752DEC" w:rsidR="003973F2" w:rsidRPr="00C00335" w:rsidRDefault="007A57D6" w:rsidP="00C63DB4">
            <w:pPr>
              <w:pStyle w:val="TableTextDec"/>
              <w:tabs>
                <w:tab w:val="clear" w:pos="1015"/>
                <w:tab w:val="decimal" w:pos="715"/>
              </w:tabs>
              <w:spacing w:before="40"/>
            </w:pPr>
            <w:r w:rsidRPr="007A57D6">
              <w:rPr>
                <w:i/>
                <w:iCs/>
              </w:rPr>
              <w:t>0.505</w:t>
            </w:r>
          </w:p>
        </w:tc>
        <w:tc>
          <w:tcPr>
            <w:tcW w:w="1762" w:type="dxa"/>
            <w:tcBorders>
              <w:top w:val="single" w:sz="4" w:space="0" w:color="808080" w:themeColor="background1" w:themeShade="80"/>
              <w:bottom w:val="single" w:sz="6" w:space="0" w:color="808080" w:themeColor="background1" w:themeShade="80"/>
            </w:tcBorders>
            <w:shd w:val="clear" w:color="auto" w:fill="auto"/>
            <w:noWrap/>
          </w:tcPr>
          <w:p w14:paraId="317DDCA3" w14:textId="423EF568" w:rsidR="003973F2" w:rsidRPr="00C00335" w:rsidRDefault="007A57D6" w:rsidP="00C63DB4">
            <w:pPr>
              <w:pStyle w:val="TableTextDec"/>
              <w:tabs>
                <w:tab w:val="clear" w:pos="1015"/>
                <w:tab w:val="decimal" w:pos="715"/>
              </w:tabs>
              <w:spacing w:before="40"/>
            </w:pPr>
            <w:r w:rsidRPr="007A57D6">
              <w:rPr>
                <w:i/>
                <w:iCs/>
              </w:rPr>
              <w:t>0.284</w:t>
            </w:r>
          </w:p>
        </w:tc>
        <w:tc>
          <w:tcPr>
            <w:tcW w:w="3605" w:type="dxa"/>
            <w:tcBorders>
              <w:top w:val="single" w:sz="4" w:space="0" w:color="auto"/>
              <w:bottom w:val="single" w:sz="6" w:space="0" w:color="808080" w:themeColor="background1" w:themeShade="80"/>
            </w:tcBorders>
            <w:shd w:val="clear" w:color="auto" w:fill="auto"/>
            <w:noWrap/>
          </w:tcPr>
          <w:p w14:paraId="44862EB5" w14:textId="77777777" w:rsidR="003973F2" w:rsidRPr="00C00335" w:rsidRDefault="003973F2" w:rsidP="00C63DB4">
            <w:pPr>
              <w:pStyle w:val="TableText"/>
              <w:spacing w:before="40"/>
            </w:pPr>
            <w:r w:rsidRPr="00C00335">
              <w:t>Determined by calibration.</w:t>
            </w:r>
          </w:p>
        </w:tc>
      </w:tr>
      <w:tr w:rsidR="00FF73B7" w:rsidRPr="00522F70" w14:paraId="128DA57F" w14:textId="77777777" w:rsidTr="00836279">
        <w:trPr>
          <w:cantSplit/>
        </w:trPr>
        <w:tc>
          <w:tcPr>
            <w:tcW w:w="9355" w:type="dxa"/>
            <w:gridSpan w:val="4"/>
            <w:tcBorders>
              <w:top w:val="single" w:sz="6" w:space="0" w:color="auto"/>
              <w:bottom w:val="single" w:sz="4" w:space="0" w:color="808080" w:themeColor="background1" w:themeShade="80"/>
            </w:tcBorders>
            <w:shd w:val="clear" w:color="auto" w:fill="auto"/>
            <w:noWrap/>
          </w:tcPr>
          <w:p w14:paraId="180ED500" w14:textId="5E2B9D15" w:rsidR="00FF73B7" w:rsidRPr="00522F70" w:rsidRDefault="00FF73B7" w:rsidP="00836279">
            <w:pPr>
              <w:pStyle w:val="TableTextDec"/>
              <w:tabs>
                <w:tab w:val="clear" w:pos="1015"/>
                <w:tab w:val="decimal" w:pos="715"/>
              </w:tabs>
              <w:spacing w:before="40"/>
            </w:pPr>
            <w:r w:rsidRPr="00522F70">
              <w:t xml:space="preserve">Relative risk of </w:t>
            </w:r>
            <w:r w:rsidR="008903E9" w:rsidRPr="00522F70">
              <w:t xml:space="preserve">becoming VLS if </w:t>
            </w:r>
            <w:r w:rsidR="000268B4" w:rsidRPr="00522F70">
              <w:t xml:space="preserve">on </w:t>
            </w:r>
            <w:r w:rsidR="008903E9" w:rsidRPr="00522F70">
              <w:t>ART</w:t>
            </w:r>
            <w:r w:rsidR="000268B4" w:rsidRPr="00522F70">
              <w:t xml:space="preserve"> </w:t>
            </w:r>
            <w:r w:rsidR="008453BF" w:rsidRPr="00522F70">
              <w:t xml:space="preserve">but </w:t>
            </w:r>
            <w:r w:rsidR="008903E9" w:rsidRPr="00522F70">
              <w:t>not</w:t>
            </w:r>
            <w:r w:rsidR="000268B4" w:rsidRPr="00522F70">
              <w:t xml:space="preserve"> </w:t>
            </w:r>
            <w:r w:rsidR="008903E9" w:rsidRPr="00522F70">
              <w:t>VLS (from r = 4 to r = 5) in second time period</w:t>
            </w:r>
            <w:r w:rsidRPr="00522F70">
              <w:t>, by transmission group (reference: HET)</w:t>
            </w:r>
          </w:p>
        </w:tc>
        <w:tc>
          <w:tcPr>
            <w:tcW w:w="3605" w:type="dxa"/>
            <w:tcBorders>
              <w:top w:val="single" w:sz="6" w:space="0" w:color="auto"/>
              <w:bottom w:val="single" w:sz="4" w:space="0" w:color="808080" w:themeColor="background1" w:themeShade="80"/>
            </w:tcBorders>
            <w:shd w:val="clear" w:color="auto" w:fill="auto"/>
            <w:noWrap/>
          </w:tcPr>
          <w:p w14:paraId="0C0E1022" w14:textId="77777777" w:rsidR="00FF73B7" w:rsidRPr="00522F70" w:rsidRDefault="00FF73B7" w:rsidP="00836279">
            <w:pPr>
              <w:pStyle w:val="TableText"/>
              <w:spacing w:before="40"/>
            </w:pPr>
          </w:p>
        </w:tc>
      </w:tr>
      <w:tr w:rsidR="00FF73B7" w:rsidRPr="00522F70" w14:paraId="5B2F5973"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5F12B501" w14:textId="77777777" w:rsidR="00FF73B7" w:rsidRPr="00522F70" w:rsidRDefault="00FF73B7" w:rsidP="00836279">
            <w:pPr>
              <w:pStyle w:val="TableText"/>
              <w:spacing w:before="40"/>
              <w:ind w:left="288"/>
            </w:pPr>
            <w:r w:rsidRPr="00522F70">
              <w:t>MSM</w:t>
            </w:r>
          </w:p>
        </w:tc>
        <w:tc>
          <w:tcPr>
            <w:tcW w:w="5284" w:type="dxa"/>
            <w:gridSpan w:val="3"/>
            <w:tcBorders>
              <w:top w:val="single" w:sz="6" w:space="0" w:color="auto"/>
              <w:bottom w:val="single" w:sz="4" w:space="0" w:color="808080" w:themeColor="background1" w:themeShade="80"/>
            </w:tcBorders>
            <w:shd w:val="clear" w:color="auto" w:fill="auto"/>
            <w:noWrap/>
          </w:tcPr>
          <w:p w14:paraId="6BB6C638" w14:textId="4F3AC3C2" w:rsidR="00FF73B7" w:rsidRPr="00522F70" w:rsidRDefault="00FF73B7" w:rsidP="00836279">
            <w:pPr>
              <w:pStyle w:val="TableTextDec"/>
              <w:tabs>
                <w:tab w:val="clear" w:pos="1015"/>
                <w:tab w:val="decimal" w:pos="715"/>
              </w:tabs>
              <w:spacing w:before="40"/>
            </w:pPr>
            <w:r w:rsidRPr="00522F70">
              <w:t>------------------------------</w:t>
            </w:r>
            <w:r w:rsidR="007A57D6" w:rsidRPr="007A57D6">
              <w:rPr>
                <w:i/>
              </w:rPr>
              <w:t>1.33</w:t>
            </w:r>
            <w:r w:rsidRPr="00522F70">
              <w:t>-------------------------</w:t>
            </w:r>
          </w:p>
        </w:tc>
        <w:tc>
          <w:tcPr>
            <w:tcW w:w="3605" w:type="dxa"/>
            <w:vMerge w:val="restart"/>
            <w:tcBorders>
              <w:top w:val="single" w:sz="6" w:space="0" w:color="auto"/>
            </w:tcBorders>
            <w:shd w:val="clear" w:color="auto" w:fill="auto"/>
            <w:noWrap/>
          </w:tcPr>
          <w:p w14:paraId="5DDF50E5" w14:textId="77777777" w:rsidR="00FF73B7" w:rsidRPr="00522F70" w:rsidRDefault="00FF73B7" w:rsidP="00836279">
            <w:pPr>
              <w:pStyle w:val="TableText"/>
              <w:spacing w:before="40"/>
            </w:pPr>
            <w:r w:rsidRPr="00522F70">
              <w:t>Determined by calibration</w:t>
            </w:r>
          </w:p>
        </w:tc>
      </w:tr>
      <w:tr w:rsidR="00FF73B7" w:rsidRPr="00522F70" w14:paraId="3AB9480B"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42877F12" w14:textId="77777777" w:rsidR="00FF73B7" w:rsidRPr="00522F70" w:rsidRDefault="00FF73B7" w:rsidP="00836279">
            <w:pPr>
              <w:pStyle w:val="TableText"/>
              <w:spacing w:before="40"/>
              <w:ind w:left="288"/>
            </w:pPr>
            <w:r w:rsidRPr="00522F70">
              <w:t>PWID</w:t>
            </w:r>
          </w:p>
        </w:tc>
        <w:tc>
          <w:tcPr>
            <w:tcW w:w="5284" w:type="dxa"/>
            <w:gridSpan w:val="3"/>
            <w:tcBorders>
              <w:top w:val="single" w:sz="6" w:space="0" w:color="auto"/>
              <w:bottom w:val="single" w:sz="4" w:space="0" w:color="808080" w:themeColor="background1" w:themeShade="80"/>
            </w:tcBorders>
            <w:shd w:val="clear" w:color="auto" w:fill="auto"/>
            <w:noWrap/>
          </w:tcPr>
          <w:p w14:paraId="6322BDC3" w14:textId="1B5F3B9B" w:rsidR="00FF73B7" w:rsidRPr="00522F70" w:rsidRDefault="00FF73B7" w:rsidP="00836279">
            <w:pPr>
              <w:pStyle w:val="TableTextDec"/>
              <w:tabs>
                <w:tab w:val="clear" w:pos="1015"/>
                <w:tab w:val="decimal" w:pos="715"/>
              </w:tabs>
              <w:spacing w:before="40"/>
            </w:pPr>
            <w:r w:rsidRPr="00522F70">
              <w:t>------------------------------</w:t>
            </w:r>
            <w:r w:rsidR="007A57D6" w:rsidRPr="007A57D6">
              <w:rPr>
                <w:i/>
              </w:rPr>
              <w:t>2.19</w:t>
            </w:r>
            <w:r w:rsidRPr="00522F70">
              <w:t>-------------------------</w:t>
            </w:r>
          </w:p>
        </w:tc>
        <w:tc>
          <w:tcPr>
            <w:tcW w:w="3605" w:type="dxa"/>
            <w:vMerge/>
            <w:tcBorders>
              <w:bottom w:val="single" w:sz="4" w:space="0" w:color="808080" w:themeColor="background1" w:themeShade="80"/>
            </w:tcBorders>
            <w:shd w:val="clear" w:color="auto" w:fill="auto"/>
            <w:noWrap/>
          </w:tcPr>
          <w:p w14:paraId="46D6D514" w14:textId="77777777" w:rsidR="00FF73B7" w:rsidRPr="00522F70" w:rsidRDefault="00FF73B7" w:rsidP="00836279">
            <w:pPr>
              <w:pStyle w:val="TableText"/>
              <w:spacing w:before="40"/>
            </w:pPr>
          </w:p>
        </w:tc>
      </w:tr>
      <w:tr w:rsidR="00FF73B7" w:rsidRPr="00522F70" w14:paraId="3EE3BBEB" w14:textId="77777777" w:rsidTr="00836279">
        <w:trPr>
          <w:cantSplit/>
        </w:trPr>
        <w:tc>
          <w:tcPr>
            <w:tcW w:w="9355" w:type="dxa"/>
            <w:gridSpan w:val="4"/>
            <w:tcBorders>
              <w:top w:val="single" w:sz="6" w:space="0" w:color="auto"/>
              <w:bottom w:val="single" w:sz="4" w:space="0" w:color="808080" w:themeColor="background1" w:themeShade="80"/>
            </w:tcBorders>
            <w:shd w:val="clear" w:color="auto" w:fill="auto"/>
            <w:noWrap/>
          </w:tcPr>
          <w:p w14:paraId="710D976C" w14:textId="580DC52B" w:rsidR="00FF73B7" w:rsidRPr="00522F70" w:rsidRDefault="00FF73B7" w:rsidP="00836279">
            <w:pPr>
              <w:pStyle w:val="TableTextDec"/>
              <w:tabs>
                <w:tab w:val="clear" w:pos="1015"/>
                <w:tab w:val="decimal" w:pos="715"/>
              </w:tabs>
              <w:spacing w:before="40"/>
            </w:pPr>
            <w:r w:rsidRPr="00522F70">
              <w:t xml:space="preserve">Relative risk of </w:t>
            </w:r>
            <w:r w:rsidR="008903E9" w:rsidRPr="00522F70">
              <w:t xml:space="preserve">becoming VLS if ART-not-VLS (from r = 4 to r = 5) in </w:t>
            </w:r>
            <w:r w:rsidR="005471D8" w:rsidRPr="00522F70">
              <w:t xml:space="preserve">first </w:t>
            </w:r>
            <w:r w:rsidR="008903E9" w:rsidRPr="00522F70">
              <w:t>time period</w:t>
            </w:r>
            <w:r w:rsidRPr="00522F70">
              <w:t>, by age group (reference: 13</w:t>
            </w:r>
            <w:r w:rsidR="008453BF" w:rsidRPr="00522F70">
              <w:t>–</w:t>
            </w:r>
            <w:r w:rsidRPr="00522F70">
              <w:t>17)</w:t>
            </w:r>
          </w:p>
        </w:tc>
        <w:tc>
          <w:tcPr>
            <w:tcW w:w="3605" w:type="dxa"/>
            <w:tcBorders>
              <w:top w:val="single" w:sz="6" w:space="0" w:color="auto"/>
              <w:bottom w:val="single" w:sz="4" w:space="0" w:color="808080" w:themeColor="background1" w:themeShade="80"/>
            </w:tcBorders>
            <w:shd w:val="clear" w:color="auto" w:fill="auto"/>
            <w:noWrap/>
          </w:tcPr>
          <w:p w14:paraId="31770ABD" w14:textId="77777777" w:rsidR="00FF73B7" w:rsidRPr="00522F70" w:rsidRDefault="00FF73B7" w:rsidP="00836279">
            <w:pPr>
              <w:pStyle w:val="TableText"/>
              <w:spacing w:before="40"/>
            </w:pPr>
          </w:p>
        </w:tc>
      </w:tr>
      <w:tr w:rsidR="00FF73B7" w:rsidRPr="00522F70" w14:paraId="4494C1B0"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41ACF63F" w14:textId="18C414AE" w:rsidR="00FF73B7" w:rsidRPr="00522F70" w:rsidRDefault="00FF73B7" w:rsidP="00836279">
            <w:pPr>
              <w:pStyle w:val="TableText"/>
              <w:spacing w:before="40"/>
              <w:ind w:left="288"/>
            </w:pPr>
            <w:r w:rsidRPr="00522F70">
              <w:t>18</w:t>
            </w:r>
            <w:r w:rsidR="008453BF" w:rsidRPr="00522F70">
              <w:t>–</w:t>
            </w:r>
            <w:r w:rsidRPr="00522F70">
              <w:t>24</w:t>
            </w:r>
          </w:p>
        </w:tc>
        <w:tc>
          <w:tcPr>
            <w:tcW w:w="5284" w:type="dxa"/>
            <w:gridSpan w:val="3"/>
            <w:tcBorders>
              <w:top w:val="single" w:sz="6" w:space="0" w:color="auto"/>
              <w:bottom w:val="single" w:sz="4" w:space="0" w:color="808080" w:themeColor="background1" w:themeShade="80"/>
            </w:tcBorders>
            <w:shd w:val="clear" w:color="auto" w:fill="auto"/>
            <w:noWrap/>
          </w:tcPr>
          <w:p w14:paraId="236F9A7E" w14:textId="0F311B2E" w:rsidR="00FF73B7" w:rsidRPr="00522F70" w:rsidRDefault="00FF73B7" w:rsidP="00836279">
            <w:pPr>
              <w:pStyle w:val="TableTextDec"/>
              <w:tabs>
                <w:tab w:val="clear" w:pos="1015"/>
                <w:tab w:val="decimal" w:pos="715"/>
              </w:tabs>
              <w:spacing w:before="40"/>
            </w:pPr>
            <w:r w:rsidRPr="00522F70">
              <w:t>------------------------------</w:t>
            </w:r>
            <w:r w:rsidR="007A57D6" w:rsidRPr="007A57D6">
              <w:rPr>
                <w:i/>
              </w:rPr>
              <w:t>1.33</w:t>
            </w:r>
            <w:r w:rsidRPr="00522F70">
              <w:t>-------------------------</w:t>
            </w:r>
          </w:p>
        </w:tc>
        <w:tc>
          <w:tcPr>
            <w:tcW w:w="3605" w:type="dxa"/>
            <w:vMerge w:val="restart"/>
            <w:tcBorders>
              <w:top w:val="single" w:sz="6" w:space="0" w:color="auto"/>
            </w:tcBorders>
            <w:shd w:val="clear" w:color="auto" w:fill="auto"/>
            <w:noWrap/>
          </w:tcPr>
          <w:p w14:paraId="0B8691D1" w14:textId="77777777" w:rsidR="00FF73B7" w:rsidRPr="00522F70" w:rsidRDefault="00FF73B7" w:rsidP="00836279">
            <w:pPr>
              <w:pStyle w:val="TableText"/>
              <w:spacing w:before="40"/>
            </w:pPr>
            <w:r w:rsidRPr="00522F70">
              <w:t>Determined by calibration</w:t>
            </w:r>
          </w:p>
        </w:tc>
      </w:tr>
      <w:tr w:rsidR="00FF73B7" w:rsidRPr="00522F70" w14:paraId="620D0510"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9D750B6" w14:textId="355A078A" w:rsidR="00FF73B7" w:rsidRPr="00522F70" w:rsidRDefault="00FF73B7" w:rsidP="00836279">
            <w:pPr>
              <w:pStyle w:val="TableText"/>
              <w:spacing w:before="40"/>
              <w:ind w:left="288"/>
            </w:pPr>
            <w:r w:rsidRPr="00522F70">
              <w:t>25</w:t>
            </w:r>
            <w:r w:rsidR="008453BF" w:rsidRPr="00522F70">
              <w:t>–</w:t>
            </w:r>
            <w:r w:rsidRPr="00522F70">
              <w:t>34</w:t>
            </w:r>
          </w:p>
        </w:tc>
        <w:tc>
          <w:tcPr>
            <w:tcW w:w="5284" w:type="dxa"/>
            <w:gridSpan w:val="3"/>
            <w:tcBorders>
              <w:top w:val="single" w:sz="6" w:space="0" w:color="auto"/>
              <w:bottom w:val="single" w:sz="4" w:space="0" w:color="808080" w:themeColor="background1" w:themeShade="80"/>
            </w:tcBorders>
            <w:shd w:val="clear" w:color="auto" w:fill="auto"/>
            <w:noWrap/>
          </w:tcPr>
          <w:p w14:paraId="74400C70" w14:textId="3D05EAD2" w:rsidR="00FF73B7" w:rsidRPr="00522F70" w:rsidRDefault="00FF73B7" w:rsidP="00836279">
            <w:pPr>
              <w:pStyle w:val="TableTextDec"/>
              <w:tabs>
                <w:tab w:val="clear" w:pos="1015"/>
                <w:tab w:val="decimal" w:pos="715"/>
              </w:tabs>
              <w:spacing w:before="40"/>
            </w:pPr>
            <w:r w:rsidRPr="00522F70">
              <w:t>------------------------------</w:t>
            </w:r>
            <w:r w:rsidR="007A57D6" w:rsidRPr="007A57D6">
              <w:rPr>
                <w:i/>
              </w:rPr>
              <w:t>2.64</w:t>
            </w:r>
            <w:r w:rsidRPr="00522F70">
              <w:t>-------------------------</w:t>
            </w:r>
          </w:p>
        </w:tc>
        <w:tc>
          <w:tcPr>
            <w:tcW w:w="3605" w:type="dxa"/>
            <w:vMerge/>
            <w:shd w:val="clear" w:color="auto" w:fill="auto"/>
            <w:noWrap/>
          </w:tcPr>
          <w:p w14:paraId="582A18FA" w14:textId="77777777" w:rsidR="00FF73B7" w:rsidRPr="00522F70" w:rsidRDefault="00FF73B7" w:rsidP="00836279">
            <w:pPr>
              <w:pStyle w:val="TableText"/>
              <w:spacing w:before="40"/>
            </w:pPr>
          </w:p>
        </w:tc>
      </w:tr>
      <w:tr w:rsidR="00FF73B7" w:rsidRPr="00522F70" w14:paraId="6EEBFDF5"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28881347" w14:textId="59E0190A" w:rsidR="00FF73B7" w:rsidRPr="00522F70" w:rsidRDefault="00FF73B7" w:rsidP="00836279">
            <w:pPr>
              <w:pStyle w:val="TableText"/>
              <w:spacing w:before="40"/>
              <w:ind w:left="288"/>
            </w:pPr>
            <w:r w:rsidRPr="00522F70">
              <w:t>35</w:t>
            </w:r>
            <w:r w:rsidR="008453BF" w:rsidRPr="00522F70">
              <w:t>–</w:t>
            </w:r>
            <w:r w:rsidRPr="00522F70">
              <w:t>44</w:t>
            </w:r>
          </w:p>
        </w:tc>
        <w:tc>
          <w:tcPr>
            <w:tcW w:w="5284" w:type="dxa"/>
            <w:gridSpan w:val="3"/>
            <w:tcBorders>
              <w:top w:val="single" w:sz="6" w:space="0" w:color="auto"/>
              <w:bottom w:val="single" w:sz="4" w:space="0" w:color="808080" w:themeColor="background1" w:themeShade="80"/>
            </w:tcBorders>
            <w:shd w:val="clear" w:color="auto" w:fill="auto"/>
            <w:noWrap/>
          </w:tcPr>
          <w:p w14:paraId="075843D1" w14:textId="6B74B5BD" w:rsidR="00FF73B7" w:rsidRPr="00522F70" w:rsidRDefault="00FF73B7" w:rsidP="00836279">
            <w:pPr>
              <w:pStyle w:val="TableTextDec"/>
              <w:tabs>
                <w:tab w:val="clear" w:pos="1015"/>
                <w:tab w:val="decimal" w:pos="715"/>
              </w:tabs>
              <w:spacing w:before="40"/>
            </w:pPr>
            <w:r w:rsidRPr="00522F70">
              <w:t>------------------------------</w:t>
            </w:r>
            <w:r w:rsidR="007A57D6" w:rsidRPr="007A57D6">
              <w:rPr>
                <w:i/>
              </w:rPr>
              <w:t>1.14</w:t>
            </w:r>
            <w:r w:rsidRPr="00522F70">
              <w:t>-------------------------</w:t>
            </w:r>
          </w:p>
        </w:tc>
        <w:tc>
          <w:tcPr>
            <w:tcW w:w="3605" w:type="dxa"/>
            <w:vMerge/>
            <w:shd w:val="clear" w:color="auto" w:fill="auto"/>
            <w:noWrap/>
          </w:tcPr>
          <w:p w14:paraId="602E652B" w14:textId="77777777" w:rsidR="00FF73B7" w:rsidRPr="00522F70" w:rsidRDefault="00FF73B7" w:rsidP="00836279">
            <w:pPr>
              <w:pStyle w:val="TableText"/>
              <w:spacing w:before="40"/>
            </w:pPr>
          </w:p>
        </w:tc>
      </w:tr>
      <w:tr w:rsidR="00FF73B7" w:rsidRPr="00522F70" w14:paraId="5C716C24"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6E7A89F3" w14:textId="052D81A8" w:rsidR="00FF73B7" w:rsidRPr="00522F70" w:rsidRDefault="00FF73B7" w:rsidP="00836279">
            <w:pPr>
              <w:pStyle w:val="TableText"/>
              <w:spacing w:before="40"/>
              <w:ind w:left="288"/>
            </w:pPr>
            <w:r w:rsidRPr="00522F70">
              <w:t>45</w:t>
            </w:r>
            <w:r w:rsidR="008453BF" w:rsidRPr="00522F70">
              <w:t>–</w:t>
            </w:r>
            <w:r w:rsidRPr="00522F70">
              <w:t>54</w:t>
            </w:r>
          </w:p>
        </w:tc>
        <w:tc>
          <w:tcPr>
            <w:tcW w:w="5284" w:type="dxa"/>
            <w:gridSpan w:val="3"/>
            <w:tcBorders>
              <w:top w:val="single" w:sz="6" w:space="0" w:color="auto"/>
              <w:bottom w:val="single" w:sz="4" w:space="0" w:color="808080" w:themeColor="background1" w:themeShade="80"/>
            </w:tcBorders>
            <w:shd w:val="clear" w:color="auto" w:fill="auto"/>
            <w:noWrap/>
          </w:tcPr>
          <w:p w14:paraId="6E0B297C" w14:textId="5F85975B" w:rsidR="00FF73B7" w:rsidRPr="00522F70" w:rsidRDefault="00FF73B7" w:rsidP="00836279">
            <w:pPr>
              <w:pStyle w:val="TableTextDec"/>
              <w:tabs>
                <w:tab w:val="clear" w:pos="1015"/>
                <w:tab w:val="decimal" w:pos="715"/>
              </w:tabs>
              <w:spacing w:before="40"/>
            </w:pPr>
            <w:r w:rsidRPr="00522F70">
              <w:t>------------------------------</w:t>
            </w:r>
            <w:r w:rsidR="007A57D6" w:rsidRPr="007A57D6">
              <w:rPr>
                <w:i/>
              </w:rPr>
              <w:t>2.77</w:t>
            </w:r>
            <w:r w:rsidRPr="00522F70">
              <w:t>-------------------------</w:t>
            </w:r>
          </w:p>
        </w:tc>
        <w:tc>
          <w:tcPr>
            <w:tcW w:w="3605" w:type="dxa"/>
            <w:vMerge/>
            <w:shd w:val="clear" w:color="auto" w:fill="auto"/>
            <w:noWrap/>
          </w:tcPr>
          <w:p w14:paraId="3D435DC7" w14:textId="77777777" w:rsidR="00FF73B7" w:rsidRPr="00522F70" w:rsidRDefault="00FF73B7" w:rsidP="00836279">
            <w:pPr>
              <w:pStyle w:val="TableText"/>
              <w:spacing w:before="40"/>
            </w:pPr>
          </w:p>
        </w:tc>
      </w:tr>
      <w:tr w:rsidR="00FF73B7" w:rsidRPr="00522F70" w14:paraId="08F0A92E"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064E7A8C" w14:textId="3DD3C886" w:rsidR="00FF73B7" w:rsidRPr="00522F70" w:rsidRDefault="00FF73B7" w:rsidP="00836279">
            <w:pPr>
              <w:pStyle w:val="TableText"/>
              <w:spacing w:before="40"/>
              <w:ind w:left="288"/>
            </w:pPr>
            <w:r w:rsidRPr="00522F70">
              <w:t>55</w:t>
            </w:r>
            <w:r w:rsidR="008453BF" w:rsidRPr="00522F70">
              <w:t>–</w:t>
            </w:r>
            <w:r w:rsidRPr="00522F70">
              <w:t>64</w:t>
            </w:r>
          </w:p>
        </w:tc>
        <w:tc>
          <w:tcPr>
            <w:tcW w:w="5284" w:type="dxa"/>
            <w:gridSpan w:val="3"/>
            <w:tcBorders>
              <w:top w:val="single" w:sz="6" w:space="0" w:color="auto"/>
              <w:bottom w:val="single" w:sz="4" w:space="0" w:color="808080" w:themeColor="background1" w:themeShade="80"/>
            </w:tcBorders>
            <w:shd w:val="clear" w:color="auto" w:fill="auto"/>
            <w:noWrap/>
          </w:tcPr>
          <w:p w14:paraId="0BBFFBB1" w14:textId="40A87D36" w:rsidR="00FF73B7" w:rsidRPr="00522F70" w:rsidRDefault="00FF73B7" w:rsidP="00836279">
            <w:pPr>
              <w:pStyle w:val="TableTextDec"/>
              <w:tabs>
                <w:tab w:val="clear" w:pos="1015"/>
                <w:tab w:val="decimal" w:pos="715"/>
              </w:tabs>
              <w:spacing w:before="40"/>
            </w:pPr>
            <w:r w:rsidRPr="00522F70">
              <w:t>------------------------------</w:t>
            </w:r>
            <w:r w:rsidR="007A57D6" w:rsidRPr="007A57D6">
              <w:rPr>
                <w:i/>
              </w:rPr>
              <w:t>0.91</w:t>
            </w:r>
            <w:r w:rsidRPr="00522F70">
              <w:t>-------------------------</w:t>
            </w:r>
          </w:p>
        </w:tc>
        <w:tc>
          <w:tcPr>
            <w:tcW w:w="3605" w:type="dxa"/>
            <w:vMerge/>
            <w:shd w:val="clear" w:color="auto" w:fill="auto"/>
            <w:noWrap/>
          </w:tcPr>
          <w:p w14:paraId="5F277CEE" w14:textId="77777777" w:rsidR="00FF73B7" w:rsidRPr="00522F70" w:rsidRDefault="00FF73B7" w:rsidP="00836279">
            <w:pPr>
              <w:pStyle w:val="TableText"/>
              <w:spacing w:before="40"/>
            </w:pPr>
          </w:p>
        </w:tc>
      </w:tr>
      <w:tr w:rsidR="00FF73B7" w:rsidRPr="00522F70" w14:paraId="37806712" w14:textId="77777777" w:rsidTr="00836279">
        <w:trPr>
          <w:cantSplit/>
        </w:trPr>
        <w:tc>
          <w:tcPr>
            <w:tcW w:w="4071" w:type="dxa"/>
            <w:tcBorders>
              <w:top w:val="single" w:sz="6" w:space="0" w:color="auto"/>
              <w:bottom w:val="single" w:sz="4" w:space="0" w:color="808080" w:themeColor="background1" w:themeShade="80"/>
            </w:tcBorders>
            <w:shd w:val="clear" w:color="auto" w:fill="auto"/>
            <w:noWrap/>
          </w:tcPr>
          <w:p w14:paraId="139700B6" w14:textId="77777777" w:rsidR="00FF73B7" w:rsidRPr="00522F70" w:rsidRDefault="00FF73B7" w:rsidP="00836279">
            <w:pPr>
              <w:pStyle w:val="TableText"/>
              <w:spacing w:before="40"/>
              <w:ind w:left="288"/>
            </w:pPr>
            <w:r w:rsidRPr="00522F70">
              <w:t>65+</w:t>
            </w:r>
          </w:p>
        </w:tc>
        <w:tc>
          <w:tcPr>
            <w:tcW w:w="5284" w:type="dxa"/>
            <w:gridSpan w:val="3"/>
            <w:tcBorders>
              <w:top w:val="single" w:sz="6" w:space="0" w:color="auto"/>
              <w:bottom w:val="single" w:sz="4" w:space="0" w:color="808080" w:themeColor="background1" w:themeShade="80"/>
            </w:tcBorders>
            <w:shd w:val="clear" w:color="auto" w:fill="auto"/>
            <w:noWrap/>
          </w:tcPr>
          <w:p w14:paraId="23030608" w14:textId="1345835A" w:rsidR="00FF73B7" w:rsidRPr="00522F70" w:rsidRDefault="00FF73B7" w:rsidP="00836279">
            <w:pPr>
              <w:pStyle w:val="TableTextDec"/>
              <w:tabs>
                <w:tab w:val="clear" w:pos="1015"/>
                <w:tab w:val="decimal" w:pos="715"/>
              </w:tabs>
              <w:spacing w:before="40"/>
            </w:pPr>
            <w:r w:rsidRPr="00522F70">
              <w:t>------------------------------</w:t>
            </w:r>
            <w:r w:rsidR="007A57D6" w:rsidRPr="007A57D6">
              <w:rPr>
                <w:i/>
              </w:rPr>
              <w:t>3.24</w:t>
            </w:r>
            <w:r w:rsidRPr="00522F70">
              <w:t>-------------------------</w:t>
            </w:r>
          </w:p>
        </w:tc>
        <w:tc>
          <w:tcPr>
            <w:tcW w:w="3605" w:type="dxa"/>
            <w:vMerge/>
            <w:tcBorders>
              <w:bottom w:val="single" w:sz="4" w:space="0" w:color="808080" w:themeColor="background1" w:themeShade="80"/>
            </w:tcBorders>
            <w:shd w:val="clear" w:color="auto" w:fill="auto"/>
            <w:noWrap/>
          </w:tcPr>
          <w:p w14:paraId="460B386C" w14:textId="77777777" w:rsidR="00FF73B7" w:rsidRPr="00522F70" w:rsidRDefault="00FF73B7" w:rsidP="00836279">
            <w:pPr>
              <w:pStyle w:val="TableText"/>
              <w:spacing w:before="40"/>
            </w:pPr>
          </w:p>
        </w:tc>
      </w:tr>
      <w:tr w:rsidR="00FF73B7" w:rsidRPr="00522F70" w14:paraId="157E9A22" w14:textId="77777777" w:rsidTr="00836279">
        <w:trPr>
          <w:cantSplit/>
        </w:trPr>
        <w:tc>
          <w:tcPr>
            <w:tcW w:w="4071" w:type="dxa"/>
            <w:tcBorders>
              <w:top w:val="single" w:sz="6" w:space="0" w:color="808080" w:themeColor="background1" w:themeShade="80"/>
              <w:bottom w:val="single" w:sz="12" w:space="0" w:color="auto"/>
            </w:tcBorders>
            <w:shd w:val="clear" w:color="auto" w:fill="auto"/>
            <w:noWrap/>
          </w:tcPr>
          <w:p w14:paraId="755BB8D2" w14:textId="77777777" w:rsidR="00FF73B7" w:rsidRPr="00522F70" w:rsidRDefault="00FF73B7" w:rsidP="00836279">
            <w:pPr>
              <w:pStyle w:val="TableText"/>
            </w:pPr>
            <w:r w:rsidRPr="00522F70">
              <w:t>Percentage of individuals prescribed ART (from linked to HIV care) who become viral load suppressed</w:t>
            </w:r>
          </w:p>
        </w:tc>
        <w:tc>
          <w:tcPr>
            <w:tcW w:w="5284" w:type="dxa"/>
            <w:gridSpan w:val="3"/>
            <w:tcBorders>
              <w:top w:val="single" w:sz="6" w:space="0" w:color="808080" w:themeColor="background1" w:themeShade="80"/>
              <w:bottom w:val="single" w:sz="12" w:space="0" w:color="auto"/>
            </w:tcBorders>
            <w:shd w:val="clear" w:color="auto" w:fill="auto"/>
            <w:noWrap/>
          </w:tcPr>
          <w:p w14:paraId="5ACE34C4" w14:textId="77777777" w:rsidR="00FF73B7" w:rsidRPr="00522F70" w:rsidRDefault="00FF73B7" w:rsidP="00836279">
            <w:pPr>
              <w:pStyle w:val="TableText"/>
            </w:pPr>
            <w:r w:rsidRPr="00522F70">
              <w:t>---------------------------80.0%---------------------------</w:t>
            </w:r>
          </w:p>
        </w:tc>
        <w:tc>
          <w:tcPr>
            <w:tcW w:w="3605" w:type="dxa"/>
            <w:tcBorders>
              <w:top w:val="single" w:sz="6" w:space="0" w:color="808080" w:themeColor="background1" w:themeShade="80"/>
              <w:bottom w:val="single" w:sz="12" w:space="0" w:color="auto"/>
            </w:tcBorders>
            <w:shd w:val="clear" w:color="auto" w:fill="auto"/>
            <w:noWrap/>
          </w:tcPr>
          <w:p w14:paraId="33CB335F" w14:textId="77777777" w:rsidR="00FF73B7" w:rsidRPr="00522F70" w:rsidRDefault="00FF73B7" w:rsidP="00836279">
            <w:pPr>
              <w:pStyle w:val="TableText"/>
            </w:pPr>
            <w:proofErr w:type="spellStart"/>
            <w:r w:rsidRPr="00522F70">
              <w:t>Althoff</w:t>
            </w:r>
            <w:proofErr w:type="spellEnd"/>
            <w:r w:rsidRPr="00522F70">
              <w:t xml:space="preserve"> et al. (2010)</w:t>
            </w:r>
          </w:p>
        </w:tc>
      </w:tr>
    </w:tbl>
    <w:p w14:paraId="34EBBCEE" w14:textId="00C082E4" w:rsidR="00FF73B7" w:rsidRPr="00522F70" w:rsidRDefault="00FF73B7" w:rsidP="00FF73B7">
      <w:pPr>
        <w:pStyle w:val="Source2"/>
      </w:pPr>
      <w:r w:rsidRPr="00522F70">
        <w:t>Note: ART = antiretroviral therapy; CDC = Centers for Disease Control and Prevention; VLS = viral load suppressed</w:t>
      </w:r>
    </w:p>
    <w:p w14:paraId="52BBC13D" w14:textId="18FEED35" w:rsidR="00FF73B7" w:rsidRPr="00C00335" w:rsidRDefault="00FF73B7" w:rsidP="00FF73B7">
      <w:pPr>
        <w:pStyle w:val="Source2"/>
      </w:pPr>
      <w:r w:rsidRPr="00522F70">
        <w:rPr>
          <w:vertAlign w:val="superscript"/>
        </w:rPr>
        <w:t>a</w:t>
      </w:r>
      <w:r w:rsidRPr="00522F70">
        <w:t xml:space="preserve"> </w:t>
      </w:r>
      <w:proofErr w:type="spellStart"/>
      <w:r w:rsidRPr="00522F70">
        <w:t>A</w:t>
      </w:r>
      <w:proofErr w:type="spellEnd"/>
      <w:r w:rsidRPr="00522F70">
        <w:t xml:space="preserve"> detailed description of the distribution of individuals who are prescribed</w:t>
      </w:r>
      <w:r w:rsidRPr="00C00335">
        <w:t xml:space="preserve"> ART but </w:t>
      </w:r>
      <w:r w:rsidR="008453BF">
        <w:t xml:space="preserve">are </w:t>
      </w:r>
      <w:r w:rsidRPr="00C00335">
        <w:t>not VLS is provided in Section 5.5.</w:t>
      </w:r>
    </w:p>
    <w:p w14:paraId="07F125A5" w14:textId="746A1FDE" w:rsidR="00FF73B7" w:rsidRPr="00C00335" w:rsidRDefault="00FF73B7" w:rsidP="00FF73B7">
      <w:pPr>
        <w:pStyle w:val="Source2"/>
        <w:spacing w:before="60"/>
      </w:pPr>
      <w:r w:rsidRPr="00C00335">
        <w:rPr>
          <w:vertAlign w:val="superscript"/>
        </w:rPr>
        <w:t>b</w:t>
      </w:r>
      <w:r w:rsidRPr="00C00335">
        <w:t xml:space="preserve"> </w:t>
      </w:r>
      <w:r w:rsidR="00AD464F">
        <w:t>Because</w:t>
      </w:r>
      <w:r w:rsidRPr="00C00335">
        <w:t xml:space="preserve"> all values for these transitions are currently 0, the arrows representing these transitions are not included in the current model flow diagram</w:t>
      </w:r>
    </w:p>
    <w:p w14:paraId="7C3E222D" w14:textId="77777777" w:rsidR="00A57EF2" w:rsidRPr="00C00335" w:rsidRDefault="00A57EF2" w:rsidP="00A57EF2">
      <w:pPr>
        <w:sectPr w:rsidR="00A57EF2" w:rsidRPr="00C00335" w:rsidSect="00020D77">
          <w:headerReference w:type="even" r:id="rId50"/>
          <w:headerReference w:type="default" r:id="rId51"/>
          <w:footerReference w:type="even" r:id="rId52"/>
          <w:footerReference w:type="default" r:id="rId53"/>
          <w:endnotePr>
            <w:numFmt w:val="decimal"/>
          </w:endnotePr>
          <w:type w:val="oddPage"/>
          <w:pgSz w:w="15840" w:h="12240" w:orient="landscape"/>
          <w:pgMar w:top="1440" w:right="1440" w:bottom="1440" w:left="1440" w:header="720" w:footer="720" w:gutter="0"/>
          <w:pgNumType w:chapStyle="1"/>
          <w:cols w:space="720"/>
          <w:docGrid w:linePitch="360"/>
        </w:sectPr>
      </w:pPr>
    </w:p>
    <w:p w14:paraId="1125F667" w14:textId="77777777" w:rsidR="006F6153" w:rsidRPr="00C00335" w:rsidRDefault="006F6153" w:rsidP="006F6153">
      <w:pPr>
        <w:pStyle w:val="Heading2"/>
      </w:pPr>
      <w:bookmarkStart w:id="35" w:name="_Toc398293114"/>
      <w:bookmarkStart w:id="36" w:name="_Toc89257535"/>
      <w:r w:rsidRPr="00C00335">
        <w:lastRenderedPageBreak/>
        <w:t>Transitions between Subpopulations (Aging Only)</w:t>
      </w:r>
      <w:bookmarkEnd w:id="35"/>
      <w:bookmarkEnd w:id="36"/>
    </w:p>
    <w:p w14:paraId="5AF40416" w14:textId="76EF6274" w:rsidR="00F82809" w:rsidRPr="00C00335" w:rsidRDefault="006F6153" w:rsidP="00F82809">
      <w:pPr>
        <w:pStyle w:val="BodyText"/>
      </w:pPr>
      <w:r w:rsidRPr="00F5043F">
        <w:t xml:space="preserve">Individuals can only transition between demographic subpopulations by aging. That is, all of an individual’s demographic characteristics remain the same for the duration of the model except their age. </w:t>
      </w:r>
      <w:r w:rsidR="00D1233C" w:rsidRPr="00F5043F">
        <w:t xml:space="preserve">In general, one would expect a </w:t>
      </w:r>
      <w:r w:rsidRPr="00F5043F">
        <w:t xml:space="preserve">rate of aging </w:t>
      </w:r>
      <w:r w:rsidR="00D1233C" w:rsidRPr="00F5043F">
        <w:t xml:space="preserve">out of an age group equal to the reciprocal of the number of years in each interval. However, we </w:t>
      </w:r>
      <w:r w:rsidR="003A6EF5" w:rsidRPr="00F5043F">
        <w:t>apply to that basic rate of aging a multiplicative factor.</w:t>
      </w:r>
      <w:r w:rsidR="00D1233C" w:rsidRPr="00F5043F">
        <w:t xml:space="preserve"> This factor is required since HOPE is not an individual-based model and progression involves people from all age groups, so aging cannot occur linearly. </w:t>
      </w:r>
      <w:r w:rsidR="003A6EF5" w:rsidRPr="00F5043F">
        <w:t>The factor, therefore,</w:t>
      </w:r>
      <w:r w:rsidR="00D1233C" w:rsidRPr="00F5043F">
        <w:t xml:space="preserve"> allows the effective average age of individuals in each interval to stay within </w:t>
      </w:r>
      <w:r w:rsidR="003A6EF5" w:rsidRPr="00F5043F">
        <w:t>the</w:t>
      </w:r>
      <w:r w:rsidR="00D1233C" w:rsidRPr="00F5043F">
        <w:t xml:space="preserve"> interval</w:t>
      </w:r>
      <w:r w:rsidR="003A6EF5" w:rsidRPr="00F5043F">
        <w:t xml:space="preserve"> that it represents (</w:t>
      </w:r>
      <w:proofErr w:type="gramStart"/>
      <w:r w:rsidR="003A6EF5" w:rsidRPr="00F5043F">
        <w:t>e.g.</w:t>
      </w:r>
      <w:proofErr w:type="gramEnd"/>
      <w:r w:rsidR="003A6EF5" w:rsidRPr="00F5043F">
        <w:t xml:space="preserve"> 13-17 years, 18-24 years)</w:t>
      </w:r>
      <w:r w:rsidR="00C145E4" w:rsidRPr="00F5043F">
        <w:t xml:space="preserve"> rather than the effective average age shrinking due to people progressing between age groups too quickly (e.g. in six time steps people in the 13-17 age group could feasibly age to the 65+ age group)</w:t>
      </w:r>
      <w:r w:rsidR="00D1233C" w:rsidRPr="00F5043F">
        <w:t xml:space="preserve">. </w:t>
      </w:r>
      <w:r w:rsidR="00C145E4" w:rsidRPr="00F5043F">
        <w:t xml:space="preserve">As a result, the rate of aging </w:t>
      </w:r>
      <w:r w:rsidRPr="00F5043F">
        <w:t xml:space="preserve">out of </w:t>
      </w:r>
      <w:r w:rsidR="00D1233C" w:rsidRPr="00F5043F">
        <w:t xml:space="preserve">an </w:t>
      </w:r>
      <w:r w:rsidRPr="00F5043F">
        <w:t xml:space="preserve">age group </w:t>
      </w:r>
      <w:r w:rsidRPr="00F5043F">
        <w:rPr>
          <w:i/>
          <w:iCs/>
        </w:rPr>
        <w:t>j</w:t>
      </w:r>
      <w:r w:rsidRPr="00F5043F">
        <w:t xml:space="preserve"> and into </w:t>
      </w:r>
      <w:r w:rsidR="00D1233C" w:rsidRPr="00F5043F">
        <w:t xml:space="preserve">an </w:t>
      </w:r>
      <w:r w:rsidRPr="00F5043F">
        <w:t xml:space="preserve">age group </w:t>
      </w:r>
      <w:r w:rsidRPr="00F5043F">
        <w:rPr>
          <w:i/>
        </w:rPr>
        <w:t>j </w:t>
      </w:r>
      <w:r w:rsidRPr="00F5043F">
        <w:t xml:space="preserve">+ 1 (where </w:t>
      </w:r>
      <w:r w:rsidRPr="00F5043F">
        <w:rPr>
          <w:i/>
        </w:rPr>
        <w:t>j</w:t>
      </w:r>
      <w:r w:rsidRPr="00F5043F">
        <w:t> &lt; </w:t>
      </w:r>
      <w:r w:rsidR="00387C65" w:rsidRPr="00F5043F">
        <w:t>7</w:t>
      </w:r>
      <w:r w:rsidRPr="00F5043F">
        <w:t>)</w:t>
      </w:r>
      <w:r w:rsidRPr="00F5043F">
        <w:rPr>
          <w:i/>
        </w:rPr>
        <w:t xml:space="preserve"> </w:t>
      </w:r>
      <w:r w:rsidRPr="00F5043F">
        <w:t xml:space="preserve">is </w:t>
      </w:r>
      <w:r w:rsidR="0094778C" w:rsidRPr="00F5043F">
        <w:t>calculated as</w:t>
      </w:r>
      <w:r w:rsidRPr="00F5043F">
        <w:t xml:space="preserve"> 1 ÷</w:t>
      </w:r>
      <w:r w:rsidRPr="00F5043F" w:rsidDel="009B126F">
        <w:t xml:space="preserve"> </w:t>
      </w:r>
      <w:r w:rsidR="0094778C" w:rsidRPr="00F5043F">
        <w:t>[</w:t>
      </w:r>
      <w:r w:rsidRPr="00F5043F">
        <w:t xml:space="preserve">(the number of years in age group </w:t>
      </w:r>
      <w:r w:rsidRPr="00F5043F">
        <w:rPr>
          <w:i/>
          <w:iCs/>
        </w:rPr>
        <w:t>j</w:t>
      </w:r>
      <w:r w:rsidRPr="00F5043F">
        <w:t>)</w:t>
      </w:r>
      <w:r w:rsidR="0094778C" w:rsidRPr="00F5043F">
        <w:t xml:space="preserve"> x (Adjustment factor for age group </w:t>
      </w:r>
      <w:r w:rsidR="0094778C" w:rsidRPr="00F5043F">
        <w:rPr>
          <w:i/>
          <w:iCs/>
        </w:rPr>
        <w:t>j</w:t>
      </w:r>
      <w:r w:rsidR="0094778C" w:rsidRPr="00F5043F">
        <w:t>)]. The values of these adjustment factors are determined by calibration so that total population sizes and total prevalence counts by age group approximate census and surveillance data, respectively</w:t>
      </w:r>
      <w:r w:rsidRPr="00F5043F">
        <w:t>.</w:t>
      </w:r>
      <w:r w:rsidR="0094778C" w:rsidRPr="00F5043F">
        <w:t xml:space="preserve"> In the current version of the model, they are equal to </w:t>
      </w:r>
      <w:r w:rsidR="00044BA9" w:rsidRPr="00044BA9">
        <w:rPr>
          <w:i/>
        </w:rPr>
        <w:t>0.96</w:t>
      </w:r>
      <w:r w:rsidR="0094778C" w:rsidRPr="00F5043F">
        <w:t xml:space="preserve">, </w:t>
      </w:r>
      <w:r w:rsidR="00044BA9" w:rsidRPr="00044BA9">
        <w:rPr>
          <w:i/>
        </w:rPr>
        <w:t>0.53</w:t>
      </w:r>
      <w:r w:rsidR="0094778C" w:rsidRPr="00F5043F">
        <w:t xml:space="preserve">, </w:t>
      </w:r>
      <w:r w:rsidR="00044BA9" w:rsidRPr="00044BA9">
        <w:rPr>
          <w:i/>
        </w:rPr>
        <w:t>1.49</w:t>
      </w:r>
      <w:r w:rsidR="0094778C" w:rsidRPr="00F5043F">
        <w:t xml:space="preserve">, </w:t>
      </w:r>
      <w:r w:rsidR="00044BA9" w:rsidRPr="00044BA9">
        <w:rPr>
          <w:i/>
        </w:rPr>
        <w:t>2.81</w:t>
      </w:r>
      <w:r w:rsidR="0094778C" w:rsidRPr="00F5043F">
        <w:t xml:space="preserve">, </w:t>
      </w:r>
      <w:r w:rsidR="00044BA9" w:rsidRPr="00044BA9">
        <w:rPr>
          <w:i/>
        </w:rPr>
        <w:t>2.24</w:t>
      </w:r>
      <w:r w:rsidR="0094778C" w:rsidRPr="00F5043F">
        <w:t xml:space="preserve">, and </w:t>
      </w:r>
      <w:r w:rsidR="00044BA9" w:rsidRPr="00044BA9">
        <w:rPr>
          <w:i/>
        </w:rPr>
        <w:t>1.21</w:t>
      </w:r>
      <w:r w:rsidR="00044BA9">
        <w:rPr>
          <w:i/>
        </w:rPr>
        <w:t xml:space="preserve"> </w:t>
      </w:r>
      <w:r w:rsidR="0094778C" w:rsidRPr="00F5043F">
        <w:t xml:space="preserve">for each age group </w:t>
      </w:r>
      <w:r w:rsidR="0094778C" w:rsidRPr="00F5043F">
        <w:rPr>
          <w:i/>
          <w:iCs/>
        </w:rPr>
        <w:t>j</w:t>
      </w:r>
      <w:r w:rsidR="0094778C" w:rsidRPr="00F5043F">
        <w:t xml:space="preserve"> = {1 to 6}.</w:t>
      </w:r>
      <w:r w:rsidR="0094778C">
        <w:t xml:space="preserve"> </w:t>
      </w:r>
      <w:r w:rsidR="00D1233C">
        <w:t xml:space="preserve"> </w:t>
      </w:r>
    </w:p>
    <w:p w14:paraId="749A7A5B" w14:textId="14BCA26C" w:rsidR="001F5372" w:rsidRPr="00C00335" w:rsidRDefault="00F82809" w:rsidP="00F82809">
      <w:pPr>
        <w:pStyle w:val="BodyText"/>
      </w:pPr>
      <w:r w:rsidRPr="00C00335">
        <w:t>In reality, individuals in the U</w:t>
      </w:r>
      <w:r w:rsidR="008E4A7C" w:rsidRPr="00C00335">
        <w:t>.</w:t>
      </w:r>
      <w:r w:rsidRPr="00C00335">
        <w:t>S</w:t>
      </w:r>
      <w:r w:rsidR="008E4A7C" w:rsidRPr="00C00335">
        <w:t>.</w:t>
      </w:r>
      <w:r w:rsidRPr="00C00335">
        <w:t xml:space="preserve"> population move between subpopulations in other ways, such as transitioning between transmission risk groups or risk levels, or going from uncircumcised to circumcised; however, as a simplifying assumption, those transitions are not considered in this model.</w:t>
      </w:r>
    </w:p>
    <w:p w14:paraId="76B213D4" w14:textId="3622EAE7" w:rsidR="000F420A" w:rsidRPr="00C00335" w:rsidRDefault="009D5AF4" w:rsidP="00A57EF2">
      <w:pPr>
        <w:pStyle w:val="Heading2"/>
        <w:spacing w:before="0"/>
      </w:pPr>
      <w:bookmarkStart w:id="37" w:name="_Toc89257536"/>
      <w:r w:rsidRPr="00C00335">
        <w:t>Transitions between Compartments Due to Disease Progression</w:t>
      </w:r>
      <w:bookmarkEnd w:id="26"/>
      <w:bookmarkEnd w:id="37"/>
    </w:p>
    <w:p w14:paraId="28AF930B" w14:textId="54B859A2" w:rsidR="000F420A" w:rsidRDefault="009D5AF4" w:rsidP="00C76143">
      <w:pPr>
        <w:pStyle w:val="BodyText"/>
      </w:pPr>
      <w:r w:rsidRPr="00C00335">
        <w:t>Transitions between disease stages occur by infection and by HIV progression. The rate</w:t>
      </w:r>
      <w:r w:rsidR="00912267" w:rsidRPr="00C00335">
        <w:t>s</w:t>
      </w:r>
      <w:r w:rsidRPr="00C00335">
        <w:t xml:space="preserve"> at which individuals transition from </w:t>
      </w:r>
      <w:r w:rsidR="00912267" w:rsidRPr="00C00335">
        <w:t xml:space="preserve">any </w:t>
      </w:r>
      <w:r w:rsidRPr="00C00335">
        <w:t xml:space="preserve">disease stage </w:t>
      </w:r>
      <w:r w:rsidRPr="00C00335">
        <w:rPr>
          <w:i/>
        </w:rPr>
        <w:t>h</w:t>
      </w:r>
      <w:r w:rsidRPr="00C00335">
        <w:t xml:space="preserve"> (where </w:t>
      </w:r>
      <w:r w:rsidRPr="00C00335">
        <w:rPr>
          <w:i/>
        </w:rPr>
        <w:t>h ≥ 1</w:t>
      </w:r>
      <w:r w:rsidRPr="00C00335">
        <w:t xml:space="preserve">) to </w:t>
      </w:r>
      <w:r w:rsidRPr="00C00335">
        <w:rPr>
          <w:i/>
        </w:rPr>
        <w:t xml:space="preserve">h </w:t>
      </w:r>
      <w:r w:rsidRPr="00C00335">
        <w:t xml:space="preserve">+ 1 </w:t>
      </w:r>
      <w:r w:rsidR="00912267" w:rsidRPr="00C00335">
        <w:t xml:space="preserve">or </w:t>
      </w:r>
      <w:r w:rsidR="00912267" w:rsidRPr="00C00335">
        <w:rPr>
          <w:i/>
          <w:iCs/>
        </w:rPr>
        <w:t>h</w:t>
      </w:r>
      <w:r w:rsidR="00912267" w:rsidRPr="00C00335">
        <w:t xml:space="preserve"> </w:t>
      </w:r>
      <w:r w:rsidR="001F5372" w:rsidRPr="00C00335">
        <w:t>−</w:t>
      </w:r>
      <w:r w:rsidR="00912267" w:rsidRPr="00C00335">
        <w:t xml:space="preserve"> 1 </w:t>
      </w:r>
      <w:r w:rsidRPr="00C00335">
        <w:t xml:space="preserve">(or to death in the case of </w:t>
      </w:r>
      <w:r w:rsidRPr="00C00335">
        <w:rPr>
          <w:i/>
        </w:rPr>
        <w:t>h</w:t>
      </w:r>
      <w:r w:rsidR="00E628BE" w:rsidRPr="00C00335">
        <w:rPr>
          <w:i/>
        </w:rPr>
        <w:t> = </w:t>
      </w:r>
      <w:r w:rsidRPr="00C00335">
        <w:t xml:space="preserve">5) </w:t>
      </w:r>
      <w:r w:rsidR="00912267" w:rsidRPr="00C00335">
        <w:t xml:space="preserve">are </w:t>
      </w:r>
      <w:r w:rsidRPr="00C00335">
        <w:t>assumed to be constant</w:t>
      </w:r>
      <w:r w:rsidR="00912267" w:rsidRPr="00C00335">
        <w:t xml:space="preserve">. For stages in which </w:t>
      </w:r>
      <w:r w:rsidR="00FE376C" w:rsidRPr="00C00335">
        <w:t xml:space="preserve">patients are not </w:t>
      </w:r>
      <w:r w:rsidR="000965E6" w:rsidRPr="00C00335">
        <w:t>prescribed ART</w:t>
      </w:r>
      <w:r w:rsidR="00912267" w:rsidRPr="00C00335">
        <w:t xml:space="preserve"> (</w:t>
      </w:r>
      <w:r w:rsidR="00912267" w:rsidRPr="00C00335">
        <w:rPr>
          <w:i/>
          <w:iCs/>
        </w:rPr>
        <w:t>r</w:t>
      </w:r>
      <w:r w:rsidR="00E628BE" w:rsidRPr="00C00335">
        <w:t> = </w:t>
      </w:r>
      <w:r w:rsidR="00912267" w:rsidRPr="00C00335">
        <w:t xml:space="preserve">1, 2, 3), the rates from </w:t>
      </w:r>
      <w:r w:rsidR="00912267" w:rsidRPr="00C00335">
        <w:rPr>
          <w:i/>
          <w:iCs/>
        </w:rPr>
        <w:t>h</w:t>
      </w:r>
      <w:r w:rsidR="00912267" w:rsidRPr="00C00335">
        <w:t xml:space="preserve"> to </w:t>
      </w:r>
      <w:r w:rsidR="00912267" w:rsidRPr="00C00335">
        <w:rPr>
          <w:i/>
          <w:iCs/>
        </w:rPr>
        <w:t>h</w:t>
      </w:r>
      <w:r w:rsidR="00912267" w:rsidRPr="00C00335">
        <w:t xml:space="preserve"> + 1 are </w:t>
      </w:r>
      <w:r w:rsidRPr="00C00335">
        <w:t xml:space="preserve">equal to 1 ÷ (duration of stage </w:t>
      </w:r>
      <w:r w:rsidRPr="00C00335">
        <w:rPr>
          <w:i/>
        </w:rPr>
        <w:t>h</w:t>
      </w:r>
      <w:r w:rsidRPr="00C00335">
        <w:t>).</w:t>
      </w:r>
      <w:r w:rsidR="00912267" w:rsidRPr="00C00335">
        <w:t xml:space="preserve"> </w:t>
      </w:r>
      <w:r w:rsidR="00C76143" w:rsidRPr="00C00335">
        <w:t xml:space="preserve">Otherwise, the rates are specified directly. </w:t>
      </w:r>
      <w:r w:rsidR="00912267" w:rsidRPr="00C00335">
        <w:t xml:space="preserve">For </w:t>
      </w:r>
      <w:r w:rsidR="00C76143" w:rsidRPr="00C00335">
        <w:t xml:space="preserve">VLS </w:t>
      </w:r>
      <w:r w:rsidR="00912267" w:rsidRPr="00C00335">
        <w:t xml:space="preserve">stages </w:t>
      </w:r>
      <w:r w:rsidR="00C76143" w:rsidRPr="00C00335">
        <w:t>(</w:t>
      </w:r>
      <w:r w:rsidR="00C76143" w:rsidRPr="00C00335">
        <w:rPr>
          <w:i/>
          <w:iCs/>
        </w:rPr>
        <w:t>r</w:t>
      </w:r>
      <w:r w:rsidR="00E628BE" w:rsidRPr="00C00335">
        <w:t> = </w:t>
      </w:r>
      <w:r w:rsidR="00C76143" w:rsidRPr="00C00335">
        <w:t xml:space="preserve">5), progression may occur from disease stage </w:t>
      </w:r>
      <w:r w:rsidR="00C76143" w:rsidRPr="00C00335">
        <w:rPr>
          <w:i/>
        </w:rPr>
        <w:t>h</w:t>
      </w:r>
      <w:r w:rsidR="00C76143" w:rsidRPr="00C00335">
        <w:t xml:space="preserve"> to </w:t>
      </w:r>
      <w:r w:rsidR="00C76143" w:rsidRPr="00C00335">
        <w:rPr>
          <w:i/>
        </w:rPr>
        <w:t xml:space="preserve">h </w:t>
      </w:r>
      <w:r w:rsidR="00C76143" w:rsidRPr="00C00335">
        <w:t xml:space="preserve">+ 1 or to </w:t>
      </w:r>
      <w:r w:rsidR="00C76143" w:rsidRPr="00C00335">
        <w:rPr>
          <w:i/>
          <w:iCs/>
        </w:rPr>
        <w:t>h</w:t>
      </w:r>
      <w:r w:rsidR="00C76143" w:rsidRPr="00C00335">
        <w:t xml:space="preserve"> </w:t>
      </w:r>
      <w:r w:rsidR="001F5372" w:rsidRPr="00C00335">
        <w:t>−</w:t>
      </w:r>
      <w:r w:rsidR="00C76143" w:rsidRPr="00C00335">
        <w:t xml:space="preserve"> 1, but for all other continuum-of-care stages, progression may only occur from </w:t>
      </w:r>
      <w:r w:rsidR="00C76143" w:rsidRPr="00C00335">
        <w:rPr>
          <w:i/>
        </w:rPr>
        <w:t>h</w:t>
      </w:r>
      <w:r w:rsidR="00C76143" w:rsidRPr="00C00335">
        <w:t xml:space="preserve"> to </w:t>
      </w:r>
      <w:r w:rsidR="00C76143" w:rsidRPr="00C00335">
        <w:rPr>
          <w:i/>
        </w:rPr>
        <w:t xml:space="preserve">h </w:t>
      </w:r>
      <w:r w:rsidR="00C76143" w:rsidRPr="00C00335">
        <w:t xml:space="preserve">+ 1. All inputs that determine these progressions are specified in </w:t>
      </w:r>
      <w:r w:rsidR="00871E69" w:rsidRPr="00C00335">
        <w:t>Table 5.</w:t>
      </w:r>
      <w:r w:rsidR="00C76143" w:rsidRPr="00C00335">
        <w:t>1.</w:t>
      </w:r>
    </w:p>
    <w:p w14:paraId="261BADB9" w14:textId="23978D03" w:rsidR="00387C65" w:rsidRPr="0024779E" w:rsidRDefault="00387C65" w:rsidP="004B71BF">
      <w:pPr>
        <w:pStyle w:val="Heading3"/>
      </w:pPr>
      <w:bookmarkStart w:id="38" w:name="_Toc89257537"/>
      <w:r w:rsidRPr="0024779E">
        <w:t xml:space="preserve">Role of CD4 </w:t>
      </w:r>
      <w:r w:rsidR="00AE45CC" w:rsidRPr="0024779E">
        <w:t>C</w:t>
      </w:r>
      <w:r w:rsidRPr="0024779E">
        <w:t xml:space="preserve">ount in </w:t>
      </w:r>
      <w:r w:rsidR="00AE45CC" w:rsidRPr="0024779E">
        <w:t>D</w:t>
      </w:r>
      <w:r w:rsidRPr="0024779E">
        <w:t xml:space="preserve">isease </w:t>
      </w:r>
      <w:r w:rsidR="00AE45CC" w:rsidRPr="0024779E">
        <w:t>P</w:t>
      </w:r>
      <w:r w:rsidRPr="0024779E">
        <w:t xml:space="preserve">rogression and </w:t>
      </w:r>
      <w:r w:rsidR="00AE45CC" w:rsidRPr="0024779E">
        <w:t>T</w:t>
      </w:r>
      <w:r w:rsidRPr="0024779E">
        <w:t>ransmission</w:t>
      </w:r>
      <w:bookmarkEnd w:id="38"/>
    </w:p>
    <w:p w14:paraId="38059215" w14:textId="3D4BFFE6" w:rsidR="00994F71" w:rsidRPr="0024779E" w:rsidRDefault="00994F71" w:rsidP="00C76143">
      <w:pPr>
        <w:pStyle w:val="BodyText"/>
      </w:pPr>
      <w:r w:rsidRPr="0024779E">
        <w:t>In HOPE, d</w:t>
      </w:r>
      <w:r w:rsidR="00387C65" w:rsidRPr="0024779E">
        <w:t>isease stages are defined by CD4 stratum</w:t>
      </w:r>
      <w:r w:rsidR="0027096D" w:rsidRPr="0024779E">
        <w:t xml:space="preserve">. HIV-infected individuals in those stages </w:t>
      </w:r>
      <w:r w:rsidRPr="0024779E">
        <w:t>vary by three factors: duration of time in the stage, transmission risk, and death rates</w:t>
      </w:r>
      <w:r w:rsidR="00387C65" w:rsidRPr="0024779E">
        <w:t xml:space="preserve">. </w:t>
      </w:r>
    </w:p>
    <w:p w14:paraId="5753CDDE" w14:textId="1ED0B420" w:rsidR="00994F71" w:rsidRPr="0024779E" w:rsidRDefault="0027096D" w:rsidP="002B1372">
      <w:pPr>
        <w:pStyle w:val="bullets"/>
      </w:pPr>
      <w:r w:rsidRPr="0024779E">
        <w:t xml:space="preserve">Duration of each stage: </w:t>
      </w:r>
      <w:r w:rsidR="00387C65" w:rsidRPr="0024779E">
        <w:t xml:space="preserve">For </w:t>
      </w:r>
      <w:r w:rsidR="00994F71" w:rsidRPr="0024779E">
        <w:t>HIV-infected individuals</w:t>
      </w:r>
      <w:r w:rsidR="00387C65" w:rsidRPr="0024779E">
        <w:t xml:space="preserve"> not on treatment</w:t>
      </w:r>
      <w:r w:rsidRPr="0024779E">
        <w:t xml:space="preserve"> (</w:t>
      </w:r>
      <w:r w:rsidRPr="0024779E">
        <w:rPr>
          <w:i/>
          <w:iCs/>
        </w:rPr>
        <w:t>r</w:t>
      </w:r>
      <w:r w:rsidRPr="0024779E">
        <w:t xml:space="preserve"> = 1, 2, or 3)</w:t>
      </w:r>
      <w:r w:rsidR="00387C65" w:rsidRPr="0024779E">
        <w:t xml:space="preserve">, duration of each disease stage </w:t>
      </w:r>
      <w:r w:rsidR="00387C65" w:rsidRPr="0024779E">
        <w:rPr>
          <w:i/>
        </w:rPr>
        <w:t>h</w:t>
      </w:r>
      <w:r w:rsidR="00387C65" w:rsidRPr="0024779E">
        <w:t xml:space="preserve"> is based on published estimates</w:t>
      </w:r>
      <w:r w:rsidR="00B173A7" w:rsidRPr="0024779E">
        <w:t xml:space="preserve"> (Table 5.1)</w:t>
      </w:r>
      <w:r w:rsidR="00387C65" w:rsidRPr="0024779E">
        <w:t>.</w:t>
      </w:r>
      <w:r w:rsidRPr="0024779E">
        <w:t xml:space="preserve"> Duration </w:t>
      </w:r>
      <w:r w:rsidR="00AE45CC" w:rsidRPr="0024779E">
        <w:t>of</w:t>
      </w:r>
      <w:r w:rsidRPr="0024779E">
        <w:t xml:space="preserve"> each stage when on treatment (</w:t>
      </w:r>
      <w:r w:rsidRPr="0024779E">
        <w:rPr>
          <w:i/>
          <w:iCs/>
        </w:rPr>
        <w:t>r</w:t>
      </w:r>
      <w:r w:rsidRPr="0024779E">
        <w:t xml:space="preserve"> = 4 or 5) is </w:t>
      </w:r>
      <w:r w:rsidR="00B173A7" w:rsidRPr="0024779E">
        <w:t>specified</w:t>
      </w:r>
      <w:r w:rsidRPr="0024779E">
        <w:t xml:space="preserve"> by</w:t>
      </w:r>
      <w:r w:rsidR="00B173A7" w:rsidRPr="0024779E">
        <w:t xml:space="preserve"> an input </w:t>
      </w:r>
      <w:r w:rsidR="00B173A7" w:rsidRPr="0024779E">
        <w:lastRenderedPageBreak/>
        <w:t>defining the rates of progression out of that stage (Table 5.1); those values</w:t>
      </w:r>
      <w:r w:rsidR="008562C5" w:rsidRPr="0024779E">
        <w:t xml:space="preserve"> reflect longer durations in each stage and</w:t>
      </w:r>
      <w:r w:rsidR="00B173A7" w:rsidRPr="0024779E">
        <w:t xml:space="preserve"> are determined by</w:t>
      </w:r>
      <w:r w:rsidRPr="0024779E">
        <w:t xml:space="preserve"> calibration. </w:t>
      </w:r>
      <w:r w:rsidR="00387C65" w:rsidRPr="0024779E">
        <w:t xml:space="preserve"> </w:t>
      </w:r>
    </w:p>
    <w:p w14:paraId="3767D1D7" w14:textId="1B71B4D8" w:rsidR="00994F71" w:rsidRPr="0024779E" w:rsidRDefault="00994F71" w:rsidP="002B1372">
      <w:pPr>
        <w:pStyle w:val="bullets"/>
      </w:pPr>
      <w:r w:rsidRPr="0024779E">
        <w:t>T</w:t>
      </w:r>
      <w:r w:rsidR="00387C65" w:rsidRPr="0024779E">
        <w:t>ransmission risk</w:t>
      </w:r>
      <w:r w:rsidRPr="0024779E">
        <w:t xml:space="preserve">: </w:t>
      </w:r>
      <w:r w:rsidR="0027096D" w:rsidRPr="0024779E">
        <w:t>E</w:t>
      </w:r>
      <w:r w:rsidR="00387C65" w:rsidRPr="0024779E">
        <w:t>xcept for the acute phase, higher CD4 is associated with a reduced risk of transmission</w:t>
      </w:r>
      <w:r w:rsidR="00B173A7" w:rsidRPr="0024779E">
        <w:t xml:space="preserve"> (Table 6.8)</w:t>
      </w:r>
      <w:r w:rsidR="00387C65" w:rsidRPr="0024779E">
        <w:t xml:space="preserve">. Although the model does not explicitly </w:t>
      </w:r>
      <w:r w:rsidR="00AE45CC" w:rsidRPr="0024779E">
        <w:t>consider</w:t>
      </w:r>
      <w:r w:rsidR="00387C65" w:rsidRPr="0024779E">
        <w:t xml:space="preserve"> viral load measurement, these CD4 strata reflect higher transmission rates associated with higher viral loads. </w:t>
      </w:r>
    </w:p>
    <w:p w14:paraId="73D88B16" w14:textId="478EB389" w:rsidR="00B173A7" w:rsidRPr="0024779E" w:rsidRDefault="00994F71" w:rsidP="002B1372">
      <w:pPr>
        <w:pStyle w:val="bullets"/>
      </w:pPr>
      <w:r w:rsidRPr="0024779E">
        <w:t>Death rates</w:t>
      </w:r>
      <w:r w:rsidR="00B173A7" w:rsidRPr="0024779E">
        <w:t>:</w:t>
      </w:r>
      <w:r w:rsidRPr="0024779E">
        <w:t xml:space="preserve"> </w:t>
      </w:r>
      <w:r w:rsidR="00B173A7" w:rsidRPr="0024779E">
        <w:t>As outlined in section 5.1, t</w:t>
      </w:r>
      <w:r w:rsidR="00387C65" w:rsidRPr="0024779E">
        <w:t xml:space="preserve">he last </w:t>
      </w:r>
      <w:r w:rsidR="00B173A7" w:rsidRPr="0024779E">
        <w:t>disease stage</w:t>
      </w:r>
      <w:r w:rsidR="00387C65" w:rsidRPr="0024779E">
        <w:t>, CD4</w:t>
      </w:r>
      <w:r w:rsidR="00732B16" w:rsidRPr="0024779E">
        <w:t> </w:t>
      </w:r>
      <w:r w:rsidR="00387C65" w:rsidRPr="0024779E">
        <w:t>&lt;</w:t>
      </w:r>
      <w:r w:rsidR="00732B16" w:rsidRPr="0024779E">
        <w:t> </w:t>
      </w:r>
      <w:r w:rsidR="00387C65" w:rsidRPr="0024779E">
        <w:t xml:space="preserve">200, is associated with a higher death rate. </w:t>
      </w:r>
    </w:p>
    <w:p w14:paraId="3F538DD1" w14:textId="6BD3FE4C" w:rsidR="00387C65" w:rsidRPr="00C00335" w:rsidRDefault="00AE45CC" w:rsidP="008562C5">
      <w:pPr>
        <w:pStyle w:val="BodyText"/>
      </w:pPr>
      <w:r w:rsidRPr="0024779E">
        <w:t>Because of</w:t>
      </w:r>
      <w:r w:rsidR="00B173A7" w:rsidRPr="0024779E">
        <w:t xml:space="preserve"> these variations, w</w:t>
      </w:r>
      <w:r w:rsidR="00387C65" w:rsidRPr="0024779E">
        <w:t xml:space="preserve">hen patients </w:t>
      </w:r>
      <w:r w:rsidR="00994F71" w:rsidRPr="0024779E">
        <w:t>are</w:t>
      </w:r>
      <w:r w:rsidR="00387C65" w:rsidRPr="0024779E">
        <w:t xml:space="preserve"> on treatment but </w:t>
      </w:r>
      <w:r w:rsidR="00732B16" w:rsidRPr="0024779E">
        <w:t xml:space="preserve">are </w:t>
      </w:r>
      <w:r w:rsidR="00387C65" w:rsidRPr="0024779E">
        <w:t xml:space="preserve">not </w:t>
      </w:r>
      <w:r w:rsidR="004B71BF" w:rsidRPr="0024779E">
        <w:t>VLS</w:t>
      </w:r>
      <w:r w:rsidR="00387C65" w:rsidRPr="0024779E">
        <w:t xml:space="preserve"> (</w:t>
      </w:r>
      <w:r w:rsidR="00994F71" w:rsidRPr="0024779E">
        <w:rPr>
          <w:i/>
          <w:iCs/>
        </w:rPr>
        <w:t>r</w:t>
      </w:r>
      <w:r w:rsidR="00994F71" w:rsidRPr="0024779E">
        <w:t xml:space="preserve"> = </w:t>
      </w:r>
      <w:r w:rsidR="00387C65" w:rsidRPr="0024779E">
        <w:t>4), transmission</w:t>
      </w:r>
      <w:r w:rsidR="008562C5" w:rsidRPr="0024779E">
        <w:t xml:space="preserve"> is effectively reduced</w:t>
      </w:r>
      <w:r w:rsidR="00387C65" w:rsidRPr="0024779E">
        <w:t xml:space="preserve"> by keeping patients in higher CD4 strata longer</w:t>
      </w:r>
      <w:r w:rsidR="008562C5" w:rsidRPr="0024779E">
        <w:t xml:space="preserve"> </w:t>
      </w:r>
      <w:r w:rsidR="00387C65" w:rsidRPr="0024779E">
        <w:t xml:space="preserve">and the death rate </w:t>
      </w:r>
      <w:r w:rsidR="008562C5" w:rsidRPr="0024779E">
        <w:t xml:space="preserve">reduced </w:t>
      </w:r>
      <w:r w:rsidR="00387C65" w:rsidRPr="0024779E">
        <w:t>by keeping more patients out of the CD4</w:t>
      </w:r>
      <w:r w:rsidR="00732B16" w:rsidRPr="0024779E">
        <w:t> </w:t>
      </w:r>
      <w:r w:rsidR="00387C65" w:rsidRPr="0024779E">
        <w:t>&lt;</w:t>
      </w:r>
      <w:r w:rsidR="00732B16" w:rsidRPr="0024779E">
        <w:t> </w:t>
      </w:r>
      <w:r w:rsidR="00387C65" w:rsidRPr="0024779E">
        <w:t>200 stratum. When patients become virally suppressed (</w:t>
      </w:r>
      <w:r w:rsidR="008562C5" w:rsidRPr="0024779E">
        <w:rPr>
          <w:i/>
          <w:iCs/>
        </w:rPr>
        <w:t>r</w:t>
      </w:r>
      <w:r w:rsidR="008562C5" w:rsidRPr="0024779E">
        <w:t xml:space="preserve"> = </w:t>
      </w:r>
      <w:r w:rsidR="00387C65" w:rsidRPr="0024779E">
        <w:t xml:space="preserve">5), they </w:t>
      </w:r>
      <w:r w:rsidR="008562C5" w:rsidRPr="0024779E">
        <w:t xml:space="preserve">tend to </w:t>
      </w:r>
      <w:r w:rsidR="00387C65" w:rsidRPr="0024779E">
        <w:t>move to higher CD4 strata, both reducing transmission and increasing survival time. In addition, they experience the large benefits on transmission (9</w:t>
      </w:r>
      <w:r w:rsidR="008562C5" w:rsidRPr="0024779E">
        <w:t>9</w:t>
      </w:r>
      <w:r w:rsidR="00387C65" w:rsidRPr="0024779E">
        <w:t>% reduction in this analysis) that viral suppression confers.</w:t>
      </w:r>
    </w:p>
    <w:p w14:paraId="72A8DD8B" w14:textId="1D1C0DEE" w:rsidR="000F420A" w:rsidRPr="00C00335" w:rsidRDefault="009D5AF4" w:rsidP="009D5AF4">
      <w:pPr>
        <w:pStyle w:val="Heading2"/>
      </w:pPr>
      <w:bookmarkStart w:id="39" w:name="_Hlk523736659"/>
      <w:bookmarkStart w:id="40" w:name="_Toc398293116"/>
      <w:bookmarkStart w:id="41" w:name="_Toc89257538"/>
      <w:r w:rsidRPr="00C00335">
        <w:t xml:space="preserve">Transitions between Compartments Due to </w:t>
      </w:r>
      <w:bookmarkEnd w:id="39"/>
      <w:r w:rsidRPr="00C00335">
        <w:t xml:space="preserve">Progression </w:t>
      </w:r>
      <w:r w:rsidR="00D25FAD" w:rsidRPr="00C00335">
        <w:t>a</w:t>
      </w:r>
      <w:r w:rsidRPr="00C00335">
        <w:t xml:space="preserve">long the </w:t>
      </w:r>
      <w:bookmarkEnd w:id="40"/>
      <w:r w:rsidR="003F2DC6" w:rsidRPr="00C00335">
        <w:t>Care Continuum</w:t>
      </w:r>
      <w:bookmarkEnd w:id="41"/>
    </w:p>
    <w:p w14:paraId="02F3AF53" w14:textId="734672B8" w:rsidR="001F5372" w:rsidRPr="00C00335" w:rsidRDefault="009D5AF4" w:rsidP="007F639E">
      <w:pPr>
        <w:pStyle w:val="BodyText"/>
      </w:pPr>
      <w:r w:rsidRPr="00C00335">
        <w:t>Transitions between continuum-of-care stages occur because</w:t>
      </w:r>
      <w:r w:rsidR="002710BD" w:rsidRPr="00C00335">
        <w:t xml:space="preserve"> HIV-infected</w:t>
      </w:r>
      <w:r w:rsidRPr="00C00335">
        <w:t xml:space="preserve"> individuals become aware of their status through testing and notification of positive results</w:t>
      </w:r>
      <w:r w:rsidR="005E509E" w:rsidRPr="00C00335">
        <w:t xml:space="preserve"> either without immediate linkage to </w:t>
      </w:r>
      <w:r w:rsidR="003C0141" w:rsidRPr="00C00335">
        <w:t xml:space="preserve">HIV </w:t>
      </w:r>
      <w:r w:rsidR="005E509E" w:rsidRPr="00C00335">
        <w:t>care</w:t>
      </w:r>
      <w:r w:rsidRPr="00C00335">
        <w:t xml:space="preserve"> (</w:t>
      </w:r>
      <w:r w:rsidRPr="00C00335">
        <w:rPr>
          <w:i/>
        </w:rPr>
        <w:t>r</w:t>
      </w:r>
      <w:r w:rsidR="00E628BE" w:rsidRPr="00C00335">
        <w:t> = </w:t>
      </w:r>
      <w:r w:rsidRPr="00C00335">
        <w:t xml:space="preserve">1 to </w:t>
      </w:r>
      <w:r w:rsidRPr="00C00335">
        <w:rPr>
          <w:i/>
        </w:rPr>
        <w:t>r</w:t>
      </w:r>
      <w:r w:rsidR="00E628BE" w:rsidRPr="00C00335">
        <w:t> = </w:t>
      </w:r>
      <w:r w:rsidRPr="00C00335">
        <w:t>2)</w:t>
      </w:r>
      <w:r w:rsidR="005E509E" w:rsidRPr="00C00335">
        <w:t xml:space="preserve"> or with immediate linkage to </w:t>
      </w:r>
      <w:r w:rsidR="003C0141" w:rsidRPr="00C00335">
        <w:t xml:space="preserve">HIV </w:t>
      </w:r>
      <w:r w:rsidR="005E509E" w:rsidRPr="00C00335">
        <w:t>care (</w:t>
      </w:r>
      <w:r w:rsidR="005E509E" w:rsidRPr="00C00335">
        <w:rPr>
          <w:i/>
        </w:rPr>
        <w:t>r</w:t>
      </w:r>
      <w:r w:rsidR="00E628BE" w:rsidRPr="00C00335">
        <w:t> = </w:t>
      </w:r>
      <w:r w:rsidR="005E509E" w:rsidRPr="00C00335">
        <w:t xml:space="preserve">1 to </w:t>
      </w:r>
      <w:r w:rsidR="005E509E" w:rsidRPr="00C00335">
        <w:rPr>
          <w:i/>
        </w:rPr>
        <w:t>r</w:t>
      </w:r>
      <w:r w:rsidR="00E628BE" w:rsidRPr="00C00335">
        <w:t> = </w:t>
      </w:r>
      <w:r w:rsidR="005E509E" w:rsidRPr="00C00335">
        <w:t xml:space="preserve">3), </w:t>
      </w:r>
      <w:r w:rsidRPr="00C00335">
        <w:t xml:space="preserve">are </w:t>
      </w:r>
      <w:r w:rsidR="009E34D9" w:rsidRPr="00C00335">
        <w:t>linked to HIV care</w:t>
      </w:r>
      <w:r w:rsidRPr="00C00335">
        <w:t xml:space="preserve"> </w:t>
      </w:r>
      <w:r w:rsidR="005E509E" w:rsidRPr="00C00335">
        <w:t xml:space="preserve">after diagnosis </w:t>
      </w:r>
      <w:r w:rsidRPr="00C00335">
        <w:t>(</w:t>
      </w:r>
      <w:r w:rsidRPr="00C00335">
        <w:rPr>
          <w:i/>
          <w:iCs/>
        </w:rPr>
        <w:t>r</w:t>
      </w:r>
      <w:r w:rsidR="00E628BE" w:rsidRPr="00C00335">
        <w:t> = </w:t>
      </w:r>
      <w:r w:rsidRPr="00C00335">
        <w:t xml:space="preserve">2 to </w:t>
      </w:r>
      <w:r w:rsidRPr="00C00335">
        <w:rPr>
          <w:i/>
          <w:iCs/>
        </w:rPr>
        <w:t>r</w:t>
      </w:r>
      <w:r w:rsidR="00E628BE" w:rsidRPr="00C00335">
        <w:t> = </w:t>
      </w:r>
      <w:r w:rsidRPr="00C00335">
        <w:t>3), depart from care (</w:t>
      </w:r>
      <w:r w:rsidRPr="00C00335">
        <w:rPr>
          <w:i/>
        </w:rPr>
        <w:t>r</w:t>
      </w:r>
      <w:r w:rsidR="00E628BE" w:rsidRPr="00C00335">
        <w:t> = </w:t>
      </w:r>
      <w:r w:rsidRPr="00C00335">
        <w:t>3</w:t>
      </w:r>
      <w:r w:rsidR="001A72D1" w:rsidRPr="00C00335">
        <w:t xml:space="preserve"> to </w:t>
      </w:r>
      <w:r w:rsidR="001A72D1" w:rsidRPr="00C00335">
        <w:rPr>
          <w:i/>
        </w:rPr>
        <w:t>r</w:t>
      </w:r>
      <w:r w:rsidR="00E628BE" w:rsidRPr="00C00335">
        <w:rPr>
          <w:i/>
        </w:rPr>
        <w:t> = </w:t>
      </w:r>
      <w:r w:rsidR="001A72D1" w:rsidRPr="00C00335">
        <w:t>2)</w:t>
      </w:r>
      <w:r w:rsidRPr="00C00335">
        <w:t xml:space="preserve">, </w:t>
      </w:r>
      <w:r w:rsidR="008101D3" w:rsidRPr="00C00335">
        <w:t>are prescribed</w:t>
      </w:r>
      <w:r w:rsidRPr="00C00335">
        <w:t xml:space="preserve"> ART (</w:t>
      </w:r>
      <w:r w:rsidRPr="00C00335">
        <w:rPr>
          <w:i/>
          <w:iCs/>
        </w:rPr>
        <w:t>r</w:t>
      </w:r>
      <w:r w:rsidR="00E628BE" w:rsidRPr="00C00335">
        <w:t> = </w:t>
      </w:r>
      <w:r w:rsidRPr="00C00335">
        <w:t xml:space="preserve">3 to </w:t>
      </w:r>
      <w:r w:rsidRPr="00C00335">
        <w:rPr>
          <w:i/>
          <w:iCs/>
        </w:rPr>
        <w:t>r</w:t>
      </w:r>
      <w:r w:rsidR="00E628BE" w:rsidRPr="00C00335">
        <w:t> = </w:t>
      </w:r>
      <w:r w:rsidRPr="00C00335">
        <w:t>4</w:t>
      </w:r>
      <w:r w:rsidR="001A72D1" w:rsidRPr="00C00335">
        <w:t xml:space="preserve"> or </w:t>
      </w:r>
      <w:r w:rsidR="001A72D1" w:rsidRPr="00C00335">
        <w:rPr>
          <w:i/>
        </w:rPr>
        <w:t>r</w:t>
      </w:r>
      <w:r w:rsidR="00E628BE" w:rsidRPr="00C00335">
        <w:t> = </w:t>
      </w:r>
      <w:r w:rsidR="001A72D1" w:rsidRPr="00C00335">
        <w:t xml:space="preserve">3 to </w:t>
      </w:r>
      <w:r w:rsidR="001A72D1" w:rsidRPr="00C00335">
        <w:rPr>
          <w:i/>
        </w:rPr>
        <w:t>r</w:t>
      </w:r>
      <w:r w:rsidR="00E628BE" w:rsidRPr="00C00335">
        <w:rPr>
          <w:i/>
        </w:rPr>
        <w:t> = </w:t>
      </w:r>
      <w:r w:rsidR="001A72D1" w:rsidRPr="00C00335">
        <w:t>5</w:t>
      </w:r>
      <w:r w:rsidRPr="00C00335">
        <w:t>)</w:t>
      </w:r>
      <w:r w:rsidR="001A72D1" w:rsidRPr="00C00335">
        <w:t xml:space="preserve">, </w:t>
      </w:r>
      <w:r w:rsidR="007F639E" w:rsidRPr="00C00335">
        <w:t xml:space="preserve">drop off of </w:t>
      </w:r>
      <w:r w:rsidR="001A72D1" w:rsidRPr="00C00335">
        <w:t>ART (</w:t>
      </w:r>
      <w:r w:rsidR="007F1470" w:rsidRPr="00C00335">
        <w:rPr>
          <w:i/>
        </w:rPr>
        <w:t>r</w:t>
      </w:r>
      <w:r w:rsidR="00E628BE" w:rsidRPr="00C00335">
        <w:rPr>
          <w:i/>
        </w:rPr>
        <w:t> = </w:t>
      </w:r>
      <w:r w:rsidR="007F1470" w:rsidRPr="00C00335">
        <w:t xml:space="preserve">4 to </w:t>
      </w:r>
      <w:r w:rsidR="007F1470" w:rsidRPr="00C00335">
        <w:rPr>
          <w:i/>
        </w:rPr>
        <w:t>r</w:t>
      </w:r>
      <w:r w:rsidR="00E628BE" w:rsidRPr="00C00335">
        <w:rPr>
          <w:i/>
        </w:rPr>
        <w:t> = </w:t>
      </w:r>
      <w:r w:rsidR="001A72D1" w:rsidRPr="00C00335">
        <w:t>3), or</w:t>
      </w:r>
      <w:r w:rsidR="002F6226" w:rsidRPr="00C00335">
        <w:t xml:space="preserve"> resume or</w:t>
      </w:r>
      <w:r w:rsidR="001A72D1" w:rsidRPr="00C00335">
        <w:t xml:space="preserve"> lose </w:t>
      </w:r>
      <w:r w:rsidR="004753C0">
        <w:t>viral</w:t>
      </w:r>
      <w:r w:rsidR="001A72D1" w:rsidRPr="00C00335">
        <w:t xml:space="preserve"> suppression (</w:t>
      </w:r>
      <w:r w:rsidR="002F6226" w:rsidRPr="00C00335">
        <w:rPr>
          <w:i/>
        </w:rPr>
        <w:t>r</w:t>
      </w:r>
      <w:r w:rsidR="00E628BE" w:rsidRPr="00C00335">
        <w:t> = </w:t>
      </w:r>
      <w:r w:rsidR="002F6226" w:rsidRPr="00C00335">
        <w:t xml:space="preserve">4 to </w:t>
      </w:r>
      <w:r w:rsidR="002F6226" w:rsidRPr="00C00335">
        <w:rPr>
          <w:i/>
        </w:rPr>
        <w:t>r</w:t>
      </w:r>
      <w:r w:rsidR="00E628BE" w:rsidRPr="00C00335">
        <w:rPr>
          <w:i/>
        </w:rPr>
        <w:t> = </w:t>
      </w:r>
      <w:r w:rsidR="002F6226" w:rsidRPr="00C00335">
        <w:t xml:space="preserve">5 or </w:t>
      </w:r>
      <w:r w:rsidR="001A72D1" w:rsidRPr="00C00335">
        <w:rPr>
          <w:i/>
        </w:rPr>
        <w:t>r</w:t>
      </w:r>
      <w:r w:rsidR="00E628BE" w:rsidRPr="00C00335">
        <w:t> = </w:t>
      </w:r>
      <w:r w:rsidR="001A72D1" w:rsidRPr="00C00335">
        <w:t>5 to</w:t>
      </w:r>
      <w:r w:rsidR="007F1470" w:rsidRPr="00C00335">
        <w:t xml:space="preserve"> </w:t>
      </w:r>
      <w:r w:rsidR="007F1470" w:rsidRPr="00C00335">
        <w:rPr>
          <w:i/>
        </w:rPr>
        <w:t>r</w:t>
      </w:r>
      <w:r w:rsidR="00E628BE" w:rsidRPr="00C00335">
        <w:rPr>
          <w:i/>
        </w:rPr>
        <w:t> = </w:t>
      </w:r>
      <w:r w:rsidR="001A72D1" w:rsidRPr="00C00335">
        <w:t>4)</w:t>
      </w:r>
      <w:r w:rsidRPr="00C00335">
        <w:t>.</w:t>
      </w:r>
    </w:p>
    <w:p w14:paraId="1775509C" w14:textId="16559FDD" w:rsidR="004F4E6D" w:rsidRPr="00C00335" w:rsidRDefault="00690681" w:rsidP="001309A5">
      <w:pPr>
        <w:pStyle w:val="BodyText"/>
      </w:pPr>
      <w:r w:rsidRPr="00C00335">
        <w:t xml:space="preserve">We assume that individuals with acute HIV are not </w:t>
      </w:r>
      <w:r w:rsidR="000965E6" w:rsidRPr="00C00335">
        <w:t>prescribed ART</w:t>
      </w:r>
      <w:r w:rsidRPr="00C00335">
        <w:t xml:space="preserve">. </w:t>
      </w:r>
      <w:r w:rsidR="001A72D1" w:rsidRPr="00C00335">
        <w:t>Individuals who are ART</w:t>
      </w:r>
      <w:r w:rsidR="001309A5" w:rsidRPr="00C00335">
        <w:t xml:space="preserve">-not-VLS </w:t>
      </w:r>
      <w:r w:rsidR="001A72D1" w:rsidRPr="00C00335">
        <w:t>(</w:t>
      </w:r>
      <w:r w:rsidR="001A72D1" w:rsidRPr="00C00335">
        <w:rPr>
          <w:i/>
        </w:rPr>
        <w:t>r</w:t>
      </w:r>
      <w:r w:rsidR="00E628BE" w:rsidRPr="00C00335">
        <w:rPr>
          <w:i/>
        </w:rPr>
        <w:t> = </w:t>
      </w:r>
      <w:r w:rsidR="001A72D1" w:rsidRPr="00C00335">
        <w:t xml:space="preserve">4) </w:t>
      </w:r>
      <w:r w:rsidR="00246174" w:rsidRPr="00C00335">
        <w:t>experience declines in their CD4 counts</w:t>
      </w:r>
      <w:r w:rsidR="00203AED" w:rsidRPr="00C00335">
        <w:t xml:space="preserve"> but </w:t>
      </w:r>
      <w:r w:rsidR="001A72D1" w:rsidRPr="00C00335">
        <w:t>have a slower disease progression than the natural history of HIV</w:t>
      </w:r>
      <w:r w:rsidR="00246174" w:rsidRPr="00C00335">
        <w:t xml:space="preserve"> (where natural history is the progression that occurs without exposure to treatment)</w:t>
      </w:r>
      <w:r w:rsidR="001A72D1" w:rsidRPr="00C00335">
        <w:t xml:space="preserve">. Individuals who are </w:t>
      </w:r>
      <w:r w:rsidR="001309A5" w:rsidRPr="00C00335">
        <w:t>VLS</w:t>
      </w:r>
      <w:r w:rsidR="001A72D1" w:rsidRPr="00C00335">
        <w:t xml:space="preserve"> (</w:t>
      </w:r>
      <w:r w:rsidR="001A72D1" w:rsidRPr="00C00335">
        <w:rPr>
          <w:i/>
        </w:rPr>
        <w:t>r</w:t>
      </w:r>
      <w:r w:rsidR="00E628BE" w:rsidRPr="00C00335">
        <w:rPr>
          <w:i/>
        </w:rPr>
        <w:t> = </w:t>
      </w:r>
      <w:r w:rsidR="001A72D1" w:rsidRPr="00C00335">
        <w:t xml:space="preserve">5) </w:t>
      </w:r>
      <w:r w:rsidR="005C7CE8" w:rsidRPr="00C00335">
        <w:t xml:space="preserve">are very different from individuals in other continuum stages in that they can </w:t>
      </w:r>
      <w:r w:rsidR="00246174" w:rsidRPr="00C00335">
        <w:t xml:space="preserve">experience </w:t>
      </w:r>
      <w:r w:rsidR="005C7CE8" w:rsidRPr="00C00335">
        <w:t xml:space="preserve">either </w:t>
      </w:r>
      <w:r w:rsidR="00246174" w:rsidRPr="00C00335">
        <w:t>increases or decreases in their CD4 counts</w:t>
      </w:r>
      <w:r w:rsidR="005C7CE8" w:rsidRPr="00C00335">
        <w:t xml:space="preserve"> and, in fact, they are more likely to experience an increase than a decrease in their CD4 counts</w:t>
      </w:r>
      <w:r w:rsidR="00203AED" w:rsidRPr="00C00335">
        <w:t>.</w:t>
      </w:r>
    </w:p>
    <w:p w14:paraId="2B01B578" w14:textId="5D1C4D92" w:rsidR="004F4E6D" w:rsidRPr="00C00335" w:rsidRDefault="009D5AF4" w:rsidP="0033192E">
      <w:pPr>
        <w:pStyle w:val="BodyText"/>
      </w:pPr>
      <w:r w:rsidRPr="00C00335">
        <w:t xml:space="preserve">Individuals who depart from care </w:t>
      </w:r>
      <w:r w:rsidR="00246174" w:rsidRPr="00C00335">
        <w:t xml:space="preserve">are </w:t>
      </w:r>
      <w:r w:rsidRPr="00C00335">
        <w:t xml:space="preserve">assumed to return to the </w:t>
      </w:r>
      <w:r w:rsidR="001309A5" w:rsidRPr="00C00335">
        <w:t>aware stage</w:t>
      </w:r>
      <w:r w:rsidRPr="00C00335">
        <w:t xml:space="preserve">, which includes individuals who have never been in care. </w:t>
      </w:r>
      <w:r w:rsidR="002F6226" w:rsidRPr="00C00335">
        <w:t xml:space="preserve">This assumption of aggregating </w:t>
      </w:r>
      <w:r w:rsidRPr="00C00335">
        <w:t>individuals who have never been in care with those who have dropped out of care was a simplifying assumption.</w:t>
      </w:r>
      <w:r w:rsidR="000B270A" w:rsidRPr="00C00335">
        <w:t xml:space="preserve"> </w:t>
      </w:r>
      <w:r w:rsidR="00246174" w:rsidRPr="00C00335">
        <w:t>The parameters that determine these trans</w:t>
      </w:r>
      <w:r w:rsidR="00CC1362" w:rsidRPr="00C00335">
        <w:t xml:space="preserve">itions are outlined in </w:t>
      </w:r>
      <w:r w:rsidR="00871E69" w:rsidRPr="00C00335">
        <w:t>Tables </w:t>
      </w:r>
      <w:r w:rsidR="00CC1362" w:rsidRPr="00C00335">
        <w:t>5.2 to 5.</w:t>
      </w:r>
      <w:r w:rsidR="00246174" w:rsidRPr="00C00335">
        <w:t>6</w:t>
      </w:r>
      <w:r w:rsidR="001309A5" w:rsidRPr="00BB1D8B">
        <w:t>.</w:t>
      </w:r>
      <w:r w:rsidR="001309A5" w:rsidRPr="00C00335">
        <w:t xml:space="preserve"> </w:t>
      </w:r>
      <w:r w:rsidR="00690681" w:rsidRPr="00C00335">
        <w:t xml:space="preserve">The different methods that can be applied to calculate progression along the </w:t>
      </w:r>
      <w:r w:rsidR="003F2DC6" w:rsidRPr="00C00335">
        <w:t>care continuum</w:t>
      </w:r>
      <w:r w:rsidR="00690681" w:rsidRPr="00C00335">
        <w:t xml:space="preserve"> are explained in </w:t>
      </w:r>
      <w:r w:rsidR="00CA2896" w:rsidRPr="00C00335">
        <w:t>Section </w:t>
      </w:r>
      <w:r w:rsidR="00690681" w:rsidRPr="00C00335">
        <w:t xml:space="preserve">5.4.1. </w:t>
      </w:r>
      <w:r w:rsidR="00EC4628" w:rsidRPr="00C00335">
        <w:t>A</w:t>
      </w:r>
      <w:r w:rsidR="002F6226" w:rsidRPr="00C00335">
        <w:t xml:space="preserve"> detailed explanation of the methods applied for calculating testing rates is presented in </w:t>
      </w:r>
      <w:r w:rsidR="00CA2896" w:rsidRPr="00C00335">
        <w:t>Section </w:t>
      </w:r>
      <w:r w:rsidR="002F6226" w:rsidRPr="00C00335">
        <w:t>5.4.</w:t>
      </w:r>
      <w:r w:rsidR="00690681" w:rsidRPr="00C00335">
        <w:t>2</w:t>
      </w:r>
      <w:r w:rsidR="002F6226" w:rsidRPr="00C00335">
        <w:t>.</w:t>
      </w:r>
    </w:p>
    <w:p w14:paraId="77B57F08" w14:textId="615FEFB1" w:rsidR="001F5372" w:rsidRPr="00C00335" w:rsidRDefault="00266243" w:rsidP="0033192E">
      <w:pPr>
        <w:pStyle w:val="Heading3"/>
      </w:pPr>
      <w:bookmarkStart w:id="42" w:name="_Ref489362693"/>
      <w:bookmarkStart w:id="43" w:name="_Ref490042474"/>
      <w:bookmarkStart w:id="44" w:name="_Ref498405297"/>
      <w:bookmarkStart w:id="45" w:name="_Ref498405313"/>
      <w:bookmarkStart w:id="46" w:name="_Toc89257539"/>
      <w:r w:rsidRPr="00C00335">
        <w:lastRenderedPageBreak/>
        <w:t xml:space="preserve">Methods for </w:t>
      </w:r>
      <w:r w:rsidR="00EC4628" w:rsidRPr="00C00335">
        <w:t>C</w:t>
      </w:r>
      <w:r w:rsidRPr="00C00335">
        <w:t xml:space="preserve">alculating </w:t>
      </w:r>
      <w:r w:rsidR="00EC4628" w:rsidRPr="00C00335">
        <w:t>P</w:t>
      </w:r>
      <w:r w:rsidRPr="00C00335">
        <w:t xml:space="preserve">rogression along the </w:t>
      </w:r>
      <w:r w:rsidR="003F2DC6" w:rsidRPr="00C00335">
        <w:t xml:space="preserve">Care </w:t>
      </w:r>
      <w:r w:rsidR="00EC4628" w:rsidRPr="00C00335">
        <w:t>C</w:t>
      </w:r>
      <w:r w:rsidRPr="00C00335">
        <w:t>ontinuum</w:t>
      </w:r>
      <w:bookmarkEnd w:id="42"/>
      <w:bookmarkEnd w:id="43"/>
      <w:bookmarkEnd w:id="44"/>
      <w:bookmarkEnd w:id="45"/>
      <w:bookmarkEnd w:id="46"/>
    </w:p>
    <w:p w14:paraId="7C1F59E7" w14:textId="1AE6301F" w:rsidR="00E445AB" w:rsidRPr="00C00335" w:rsidRDefault="00E445AB" w:rsidP="00E445AB">
      <w:pPr>
        <w:pStyle w:val="BodyText"/>
      </w:pPr>
      <w:r w:rsidRPr="00C00335">
        <w:t xml:space="preserve">In the first time period, annual rates of progression are calculated directly from user-inputted annual probabilities or rates and, in some cases, relative risk factors by subpopulation or disease stage. If probabilities of transition are entered, rates are calculated by using Equation (5.1). If relative risk factors apply, they are multiplied by the annual rates by subpopulation or disease stage as appropriate. </w:t>
      </w:r>
      <w:r w:rsidRPr="005F1717">
        <w:t>The inputs used to determine all progression in the first time period are specified in Tables 5.2 to 5.6.</w:t>
      </w:r>
      <w:r w:rsidRPr="00C00335">
        <w:t xml:space="preserve"> Many of those were estimated through a calibration process so that their values resulted in model outcomes (e.g., the percentages of the HIV-infected population that were diagnosed and VLS </w:t>
      </w:r>
      <w:r w:rsidRPr="00150290">
        <w:t xml:space="preserve">and the number of new infections in </w:t>
      </w:r>
      <w:r w:rsidR="00150290">
        <w:t>one or more years</w:t>
      </w:r>
      <w:r w:rsidRPr="00150290">
        <w:t>) that closely matched surveillance data, as outlined in Section </w:t>
      </w:r>
      <w:r w:rsidR="00176A62" w:rsidRPr="00150290">
        <w:fldChar w:fldCharType="begin"/>
      </w:r>
      <w:r w:rsidR="00176A62" w:rsidRPr="00150290">
        <w:instrText xml:space="preserve"> REF _Ref20370455 \r \h  \* MERGEFORMAT </w:instrText>
      </w:r>
      <w:r w:rsidR="00176A62" w:rsidRPr="00150290">
        <w:fldChar w:fldCharType="separate"/>
      </w:r>
      <w:r w:rsidR="00176A62" w:rsidRPr="00150290">
        <w:t>1</w:t>
      </w:r>
      <w:r w:rsidR="00176A62">
        <w:t>0</w:t>
      </w:r>
      <w:r w:rsidR="00176A62" w:rsidRPr="00150290">
        <w:t>.1</w:t>
      </w:r>
      <w:r w:rsidR="00176A62" w:rsidRPr="00150290">
        <w:fldChar w:fldCharType="end"/>
      </w:r>
      <w:r w:rsidRPr="00087186">
        <w:t>.</w:t>
      </w:r>
    </w:p>
    <w:p w14:paraId="59C8F2AB" w14:textId="77777777" w:rsidR="00E445AB" w:rsidRPr="00C00335" w:rsidRDefault="00E445AB" w:rsidP="00E445AB">
      <w:pPr>
        <w:pStyle w:val="equation"/>
      </w:pPr>
      <w:r w:rsidRPr="00C00335">
        <w:tab/>
        <w:t>Annual rate = −ln(1 ‒ Annual probability of transition)</w:t>
      </w:r>
      <w:r w:rsidRPr="00C00335">
        <w:tab/>
        <w:t>(5.1)</w:t>
      </w:r>
    </w:p>
    <w:p w14:paraId="0D127ECA" w14:textId="69DDAF28" w:rsidR="00E445AB" w:rsidRPr="00C00335" w:rsidRDefault="00E445AB" w:rsidP="00E445AB">
      <w:pPr>
        <w:pStyle w:val="BodyText"/>
      </w:pPr>
      <w:r w:rsidRPr="00C00335">
        <w:t xml:space="preserve">The testing rate is used in the following example to demonstrate how this method is used to calculate progression. The eligible testing pool includes all HIV-uninfected and undiagnosed HIV-infected individuals. The annual rates varied by subpopulation </w:t>
      </w:r>
      <w:r w:rsidRPr="00C00335">
        <w:rPr>
          <w:i/>
        </w:rPr>
        <w:t>p</w:t>
      </w:r>
      <w:r w:rsidRPr="00C00335">
        <w:t xml:space="preserve"> and HIV status </w:t>
      </w:r>
      <w:r w:rsidRPr="00C00335">
        <w:rPr>
          <w:i/>
        </w:rPr>
        <w:t>h</w:t>
      </w:r>
      <w:r w:rsidRPr="00C00335">
        <w:t xml:space="preserve"> (defined by infection status and, if infected, HIV stage) and were calculated as a product of a base rate and multipliers specific to race/ethnicity, transmission group, HIV status</w:t>
      </w:r>
      <w:r w:rsidR="00F85AE3">
        <w:t>, and age group</w:t>
      </w:r>
      <w:r w:rsidRPr="00C00335">
        <w:t xml:space="preserve">, as defined by Equation (5.2). Both the base rate and the multipliers were estimated through the model’s calibration process. </w:t>
      </w:r>
      <w:r w:rsidRPr="005F1717">
        <w:t xml:space="preserve">The calibrated values that determine testing rates in the </w:t>
      </w:r>
      <w:r w:rsidR="005F1717" w:rsidRPr="005F1717">
        <w:t>first</w:t>
      </w:r>
      <w:r w:rsidRPr="005F1717">
        <w:t xml:space="preserve"> time period are defined in Table 5.2.</w:t>
      </w:r>
    </w:p>
    <w:p w14:paraId="1996B7BE" w14:textId="0895468E" w:rsidR="00E445AB" w:rsidRPr="0023643C" w:rsidRDefault="00747E9D" w:rsidP="00E445AB">
      <w:pPr>
        <w:pStyle w:val="equation"/>
        <w:jc w:val="center"/>
      </w:pPr>
      <m:oMath>
        <m:sSubSup>
          <m:sSubSupPr>
            <m:ctrlPr>
              <w:rPr>
                <w:i/>
              </w:rPr>
            </m:ctrlPr>
          </m:sSubSupPr>
          <m:e>
            <m:r>
              <m:t>Π</m:t>
            </m:r>
          </m:e>
          <m:sub>
            <m:r>
              <m:t>p</m:t>
            </m:r>
          </m:sub>
          <m:sup>
            <m:r>
              <m:t>c</m:t>
            </m:r>
          </m:sup>
        </m:sSubSup>
        <m:d>
          <m:dPr>
            <m:ctrlPr>
              <w:rPr>
                <w:i/>
              </w:rPr>
            </m:ctrlPr>
          </m:dPr>
          <m:e>
            <m:r>
              <m:t>t</m:t>
            </m:r>
          </m:e>
        </m:d>
      </m:oMath>
      <w:r w:rsidR="00E445AB" w:rsidRPr="00C00335">
        <w:t xml:space="preserve"> = </w:t>
      </w:r>
      <w:r w:rsidR="00E445AB" w:rsidRPr="00C00335">
        <w:br/>
        <w:t>(</w:t>
      </w:r>
      <w:r w:rsidR="00E445AB" w:rsidRPr="00C00335">
        <w:rPr>
          <w:i/>
          <w:iCs/>
        </w:rPr>
        <w:t>Annual base testing rate of HIV-infected individuals who are HET, Black, CD4 &gt; 500 at t</w:t>
      </w:r>
      <w:r w:rsidR="00E445AB" w:rsidRPr="00C00335">
        <w:t xml:space="preserve">) </w:t>
      </w:r>
      <w:r w:rsidR="00E445AB" w:rsidRPr="00C00335">
        <w:br/>
        <w:t>x (</w:t>
      </w:r>
      <w:r w:rsidR="00E445AB" w:rsidRPr="00C00335">
        <w:rPr>
          <w:i/>
          <w:iCs/>
        </w:rPr>
        <w:t xml:space="preserve">HIV-status testing </w:t>
      </w:r>
      <w:proofErr w:type="spellStart"/>
      <w:r w:rsidR="00E445AB" w:rsidRPr="00C00335">
        <w:rPr>
          <w:i/>
          <w:iCs/>
        </w:rPr>
        <w:t>multiplier</w:t>
      </w:r>
      <w:r w:rsidR="00E445AB" w:rsidRPr="00C00335">
        <w:rPr>
          <w:vertAlign w:val="subscript"/>
        </w:rPr>
        <w:t>c</w:t>
      </w:r>
      <w:proofErr w:type="spellEnd"/>
      <w:r w:rsidR="00E445AB" w:rsidRPr="00C00335">
        <w:t xml:space="preserve"> at time </w:t>
      </w:r>
      <w:r w:rsidR="00E445AB" w:rsidRPr="00C00335">
        <w:rPr>
          <w:i/>
        </w:rPr>
        <w:t>t</w:t>
      </w:r>
      <w:r w:rsidR="00E445AB" w:rsidRPr="00C00335">
        <w:t xml:space="preserve">) </w:t>
      </w:r>
      <w:r w:rsidR="00E445AB" w:rsidRPr="00C00335">
        <w:br/>
        <w:t>x (Race/</w:t>
      </w:r>
      <w:r w:rsidR="00E445AB" w:rsidRPr="0023643C">
        <w:t xml:space="preserve">ethnicity testing </w:t>
      </w:r>
      <w:proofErr w:type="spellStart"/>
      <w:r w:rsidR="00E445AB" w:rsidRPr="0023643C">
        <w:t>multiplier</w:t>
      </w:r>
      <w:r w:rsidR="00E445AB" w:rsidRPr="0023643C">
        <w:rPr>
          <w:vertAlign w:val="subscript"/>
        </w:rPr>
        <w:t>p</w:t>
      </w:r>
      <w:proofErr w:type="spellEnd"/>
      <w:r w:rsidR="00E445AB" w:rsidRPr="0023643C">
        <w:t xml:space="preserve"> at time </w:t>
      </w:r>
      <w:r w:rsidR="00E445AB" w:rsidRPr="0023643C">
        <w:rPr>
          <w:i/>
        </w:rPr>
        <w:t>t</w:t>
      </w:r>
      <w:r w:rsidR="00E445AB" w:rsidRPr="0023643C">
        <w:t xml:space="preserve">) </w:t>
      </w:r>
      <w:r w:rsidR="00E445AB" w:rsidRPr="0023643C">
        <w:br/>
        <w:t xml:space="preserve">x (Transmission group testing </w:t>
      </w:r>
      <w:proofErr w:type="spellStart"/>
      <w:r w:rsidR="00E445AB" w:rsidRPr="0023643C">
        <w:t>multiplier</w:t>
      </w:r>
      <w:r w:rsidR="00E445AB" w:rsidRPr="0023643C">
        <w:rPr>
          <w:vertAlign w:val="subscript"/>
        </w:rPr>
        <w:t>p</w:t>
      </w:r>
      <w:proofErr w:type="spellEnd"/>
      <w:r w:rsidR="00387C65" w:rsidRPr="0023643C">
        <w:rPr>
          <w:vertAlign w:val="subscript"/>
        </w:rPr>
        <w:t xml:space="preserve"> </w:t>
      </w:r>
      <w:r w:rsidR="00387C65" w:rsidRPr="0023643C">
        <w:t xml:space="preserve">at time </w:t>
      </w:r>
      <w:r w:rsidR="00387C65" w:rsidRPr="0023643C">
        <w:rPr>
          <w:i/>
          <w:iCs/>
        </w:rPr>
        <w:t>t</w:t>
      </w:r>
      <w:r w:rsidR="00E445AB" w:rsidRPr="0023643C">
        <w:t>)</w:t>
      </w:r>
      <w:r w:rsidR="00387C65" w:rsidRPr="0023643C">
        <w:br/>
        <w:t xml:space="preserve">x (Age group testing </w:t>
      </w:r>
      <w:proofErr w:type="spellStart"/>
      <w:r w:rsidR="00387C65" w:rsidRPr="0023643C">
        <w:t>multiplier</w:t>
      </w:r>
      <w:r w:rsidR="00387C65" w:rsidRPr="0023643C">
        <w:rPr>
          <w:vertAlign w:val="subscript"/>
        </w:rPr>
        <w:t>p</w:t>
      </w:r>
      <w:proofErr w:type="spellEnd"/>
      <w:r w:rsidR="00387C65" w:rsidRPr="0023643C">
        <w:rPr>
          <w:vertAlign w:val="subscript"/>
        </w:rPr>
        <w:t xml:space="preserve"> </w:t>
      </w:r>
      <w:r w:rsidR="00387C65" w:rsidRPr="0023643C">
        <w:t xml:space="preserve">at time </w:t>
      </w:r>
      <w:r w:rsidR="00387C65" w:rsidRPr="0023643C">
        <w:rPr>
          <w:i/>
          <w:iCs/>
        </w:rPr>
        <w:t>t</w:t>
      </w:r>
      <w:r w:rsidR="00387C65" w:rsidRPr="0023643C">
        <w:t>)</w:t>
      </w:r>
      <w:r w:rsidR="00E445AB" w:rsidRPr="0023643C">
        <w:t>,</w:t>
      </w:r>
    </w:p>
    <w:p w14:paraId="4613BBE1" w14:textId="77777777" w:rsidR="00E445AB" w:rsidRPr="00C00335" w:rsidRDefault="00E445AB" w:rsidP="00E445AB">
      <w:pPr>
        <w:pStyle w:val="equation"/>
      </w:pPr>
      <w:r w:rsidRPr="0023643C">
        <w:tab/>
        <w:t xml:space="preserve">for </w:t>
      </w:r>
      <w:r w:rsidRPr="0023643C">
        <w:rPr>
          <w:i/>
        </w:rPr>
        <w:t>c</w:t>
      </w:r>
      <w:r w:rsidRPr="0023643C">
        <w:t xml:space="preserve"> = {3, 6, 11, 16, 21}</w:t>
      </w:r>
      <w:r w:rsidRPr="00C00335">
        <w:rPr>
          <w:rFonts w:eastAsiaTheme="minorHAnsi"/>
        </w:rPr>
        <w:tab/>
        <w:t>(5.2)</w:t>
      </w:r>
    </w:p>
    <w:p w14:paraId="7E1B87FE" w14:textId="77777777" w:rsidR="00E445AB" w:rsidRPr="00C00335" w:rsidRDefault="00E445AB" w:rsidP="00E445AB">
      <w:pPr>
        <w:pStyle w:val="BodyText"/>
      </w:pPr>
      <w:r w:rsidRPr="00C00335">
        <w:t>where</w:t>
      </w:r>
    </w:p>
    <w:p w14:paraId="013D12A3" w14:textId="77777777" w:rsidR="00E445AB" w:rsidRPr="00C00335" w:rsidRDefault="00747E9D" w:rsidP="002B1372">
      <w:pPr>
        <w:pStyle w:val="bullets"/>
      </w:pPr>
      <m:oMath>
        <m:sSubSup>
          <m:sSubSupPr>
            <m:ctrlPr>
              <w:rPr>
                <w:rFonts w:ascii="Cambria Math" w:hAnsi="Cambria Math"/>
              </w:rPr>
            </m:ctrlPr>
          </m:sSubSupPr>
          <m:e>
            <m:r>
              <w:rPr>
                <w:rFonts w:ascii="Cambria Math" w:hAnsi="Cambria Math"/>
              </w:rPr>
              <m:t>Π</m:t>
            </m:r>
          </m:e>
          <m:sub>
            <m:r>
              <w:rPr>
                <w:rFonts w:ascii="Cambria Math" w:hAnsi="Cambria Math"/>
              </w:rPr>
              <m:t>p</m:t>
            </m:r>
          </m:sub>
          <m:sup>
            <m:r>
              <w:rPr>
                <w:rFonts w:ascii="Cambria Math" w:hAnsi="Cambria Math"/>
              </w:rPr>
              <m:t>c</m:t>
            </m:r>
          </m:sup>
        </m:sSubSup>
        <m:r>
          <m:rPr>
            <m:sty m:val="p"/>
          </m:rPr>
          <w:rPr>
            <w:rFonts w:ascii="Cambria Math" w:hAnsi="Cambria Math"/>
          </w:rPr>
          <m:t>(</m:t>
        </m:r>
        <m:r>
          <w:rPr>
            <w:rFonts w:ascii="Cambria Math" w:hAnsi="Cambria Math"/>
          </w:rPr>
          <m:t>t</m:t>
        </m:r>
        <m:r>
          <m:rPr>
            <m:sty m:val="p"/>
          </m:rPr>
          <w:rPr>
            <w:rFonts w:ascii="Cambria Math" w:hAnsi="Cambria Math"/>
          </w:rPr>
          <m:t>)</m:t>
        </m:r>
      </m:oMath>
      <w:r w:rsidR="00E445AB" w:rsidRPr="00C00335">
        <w:t xml:space="preserve"> = rate of testing of undiagnosed individuals in compartment </w:t>
      </w:r>
      <w:r w:rsidR="00E445AB" w:rsidRPr="00C00335">
        <w:rPr>
          <w:i/>
          <w:iCs/>
        </w:rPr>
        <w:t>c</w:t>
      </w:r>
      <w:r w:rsidR="00E445AB" w:rsidRPr="00C00335">
        <w:t xml:space="preserve">, at time </w:t>
      </w:r>
      <w:r w:rsidR="00E445AB" w:rsidRPr="00C00335">
        <w:rPr>
          <w:i/>
          <w:iCs/>
        </w:rPr>
        <w:t>t</w:t>
      </w:r>
      <w:r w:rsidR="00E445AB" w:rsidRPr="00C00335">
        <w:t xml:space="preserve">, by demographic subpopulation </w:t>
      </w:r>
      <w:r w:rsidR="00E445AB" w:rsidRPr="00C00335">
        <w:rPr>
          <w:i/>
          <w:iCs/>
        </w:rPr>
        <w:t>p</w:t>
      </w:r>
      <w:r w:rsidR="00E445AB" w:rsidRPr="00C00335">
        <w:t>.</w:t>
      </w:r>
    </w:p>
    <w:p w14:paraId="21D22632" w14:textId="05E59971" w:rsidR="00406503" w:rsidRPr="00C00335" w:rsidRDefault="001D51D7" w:rsidP="00E2730B">
      <w:pPr>
        <w:pStyle w:val="BodyText"/>
      </w:pPr>
      <w:r w:rsidRPr="00C00335">
        <w:t xml:space="preserve"> </w:t>
      </w:r>
      <w:r w:rsidR="00406503" w:rsidRPr="00C00335">
        <w:t xml:space="preserve"> </w:t>
      </w:r>
    </w:p>
    <w:p w14:paraId="18858D6A" w14:textId="5856B996" w:rsidR="004F4E6D" w:rsidRPr="00C00335" w:rsidRDefault="0033192E" w:rsidP="00E2730B">
      <w:pPr>
        <w:pStyle w:val="BodyText"/>
      </w:pPr>
      <w:r w:rsidRPr="00C00335">
        <w:t xml:space="preserve">The model </w:t>
      </w:r>
      <w:r w:rsidR="00406503" w:rsidRPr="00C00335">
        <w:t>has</w:t>
      </w:r>
      <w:r w:rsidRPr="00C00335">
        <w:t xml:space="preserve"> </w:t>
      </w:r>
      <w:r w:rsidR="00F85AE3">
        <w:t>two</w:t>
      </w:r>
      <w:r w:rsidR="00F85AE3" w:rsidRPr="00C00335">
        <w:t xml:space="preserve"> </w:t>
      </w:r>
      <w:r w:rsidR="00406503" w:rsidRPr="00C00335">
        <w:t>options for</w:t>
      </w:r>
      <w:r w:rsidRPr="00C00335">
        <w:t xml:space="preserve"> calculating progression along the HIV </w:t>
      </w:r>
      <w:r w:rsidR="003F2DC6" w:rsidRPr="00C00335">
        <w:t>care continuum</w:t>
      </w:r>
      <w:r w:rsidR="000F18C8" w:rsidRPr="00C00335">
        <w:t xml:space="preserve"> in the third time period</w:t>
      </w:r>
      <w:r w:rsidRPr="00C00335">
        <w:t xml:space="preserve"> t</w:t>
      </w:r>
      <w:r w:rsidR="00493C88" w:rsidRPr="00C00335">
        <w:t xml:space="preserve">o allow for </w:t>
      </w:r>
      <w:r w:rsidR="00406503" w:rsidRPr="00C00335">
        <w:t xml:space="preserve">either continuation of the same progression as in </w:t>
      </w:r>
      <w:r w:rsidR="008B27D9">
        <w:t>previous</w:t>
      </w:r>
      <w:r w:rsidR="00406503" w:rsidRPr="00C00335">
        <w:t xml:space="preserve"> time </w:t>
      </w:r>
      <w:r w:rsidR="00406503" w:rsidRPr="00C00335">
        <w:lastRenderedPageBreak/>
        <w:t>period</w:t>
      </w:r>
      <w:r w:rsidR="008B27D9">
        <w:t>s</w:t>
      </w:r>
      <w:r w:rsidR="00406503" w:rsidRPr="00C00335">
        <w:t xml:space="preserve"> or </w:t>
      </w:r>
      <w:r w:rsidR="00493C88" w:rsidRPr="00C00335">
        <w:t>exploration of hypothetical scenario analyses</w:t>
      </w:r>
      <w:r w:rsidR="00E2730B" w:rsidRPr="00C00335">
        <w:t xml:space="preserve">. The </w:t>
      </w:r>
      <w:r w:rsidR="00266243" w:rsidRPr="00C00335">
        <w:t>method is user-selected</w:t>
      </w:r>
      <w:r w:rsidR="00E2730B" w:rsidRPr="00C00335">
        <w:t xml:space="preserve"> from the following options</w:t>
      </w:r>
      <w:r w:rsidR="00EC4628" w:rsidRPr="00C00335">
        <w:t>:</w:t>
      </w:r>
    </w:p>
    <w:p w14:paraId="1AECF41E" w14:textId="697ABA1A" w:rsidR="00266243" w:rsidRPr="00432D5E" w:rsidRDefault="00D33408" w:rsidP="002B1372">
      <w:pPr>
        <w:pStyle w:val="bullets"/>
      </w:pPr>
      <w:r w:rsidRPr="00C00335">
        <w:t>Status quo</w:t>
      </w:r>
      <w:r w:rsidR="00266243" w:rsidRPr="00C00335">
        <w:t xml:space="preserve"> method: </w:t>
      </w:r>
      <w:r w:rsidR="00550DCF" w:rsidRPr="00C00335">
        <w:t xml:space="preserve">This method represents a continuation of the same rates of progression as in the second time period. </w:t>
      </w:r>
      <w:r w:rsidR="00955284" w:rsidRPr="00C00335">
        <w:t>User-inputted annual probabilities or rates and, in some cases</w:t>
      </w:r>
      <w:r w:rsidR="00EC4628" w:rsidRPr="00C00335">
        <w:t>,</w:t>
      </w:r>
      <w:r w:rsidR="00955284" w:rsidRPr="00C00335">
        <w:t xml:space="preserve"> </w:t>
      </w:r>
      <w:r w:rsidR="0058537C" w:rsidRPr="00C00335">
        <w:t xml:space="preserve">user-inputted </w:t>
      </w:r>
      <w:r w:rsidR="00955284" w:rsidRPr="00C00335">
        <w:t xml:space="preserve">relative risk factors </w:t>
      </w:r>
      <w:r w:rsidR="00F102AC" w:rsidRPr="00C00335">
        <w:t xml:space="preserve">are </w:t>
      </w:r>
      <w:r w:rsidR="0058537C" w:rsidRPr="00C00335">
        <w:t xml:space="preserve">applied to annual rates </w:t>
      </w:r>
      <w:r w:rsidR="00955284" w:rsidRPr="00C00335">
        <w:t>by subpopulation or disease stage</w:t>
      </w:r>
      <w:r w:rsidR="005F2194" w:rsidRPr="00C00335">
        <w:t xml:space="preserve">. </w:t>
      </w:r>
      <w:r w:rsidR="005F2194" w:rsidRPr="00432D5E">
        <w:t xml:space="preserve">The default values for </w:t>
      </w:r>
      <w:r w:rsidR="002C691B" w:rsidRPr="00432D5E">
        <w:t>these</w:t>
      </w:r>
      <w:r w:rsidR="005F2194" w:rsidRPr="00432D5E">
        <w:t xml:space="preserve"> probabilities, rates, and relative risks </w:t>
      </w:r>
      <w:r w:rsidR="002C691B" w:rsidRPr="00432D5E">
        <w:t xml:space="preserve">in the second and third time period, when using the status quo method, </w:t>
      </w:r>
      <w:r w:rsidR="005F2194" w:rsidRPr="00432D5E">
        <w:t xml:space="preserve">are </w:t>
      </w:r>
      <w:r w:rsidR="000F18C8" w:rsidRPr="00432D5E">
        <w:t xml:space="preserve">the same as those </w:t>
      </w:r>
      <w:r w:rsidR="005F2194" w:rsidRPr="00432D5E">
        <w:t>specified in Tables 5.2 to 5.6</w:t>
      </w:r>
      <w:r w:rsidR="000F18C8" w:rsidRPr="00432D5E">
        <w:t xml:space="preserve"> for progression in the </w:t>
      </w:r>
      <w:r w:rsidR="002C691B" w:rsidRPr="00432D5E">
        <w:t xml:space="preserve">first </w:t>
      </w:r>
      <w:r w:rsidR="000F18C8" w:rsidRPr="00432D5E">
        <w:t>time period</w:t>
      </w:r>
      <w:r w:rsidR="005F2194" w:rsidRPr="00432D5E">
        <w:t xml:space="preserve">. </w:t>
      </w:r>
    </w:p>
    <w:p w14:paraId="1E40AF30" w14:textId="2DEE6894" w:rsidR="00266243" w:rsidRPr="00C00335" w:rsidRDefault="00266243" w:rsidP="002B1372">
      <w:pPr>
        <w:pStyle w:val="bullets"/>
      </w:pPr>
      <w:r w:rsidRPr="00C00335">
        <w:t>Allocation</w:t>
      </w:r>
      <w:r w:rsidR="00493C88" w:rsidRPr="00C00335">
        <w:t>-based</w:t>
      </w:r>
      <w:r w:rsidRPr="00C00335">
        <w:t xml:space="preserve"> method: </w:t>
      </w:r>
      <w:r w:rsidR="00F4015C" w:rsidRPr="00C00335">
        <w:t>Selected r</w:t>
      </w:r>
      <w:r w:rsidR="00D33408" w:rsidRPr="00C00335">
        <w:t xml:space="preserve">ates and probabilities </w:t>
      </w:r>
      <w:r w:rsidR="00F4015C" w:rsidRPr="00C00335">
        <w:t>of progression</w:t>
      </w:r>
      <w:r w:rsidR="00F44B37" w:rsidRPr="00C00335">
        <w:t xml:space="preserve"> for all transmission groups</w:t>
      </w:r>
      <w:r w:rsidR="00F4015C" w:rsidRPr="00C00335">
        <w:t xml:space="preserve"> </w:t>
      </w:r>
      <w:r w:rsidR="00F102AC" w:rsidRPr="00C00335">
        <w:t xml:space="preserve">are </w:t>
      </w:r>
      <w:r w:rsidR="00F44B37" w:rsidRPr="00C00335">
        <w:t>equal to</w:t>
      </w:r>
      <w:r w:rsidR="00D33408" w:rsidRPr="00C00335">
        <w:t xml:space="preserve"> </w:t>
      </w:r>
      <w:r w:rsidR="00D06860" w:rsidRPr="00C00335">
        <w:t>(</w:t>
      </w:r>
      <w:r w:rsidR="00D33408" w:rsidRPr="00C00335">
        <w:t xml:space="preserve">a) </w:t>
      </w:r>
      <w:r w:rsidR="0058537C" w:rsidRPr="00C00335">
        <w:t xml:space="preserve">progression determined by funding allocated </w:t>
      </w:r>
      <w:r w:rsidR="003A4F85" w:rsidRPr="00C00335">
        <w:t>to</w:t>
      </w:r>
      <w:r w:rsidR="0058537C" w:rsidRPr="00C00335">
        <w:t xml:space="preserve"> interventions</w:t>
      </w:r>
      <w:r w:rsidR="003A4F85" w:rsidRPr="00C00335">
        <w:t xml:space="preserve"> aimed at affecting </w:t>
      </w:r>
      <w:r w:rsidR="00F44B37" w:rsidRPr="00C00335">
        <w:t>each step</w:t>
      </w:r>
      <w:r w:rsidR="003A4F85" w:rsidRPr="00C00335">
        <w:t xml:space="preserve"> along the care continuum</w:t>
      </w:r>
      <w:r w:rsidR="0058537C" w:rsidRPr="00C00335">
        <w:t xml:space="preserve"> </w:t>
      </w:r>
      <w:r w:rsidR="00F44B37" w:rsidRPr="00C00335">
        <w:t>plus</w:t>
      </w:r>
      <w:r w:rsidR="0058537C" w:rsidRPr="00C00335">
        <w:t xml:space="preserve"> (b) </w:t>
      </w:r>
      <w:r w:rsidR="003A4F85" w:rsidRPr="00C00335">
        <w:t xml:space="preserve">user-inputted </w:t>
      </w:r>
      <w:r w:rsidR="00D33408" w:rsidRPr="00C00335">
        <w:t xml:space="preserve">base rate </w:t>
      </w:r>
      <w:r w:rsidR="00F44B37" w:rsidRPr="00C00335">
        <w:t xml:space="preserve">or </w:t>
      </w:r>
      <w:r w:rsidR="00F4015C" w:rsidRPr="00C00335">
        <w:t>probabilit</w:t>
      </w:r>
      <w:r w:rsidR="00F44B37" w:rsidRPr="00C00335">
        <w:t>y</w:t>
      </w:r>
      <w:r w:rsidR="00F4015C" w:rsidRPr="00C00335">
        <w:t xml:space="preserve"> </w:t>
      </w:r>
      <w:r w:rsidR="00D33408" w:rsidRPr="00C00335">
        <w:t xml:space="preserve">of progression </w:t>
      </w:r>
      <w:r w:rsidRPr="00C00335">
        <w:t xml:space="preserve">without </w:t>
      </w:r>
      <w:r w:rsidR="0058537C" w:rsidRPr="00C00335">
        <w:t xml:space="preserve">the </w:t>
      </w:r>
      <w:r w:rsidR="003A4F85" w:rsidRPr="00C00335">
        <w:t xml:space="preserve">intervention </w:t>
      </w:r>
      <w:r w:rsidR="0058537C" w:rsidRPr="00C00335">
        <w:t>funding under consideration.</w:t>
      </w:r>
      <w:r w:rsidRPr="00C00335">
        <w:t xml:space="preserve"> </w:t>
      </w:r>
      <w:r w:rsidR="00E11B2C" w:rsidRPr="00C00335">
        <w:t xml:space="preserve">This method </w:t>
      </w:r>
      <w:r w:rsidR="00F44B37" w:rsidRPr="00C00335">
        <w:t>is</w:t>
      </w:r>
      <w:r w:rsidR="00E11B2C" w:rsidRPr="00C00335">
        <w:t xml:space="preserve"> applied </w:t>
      </w:r>
      <w:r w:rsidR="006C73D2" w:rsidRPr="00C00335">
        <w:t xml:space="preserve">in analyses in which we </w:t>
      </w:r>
      <w:r w:rsidR="00E11B2C" w:rsidRPr="00C00335">
        <w:t xml:space="preserve">observe the impact of </w:t>
      </w:r>
      <w:r w:rsidR="006C73D2" w:rsidRPr="00C00335">
        <w:t xml:space="preserve">specific </w:t>
      </w:r>
      <w:r w:rsidR="00E11B2C" w:rsidRPr="00C00335">
        <w:t>funding</w:t>
      </w:r>
      <w:r w:rsidR="006C73D2" w:rsidRPr="00C00335">
        <w:t xml:space="preserve"> allocations</w:t>
      </w:r>
      <w:r w:rsidR="00E11B2C" w:rsidRPr="00C00335">
        <w:t xml:space="preserve"> to </w:t>
      </w:r>
      <w:r w:rsidR="006C73D2" w:rsidRPr="00C00335">
        <w:t xml:space="preserve">different </w:t>
      </w:r>
      <w:r w:rsidR="00E11B2C" w:rsidRPr="00C00335">
        <w:t>interventions</w:t>
      </w:r>
      <w:r w:rsidR="006C73D2" w:rsidRPr="00C00335">
        <w:t xml:space="preserve"> aimed at improving progression along the care continuum</w:t>
      </w:r>
      <w:r w:rsidR="00E11B2C" w:rsidRPr="00C00335">
        <w:t>.</w:t>
      </w:r>
    </w:p>
    <w:p w14:paraId="01EEFF1E" w14:textId="29BD0420" w:rsidR="003973F2" w:rsidRDefault="00E11B2C" w:rsidP="004C4731">
      <w:pPr>
        <w:pStyle w:val="BodyText"/>
      </w:pPr>
      <w:r w:rsidRPr="00C00335">
        <w:t xml:space="preserve">The </w:t>
      </w:r>
      <w:r w:rsidR="00F44B37" w:rsidRPr="00C00335">
        <w:t xml:space="preserve">model’s </w:t>
      </w:r>
      <w:r w:rsidRPr="00C00335">
        <w:t>default is to apply the status quo method</w:t>
      </w:r>
      <w:r w:rsidR="00E2730B" w:rsidRPr="00C00335">
        <w:t xml:space="preserve"> for all time periods</w:t>
      </w:r>
      <w:r w:rsidRPr="00C00335">
        <w:t>.</w:t>
      </w:r>
      <w:r w:rsidR="00493C88" w:rsidRPr="00C00335">
        <w:t xml:space="preserve"> </w:t>
      </w:r>
      <w:r w:rsidR="00871E69" w:rsidRPr="00C00335">
        <w:t>Table 5.</w:t>
      </w:r>
      <w:r w:rsidR="007006E8">
        <w:t>6</w:t>
      </w:r>
      <w:r w:rsidR="007006E8" w:rsidRPr="00C00335">
        <w:t xml:space="preserve"> </w:t>
      </w:r>
      <w:r w:rsidR="00F940DB" w:rsidRPr="00C00335">
        <w:t xml:space="preserve">identifies </w:t>
      </w:r>
      <w:r w:rsidR="007D3F30" w:rsidRPr="00C00335">
        <w:t>the</w:t>
      </w:r>
      <w:r w:rsidR="00F940DB" w:rsidRPr="00C00335">
        <w:t xml:space="preserve"> steps of progression that are affected by the method selected. </w:t>
      </w:r>
      <w:r w:rsidR="00DF20EB" w:rsidRPr="00C00335">
        <w:t xml:space="preserve">Progression along the </w:t>
      </w:r>
      <w:r w:rsidR="003F2DC6" w:rsidRPr="00C00335">
        <w:t>care continuum</w:t>
      </w:r>
      <w:r w:rsidR="00DF20EB" w:rsidRPr="00C00335">
        <w:t xml:space="preserve"> in </w:t>
      </w:r>
      <w:r w:rsidR="0033192E" w:rsidRPr="00C00335">
        <w:t>the first and second time periods</w:t>
      </w:r>
      <w:r w:rsidR="00DF20EB" w:rsidRPr="00C00335">
        <w:t xml:space="preserve"> is always determined by the status quo method.</w:t>
      </w:r>
    </w:p>
    <w:p w14:paraId="1733AD09" w14:textId="6EED4FA0" w:rsidR="00E11B2C" w:rsidRPr="00C00335" w:rsidRDefault="004F4E6D" w:rsidP="00DE1354">
      <w:pPr>
        <w:pStyle w:val="TableTitle"/>
      </w:pPr>
      <w:bookmarkStart w:id="47" w:name="_Toc89257594"/>
      <w:r w:rsidRPr="00C00335">
        <w:t>Table 5.</w:t>
      </w:r>
      <w:r w:rsidR="007006E8">
        <w:t>6</w:t>
      </w:r>
      <w:r w:rsidR="00E11B2C" w:rsidRPr="00C00335">
        <w:t>.</w:t>
      </w:r>
      <w:r w:rsidR="00E11B2C" w:rsidRPr="00C00335">
        <w:tab/>
      </w:r>
      <w:r w:rsidR="00522EFF" w:rsidRPr="00C00335">
        <w:t>P</w:t>
      </w:r>
      <w:r w:rsidR="00493C88" w:rsidRPr="00C00335">
        <w:t xml:space="preserve">rogression </w:t>
      </w:r>
      <w:r w:rsidR="000F3209" w:rsidRPr="00C00335">
        <w:t>a</w:t>
      </w:r>
      <w:r w:rsidR="00232B80" w:rsidRPr="00C00335">
        <w:t xml:space="preserve">long </w:t>
      </w:r>
      <w:r w:rsidR="00493C88" w:rsidRPr="00C00335">
        <w:t xml:space="preserve">the </w:t>
      </w:r>
      <w:r w:rsidR="003F2DC6" w:rsidRPr="00C00335">
        <w:t>Care Continuum</w:t>
      </w:r>
      <w:r w:rsidR="00D96458" w:rsidRPr="00C00335">
        <w:t xml:space="preserve"> </w:t>
      </w:r>
      <w:r w:rsidR="00232B80" w:rsidRPr="00C00335">
        <w:t>Affect</w:t>
      </w:r>
      <w:r w:rsidR="00522EFF" w:rsidRPr="00C00335">
        <w:t xml:space="preserve">ed by </w:t>
      </w:r>
      <w:r w:rsidR="0033192E" w:rsidRPr="00C00335">
        <w:t>U</w:t>
      </w:r>
      <w:r w:rsidR="00A865FA" w:rsidRPr="00C00335">
        <w:t>sing Allocation</w:t>
      </w:r>
      <w:r w:rsidR="001F5372" w:rsidRPr="00C00335">
        <w:t xml:space="preserve"> </w:t>
      </w:r>
      <w:r w:rsidR="00232B80" w:rsidRPr="00C00335">
        <w:t>Method</w:t>
      </w:r>
      <w:bookmarkEnd w:id="47"/>
      <w:r w:rsidR="00F44B37" w:rsidRPr="00C00335">
        <w:t xml:space="preserve"> </w:t>
      </w:r>
    </w:p>
    <w:tbl>
      <w:tblPr>
        <w:tblStyle w:val="TableFormat4"/>
        <w:tblW w:w="9119" w:type="dxa"/>
        <w:tblInd w:w="0" w:type="dxa"/>
        <w:tblLayout w:type="fixed"/>
        <w:tblLook w:val="04A0" w:firstRow="1" w:lastRow="0" w:firstColumn="1" w:lastColumn="0" w:noHBand="0" w:noVBand="1"/>
      </w:tblPr>
      <w:tblGrid>
        <w:gridCol w:w="5816"/>
        <w:gridCol w:w="3303"/>
      </w:tblGrid>
      <w:tr w:rsidR="003F2F5B" w:rsidRPr="00C00335" w14:paraId="508F1DB6" w14:textId="77777777" w:rsidTr="00260D8A">
        <w:trPr>
          <w:cnfStyle w:val="100000000000" w:firstRow="1" w:lastRow="0" w:firstColumn="0" w:lastColumn="0" w:oddVBand="0" w:evenVBand="0" w:oddHBand="0" w:evenHBand="0" w:firstRowFirstColumn="0" w:firstRowLastColumn="0" w:lastRowFirstColumn="0" w:lastRowLastColumn="0"/>
          <w:tblHeader/>
        </w:trPr>
        <w:tc>
          <w:tcPr>
            <w:tcW w:w="5816" w:type="dxa"/>
            <w:vAlign w:val="bottom"/>
          </w:tcPr>
          <w:p w14:paraId="6AB52886" w14:textId="54B6835B" w:rsidR="003F2F5B" w:rsidRPr="00C00335" w:rsidRDefault="003F2F5B" w:rsidP="00DF1AFE">
            <w:pPr>
              <w:pStyle w:val="TableHeaders"/>
              <w:spacing w:before="60" w:after="60"/>
              <w:rPr>
                <w:szCs w:val="18"/>
              </w:rPr>
            </w:pPr>
            <w:r w:rsidRPr="00C00335">
              <w:rPr>
                <w:szCs w:val="18"/>
              </w:rPr>
              <w:t xml:space="preserve">Rates and </w:t>
            </w:r>
            <w:r w:rsidR="00232B80" w:rsidRPr="00C00335">
              <w:rPr>
                <w:szCs w:val="18"/>
              </w:rPr>
              <w:t xml:space="preserve">Probabilities </w:t>
            </w:r>
            <w:r w:rsidRPr="00C00335">
              <w:rPr>
                <w:szCs w:val="18"/>
              </w:rPr>
              <w:t xml:space="preserve">that </w:t>
            </w:r>
            <w:r w:rsidR="00232B80" w:rsidRPr="00C00335">
              <w:rPr>
                <w:szCs w:val="18"/>
              </w:rPr>
              <w:t xml:space="preserve">Determine Progression Along </w:t>
            </w:r>
            <w:r w:rsidR="003F2DC6" w:rsidRPr="00C00335">
              <w:rPr>
                <w:szCs w:val="18"/>
              </w:rPr>
              <w:t xml:space="preserve">Care </w:t>
            </w:r>
            <w:r w:rsidR="00232B80" w:rsidRPr="00C00335">
              <w:rPr>
                <w:szCs w:val="18"/>
              </w:rPr>
              <w:t>Continuum</w:t>
            </w:r>
            <w:r w:rsidR="00D96458" w:rsidRPr="00C00335">
              <w:rPr>
                <w:szCs w:val="18"/>
              </w:rPr>
              <w:t xml:space="preserve"> </w:t>
            </w:r>
            <w:r w:rsidR="000F18C8" w:rsidRPr="00C00335">
              <w:rPr>
                <w:szCs w:val="18"/>
              </w:rPr>
              <w:t>in the Third Time Period</w:t>
            </w:r>
          </w:p>
        </w:tc>
        <w:tc>
          <w:tcPr>
            <w:tcW w:w="3303" w:type="dxa"/>
            <w:vAlign w:val="bottom"/>
          </w:tcPr>
          <w:p w14:paraId="3A184801" w14:textId="78DA2F18" w:rsidR="003F2F5B" w:rsidRPr="00C00335" w:rsidRDefault="00522EFF" w:rsidP="00DF1AFE">
            <w:pPr>
              <w:pStyle w:val="TableHeaders"/>
              <w:spacing w:before="60" w:after="60"/>
              <w:rPr>
                <w:szCs w:val="18"/>
              </w:rPr>
            </w:pPr>
            <w:r w:rsidRPr="00C00335">
              <w:rPr>
                <w:szCs w:val="18"/>
              </w:rPr>
              <w:t>D</w:t>
            </w:r>
            <w:r w:rsidR="003F2F5B" w:rsidRPr="00C00335">
              <w:rPr>
                <w:szCs w:val="18"/>
              </w:rPr>
              <w:t>ifferent than</w:t>
            </w:r>
            <w:r w:rsidRPr="00C00335">
              <w:rPr>
                <w:szCs w:val="18"/>
              </w:rPr>
              <w:t xml:space="preserve"> </w:t>
            </w:r>
            <w:r w:rsidR="00F85AE3">
              <w:rPr>
                <w:szCs w:val="18"/>
              </w:rPr>
              <w:t>Status Quo</w:t>
            </w:r>
            <w:r w:rsidRPr="00C00335">
              <w:rPr>
                <w:szCs w:val="18"/>
              </w:rPr>
              <w:t xml:space="preserve"> </w:t>
            </w:r>
            <w:r w:rsidR="00232B80" w:rsidRPr="00C00335">
              <w:rPr>
                <w:szCs w:val="18"/>
              </w:rPr>
              <w:t>Rates When Using</w:t>
            </w:r>
            <w:r w:rsidR="00F85AE3">
              <w:rPr>
                <w:szCs w:val="18"/>
              </w:rPr>
              <w:t xml:space="preserve"> Allocation-Based Method</w:t>
            </w:r>
          </w:p>
        </w:tc>
      </w:tr>
      <w:tr w:rsidR="00F85AE3" w:rsidRPr="00C00335" w14:paraId="41D3C192" w14:textId="6B020EF6" w:rsidTr="007A340F">
        <w:tc>
          <w:tcPr>
            <w:tcW w:w="5816" w:type="dxa"/>
            <w:tcBorders>
              <w:top w:val="single" w:sz="6" w:space="0" w:color="auto"/>
              <w:bottom w:val="single" w:sz="4" w:space="0" w:color="808080" w:themeColor="background1" w:themeShade="80"/>
            </w:tcBorders>
          </w:tcPr>
          <w:p w14:paraId="2F3B8F3B" w14:textId="1AE5139B" w:rsidR="00F85AE3" w:rsidRPr="00C00335" w:rsidRDefault="00F85AE3" w:rsidP="00474F9B">
            <w:pPr>
              <w:pStyle w:val="TableText"/>
              <w:tabs>
                <w:tab w:val="left" w:pos="4009"/>
              </w:tabs>
            </w:pPr>
            <w:r w:rsidRPr="00C00335">
              <w:t>Testing rates</w:t>
            </w:r>
            <w:r w:rsidRPr="00C00335">
              <w:br/>
              <w:t xml:space="preserve">(which affect the </w:t>
            </w:r>
            <w:r w:rsidRPr="00C00335">
              <w:rPr>
                <w:i/>
                <w:iCs/>
              </w:rPr>
              <w:t>r</w:t>
            </w:r>
            <w:r w:rsidRPr="00C00335">
              <w:t xml:space="preserve"> = 1 to </w:t>
            </w:r>
            <w:r w:rsidRPr="00C00335">
              <w:rPr>
                <w:i/>
                <w:iCs/>
              </w:rPr>
              <w:t>r</w:t>
            </w:r>
            <w:r w:rsidRPr="00C00335">
              <w:t xml:space="preserve"> = 2 and </w:t>
            </w:r>
            <w:r w:rsidRPr="00C00335">
              <w:rPr>
                <w:i/>
                <w:iCs/>
              </w:rPr>
              <w:t>r</w:t>
            </w:r>
            <w:r w:rsidRPr="00C00335">
              <w:t xml:space="preserve"> = 1 to </w:t>
            </w:r>
            <w:r w:rsidRPr="00C00335">
              <w:rPr>
                <w:i/>
                <w:iCs/>
              </w:rPr>
              <w:t>r</w:t>
            </w:r>
            <w:r w:rsidRPr="00C00335">
              <w:t> = 3 transitions)</w:t>
            </w:r>
          </w:p>
        </w:tc>
        <w:tc>
          <w:tcPr>
            <w:tcW w:w="3303" w:type="dxa"/>
            <w:tcBorders>
              <w:top w:val="single" w:sz="6" w:space="0" w:color="auto"/>
              <w:bottom w:val="single" w:sz="4" w:space="0" w:color="808080" w:themeColor="background1" w:themeShade="80"/>
            </w:tcBorders>
          </w:tcPr>
          <w:p w14:paraId="594B788F" w14:textId="654DA147" w:rsidR="00F85AE3" w:rsidRPr="00C00335" w:rsidRDefault="00F85AE3" w:rsidP="00474F9B">
            <w:pPr>
              <w:pStyle w:val="TableText"/>
              <w:tabs>
                <w:tab w:val="left" w:pos="4009"/>
              </w:tabs>
              <w:jc w:val="center"/>
            </w:pPr>
          </w:p>
          <w:p w14:paraId="4904E6E8" w14:textId="28284FA0" w:rsidR="00F85AE3" w:rsidRPr="00365D0A" w:rsidRDefault="00365D0A" w:rsidP="00474F9B">
            <w:pPr>
              <w:pStyle w:val="TableText"/>
              <w:tabs>
                <w:tab w:val="left" w:pos="4009"/>
              </w:tabs>
              <w:jc w:val="center"/>
              <w:rPr>
                <w:iCs/>
              </w:rPr>
            </w:pPr>
            <w:r w:rsidRPr="00365D0A">
              <w:rPr>
                <w:iCs/>
              </w:rPr>
              <w:t>X</w:t>
            </w:r>
          </w:p>
        </w:tc>
      </w:tr>
      <w:tr w:rsidR="00F85AE3" w:rsidRPr="00C00335" w14:paraId="197592DC" w14:textId="5C1B2F91" w:rsidTr="007A340F">
        <w:tc>
          <w:tcPr>
            <w:tcW w:w="5816" w:type="dxa"/>
            <w:tcBorders>
              <w:top w:val="single" w:sz="4" w:space="0" w:color="808080" w:themeColor="background1" w:themeShade="80"/>
              <w:bottom w:val="single" w:sz="4" w:space="0" w:color="808080" w:themeColor="background1" w:themeShade="80"/>
            </w:tcBorders>
          </w:tcPr>
          <w:p w14:paraId="00C60546" w14:textId="76203540" w:rsidR="00F85AE3" w:rsidRPr="00C00335" w:rsidRDefault="00F85AE3" w:rsidP="00474F9B">
            <w:pPr>
              <w:pStyle w:val="TableText"/>
              <w:tabs>
                <w:tab w:val="left" w:pos="4009"/>
              </w:tabs>
            </w:pPr>
            <w:r w:rsidRPr="00C00335">
              <w:t>Probability of linkage to HIV care at diagnosis</w:t>
            </w:r>
            <w:r w:rsidRPr="00C00335">
              <w:br/>
              <w:t xml:space="preserve">(which affects </w:t>
            </w:r>
            <w:r w:rsidRPr="00C00335">
              <w:rPr>
                <w:i/>
                <w:iCs/>
              </w:rPr>
              <w:t>r</w:t>
            </w:r>
            <w:r w:rsidRPr="00C00335">
              <w:t xml:space="preserve"> = 1 to </w:t>
            </w:r>
            <w:r w:rsidRPr="00C00335">
              <w:rPr>
                <w:i/>
                <w:iCs/>
              </w:rPr>
              <w:t>r</w:t>
            </w:r>
            <w:r w:rsidRPr="00C00335">
              <w:t xml:space="preserve"> = 2 and </w:t>
            </w:r>
            <w:r w:rsidRPr="00C00335">
              <w:rPr>
                <w:i/>
                <w:iCs/>
              </w:rPr>
              <w:t>r</w:t>
            </w:r>
            <w:r w:rsidRPr="00C00335">
              <w:t xml:space="preserve"> = 1 to </w:t>
            </w:r>
            <w:r w:rsidRPr="00C00335">
              <w:rPr>
                <w:i/>
                <w:iCs/>
              </w:rPr>
              <w:t>r</w:t>
            </w:r>
            <w:r w:rsidRPr="00C00335">
              <w:t> = 3 transitions)</w:t>
            </w:r>
          </w:p>
        </w:tc>
        <w:tc>
          <w:tcPr>
            <w:tcW w:w="3303" w:type="dxa"/>
            <w:tcBorders>
              <w:top w:val="single" w:sz="4" w:space="0" w:color="808080" w:themeColor="background1" w:themeShade="80"/>
              <w:bottom w:val="single" w:sz="4" w:space="0" w:color="808080" w:themeColor="background1" w:themeShade="80"/>
            </w:tcBorders>
          </w:tcPr>
          <w:p w14:paraId="19FCACFD" w14:textId="6D64C2C1" w:rsidR="00F85AE3" w:rsidRPr="00C00335" w:rsidRDefault="00365D0A" w:rsidP="00474F9B">
            <w:pPr>
              <w:pStyle w:val="TableText"/>
              <w:tabs>
                <w:tab w:val="left" w:pos="4009"/>
              </w:tabs>
              <w:jc w:val="center"/>
            </w:pPr>
            <w:r w:rsidRPr="00365D0A">
              <w:rPr>
                <w:iCs/>
              </w:rPr>
              <w:t>X</w:t>
            </w:r>
          </w:p>
        </w:tc>
      </w:tr>
      <w:tr w:rsidR="00F85AE3" w:rsidRPr="00C00335" w14:paraId="59E8F82E" w14:textId="77777777" w:rsidTr="007A340F">
        <w:tc>
          <w:tcPr>
            <w:tcW w:w="5816" w:type="dxa"/>
            <w:tcBorders>
              <w:top w:val="single" w:sz="4" w:space="0" w:color="808080" w:themeColor="background1" w:themeShade="80"/>
              <w:bottom w:val="single" w:sz="4" w:space="0" w:color="808080" w:themeColor="background1" w:themeShade="80"/>
            </w:tcBorders>
          </w:tcPr>
          <w:p w14:paraId="2D6EAB7F" w14:textId="166245AF" w:rsidR="00F85AE3" w:rsidRPr="00C00335" w:rsidRDefault="00F85AE3" w:rsidP="0033192E">
            <w:pPr>
              <w:pStyle w:val="TableText"/>
              <w:tabs>
                <w:tab w:val="left" w:pos="4009"/>
              </w:tabs>
              <w:rPr>
                <w:szCs w:val="18"/>
              </w:rPr>
            </w:pPr>
            <w:r w:rsidRPr="00C00335">
              <w:rPr>
                <w:szCs w:val="18"/>
              </w:rPr>
              <w:t>Annual probability of diagnosed individual linked to care after (versus immediately at) diagnosis (</w:t>
            </w:r>
            <w:r w:rsidRPr="00C00335">
              <w:rPr>
                <w:i/>
                <w:iCs/>
                <w:szCs w:val="18"/>
              </w:rPr>
              <w:t>r</w:t>
            </w:r>
            <w:r w:rsidRPr="00C00335">
              <w:rPr>
                <w:szCs w:val="18"/>
              </w:rPr>
              <w:t xml:space="preserve"> = 2 to </w:t>
            </w:r>
            <w:r w:rsidRPr="00C00335">
              <w:rPr>
                <w:i/>
                <w:iCs/>
                <w:szCs w:val="18"/>
              </w:rPr>
              <w:t>r</w:t>
            </w:r>
            <w:r w:rsidRPr="00C00335">
              <w:rPr>
                <w:szCs w:val="18"/>
              </w:rPr>
              <w:t> = 3)</w:t>
            </w:r>
          </w:p>
        </w:tc>
        <w:tc>
          <w:tcPr>
            <w:tcW w:w="3303" w:type="dxa"/>
            <w:tcBorders>
              <w:top w:val="single" w:sz="4" w:space="0" w:color="808080" w:themeColor="background1" w:themeShade="80"/>
              <w:bottom w:val="single" w:sz="4" w:space="0" w:color="808080" w:themeColor="background1" w:themeShade="80"/>
            </w:tcBorders>
          </w:tcPr>
          <w:p w14:paraId="22EC2F8D" w14:textId="3300793B" w:rsidR="00F85AE3" w:rsidRPr="00C00335" w:rsidRDefault="00365D0A" w:rsidP="00474F9B">
            <w:pPr>
              <w:pStyle w:val="TableText"/>
              <w:tabs>
                <w:tab w:val="left" w:pos="4009"/>
              </w:tabs>
              <w:jc w:val="center"/>
            </w:pPr>
            <w:r w:rsidRPr="00365D0A">
              <w:rPr>
                <w:iCs/>
              </w:rPr>
              <w:t>X</w:t>
            </w:r>
          </w:p>
        </w:tc>
      </w:tr>
      <w:tr w:rsidR="00F85AE3" w:rsidRPr="00C00335" w14:paraId="404D1739" w14:textId="77777777" w:rsidTr="007A340F">
        <w:tc>
          <w:tcPr>
            <w:tcW w:w="5816" w:type="dxa"/>
            <w:tcBorders>
              <w:top w:val="single" w:sz="4" w:space="0" w:color="808080" w:themeColor="background1" w:themeShade="80"/>
              <w:bottom w:val="single" w:sz="4" w:space="0" w:color="808080" w:themeColor="background1" w:themeShade="80"/>
            </w:tcBorders>
          </w:tcPr>
          <w:p w14:paraId="0C6B20C1" w14:textId="3899F7B9" w:rsidR="00F85AE3" w:rsidRPr="00C00335" w:rsidRDefault="00F85AE3" w:rsidP="0033192E">
            <w:pPr>
              <w:pStyle w:val="TableText"/>
              <w:tabs>
                <w:tab w:val="left" w:pos="4009"/>
              </w:tabs>
              <w:rPr>
                <w:szCs w:val="18"/>
              </w:rPr>
            </w:pPr>
            <w:r w:rsidRPr="00C00335">
              <w:rPr>
                <w:szCs w:val="18"/>
              </w:rPr>
              <w:t xml:space="preserve">Annual probability of being prescribed ART if eligible for ART (which </w:t>
            </w:r>
            <w:r w:rsidRPr="00C00335">
              <w:t xml:space="preserve">affects </w:t>
            </w:r>
            <w:r w:rsidRPr="00C00335">
              <w:rPr>
                <w:i/>
                <w:iCs/>
              </w:rPr>
              <w:t>r</w:t>
            </w:r>
            <w:r w:rsidRPr="00C00335">
              <w:t xml:space="preserve"> = 3 to </w:t>
            </w:r>
            <w:r w:rsidRPr="00C00335">
              <w:rPr>
                <w:i/>
                <w:iCs/>
              </w:rPr>
              <w:t>r</w:t>
            </w:r>
            <w:r w:rsidRPr="00C00335">
              <w:t xml:space="preserve"> = 4 and </w:t>
            </w:r>
            <w:r w:rsidRPr="00C00335">
              <w:rPr>
                <w:i/>
                <w:iCs/>
              </w:rPr>
              <w:t>r</w:t>
            </w:r>
            <w:r w:rsidRPr="00C00335">
              <w:t xml:space="preserve"> = 3 to </w:t>
            </w:r>
            <w:r w:rsidRPr="00C00335">
              <w:rPr>
                <w:i/>
                <w:iCs/>
              </w:rPr>
              <w:t>r</w:t>
            </w:r>
            <w:r w:rsidRPr="00C00335">
              <w:t> = 5 transitions)</w:t>
            </w:r>
          </w:p>
        </w:tc>
        <w:tc>
          <w:tcPr>
            <w:tcW w:w="3303" w:type="dxa"/>
            <w:tcBorders>
              <w:top w:val="single" w:sz="4" w:space="0" w:color="808080" w:themeColor="background1" w:themeShade="80"/>
              <w:bottom w:val="single" w:sz="4" w:space="0" w:color="808080" w:themeColor="background1" w:themeShade="80"/>
            </w:tcBorders>
          </w:tcPr>
          <w:p w14:paraId="5B900CEF" w14:textId="565CF851" w:rsidR="00F85AE3" w:rsidRPr="00C00335" w:rsidRDefault="00365D0A" w:rsidP="00474F9B">
            <w:pPr>
              <w:pStyle w:val="TableText"/>
              <w:tabs>
                <w:tab w:val="left" w:pos="4009"/>
              </w:tabs>
              <w:jc w:val="center"/>
            </w:pPr>
            <w:r w:rsidRPr="00365D0A">
              <w:rPr>
                <w:iCs/>
              </w:rPr>
              <w:t>X</w:t>
            </w:r>
          </w:p>
        </w:tc>
      </w:tr>
      <w:tr w:rsidR="00F85AE3" w:rsidRPr="00C00335" w14:paraId="7CADD021" w14:textId="77777777" w:rsidTr="007A340F">
        <w:tc>
          <w:tcPr>
            <w:tcW w:w="5816" w:type="dxa"/>
            <w:tcBorders>
              <w:top w:val="single" w:sz="4" w:space="0" w:color="808080" w:themeColor="background1" w:themeShade="80"/>
              <w:bottom w:val="single" w:sz="4" w:space="0" w:color="808080" w:themeColor="background1" w:themeShade="80"/>
            </w:tcBorders>
          </w:tcPr>
          <w:p w14:paraId="0AD9E58E" w14:textId="77B7C166" w:rsidR="00F85AE3" w:rsidRPr="00C00335" w:rsidRDefault="00F85AE3" w:rsidP="0033192E">
            <w:pPr>
              <w:pStyle w:val="TableText"/>
              <w:tabs>
                <w:tab w:val="left" w:pos="4009"/>
              </w:tabs>
              <w:rPr>
                <w:szCs w:val="18"/>
              </w:rPr>
            </w:pPr>
            <w:r w:rsidRPr="00C00335">
              <w:rPr>
                <w:szCs w:val="18"/>
              </w:rPr>
              <w:t xml:space="preserve">Annual probability of becoming VLS </w:t>
            </w:r>
            <w:r w:rsidR="00432D5E">
              <w:rPr>
                <w:szCs w:val="18"/>
              </w:rPr>
              <w:t>if</w:t>
            </w:r>
            <w:r w:rsidRPr="00C00335">
              <w:rPr>
                <w:szCs w:val="18"/>
              </w:rPr>
              <w:t xml:space="preserve"> </w:t>
            </w:r>
            <w:r w:rsidR="00280171">
              <w:rPr>
                <w:szCs w:val="18"/>
              </w:rPr>
              <w:t>ART-not-VLS</w:t>
            </w:r>
            <w:r w:rsidRPr="00C00335">
              <w:rPr>
                <w:szCs w:val="18"/>
              </w:rPr>
              <w:t xml:space="preserve"> (</w:t>
            </w:r>
            <w:r w:rsidRPr="00C00335">
              <w:rPr>
                <w:i/>
                <w:iCs/>
                <w:szCs w:val="18"/>
              </w:rPr>
              <w:t>r</w:t>
            </w:r>
            <w:r w:rsidRPr="00C00335">
              <w:rPr>
                <w:szCs w:val="18"/>
              </w:rPr>
              <w:t xml:space="preserve"> = 4 to </w:t>
            </w:r>
            <w:r w:rsidRPr="00C00335">
              <w:rPr>
                <w:i/>
                <w:iCs/>
                <w:szCs w:val="18"/>
              </w:rPr>
              <w:t>r</w:t>
            </w:r>
            <w:r w:rsidRPr="00C00335">
              <w:rPr>
                <w:szCs w:val="18"/>
              </w:rPr>
              <w:t> = 5)</w:t>
            </w:r>
          </w:p>
        </w:tc>
        <w:tc>
          <w:tcPr>
            <w:tcW w:w="3303" w:type="dxa"/>
            <w:tcBorders>
              <w:top w:val="single" w:sz="4" w:space="0" w:color="808080" w:themeColor="background1" w:themeShade="80"/>
              <w:bottom w:val="single" w:sz="4" w:space="0" w:color="808080" w:themeColor="background1" w:themeShade="80"/>
            </w:tcBorders>
          </w:tcPr>
          <w:p w14:paraId="42D190D3" w14:textId="22E3C279" w:rsidR="00F85AE3" w:rsidRPr="00C00335" w:rsidRDefault="00365D0A" w:rsidP="00474F9B">
            <w:pPr>
              <w:pStyle w:val="TableText"/>
              <w:tabs>
                <w:tab w:val="left" w:pos="4009"/>
              </w:tabs>
              <w:jc w:val="center"/>
            </w:pPr>
            <w:r w:rsidRPr="00365D0A">
              <w:rPr>
                <w:iCs/>
              </w:rPr>
              <w:t>X</w:t>
            </w:r>
          </w:p>
        </w:tc>
      </w:tr>
      <w:tr w:rsidR="00F85AE3" w:rsidRPr="00C00335" w14:paraId="71E7CB25" w14:textId="0D851B30" w:rsidTr="007A340F">
        <w:tc>
          <w:tcPr>
            <w:tcW w:w="5816" w:type="dxa"/>
            <w:tcBorders>
              <w:top w:val="single" w:sz="4" w:space="0" w:color="808080" w:themeColor="background1" w:themeShade="80"/>
              <w:bottom w:val="single" w:sz="4" w:space="0" w:color="808080" w:themeColor="background1" w:themeShade="80"/>
            </w:tcBorders>
          </w:tcPr>
          <w:p w14:paraId="393B2F90" w14:textId="14EE9315" w:rsidR="00F85AE3" w:rsidRPr="00C00335" w:rsidRDefault="00F85AE3" w:rsidP="0033192E">
            <w:pPr>
              <w:pStyle w:val="TableText"/>
              <w:tabs>
                <w:tab w:val="left" w:pos="4009"/>
              </w:tabs>
              <w:rPr>
                <w:szCs w:val="18"/>
              </w:rPr>
            </w:pPr>
            <w:r w:rsidRPr="00C00335">
              <w:rPr>
                <w:szCs w:val="18"/>
              </w:rPr>
              <w:t>Annual probability of losing VLS (</w:t>
            </w:r>
            <w:r w:rsidRPr="00C00335">
              <w:rPr>
                <w:i/>
                <w:iCs/>
                <w:szCs w:val="18"/>
              </w:rPr>
              <w:t>r</w:t>
            </w:r>
            <w:r w:rsidRPr="00C00335">
              <w:rPr>
                <w:szCs w:val="18"/>
              </w:rPr>
              <w:t xml:space="preserve"> = 5 to </w:t>
            </w:r>
            <w:r w:rsidRPr="00C00335">
              <w:rPr>
                <w:i/>
                <w:iCs/>
                <w:szCs w:val="18"/>
              </w:rPr>
              <w:t>r</w:t>
            </w:r>
            <w:r w:rsidRPr="00C00335">
              <w:rPr>
                <w:szCs w:val="18"/>
              </w:rPr>
              <w:t> = 4)</w:t>
            </w:r>
          </w:p>
        </w:tc>
        <w:tc>
          <w:tcPr>
            <w:tcW w:w="3303" w:type="dxa"/>
            <w:tcBorders>
              <w:top w:val="single" w:sz="4" w:space="0" w:color="808080" w:themeColor="background1" w:themeShade="80"/>
              <w:bottom w:val="single" w:sz="4" w:space="0" w:color="808080" w:themeColor="background1" w:themeShade="80"/>
            </w:tcBorders>
          </w:tcPr>
          <w:p w14:paraId="4670B988" w14:textId="5357F759" w:rsidR="00F85AE3" w:rsidRPr="00C00335" w:rsidRDefault="00365D0A" w:rsidP="00474F9B">
            <w:pPr>
              <w:pStyle w:val="TableText"/>
              <w:tabs>
                <w:tab w:val="left" w:pos="4009"/>
              </w:tabs>
              <w:jc w:val="center"/>
            </w:pPr>
            <w:r w:rsidRPr="00365D0A">
              <w:rPr>
                <w:iCs/>
              </w:rPr>
              <w:t>X</w:t>
            </w:r>
          </w:p>
        </w:tc>
      </w:tr>
      <w:tr w:rsidR="00F85AE3" w:rsidRPr="00C00335" w14:paraId="1AB8A158" w14:textId="12F31FDE" w:rsidTr="007A340F">
        <w:tc>
          <w:tcPr>
            <w:tcW w:w="5816" w:type="dxa"/>
            <w:tcBorders>
              <w:top w:val="single" w:sz="4" w:space="0" w:color="808080" w:themeColor="background1" w:themeShade="80"/>
              <w:bottom w:val="single" w:sz="12" w:space="0" w:color="auto"/>
            </w:tcBorders>
          </w:tcPr>
          <w:p w14:paraId="3E25F4F0" w14:textId="3D601E85" w:rsidR="00F85AE3" w:rsidRPr="00C00335" w:rsidRDefault="00F85AE3" w:rsidP="00DF1AFE">
            <w:pPr>
              <w:pStyle w:val="TableText"/>
              <w:tabs>
                <w:tab w:val="left" w:pos="4009"/>
              </w:tabs>
              <w:spacing w:after="80"/>
              <w:rPr>
                <w:szCs w:val="18"/>
              </w:rPr>
            </w:pPr>
            <w:r w:rsidRPr="00C00335">
              <w:rPr>
                <w:szCs w:val="18"/>
              </w:rPr>
              <w:t>All other rates and probabilities that determine progression along care continuum</w:t>
            </w:r>
          </w:p>
        </w:tc>
        <w:tc>
          <w:tcPr>
            <w:tcW w:w="3303" w:type="dxa"/>
            <w:tcBorders>
              <w:top w:val="single" w:sz="4" w:space="0" w:color="808080" w:themeColor="background1" w:themeShade="80"/>
              <w:bottom w:val="single" w:sz="12" w:space="0" w:color="auto"/>
            </w:tcBorders>
          </w:tcPr>
          <w:p w14:paraId="141A4A56" w14:textId="33486F27" w:rsidR="00F85AE3" w:rsidRPr="00C00335" w:rsidRDefault="00F85AE3" w:rsidP="00105AA4">
            <w:pPr>
              <w:pStyle w:val="TableTextIndent1"/>
              <w:tabs>
                <w:tab w:val="left" w:pos="4009"/>
              </w:tabs>
              <w:ind w:left="0"/>
              <w:jc w:val="center"/>
              <w:rPr>
                <w:szCs w:val="18"/>
              </w:rPr>
            </w:pPr>
          </w:p>
        </w:tc>
      </w:tr>
    </w:tbl>
    <w:p w14:paraId="440E3886" w14:textId="26094299" w:rsidR="004F4E6D" w:rsidRPr="00C00335" w:rsidRDefault="00D06860" w:rsidP="0033192E">
      <w:pPr>
        <w:pStyle w:val="Source1"/>
      </w:pPr>
      <w:r w:rsidRPr="00C00335">
        <w:t xml:space="preserve">Note: </w:t>
      </w:r>
      <w:r w:rsidR="00DD320D" w:rsidRPr="00C00335">
        <w:t>ART = antiretroviral therapy; VLS = viral load suppress</w:t>
      </w:r>
      <w:r w:rsidR="004B71BF">
        <w:t>ed</w:t>
      </w:r>
    </w:p>
    <w:p w14:paraId="0B9CDB43" w14:textId="6750B765" w:rsidR="007D3F30" w:rsidRPr="00C00335" w:rsidRDefault="00322369" w:rsidP="00D06860">
      <w:pPr>
        <w:pStyle w:val="Heading4"/>
      </w:pPr>
      <w:r w:rsidRPr="00C00335">
        <w:lastRenderedPageBreak/>
        <w:t xml:space="preserve">Progression under the </w:t>
      </w:r>
      <w:r w:rsidR="00D06860" w:rsidRPr="00C00335">
        <w:t>Status Quo M</w:t>
      </w:r>
      <w:r w:rsidR="007D3F30" w:rsidRPr="00C00335">
        <w:t>ethod</w:t>
      </w:r>
      <w:r w:rsidRPr="00C00335">
        <w:t xml:space="preserve"> in Third Time Period</w:t>
      </w:r>
    </w:p>
    <w:p w14:paraId="147C5A38" w14:textId="20816AE4" w:rsidR="00F40048" w:rsidRDefault="007D3F30" w:rsidP="004B71BF">
      <w:pPr>
        <w:pStyle w:val="BodyText"/>
      </w:pPr>
      <w:r w:rsidRPr="00C00335">
        <w:t>Under the status quo method</w:t>
      </w:r>
      <w:r w:rsidR="00322369" w:rsidRPr="00C00335">
        <w:t xml:space="preserve"> in the third time period</w:t>
      </w:r>
      <w:r w:rsidRPr="00C00335">
        <w:t xml:space="preserve">, </w:t>
      </w:r>
      <w:r w:rsidR="00EF4C96" w:rsidRPr="00C00335">
        <w:t xml:space="preserve">annual </w:t>
      </w:r>
      <w:r w:rsidRPr="00C00335">
        <w:t>rates</w:t>
      </w:r>
      <w:r w:rsidR="00EF4C96" w:rsidRPr="00C00335">
        <w:t xml:space="preserve"> of progression</w:t>
      </w:r>
      <w:r w:rsidR="00451E07" w:rsidRPr="00C00335">
        <w:t xml:space="preserve"> along the care continuum</w:t>
      </w:r>
      <w:r w:rsidR="00EF4C96" w:rsidRPr="00C00335">
        <w:t xml:space="preserve"> </w:t>
      </w:r>
      <w:r w:rsidR="00F4015C" w:rsidRPr="00C00335">
        <w:t>a</w:t>
      </w:r>
      <w:r w:rsidR="00EF4C96" w:rsidRPr="00C00335">
        <w:t>r</w:t>
      </w:r>
      <w:r w:rsidRPr="00C00335">
        <w:t xml:space="preserve">e </w:t>
      </w:r>
      <w:r w:rsidR="00451E07" w:rsidRPr="00C00335">
        <w:t xml:space="preserve">set to be equal to </w:t>
      </w:r>
      <w:r w:rsidR="00173FFE">
        <w:t>the same</w:t>
      </w:r>
      <w:r w:rsidR="00173FFE" w:rsidRPr="00C00335">
        <w:t xml:space="preserve"> </w:t>
      </w:r>
      <w:r w:rsidR="00451E07" w:rsidRPr="00C00335">
        <w:t>rates applied in the second time period.</w:t>
      </w:r>
    </w:p>
    <w:p w14:paraId="4F87B5EF" w14:textId="50A1AD55" w:rsidR="004F4E6D" w:rsidRPr="00C00335" w:rsidRDefault="00B61870" w:rsidP="00955284">
      <w:pPr>
        <w:pStyle w:val="Heading4"/>
      </w:pPr>
      <w:r w:rsidRPr="00C00335">
        <w:t xml:space="preserve">Progression under the </w:t>
      </w:r>
      <w:r w:rsidR="00690681" w:rsidRPr="00C00335">
        <w:t>Allocation-</w:t>
      </w:r>
      <w:r w:rsidR="002F7220" w:rsidRPr="00C00335">
        <w:t>B</w:t>
      </w:r>
      <w:r w:rsidR="00690681" w:rsidRPr="00C00335">
        <w:t xml:space="preserve">ased </w:t>
      </w:r>
      <w:r w:rsidR="00955284" w:rsidRPr="00C00335">
        <w:t>Method</w:t>
      </w:r>
      <w:r w:rsidRPr="00C00335">
        <w:t xml:space="preserve"> in the </w:t>
      </w:r>
      <w:r w:rsidR="00DE6099" w:rsidRPr="00C00335">
        <w:t>Third Time Perio</w:t>
      </w:r>
      <w:r w:rsidRPr="00C00335">
        <w:t>d</w:t>
      </w:r>
    </w:p>
    <w:p w14:paraId="49F256A8" w14:textId="085E74DA" w:rsidR="00DE7A70" w:rsidRDefault="00AD7609" w:rsidP="00E2730B">
      <w:pPr>
        <w:pStyle w:val="BodyText"/>
      </w:pPr>
      <w:r w:rsidRPr="00C00335">
        <w:t xml:space="preserve">The allocation-based method is used to consider specific model scenarios to observe the impact of investment of a fixed annual budget to different interventions aimed at improving progression along the care continuum. </w:t>
      </w:r>
      <w:r w:rsidR="001D51D7" w:rsidRPr="00C00335">
        <w:t xml:space="preserve">When the model applies </w:t>
      </w:r>
      <w:r w:rsidR="00F4015C" w:rsidRPr="00C00335">
        <w:t xml:space="preserve">the allocation-based </w:t>
      </w:r>
      <w:r w:rsidR="00690681" w:rsidRPr="00C00335">
        <w:t>method</w:t>
      </w:r>
      <w:r w:rsidR="00F4015C" w:rsidRPr="00C00335">
        <w:t xml:space="preserve">, </w:t>
      </w:r>
      <w:r w:rsidR="006D42FC" w:rsidRPr="00C00335">
        <w:t xml:space="preserve">selected </w:t>
      </w:r>
      <w:proofErr w:type="gramStart"/>
      <w:r w:rsidR="00955284" w:rsidRPr="00C00335">
        <w:t>rates</w:t>
      </w:r>
      <w:proofErr w:type="gramEnd"/>
      <w:r w:rsidR="00955284" w:rsidRPr="00C00335">
        <w:t xml:space="preserve"> </w:t>
      </w:r>
      <w:r w:rsidR="00955284" w:rsidRPr="0023643C">
        <w:t>and probabilities</w:t>
      </w:r>
      <w:r w:rsidR="00F4015C" w:rsidRPr="0023643C">
        <w:t xml:space="preserve"> of progression in </w:t>
      </w:r>
      <w:r w:rsidR="00E2730B" w:rsidRPr="0023643C">
        <w:t>the third time period</w:t>
      </w:r>
      <w:r w:rsidR="00F4015C" w:rsidRPr="0023643C">
        <w:t xml:space="preserve"> </w:t>
      </w:r>
      <w:r w:rsidR="006D42FC" w:rsidRPr="0023643C">
        <w:t xml:space="preserve">(as specified in </w:t>
      </w:r>
      <w:r w:rsidR="00871E69" w:rsidRPr="0023643C">
        <w:t>Table 5.</w:t>
      </w:r>
      <w:r w:rsidR="007006E8" w:rsidRPr="0023643C">
        <w:t>6</w:t>
      </w:r>
      <w:r w:rsidR="006D42FC" w:rsidRPr="0023643C">
        <w:t xml:space="preserve">) </w:t>
      </w:r>
      <w:r w:rsidR="00955284" w:rsidRPr="0023643C">
        <w:t xml:space="preserve">are determined by </w:t>
      </w:r>
      <w:r w:rsidR="00E571D8" w:rsidRPr="0023643C">
        <w:t xml:space="preserve">(a) progression determined by funding allocated to a select set of interventions aimed at affecting each step along the care continuum and (b) user-inputted </w:t>
      </w:r>
      <w:r w:rsidR="005C3697">
        <w:t>“</w:t>
      </w:r>
      <w:r w:rsidR="00E571D8" w:rsidRPr="0023643C">
        <w:t>base rates</w:t>
      </w:r>
      <w:r w:rsidR="005C3697">
        <w:t>”</w:t>
      </w:r>
      <w:r w:rsidR="00E571D8" w:rsidRPr="0023643C">
        <w:t xml:space="preserve"> or probabilities of progression if the budget u</w:t>
      </w:r>
      <w:r w:rsidR="00E571D8" w:rsidRPr="00785356">
        <w:t>nder consideration did not exist and therefore was not invested in any of the intervention</w:t>
      </w:r>
      <w:r w:rsidR="00005520" w:rsidRPr="00785356">
        <w:t>s</w:t>
      </w:r>
      <w:r w:rsidR="00955284" w:rsidRPr="00785356">
        <w:t xml:space="preserve">. </w:t>
      </w:r>
      <w:r w:rsidR="002F2332" w:rsidRPr="00785356">
        <w:t>The</w:t>
      </w:r>
      <w:r w:rsidR="002F2332" w:rsidRPr="0023643C">
        <w:t xml:space="preserve"> steps targeted by each intervention are specified in Table 8.</w:t>
      </w:r>
      <w:r w:rsidR="00AA0B67">
        <w:t>1</w:t>
      </w:r>
      <w:r w:rsidR="002F2332" w:rsidRPr="0023643C">
        <w:t xml:space="preserve">. </w:t>
      </w:r>
    </w:p>
    <w:p w14:paraId="3F9451CD" w14:textId="413ADC99" w:rsidR="00EA15E2" w:rsidRPr="00785356" w:rsidRDefault="002F2332" w:rsidP="00E2730B">
      <w:pPr>
        <w:pStyle w:val="BodyText"/>
      </w:pPr>
      <w:r w:rsidRPr="00785356">
        <w:t>The r</w:t>
      </w:r>
      <w:r w:rsidR="00690681" w:rsidRPr="00785356">
        <w:t>ates</w:t>
      </w:r>
      <w:r w:rsidRPr="00785356">
        <w:t xml:space="preserve"> associated with each of those steps</w:t>
      </w:r>
      <w:r w:rsidR="00690681" w:rsidRPr="00785356">
        <w:t xml:space="preserve"> </w:t>
      </w:r>
      <w:r w:rsidRPr="00785356">
        <w:t xml:space="preserve">are </w:t>
      </w:r>
      <w:r w:rsidR="00690681" w:rsidRPr="00785356">
        <w:t xml:space="preserve">calculated using </w:t>
      </w:r>
      <w:r w:rsidR="00BF7FD3" w:rsidRPr="00785356">
        <w:t>the methods outlined in Table</w:t>
      </w:r>
      <w:r w:rsidR="003A6AC2" w:rsidRPr="00785356">
        <w:t xml:space="preserve"> 5.7</w:t>
      </w:r>
      <w:r w:rsidR="00690681" w:rsidRPr="00785356">
        <w:t>.</w:t>
      </w:r>
      <w:r w:rsidR="00173FFE" w:rsidRPr="00785356">
        <w:t xml:space="preserve"> </w:t>
      </w:r>
      <w:r w:rsidR="003A6AC2" w:rsidRPr="00785356">
        <w:t>Those methods apply a two-step process</w:t>
      </w:r>
      <w:r w:rsidR="00EA15E2" w:rsidRPr="00785356">
        <w:t>. The</w:t>
      </w:r>
      <w:r w:rsidR="004B41D6" w:rsidRPr="00785356">
        <w:t xml:space="preserve"> first step calculat</w:t>
      </w:r>
      <w:r w:rsidR="00EA15E2" w:rsidRPr="00785356">
        <w:t>es</w:t>
      </w:r>
      <w:r w:rsidR="004B41D6" w:rsidRPr="00785356">
        <w:t xml:space="preserve"> the </w:t>
      </w:r>
      <w:r w:rsidR="00EA15E2" w:rsidRPr="00785356">
        <w:t xml:space="preserve">rates resulting from funding </w:t>
      </w:r>
      <w:r w:rsidR="005C3697" w:rsidRPr="00785356">
        <w:t xml:space="preserve">of an intervention </w:t>
      </w:r>
      <w:r w:rsidR="00EA15E2" w:rsidRPr="00785356">
        <w:t xml:space="preserve">up to the </w:t>
      </w:r>
      <w:r w:rsidR="00D220CD" w:rsidRPr="00785356">
        <w:t>cost of continuing</w:t>
      </w:r>
      <w:r w:rsidR="004B41D6" w:rsidRPr="00785356">
        <w:t xml:space="preserve"> the rates applied in time period </w:t>
      </w:r>
      <w:r w:rsidR="003A7783">
        <w:t>2</w:t>
      </w:r>
      <w:r w:rsidR="004B41D6" w:rsidRPr="00785356">
        <w:t xml:space="preserve"> </w:t>
      </w:r>
      <w:r w:rsidR="00EA15E2" w:rsidRPr="00785356">
        <w:t>(hereafter, “</w:t>
      </w:r>
      <w:r w:rsidR="003A7783">
        <w:t>time 2 funding level</w:t>
      </w:r>
      <w:r w:rsidR="00EA15E2" w:rsidRPr="00785356">
        <w:t>”)</w:t>
      </w:r>
      <w:r w:rsidR="00432D5E">
        <w:t>; those t</w:t>
      </w:r>
      <w:r w:rsidR="00432D5E" w:rsidRPr="00785356">
        <w:t xml:space="preserve">ime period 2 </w:t>
      </w:r>
      <w:r w:rsidR="00432D5E">
        <w:t>rates typically</w:t>
      </w:r>
      <w:r w:rsidR="00432D5E" w:rsidRPr="00785356">
        <w:t xml:space="preserve"> continue the same </w:t>
      </w:r>
      <w:r w:rsidR="00432D5E">
        <w:t xml:space="preserve">calibrated </w:t>
      </w:r>
      <w:r w:rsidR="00432D5E" w:rsidRPr="00785356">
        <w:t xml:space="preserve">rates </w:t>
      </w:r>
      <w:r w:rsidR="00432D5E">
        <w:t>of</w:t>
      </w:r>
      <w:r w:rsidR="00432D5E" w:rsidRPr="00785356">
        <w:t xml:space="preserve"> time period 1.</w:t>
      </w:r>
      <w:r w:rsidR="00432D5E">
        <w:t xml:space="preserve"> </w:t>
      </w:r>
      <w:r w:rsidR="00EA15E2" w:rsidRPr="00785356">
        <w:t xml:space="preserve">The second step then calculates the incremental gain in those rates due to additional funds </w:t>
      </w:r>
      <w:r w:rsidR="005C3697" w:rsidRPr="00785356">
        <w:t xml:space="preserve">allocated to an intervention </w:t>
      </w:r>
      <w:r w:rsidR="00EA15E2" w:rsidRPr="00785356">
        <w:t xml:space="preserve">over the </w:t>
      </w:r>
      <w:r w:rsidR="003A7783">
        <w:t>time 2 funding level</w:t>
      </w:r>
      <w:r w:rsidR="00EA15E2" w:rsidRPr="00785356">
        <w:t>.</w:t>
      </w:r>
      <w:r w:rsidR="005C3697" w:rsidRPr="00785356">
        <w:t xml:space="preserve"> </w:t>
      </w:r>
      <w:r w:rsidR="00EA15E2" w:rsidRPr="00785356">
        <w:t xml:space="preserve"> </w:t>
      </w:r>
    </w:p>
    <w:p w14:paraId="0142D104" w14:textId="0E6444DA" w:rsidR="009B07C5" w:rsidRPr="00785356" w:rsidRDefault="00E2461B" w:rsidP="00E2730B">
      <w:pPr>
        <w:pStyle w:val="BodyText"/>
      </w:pPr>
      <w:r w:rsidRPr="00785356">
        <w:t xml:space="preserve">Step 1: </w:t>
      </w:r>
      <w:r w:rsidR="005C3697" w:rsidRPr="00785356">
        <w:t>We apply</w:t>
      </w:r>
      <w:r w:rsidR="007B52F2" w:rsidRPr="00785356">
        <w:t xml:space="preserve"> </w:t>
      </w:r>
      <w:r w:rsidR="005C3697" w:rsidRPr="00785356">
        <w:t xml:space="preserve">Equation (5.3) to calculate the rates due to the portion of the allocation that is less than or equal to the </w:t>
      </w:r>
      <w:r w:rsidR="003A7783">
        <w:t>time 2 funding level</w:t>
      </w:r>
      <w:r w:rsidR="00655124" w:rsidRPr="00785356">
        <w:t>, considering the “base rate” that is applied regardless of the allocation</w:t>
      </w:r>
      <w:r w:rsidR="005C3697" w:rsidRPr="00785356">
        <w:t xml:space="preserve">. </w:t>
      </w:r>
      <w:r w:rsidRPr="00785356">
        <w:t xml:space="preserve">For each continuum progression step targeted by an intervention, this method essentially calculates the overall percentage of the </w:t>
      </w:r>
      <w:r w:rsidR="003A7783">
        <w:t>time 2 funding level</w:t>
      </w:r>
      <w:r w:rsidRPr="00785356">
        <w:t xml:space="preserve"> that can be afforded by the allocation to the intervention,</w:t>
      </w:r>
      <w:r w:rsidR="00655124" w:rsidRPr="00785356">
        <w:t xml:space="preserve"> given the total number of individuals eligible for that intervention. It</w:t>
      </w:r>
      <w:r w:rsidRPr="00785356">
        <w:t xml:space="preserve"> then</w:t>
      </w:r>
      <w:r w:rsidR="005C3697" w:rsidRPr="00785356">
        <w:t xml:space="preserve"> </w:t>
      </w:r>
      <w:r w:rsidRPr="00785356">
        <w:t xml:space="preserve">calculates the time period 3 </w:t>
      </w:r>
      <w:r w:rsidR="0016640D" w:rsidRPr="00785356">
        <w:t xml:space="preserve">rates of progression </w:t>
      </w:r>
      <w:r w:rsidRPr="00785356">
        <w:t xml:space="preserve">proportional to time period </w:t>
      </w:r>
      <w:r w:rsidR="00CA6EFE">
        <w:t>2</w:t>
      </w:r>
      <w:r w:rsidRPr="00785356">
        <w:t xml:space="preserve"> rates accordingly</w:t>
      </w:r>
      <w:r w:rsidR="007B52F2" w:rsidRPr="00785356">
        <w:t xml:space="preserve">. </w:t>
      </w:r>
      <w:r w:rsidRPr="00785356">
        <w:t xml:space="preserve">This method therefore </w:t>
      </w:r>
      <w:r w:rsidR="00C266DC" w:rsidRPr="00785356">
        <w:t xml:space="preserve">means that the time period 3 rates due to this first portion of the allocation will </w:t>
      </w:r>
      <w:r w:rsidR="0016640D" w:rsidRPr="00785356">
        <w:t>reflect the same proportional</w:t>
      </w:r>
      <w:r w:rsidR="0064750E" w:rsidRPr="00785356">
        <w:t xml:space="preserve"> differentials </w:t>
      </w:r>
      <w:r w:rsidR="00C56F81" w:rsidRPr="00785356">
        <w:t xml:space="preserve">between subpopulations and disease stages </w:t>
      </w:r>
      <w:r w:rsidR="0016640D" w:rsidRPr="00785356">
        <w:t xml:space="preserve">as </w:t>
      </w:r>
      <w:r w:rsidR="00C56F81" w:rsidRPr="00785356">
        <w:t>the rates of progression in</w:t>
      </w:r>
      <w:r w:rsidR="0064750E" w:rsidRPr="00785356">
        <w:t xml:space="preserve"> time period </w:t>
      </w:r>
      <w:r w:rsidR="00CA6EFE">
        <w:t>2</w:t>
      </w:r>
      <w:r w:rsidR="00C56F81" w:rsidRPr="00785356">
        <w:t>. F</w:t>
      </w:r>
      <w:r w:rsidR="0016640D" w:rsidRPr="00785356">
        <w:t>or example, if</w:t>
      </w:r>
      <w:r w:rsidR="00CA6EFE">
        <w:t xml:space="preserve"> </w:t>
      </w:r>
      <w:r w:rsidR="00C56F81" w:rsidRPr="00785356">
        <w:t xml:space="preserve">the calibrated testing rates </w:t>
      </w:r>
      <w:r w:rsidR="00CA6EFE">
        <w:t xml:space="preserve">from time period 1 are continued to time period 2 and they </w:t>
      </w:r>
      <w:r w:rsidR="00C56F81" w:rsidRPr="00785356">
        <w:t xml:space="preserve">are such that undiagnosed </w:t>
      </w:r>
      <w:r w:rsidR="0016640D" w:rsidRPr="00785356">
        <w:t xml:space="preserve">HIV-infected PWID with </w:t>
      </w:r>
      <w:r w:rsidR="00733890">
        <w:t>CD4&lt;200</w:t>
      </w:r>
      <w:r w:rsidR="00432D5E">
        <w:t xml:space="preserve"> </w:t>
      </w:r>
      <w:r w:rsidR="0016640D" w:rsidRPr="00785356">
        <w:t xml:space="preserve">are </w:t>
      </w:r>
      <w:r w:rsidR="00432D5E">
        <w:t>two times as</w:t>
      </w:r>
      <w:r w:rsidR="0016640D" w:rsidRPr="00785356">
        <w:t xml:space="preserve"> likely </w:t>
      </w:r>
      <w:r w:rsidR="00432D5E">
        <w:t>as</w:t>
      </w:r>
      <w:r w:rsidR="0016640D" w:rsidRPr="00785356">
        <w:t xml:space="preserve"> </w:t>
      </w:r>
      <w:r w:rsidR="00C56F81" w:rsidRPr="00785356">
        <w:t>undiagnosed HIV-infected PWID with CD4 350–500</w:t>
      </w:r>
      <w:r w:rsidR="006F58AD" w:rsidRPr="00785356">
        <w:t xml:space="preserve"> to get tested</w:t>
      </w:r>
      <w:r w:rsidR="0064750E" w:rsidRPr="00785356">
        <w:t xml:space="preserve">, </w:t>
      </w:r>
      <w:r w:rsidR="0016640D" w:rsidRPr="00785356">
        <w:t xml:space="preserve">then testing rates </w:t>
      </w:r>
      <w:r w:rsidR="009A668A" w:rsidRPr="00785356">
        <w:t>resulting from an allocation</w:t>
      </w:r>
      <w:r w:rsidR="009A668A">
        <w:t xml:space="preserve"> (up to the time 2 funding level)</w:t>
      </w:r>
      <w:r w:rsidR="009A668A" w:rsidRPr="00785356">
        <w:t xml:space="preserve"> to the “Testing PWID” intervention</w:t>
      </w:r>
      <w:r w:rsidR="009A668A">
        <w:t xml:space="preserve"> </w:t>
      </w:r>
      <w:r w:rsidR="0016640D" w:rsidRPr="00785356">
        <w:t xml:space="preserve">for </w:t>
      </w:r>
      <w:r w:rsidR="009A668A" w:rsidRPr="00785356">
        <w:t xml:space="preserve">undiagnosed PWID with </w:t>
      </w:r>
      <w:r w:rsidR="009A668A">
        <w:t xml:space="preserve">CD4&lt;200 </w:t>
      </w:r>
      <w:r w:rsidR="00432D5E">
        <w:t>will also be t</w:t>
      </w:r>
      <w:r w:rsidR="009A668A">
        <w:t xml:space="preserve">wice the testing rates of </w:t>
      </w:r>
      <w:r w:rsidR="009A668A" w:rsidRPr="00785356">
        <w:t>undiagnosed PWID with CD4 350–500</w:t>
      </w:r>
      <w:r w:rsidR="00EC5B62" w:rsidRPr="00785356">
        <w:t>.</w:t>
      </w:r>
      <w:r w:rsidR="00690681" w:rsidRPr="00785356">
        <w:t xml:space="preserve"> </w:t>
      </w:r>
      <w:r w:rsidR="00D220CD" w:rsidRPr="00785356">
        <w:t xml:space="preserve">If the allocation to an intervention is no more than the </w:t>
      </w:r>
      <w:r w:rsidR="003A7783">
        <w:t>time 2 funding level</w:t>
      </w:r>
      <w:r w:rsidR="00D220CD" w:rsidRPr="00785356">
        <w:t>, then the rate of progression resulting from the allocation is equal to the rate calculated in this step 1</w:t>
      </w:r>
      <w:r w:rsidR="00655124" w:rsidRPr="00785356">
        <w:t xml:space="preserve"> and step 2 is not completed for that intervention</w:t>
      </w:r>
      <w:r w:rsidR="00D220CD" w:rsidRPr="00785356">
        <w:t xml:space="preserve">.  </w:t>
      </w:r>
    </w:p>
    <w:p w14:paraId="2BE30512" w14:textId="5CF983D3" w:rsidR="00A877FD" w:rsidRDefault="009B07C5" w:rsidP="00E2730B">
      <w:pPr>
        <w:pStyle w:val="BodyText"/>
      </w:pPr>
      <w:r w:rsidRPr="00785356">
        <w:lastRenderedPageBreak/>
        <w:t xml:space="preserve">Step 2: </w:t>
      </w:r>
      <w:r w:rsidR="00D220CD" w:rsidRPr="00785356">
        <w:t xml:space="preserve">If the allocation to an intervention is greater than the </w:t>
      </w:r>
      <w:r w:rsidR="003A7783">
        <w:t>time 2 funding level</w:t>
      </w:r>
      <w:r w:rsidR="00D220CD" w:rsidRPr="00785356">
        <w:t xml:space="preserve">, then step 2 </w:t>
      </w:r>
      <w:r w:rsidR="005B130F" w:rsidRPr="00785356">
        <w:t xml:space="preserve">is </w:t>
      </w:r>
      <w:r w:rsidR="00D220CD" w:rsidRPr="00785356">
        <w:t>completed</w:t>
      </w:r>
      <w:r w:rsidR="000042F3" w:rsidRPr="00785356">
        <w:t xml:space="preserve"> to estimate the incremental gains in the rates calculated in step 1 due to allocation above the </w:t>
      </w:r>
      <w:r w:rsidR="003A7783">
        <w:t>time 2 funding level</w:t>
      </w:r>
      <w:r w:rsidR="00D220CD" w:rsidRPr="00785356">
        <w:t xml:space="preserve">. </w:t>
      </w:r>
      <w:r w:rsidR="00655124" w:rsidRPr="00785356">
        <w:t xml:space="preserve">Under this step, the model calculates the </w:t>
      </w:r>
      <w:r w:rsidR="000042F3" w:rsidRPr="00785356">
        <w:t xml:space="preserve">total </w:t>
      </w:r>
      <w:r w:rsidR="00655124" w:rsidRPr="00785356">
        <w:t xml:space="preserve">number of individuals </w:t>
      </w:r>
      <w:r w:rsidR="000042F3" w:rsidRPr="00785356">
        <w:t xml:space="preserve">still </w:t>
      </w:r>
      <w:r w:rsidR="00655124" w:rsidRPr="00785356">
        <w:t>eligible</w:t>
      </w:r>
      <w:r w:rsidR="000042F3" w:rsidRPr="00785356">
        <w:t xml:space="preserve"> for the intervention</w:t>
      </w:r>
      <w:r w:rsidR="00A877FD">
        <w:t xml:space="preserve"> as </w:t>
      </w:r>
      <w:r w:rsidR="000042F3" w:rsidRPr="00785356">
        <w:t xml:space="preserve">the number of people </w:t>
      </w:r>
      <w:r w:rsidR="00A877FD">
        <w:t xml:space="preserve">targeted by the intervention, but </w:t>
      </w:r>
      <w:r w:rsidR="000042F3" w:rsidRPr="00785356">
        <w:t>not already funded to receive the intervention under</w:t>
      </w:r>
      <w:r w:rsidR="00655124" w:rsidRPr="00785356">
        <w:t xml:space="preserve"> </w:t>
      </w:r>
      <w:r w:rsidR="000042F3" w:rsidRPr="00785356">
        <w:t>the step 1 rates</w:t>
      </w:r>
      <w:r w:rsidR="00A877FD">
        <w:t>,</w:t>
      </w:r>
      <w:r w:rsidR="000042F3" w:rsidRPr="00785356">
        <w:t xml:space="preserve"> up to the level at which the maximum reach </w:t>
      </w:r>
      <w:r w:rsidR="0056238F">
        <w:t xml:space="preserve">level (the maximum </w:t>
      </w:r>
      <w:r w:rsidR="0056238F" w:rsidRPr="0056238F">
        <w:t>percentage of eligible individuals for which each intervention can be effective</w:t>
      </w:r>
      <w:r w:rsidR="0056238F">
        <w:t xml:space="preserve">; see Section 8.1 for further explanation) </w:t>
      </w:r>
      <w:r w:rsidR="000042F3" w:rsidRPr="00785356">
        <w:t>is met</w:t>
      </w:r>
      <w:r w:rsidR="00A877FD">
        <w:t>. T</w:t>
      </w:r>
      <w:r w:rsidR="00493A77" w:rsidRPr="00785356">
        <w:t>herefore, for any subpopulations that have reached the maximum reach</w:t>
      </w:r>
      <w:r w:rsidR="0056238F">
        <w:t xml:space="preserve"> level</w:t>
      </w:r>
      <w:r w:rsidR="00493A77" w:rsidRPr="00785356">
        <w:t>, the number included in that eligible pool from that subpopulation is 0</w:t>
      </w:r>
      <w:r w:rsidR="000042F3" w:rsidRPr="00785356">
        <w:t xml:space="preserve">. </w:t>
      </w:r>
      <w:r w:rsidR="00655124" w:rsidRPr="00785356">
        <w:t xml:space="preserve">Unlike step 1, step 2 </w:t>
      </w:r>
      <w:r w:rsidR="0032369D">
        <w:t>applies funding to the intervention equally per eligible person across all subpopulations in that eligible pool</w:t>
      </w:r>
      <w:r w:rsidR="00493A77" w:rsidRPr="00785356">
        <w:t>.</w:t>
      </w:r>
      <w:r w:rsidR="0032369D">
        <w:t xml:space="preserve"> </w:t>
      </w:r>
    </w:p>
    <w:p w14:paraId="6E93BC14" w14:textId="1B1A85CF" w:rsidR="007B52F2" w:rsidRPr="00785356" w:rsidRDefault="0058458C" w:rsidP="00E2730B">
      <w:pPr>
        <w:pStyle w:val="BodyText"/>
      </w:pPr>
      <w:r w:rsidRPr="00785356">
        <w:t>The total rate of progression due to the allocation is the sum of the rates estimated in steps 1 and 2.</w:t>
      </w:r>
      <w:r w:rsidR="00493A77" w:rsidRPr="00785356">
        <w:t xml:space="preserve">   </w:t>
      </w:r>
    </w:p>
    <w:p w14:paraId="0F6FD6DE" w14:textId="5DA489BE" w:rsidR="00BF7FD3" w:rsidRPr="00785356" w:rsidRDefault="00BF7FD3" w:rsidP="00BF7FD3">
      <w:pPr>
        <w:pStyle w:val="TableTitle"/>
      </w:pPr>
      <w:bookmarkStart w:id="48" w:name="_Toc89257595"/>
      <w:bookmarkStart w:id="49" w:name="_Hlk24969606"/>
      <w:r w:rsidRPr="00785356">
        <w:t>Table 5.7.</w:t>
      </w:r>
      <w:r w:rsidRPr="00785356">
        <w:tab/>
      </w:r>
      <w:r w:rsidR="00254E31" w:rsidRPr="00785356">
        <w:t>Methods Used to Calculate Rates</w:t>
      </w:r>
      <w:r w:rsidRPr="00785356">
        <w:t xml:space="preserve"> </w:t>
      </w:r>
      <w:r w:rsidR="00254E31" w:rsidRPr="00785356">
        <w:t>when Applying</w:t>
      </w:r>
      <w:r w:rsidRPr="00785356">
        <w:t xml:space="preserve"> Allocation</w:t>
      </w:r>
      <w:r w:rsidR="003A6AC2" w:rsidRPr="00785356">
        <w:t>-Based Progression</w:t>
      </w:r>
      <w:bookmarkEnd w:id="48"/>
      <w:r w:rsidR="00254E31" w:rsidRPr="00785356">
        <w:t xml:space="preserve"> </w:t>
      </w:r>
      <w:r w:rsidRPr="00785356">
        <w:t xml:space="preserve"> </w:t>
      </w:r>
    </w:p>
    <w:tbl>
      <w:tblPr>
        <w:tblStyle w:val="TableFormat4"/>
        <w:tblW w:w="9119" w:type="dxa"/>
        <w:tblInd w:w="0" w:type="dxa"/>
        <w:tblLayout w:type="fixed"/>
        <w:tblLook w:val="04A0" w:firstRow="1" w:lastRow="0" w:firstColumn="1" w:lastColumn="0" w:noHBand="0" w:noVBand="1"/>
      </w:tblPr>
      <w:tblGrid>
        <w:gridCol w:w="2430"/>
        <w:gridCol w:w="6689"/>
      </w:tblGrid>
      <w:tr w:rsidR="00BF7FD3" w:rsidRPr="00785356" w14:paraId="20C6288B" w14:textId="77777777" w:rsidTr="008D6621">
        <w:trPr>
          <w:cnfStyle w:val="100000000000" w:firstRow="1" w:lastRow="0" w:firstColumn="0" w:lastColumn="0" w:oddVBand="0" w:evenVBand="0" w:oddHBand="0" w:evenHBand="0" w:firstRowFirstColumn="0" w:firstRowLastColumn="0" w:lastRowFirstColumn="0" w:lastRowLastColumn="0"/>
          <w:tblHeader/>
        </w:trPr>
        <w:tc>
          <w:tcPr>
            <w:tcW w:w="2430" w:type="dxa"/>
            <w:vAlign w:val="bottom"/>
          </w:tcPr>
          <w:p w14:paraId="5092AC28" w14:textId="7427BB97" w:rsidR="00BF7FD3" w:rsidRPr="00785356" w:rsidRDefault="00BF7FD3" w:rsidP="003A6AC2">
            <w:pPr>
              <w:pStyle w:val="TableHeaders"/>
              <w:spacing w:before="60" w:after="60"/>
              <w:rPr>
                <w:szCs w:val="18"/>
              </w:rPr>
            </w:pPr>
            <w:r w:rsidRPr="00785356">
              <w:rPr>
                <w:szCs w:val="18"/>
              </w:rPr>
              <w:t>Allocation</w:t>
            </w:r>
          </w:p>
        </w:tc>
        <w:tc>
          <w:tcPr>
            <w:tcW w:w="6689" w:type="dxa"/>
            <w:vAlign w:val="bottom"/>
          </w:tcPr>
          <w:p w14:paraId="25E36C80" w14:textId="4648C664" w:rsidR="00BF7FD3" w:rsidRPr="00785356" w:rsidRDefault="00BF7FD3" w:rsidP="003A6AC2">
            <w:pPr>
              <w:pStyle w:val="TableHeaders"/>
              <w:spacing w:before="60" w:after="60"/>
              <w:rPr>
                <w:szCs w:val="18"/>
              </w:rPr>
            </w:pPr>
            <w:r w:rsidRPr="00785356">
              <w:rPr>
                <w:szCs w:val="18"/>
              </w:rPr>
              <w:t xml:space="preserve">Rates </w:t>
            </w:r>
            <w:r w:rsidR="00254E31" w:rsidRPr="00785356">
              <w:rPr>
                <w:szCs w:val="18"/>
              </w:rPr>
              <w:t xml:space="preserve">applied </w:t>
            </w:r>
            <w:r w:rsidRPr="00785356">
              <w:rPr>
                <w:szCs w:val="18"/>
              </w:rPr>
              <w:t>resulting from allocation</w:t>
            </w:r>
          </w:p>
        </w:tc>
      </w:tr>
      <w:tr w:rsidR="00BF7FD3" w:rsidRPr="00785356" w14:paraId="6AFEBC91" w14:textId="77777777" w:rsidTr="008D6621">
        <w:tc>
          <w:tcPr>
            <w:tcW w:w="2430" w:type="dxa"/>
            <w:tcBorders>
              <w:top w:val="single" w:sz="6" w:space="0" w:color="auto"/>
              <w:bottom w:val="single" w:sz="4" w:space="0" w:color="808080" w:themeColor="background1" w:themeShade="80"/>
            </w:tcBorders>
          </w:tcPr>
          <w:p w14:paraId="6D0E1F41" w14:textId="55B6F952" w:rsidR="00BF7FD3" w:rsidRPr="00785356" w:rsidRDefault="00254E31" w:rsidP="003A6AC2">
            <w:pPr>
              <w:pStyle w:val="TableText"/>
              <w:tabs>
                <w:tab w:val="left" w:pos="4009"/>
              </w:tabs>
            </w:pPr>
            <w:r w:rsidRPr="00785356">
              <w:t xml:space="preserve">$0 to level of funding to continue same rates as in time period </w:t>
            </w:r>
            <w:r w:rsidR="00440E2D" w:rsidRPr="00785356">
              <w:t>1</w:t>
            </w:r>
            <w:r w:rsidR="0058458C" w:rsidRPr="00785356">
              <w:t xml:space="preserve"> (“step 1”)</w:t>
            </w:r>
          </w:p>
        </w:tc>
        <w:tc>
          <w:tcPr>
            <w:tcW w:w="6689" w:type="dxa"/>
            <w:tcBorders>
              <w:top w:val="single" w:sz="6" w:space="0" w:color="auto"/>
              <w:bottom w:val="single" w:sz="4" w:space="0" w:color="808080" w:themeColor="background1" w:themeShade="80"/>
            </w:tcBorders>
          </w:tcPr>
          <w:p w14:paraId="5B191822" w14:textId="77777777" w:rsidR="00EA15E2" w:rsidRPr="00785356" w:rsidRDefault="00EA15E2" w:rsidP="00B12126">
            <w:pPr>
              <w:pStyle w:val="TableTextIndent1"/>
              <w:numPr>
                <w:ilvl w:val="0"/>
                <w:numId w:val="26"/>
              </w:numPr>
              <w:tabs>
                <w:tab w:val="left" w:pos="4009"/>
              </w:tabs>
              <w:rPr>
                <w:szCs w:val="18"/>
              </w:rPr>
            </w:pPr>
            <w:r w:rsidRPr="00785356">
              <w:rPr>
                <w:szCs w:val="18"/>
              </w:rPr>
              <w:t>Rate calculated using Equation 5.3</w:t>
            </w:r>
          </w:p>
          <w:p w14:paraId="04F6566C" w14:textId="6AC071FE" w:rsidR="00254E31" w:rsidRPr="00785356" w:rsidRDefault="00254E31" w:rsidP="00B12126">
            <w:pPr>
              <w:pStyle w:val="TableText"/>
              <w:numPr>
                <w:ilvl w:val="0"/>
                <w:numId w:val="26"/>
              </w:numPr>
              <w:tabs>
                <w:tab w:val="left" w:pos="4009"/>
              </w:tabs>
              <w:rPr>
                <w:iCs/>
              </w:rPr>
            </w:pPr>
            <w:r w:rsidRPr="00785356">
              <w:rPr>
                <w:iCs/>
              </w:rPr>
              <w:t xml:space="preserve">Calculated rate (based on allocation) based on the total number of people not currently reached by the intervention considered eligible for the intervention. </w:t>
            </w:r>
          </w:p>
          <w:p w14:paraId="795E21C2" w14:textId="513E1143" w:rsidR="00254E31" w:rsidRPr="00785356" w:rsidRDefault="00254E31" w:rsidP="00B12126">
            <w:pPr>
              <w:pStyle w:val="TableText"/>
              <w:numPr>
                <w:ilvl w:val="0"/>
                <w:numId w:val="26"/>
              </w:numPr>
              <w:tabs>
                <w:tab w:val="left" w:pos="4009"/>
              </w:tabs>
              <w:rPr>
                <w:iCs/>
              </w:rPr>
            </w:pPr>
            <w:r w:rsidRPr="00785356">
              <w:rPr>
                <w:iCs/>
              </w:rPr>
              <w:t xml:space="preserve">Reflects the same proportional differentials between subpopulations and disease stages as the rates of progression in time period </w:t>
            </w:r>
            <w:r w:rsidR="00440E2D" w:rsidRPr="00785356">
              <w:rPr>
                <w:iCs/>
              </w:rPr>
              <w:t>1</w:t>
            </w:r>
            <w:r w:rsidRPr="00785356">
              <w:rPr>
                <w:iCs/>
              </w:rPr>
              <w:t>.</w:t>
            </w:r>
          </w:p>
          <w:p w14:paraId="7F8D4E38" w14:textId="41090BB7" w:rsidR="00BF7FD3" w:rsidRPr="00785356" w:rsidRDefault="00254E31" w:rsidP="00B12126">
            <w:pPr>
              <w:pStyle w:val="TableText"/>
              <w:numPr>
                <w:ilvl w:val="0"/>
                <w:numId w:val="26"/>
              </w:numPr>
              <w:tabs>
                <w:tab w:val="left" w:pos="4009"/>
              </w:tabs>
              <w:rPr>
                <w:iCs/>
              </w:rPr>
            </w:pPr>
            <w:r w:rsidRPr="00785356">
              <w:rPr>
                <w:iCs/>
              </w:rPr>
              <w:t xml:space="preserve">If calculated rate for any subpopulation (based on allocation) is greater than </w:t>
            </w:r>
            <w:r w:rsidR="0056238F">
              <w:rPr>
                <w:iCs/>
              </w:rPr>
              <w:t>maximum reach level</w:t>
            </w:r>
            <w:r w:rsidRPr="00785356">
              <w:rPr>
                <w:iCs/>
              </w:rPr>
              <w:t xml:space="preserve">, applied rate for that subpopulation is limited to </w:t>
            </w:r>
            <w:r w:rsidR="0056238F">
              <w:rPr>
                <w:iCs/>
              </w:rPr>
              <w:t>maximum reach level</w:t>
            </w:r>
            <w:r w:rsidRPr="00785356">
              <w:rPr>
                <w:iCs/>
              </w:rPr>
              <w:t xml:space="preserve">, </w:t>
            </w:r>
            <w:proofErr w:type="gramStart"/>
            <w:r w:rsidRPr="00785356">
              <w:rPr>
                <w:iCs/>
              </w:rPr>
              <w:t>e.g.</w:t>
            </w:r>
            <w:proofErr w:type="gramEnd"/>
            <w:r w:rsidRPr="00785356">
              <w:rPr>
                <w:iCs/>
              </w:rPr>
              <w:t xml:space="preserve"> if </w:t>
            </w:r>
            <w:r w:rsidR="0056238F">
              <w:rPr>
                <w:iCs/>
              </w:rPr>
              <w:t>maximum reach level</w:t>
            </w:r>
            <w:r w:rsidRPr="00785356">
              <w:rPr>
                <w:iCs/>
              </w:rPr>
              <w:t xml:space="preserve"> is 0.9 and calculated rate is 0.95, applied rate is 0.9 (even though allocation was used to reach 0.95).</w:t>
            </w:r>
          </w:p>
        </w:tc>
      </w:tr>
      <w:tr w:rsidR="00BF7FD3" w:rsidRPr="00BE4CF2" w14:paraId="17904121" w14:textId="77777777" w:rsidTr="008D6621">
        <w:tc>
          <w:tcPr>
            <w:tcW w:w="2430" w:type="dxa"/>
            <w:tcBorders>
              <w:top w:val="single" w:sz="4" w:space="0" w:color="808080" w:themeColor="background1" w:themeShade="80"/>
              <w:bottom w:val="single" w:sz="12" w:space="0" w:color="auto"/>
            </w:tcBorders>
          </w:tcPr>
          <w:p w14:paraId="7E9CB8EE" w14:textId="30FC1B2E" w:rsidR="00BF7FD3" w:rsidRPr="00785356" w:rsidRDefault="00254E31" w:rsidP="003A6AC2">
            <w:pPr>
              <w:pStyle w:val="TableText"/>
              <w:tabs>
                <w:tab w:val="left" w:pos="4009"/>
              </w:tabs>
              <w:spacing w:after="80"/>
              <w:rPr>
                <w:szCs w:val="18"/>
              </w:rPr>
            </w:pPr>
            <w:r w:rsidRPr="00785356">
              <w:t xml:space="preserve">Funding beyond that required to continue same rates as in time period </w:t>
            </w:r>
            <w:r w:rsidR="00440E2D" w:rsidRPr="00785356">
              <w:t>1</w:t>
            </w:r>
            <w:r w:rsidR="0058458C" w:rsidRPr="00785356">
              <w:t xml:space="preserve"> (“step 2”)</w:t>
            </w:r>
          </w:p>
        </w:tc>
        <w:tc>
          <w:tcPr>
            <w:tcW w:w="6689" w:type="dxa"/>
            <w:tcBorders>
              <w:top w:val="single" w:sz="4" w:space="0" w:color="808080" w:themeColor="background1" w:themeShade="80"/>
              <w:bottom w:val="single" w:sz="12" w:space="0" w:color="auto"/>
            </w:tcBorders>
          </w:tcPr>
          <w:p w14:paraId="73AC3FED" w14:textId="2A816435" w:rsidR="00336D53" w:rsidRPr="00BE4CF2" w:rsidRDefault="00336D53" w:rsidP="00B12126">
            <w:pPr>
              <w:pStyle w:val="TableTextIndent1"/>
              <w:numPr>
                <w:ilvl w:val="0"/>
                <w:numId w:val="27"/>
              </w:numPr>
              <w:tabs>
                <w:tab w:val="left" w:pos="4009"/>
              </w:tabs>
              <w:rPr>
                <w:szCs w:val="18"/>
              </w:rPr>
            </w:pPr>
            <w:r w:rsidRPr="00BE4CF2">
              <w:rPr>
                <w:szCs w:val="18"/>
              </w:rPr>
              <w:t>Rate calculated using Equation 5.4</w:t>
            </w:r>
          </w:p>
          <w:p w14:paraId="517B9D92" w14:textId="64EFB11D" w:rsidR="00254E31" w:rsidRPr="00BE4CF2" w:rsidRDefault="00254E31" w:rsidP="00B12126">
            <w:pPr>
              <w:pStyle w:val="TableTextIndent1"/>
              <w:numPr>
                <w:ilvl w:val="0"/>
                <w:numId w:val="27"/>
              </w:numPr>
              <w:tabs>
                <w:tab w:val="left" w:pos="4009"/>
              </w:tabs>
              <w:rPr>
                <w:szCs w:val="18"/>
              </w:rPr>
            </w:pPr>
            <w:r w:rsidRPr="00BE4CF2">
              <w:rPr>
                <w:szCs w:val="18"/>
              </w:rPr>
              <w:t xml:space="preserve">Calculated rate based on only the number of people not currently reached by the intervention up to the </w:t>
            </w:r>
            <w:r w:rsidR="0056238F" w:rsidRPr="00BE4CF2">
              <w:rPr>
                <w:szCs w:val="18"/>
              </w:rPr>
              <w:t>maximum reach level</w:t>
            </w:r>
            <w:r w:rsidRPr="00BE4CF2">
              <w:rPr>
                <w:szCs w:val="18"/>
              </w:rPr>
              <w:t xml:space="preserve"> considered eligible for the intervention. </w:t>
            </w:r>
          </w:p>
          <w:p w14:paraId="7DC70743" w14:textId="1C24AE44" w:rsidR="00254E31" w:rsidRPr="00BE4CF2" w:rsidRDefault="00254E31" w:rsidP="00B12126">
            <w:pPr>
              <w:pStyle w:val="TableTextIndent1"/>
              <w:numPr>
                <w:ilvl w:val="0"/>
                <w:numId w:val="27"/>
              </w:numPr>
              <w:tabs>
                <w:tab w:val="left" w:pos="4009"/>
              </w:tabs>
              <w:rPr>
                <w:szCs w:val="18"/>
              </w:rPr>
            </w:pPr>
            <w:r w:rsidRPr="00BE4CF2">
              <w:rPr>
                <w:szCs w:val="18"/>
              </w:rPr>
              <w:t>Applied rates for all subpopulations are equal to the calculated rates “purchased” by the allocation.</w:t>
            </w:r>
          </w:p>
          <w:p w14:paraId="5D6F72B4" w14:textId="6DEDF9A8" w:rsidR="00BF7FD3" w:rsidRPr="00BE4CF2" w:rsidRDefault="00254E31" w:rsidP="00B12126">
            <w:pPr>
              <w:pStyle w:val="TableTextIndent1"/>
              <w:numPr>
                <w:ilvl w:val="0"/>
                <w:numId w:val="27"/>
              </w:numPr>
              <w:tabs>
                <w:tab w:val="left" w:pos="4009"/>
              </w:tabs>
              <w:rPr>
                <w:szCs w:val="18"/>
              </w:rPr>
            </w:pPr>
            <w:r w:rsidRPr="00BE4CF2">
              <w:rPr>
                <w:szCs w:val="18"/>
              </w:rPr>
              <w:t xml:space="preserve">No benefit will be gained by additional allocation to an intervention once </w:t>
            </w:r>
            <w:r w:rsidR="0056238F" w:rsidRPr="00BE4CF2">
              <w:rPr>
                <w:szCs w:val="18"/>
              </w:rPr>
              <w:t>the maximum reach level</w:t>
            </w:r>
            <w:r w:rsidRPr="00BE4CF2">
              <w:rPr>
                <w:szCs w:val="18"/>
              </w:rPr>
              <w:t xml:space="preserve"> is attained for all subpopulations.</w:t>
            </w:r>
          </w:p>
        </w:tc>
      </w:tr>
    </w:tbl>
    <w:p w14:paraId="141F4B62" w14:textId="77777777" w:rsidR="00BF7FD3" w:rsidRPr="00421CB1" w:rsidRDefault="00BF7FD3" w:rsidP="00BF7FD3">
      <w:pPr>
        <w:pStyle w:val="Source1"/>
      </w:pPr>
      <w:r w:rsidRPr="00785356">
        <w:t xml:space="preserve">Note: ART = </w:t>
      </w:r>
      <w:r w:rsidRPr="00421CB1">
        <w:t>antiretroviral therapy; VLS = viral load suppressed</w:t>
      </w:r>
    </w:p>
    <w:bookmarkEnd w:id="49"/>
    <w:p w14:paraId="389FC640" w14:textId="77777777" w:rsidR="005A1F41" w:rsidRPr="0023643C" w:rsidRDefault="00A3127C" w:rsidP="005A1F41">
      <w:pPr>
        <w:pStyle w:val="equation"/>
      </w:pPr>
      <w:r w:rsidRPr="00421CB1">
        <w:tab/>
      </w:r>
      <m:oMath>
        <m:sSubSup>
          <m:sSubSupPr>
            <m:ctrlPr/>
          </m:sSubSupPr>
          <m:e>
            <m:r>
              <m:rPr>
                <m:sty m:val="p"/>
              </m:rPr>
              <w:rPr>
                <w:rFonts w:eastAsiaTheme="minorEastAsia"/>
                <w:sz w:val="22"/>
              </w:rPr>
              <m:t>ψ</m:t>
            </m:r>
          </m:e>
          <m:sub>
            <m:r>
              <m:t>c</m:t>
            </m:r>
            <m:r>
              <m:rPr>
                <m:sty m:val="p"/>
              </m:rPr>
              <m:t>.</m:t>
            </m:r>
            <m:r>
              <m:t>p</m:t>
            </m:r>
          </m:sub>
          <m:sup>
            <m:r>
              <m:t>j</m:t>
            </m:r>
            <m:r>
              <m:rPr>
                <m:sty m:val="p"/>
              </m:rPr>
              <m:t>*,1</m:t>
            </m:r>
          </m:sup>
        </m:sSubSup>
        <m:d>
          <m:d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r>
              <m:rPr>
                <m:sty m:val="p"/>
              </m:rPr>
              <m:t>,</m:t>
            </m:r>
            <m:r>
              <m:rPr>
                <m:sty m:val="bi"/>
              </m:rPr>
              <m:t>t</m:t>
            </m:r>
          </m:e>
        </m:d>
        <m:r>
          <m:rPr>
            <m:sty m:val="p"/>
          </m:rPr>
          <m:t>=</m:t>
        </m:r>
        <m:sSubSup>
          <m:sSubSupPr>
            <m:ctrlPr/>
          </m:sSubSupPr>
          <m:e>
            <m:r>
              <m:rPr>
                <m:sty m:val="p"/>
              </m:rPr>
              <m:t>ℶ</m:t>
            </m:r>
          </m:e>
          <m:sub>
            <m:r>
              <m:t>c</m:t>
            </m:r>
            <m:r>
              <m:rPr>
                <m:sty m:val="p"/>
              </m:rPr>
              <m:t>.</m:t>
            </m:r>
            <m:r>
              <m:t>p</m:t>
            </m:r>
          </m:sub>
          <m:sup>
            <m:r>
              <m:t>j</m:t>
            </m:r>
            <m:r>
              <m:rPr>
                <m:sty m:val="p"/>
              </m:rPr>
              <m:t>*</m:t>
            </m:r>
          </m:sup>
        </m:sSubSup>
        <m:d>
          <m:dPr>
            <m:ctrlPr/>
          </m:dPr>
          <m:e>
            <m:r>
              <m:rPr>
                <m:sty m:val="bi"/>
              </m:rPr>
              <m:t>t</m:t>
            </m:r>
          </m:e>
        </m:d>
        <m:r>
          <m:rPr>
            <m:sty m:val="p"/>
          </m:rPr>
          <m:t>+</m:t>
        </m:r>
        <m:sSub>
          <m:sSubPr>
            <m:ctrlPr/>
          </m:sSubPr>
          <m:e>
            <m:r>
              <m:rPr>
                <m:sty m:val="p"/>
              </m:rPr>
              <m:t>Σ</m:t>
            </m:r>
          </m:e>
          <m:sub>
            <m:r>
              <m:t>j</m:t>
            </m:r>
            <m:r>
              <m:rPr>
                <m:sty m:val="p"/>
              </m:rPr>
              <m:t>*</m:t>
            </m:r>
          </m:sub>
        </m:sSub>
        <m:d>
          <m:dPr>
            <m:ctrlPr>
              <w:rPr>
                <w:snapToGrid w:val="0"/>
              </w:rPr>
            </m:ctrlPr>
          </m:dPr>
          <m:e>
            <m:d>
              <m:dPr>
                <m:begChr m:val="["/>
                <m:endChr m:val="]"/>
                <m:ctrlPr>
                  <w:rPr>
                    <w:snapToGrid w:val="0"/>
                  </w:rPr>
                </m:ctrlPr>
              </m:dPr>
              <m:e>
                <m:sSubSup>
                  <m:sSubSupPr>
                    <m:ctrlPr>
                      <w:rPr>
                        <w:b/>
                        <w:sz w:val="22"/>
                      </w:rPr>
                    </m:ctrlPr>
                  </m:sSubSupPr>
                  <m:e>
                    <m:r>
                      <m:rPr>
                        <m:sty m:val="b"/>
                      </m:rPr>
                      <w:rPr>
                        <w:sz w:val="22"/>
                      </w:rPr>
                      <m:t>ẏ</m:t>
                    </m:r>
                  </m:e>
                  <m:sub>
                    <m:r>
                      <w:rPr>
                        <w:sz w:val="22"/>
                      </w:rPr>
                      <m:t>c,p</m:t>
                    </m:r>
                  </m:sub>
                  <m:sup>
                    <m:r>
                      <m:rPr>
                        <m:sty m:val="bi"/>
                      </m:rPr>
                      <w:rPr>
                        <w:sz w:val="22"/>
                      </w:rPr>
                      <m:t>j*</m:t>
                    </m:r>
                  </m:sup>
                </m:sSubSup>
              </m:e>
            </m:d>
            <m:r>
              <w:rPr>
                <w:snapToGrid w:val="0"/>
              </w:rPr>
              <m:t>×</m:t>
            </m:r>
            <m:d>
              <m:dPr>
                <m:begChr m:val="["/>
                <m:endChr m:val="]"/>
                <m:ctrlPr/>
              </m:dPr>
              <m:e>
                <m:r>
                  <m:t>max</m:t>
                </m:r>
                <m:d>
                  <m:dPr>
                    <m:ctrlPr/>
                  </m:dPr>
                  <m:e>
                    <m:f>
                      <m:fPr>
                        <m:ctrlPr/>
                      </m:fPr>
                      <m:num>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num>
                      <m:den>
                        <m:d>
                          <m:dPr>
                            <m:ctrlPr>
                              <w:rPr>
                                <w:i/>
                              </w:rPr>
                            </m:ctrlPr>
                          </m:dPr>
                          <m:e>
                            <m:sSub>
                              <m:sSubPr>
                                <m:ctrlPr>
                                  <w:rPr>
                                    <w:snapToGrid w:val="0"/>
                                  </w:rPr>
                                </m:ctrlPr>
                              </m:sSubPr>
                              <m:e>
                                <m:r>
                                  <m:t>J</m:t>
                                </m:r>
                              </m:e>
                              <m:sub>
                                <m:r>
                                  <m:t>p</m:t>
                                </m:r>
                                <m:r>
                                  <m:rPr>
                                    <m:sty m:val="p"/>
                                  </m:rPr>
                                  <m:t>,</m:t>
                                </m:r>
                                <m:r>
                                  <m:t>j</m:t>
                                </m:r>
                                <m:r>
                                  <m:rPr>
                                    <m:sty m:val="p"/>
                                  </m:rPr>
                                  <m:t>*</m:t>
                                </m:r>
                              </m:sub>
                            </m:sSub>
                            <m:d>
                              <m:dPr>
                                <m:ctrlPr>
                                  <w:rPr>
                                    <w:snapToGrid w:val="0"/>
                                  </w:r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e>
                            </m:d>
                          </m:e>
                        </m:d>
                        <m:d>
                          <m:dPr>
                            <m:ctrlPr>
                              <w:rPr>
                                <w:i/>
                              </w:rPr>
                            </m:ctrlPr>
                          </m:dPr>
                          <m:e>
                            <m:sSubSup>
                              <m:sSubSupPr>
                                <m:ctrlPr>
                                  <w:rPr>
                                    <w:b/>
                                    <w:sz w:val="22"/>
                                  </w:rPr>
                                </m:ctrlPr>
                              </m:sSubSupPr>
                              <m:e>
                                <m:r>
                                  <m:rPr>
                                    <m:sty m:val="b"/>
                                  </m:rPr>
                                  <w:rPr>
                                    <w:sz w:val="22"/>
                                  </w:rPr>
                                  <m:t>ẏ</m:t>
                                </m:r>
                              </m:e>
                              <m:sub>
                                <m:r>
                                  <w:rPr>
                                    <w:sz w:val="22"/>
                                  </w:rPr>
                                  <m:t>c,p</m:t>
                                </m:r>
                              </m:sub>
                              <m:sup>
                                <m:r>
                                  <m:rPr>
                                    <m:sty m:val="bi"/>
                                  </m:rPr>
                                  <w:rPr>
                                    <w:sz w:val="22"/>
                                  </w:rPr>
                                  <m:t>j*</m:t>
                                </m:r>
                              </m:sup>
                            </m:sSubSup>
                          </m:e>
                        </m:d>
                        <m:d>
                          <m:dPr>
                            <m:ctrlPr>
                              <w:rPr>
                                <w:i/>
                              </w:rPr>
                            </m:ctrlPr>
                          </m:dPr>
                          <m:e>
                            <m:sSub>
                              <m:sSubPr>
                                <m:ctrlPr>
                                  <w:rPr>
                                    <w:i/>
                                    <w:sz w:val="22"/>
                                  </w:rPr>
                                </m:ctrlPr>
                              </m:sSubPr>
                              <m:e>
                                <m:r>
                                  <m:rPr>
                                    <m:sty m:val="p"/>
                                  </m:rPr>
                                  <m:t>Ṡ</m:t>
                                </m:r>
                              </m:e>
                              <m:sub>
                                <m:sSup>
                                  <m:sSupPr>
                                    <m:ctrlPr>
                                      <w:rPr>
                                        <w:i/>
                                        <w:sz w:val="22"/>
                                      </w:rPr>
                                    </m:ctrlPr>
                                  </m:sSupPr>
                                  <m:e>
                                    <m:r>
                                      <w:rPr>
                                        <w:sz w:val="22"/>
                                      </w:rPr>
                                      <m:t>j</m:t>
                                    </m:r>
                                  </m:e>
                                  <m:sup>
                                    <m:r>
                                      <w:rPr>
                                        <w:sz w:val="22"/>
                                      </w:rPr>
                                      <m:t>*</m:t>
                                    </m:r>
                                  </m:sup>
                                </m:sSup>
                              </m:sub>
                            </m:sSub>
                          </m:e>
                        </m:d>
                      </m:den>
                    </m:f>
                    <m:r>
                      <m:t>,1</m:t>
                    </m:r>
                  </m:e>
                </m:d>
              </m:e>
            </m:d>
          </m:e>
        </m:d>
      </m:oMath>
      <w:r w:rsidR="005A1F41" w:rsidRPr="00785356">
        <w:tab/>
        <w:t>(5.3)</w:t>
      </w:r>
    </w:p>
    <w:p w14:paraId="648565C1" w14:textId="77777777" w:rsidR="005A1F41" w:rsidRDefault="005A1F41" w:rsidP="005A1F41">
      <w:pPr>
        <w:pStyle w:val="equation"/>
        <w:tabs>
          <w:tab w:val="center" w:pos="4320"/>
        </w:tabs>
        <w:jc w:val="center"/>
      </w:pPr>
      <w:r w:rsidRPr="0023643C">
        <w:t xml:space="preserve">for all j* </w:t>
      </w:r>
      <w:r>
        <w:t xml:space="preserve"> </w:t>
      </w:r>
    </w:p>
    <w:p w14:paraId="6C9D9B84" w14:textId="77777777" w:rsidR="005A1F41" w:rsidRPr="00785356" w:rsidRDefault="00747E9D" w:rsidP="005A1F41">
      <w:pPr>
        <w:pStyle w:val="equation"/>
        <w:jc w:val="center"/>
      </w:pPr>
      <m:oMath>
        <m:sSubSup>
          <m:sSubSupPr>
            <m:ctrlPr/>
          </m:sSubSupPr>
          <m:e>
            <m:r>
              <m:rPr>
                <m:sty m:val="p"/>
              </m:rPr>
              <w:rPr>
                <w:rFonts w:eastAsiaTheme="minorEastAsia"/>
                <w:sz w:val="22"/>
              </w:rPr>
              <m:t>ψ</m:t>
            </m:r>
          </m:e>
          <m:sub>
            <m:r>
              <m:t>c</m:t>
            </m:r>
            <m:r>
              <m:rPr>
                <m:sty m:val="p"/>
              </m:rPr>
              <m:t>.</m:t>
            </m:r>
            <m:r>
              <m:t>p</m:t>
            </m:r>
          </m:sub>
          <m:sup>
            <m:r>
              <m:t>j</m:t>
            </m:r>
            <m:r>
              <m:rPr>
                <m:sty m:val="p"/>
              </m:rPr>
              <m:t>*,2</m:t>
            </m:r>
          </m:sup>
        </m:sSubSup>
        <m:d>
          <m:d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r>
              <m:rPr>
                <m:sty m:val="p"/>
              </m:rPr>
              <m:t>,</m:t>
            </m:r>
            <m:r>
              <m:rPr>
                <m:sty m:val="bi"/>
              </m:rPr>
              <m:t>t</m:t>
            </m:r>
          </m:e>
        </m:d>
        <m:r>
          <m:rPr>
            <m:sty m:val="p"/>
          </m:rPr>
          <m:t>=</m:t>
        </m:r>
        <m:r>
          <m:t>min</m:t>
        </m:r>
        <m:d>
          <m:dPr>
            <m:begChr m:val="["/>
            <m:endChr m:val="]"/>
            <m:ctrlPr/>
          </m:dPr>
          <m:e>
            <m:f>
              <m:fPr>
                <m:type m:val="lin"/>
                <m:ctrlPr/>
              </m:fPr>
              <m:num>
                <m:d>
                  <m:dPr>
                    <m:ctrlPr/>
                  </m:dPr>
                  <m:e>
                    <m:f>
                      <m:fPr>
                        <m:ctrlPr/>
                      </m:fPr>
                      <m:num>
                        <m:d>
                          <m:dPr>
                            <m:begChr m:val="["/>
                            <m:endChr m:val="]"/>
                            <m:ctrlPr/>
                          </m:dPr>
                          <m:e>
                            <m:f>
                              <m:fPr>
                                <m:ctrlPr/>
                              </m:fPr>
                              <m:num>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num>
                              <m:den>
                                <m:sSub>
                                  <m:sSubPr>
                                    <m:ctrlPr>
                                      <w:rPr>
                                        <w:i/>
                                        <w:sz w:val="22"/>
                                      </w:rPr>
                                    </m:ctrlPr>
                                  </m:sSubPr>
                                  <m:e>
                                    <m:r>
                                      <m:rPr>
                                        <m:sty m:val="p"/>
                                      </m:rPr>
                                      <m:t>Ṡ</m:t>
                                    </m:r>
                                  </m:e>
                                  <m:sub>
                                    <m:sSup>
                                      <m:sSupPr>
                                        <m:ctrlPr>
                                          <w:rPr>
                                            <w:i/>
                                            <w:sz w:val="22"/>
                                          </w:rPr>
                                        </m:ctrlPr>
                                      </m:sSupPr>
                                      <m:e>
                                        <m:r>
                                          <w:rPr>
                                            <w:sz w:val="22"/>
                                          </w:rPr>
                                          <m:t>j</m:t>
                                        </m:r>
                                      </m:e>
                                      <m:sup>
                                        <m:r>
                                          <w:rPr>
                                            <w:sz w:val="22"/>
                                          </w:rPr>
                                          <m:t>*</m:t>
                                        </m:r>
                                      </m:sup>
                                    </m:sSup>
                                  </m:sub>
                                </m:sSub>
                              </m:den>
                            </m:f>
                          </m:e>
                        </m:d>
                        <m:r>
                          <m:t>-</m:t>
                        </m:r>
                        <m:d>
                          <m:dPr>
                            <m:begChr m:val="["/>
                            <m:endChr m:val="]"/>
                            <m:ctrlPr>
                              <w:rPr>
                                <w:i/>
                              </w:rPr>
                            </m:ctrlPr>
                          </m:dPr>
                          <m:e>
                            <m:d>
                              <m:dPr>
                                <m:ctrlPr>
                                  <w:rPr>
                                    <w:i/>
                                  </w:rPr>
                                </m:ctrlPr>
                              </m:dPr>
                              <m:e>
                                <m:sSub>
                                  <m:sSubPr>
                                    <m:ctrlPr>
                                      <w:rPr>
                                        <w:snapToGrid w:val="0"/>
                                      </w:rPr>
                                    </m:ctrlPr>
                                  </m:sSubPr>
                                  <m:e>
                                    <m:r>
                                      <m:t>J</m:t>
                                    </m:r>
                                  </m:e>
                                  <m:sub>
                                    <m:r>
                                      <m:t>p</m:t>
                                    </m:r>
                                    <m:r>
                                      <m:rPr>
                                        <m:sty m:val="p"/>
                                      </m:rPr>
                                      <m:t>,</m:t>
                                    </m:r>
                                    <m:r>
                                      <m:t>j</m:t>
                                    </m:r>
                                    <m:r>
                                      <m:rPr>
                                        <m:sty m:val="p"/>
                                      </m:rPr>
                                      <m:t>*</m:t>
                                    </m:r>
                                  </m:sub>
                                </m:sSub>
                                <m:d>
                                  <m:dPr>
                                    <m:ctrlPr>
                                      <w:rPr>
                                        <w:snapToGrid w:val="0"/>
                                      </w:r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e>
                                </m:d>
                              </m:e>
                            </m:d>
                            <m:d>
                              <m:dPr>
                                <m:ctrlPr>
                                  <w:rPr>
                                    <w:i/>
                                  </w:rPr>
                                </m:ctrlPr>
                              </m:dPr>
                              <m:e>
                                <m:sSubSup>
                                  <m:sSubSupPr>
                                    <m:ctrlPr>
                                      <w:rPr>
                                        <w:b/>
                                        <w:sz w:val="22"/>
                                      </w:rPr>
                                    </m:ctrlPr>
                                  </m:sSubSupPr>
                                  <m:e>
                                    <m:r>
                                      <m:rPr>
                                        <m:sty m:val="b"/>
                                      </m:rPr>
                                      <w:rPr>
                                        <w:sz w:val="22"/>
                                      </w:rPr>
                                      <m:t>ẏ</m:t>
                                    </m:r>
                                  </m:e>
                                  <m:sub>
                                    <m:r>
                                      <w:rPr>
                                        <w:sz w:val="22"/>
                                      </w:rPr>
                                      <m:t>c,p</m:t>
                                    </m:r>
                                  </m:sub>
                                  <m:sup>
                                    <m:r>
                                      <m:rPr>
                                        <m:sty m:val="bi"/>
                                      </m:rPr>
                                      <w:rPr>
                                        <w:sz w:val="22"/>
                                      </w:rPr>
                                      <m:t>j*</m:t>
                                    </m:r>
                                  </m:sup>
                                </m:sSubSup>
                                <m:r>
                                  <m:rPr>
                                    <m:sty m:val="bi"/>
                                  </m:rPr>
                                  <w:rPr>
                                    <w:sz w:val="22"/>
                                  </w:rPr>
                                  <m:t>-</m:t>
                                </m:r>
                                <m:sSubSup>
                                  <m:sSubSupPr>
                                    <m:ctrlPr/>
                                  </m:sSubSupPr>
                                  <m:e>
                                    <m:r>
                                      <m:rPr>
                                        <m:sty m:val="p"/>
                                      </m:rPr>
                                      <m:t>ℶ</m:t>
                                    </m:r>
                                  </m:e>
                                  <m:sub>
                                    <m:r>
                                      <m:t>c</m:t>
                                    </m:r>
                                    <m:r>
                                      <m:rPr>
                                        <m:sty m:val="p"/>
                                      </m:rPr>
                                      <m:t>.</m:t>
                                    </m:r>
                                    <m:r>
                                      <m:t>p</m:t>
                                    </m:r>
                                  </m:sub>
                                  <m:sup>
                                    <m:r>
                                      <m:t>j</m:t>
                                    </m:r>
                                    <m:r>
                                      <m:rPr>
                                        <m:sty m:val="p"/>
                                      </m:rPr>
                                      <m:t>*</m:t>
                                    </m:r>
                                  </m:sup>
                                </m:sSubSup>
                                <m:d>
                                  <m:dPr>
                                    <m:ctrlPr/>
                                  </m:dPr>
                                  <m:e>
                                    <m:r>
                                      <m:rPr>
                                        <m:sty m:val="bi"/>
                                      </m:rPr>
                                      <m:t>t</m:t>
                                    </m:r>
                                  </m:e>
                                </m:d>
                              </m:e>
                            </m:d>
                          </m:e>
                        </m:d>
                      </m:num>
                      <m:den>
                        <m:nary>
                          <m:naryPr>
                            <m:chr m:val="∑"/>
                            <m:limLoc m:val="undOvr"/>
                            <m:supHide m:val="1"/>
                            <m:ctrlPr>
                              <w:rPr>
                                <w:i/>
                              </w:rPr>
                            </m:ctrlPr>
                          </m:naryPr>
                          <m:sub>
                            <m:r>
                              <m:t>p</m:t>
                            </m:r>
                          </m:sub>
                          <m:sup/>
                          <m:e>
                            <m:d>
                              <m:dPr>
                                <m:begChr m:val="["/>
                                <m:endChr m:val="]"/>
                                <m:ctrlPr>
                                  <w:rPr>
                                    <w:i/>
                                  </w:rPr>
                                </m:ctrlPr>
                              </m:dPr>
                              <m:e>
                                <m:d>
                                  <m:dPr>
                                    <m:ctrlPr>
                                      <w:rPr>
                                        <w:i/>
                                      </w:rPr>
                                    </m:ctrlPr>
                                  </m:dPr>
                                  <m:e>
                                    <m:sSub>
                                      <m:sSubPr>
                                        <m:ctrlPr>
                                          <w:rPr>
                                            <w:snapToGrid w:val="0"/>
                                          </w:rPr>
                                        </m:ctrlPr>
                                      </m:sSubPr>
                                      <m:e>
                                        <m:r>
                                          <m:t>J</m:t>
                                        </m:r>
                                      </m:e>
                                      <m:sub>
                                        <m:r>
                                          <m:t>p</m:t>
                                        </m:r>
                                        <m:r>
                                          <m:rPr>
                                            <m:sty m:val="p"/>
                                          </m:rPr>
                                          <m:t>,</m:t>
                                        </m:r>
                                        <m:r>
                                          <m:t>j</m:t>
                                        </m:r>
                                        <m:r>
                                          <m:rPr>
                                            <m:sty m:val="p"/>
                                          </m:rPr>
                                          <m:t>*</m:t>
                                        </m:r>
                                      </m:sub>
                                    </m:sSub>
                                    <m:d>
                                      <m:dPr>
                                        <m:ctrlPr>
                                          <w:rPr>
                                            <w:snapToGrid w:val="0"/>
                                          </w:r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e>
                                    </m:d>
                                  </m:e>
                                </m:d>
                                <m:d>
                                  <m:dPr>
                                    <m:ctrlPr>
                                      <w:rPr>
                                        <w:i/>
                                      </w:rPr>
                                    </m:ctrlPr>
                                  </m:dPr>
                                  <m:e>
                                    <m:sSub>
                                      <m:sSubPr>
                                        <m:ctrlPr>
                                          <w:rPr>
                                            <w:snapToGrid w:val="0"/>
                                          </w:rPr>
                                        </m:ctrlPr>
                                      </m:sSubPr>
                                      <m:e>
                                        <m:r>
                                          <m:t>R</m:t>
                                        </m:r>
                                      </m:e>
                                      <m:sub>
                                        <m:r>
                                          <m:t>j</m:t>
                                        </m:r>
                                        <m:r>
                                          <m:rPr>
                                            <m:sty m:val="p"/>
                                          </m:rPr>
                                          <m:t>*,2</m:t>
                                        </m:r>
                                      </m:sub>
                                    </m:sSub>
                                    <m:r>
                                      <m:rPr>
                                        <m:sty m:val="bi"/>
                                      </m:rPr>
                                      <w:rPr>
                                        <w:sz w:val="22"/>
                                      </w:rPr>
                                      <m:t>-</m:t>
                                    </m:r>
                                    <m:d>
                                      <m:dPr>
                                        <m:begChr m:val="["/>
                                        <m:endChr m:val="]"/>
                                        <m:ctrlPr>
                                          <w:rPr>
                                            <w:b/>
                                            <w:i/>
                                            <w:sz w:val="22"/>
                                          </w:rPr>
                                        </m:ctrlPr>
                                      </m:dPr>
                                      <m:e>
                                        <m:r>
                                          <m:rPr>
                                            <m:sty m:val="bi"/>
                                          </m:rPr>
                                          <w:rPr>
                                            <w:sz w:val="22"/>
                                          </w:rPr>
                                          <m:t>1-</m:t>
                                        </m:r>
                                        <m:sSup>
                                          <m:sSupPr>
                                            <m:ctrlPr>
                                              <w:rPr>
                                                <w:b/>
                                                <w:i/>
                                                <w:sz w:val="22"/>
                                              </w:rPr>
                                            </m:ctrlPr>
                                          </m:sSupPr>
                                          <m:e>
                                            <m:r>
                                              <m:rPr>
                                                <m:sty m:val="bi"/>
                                              </m:rPr>
                                              <m:t>e</m:t>
                                            </m:r>
                                          </m:e>
                                          <m:sup>
                                            <m:r>
                                              <m:rPr>
                                                <m:sty m:val="bi"/>
                                              </m:rPr>
                                              <m:t>-</m:t>
                                            </m:r>
                                            <m:sSubSup>
                                              <m:sSubSupPr>
                                                <m:ctrlPr/>
                                              </m:sSubSupPr>
                                              <m:e>
                                                <m:r>
                                                  <m:rPr>
                                                    <m:sty m:val="p"/>
                                                  </m:rPr>
                                                  <w:rPr>
                                                    <w:rFonts w:eastAsiaTheme="minorEastAsia"/>
                                                    <w:sz w:val="22"/>
                                                  </w:rPr>
                                                  <m:t>ℷ</m:t>
                                                </m:r>
                                              </m:e>
                                              <m:sub>
                                                <m:r>
                                                  <m:t>c</m:t>
                                                </m:r>
                                                <m:r>
                                                  <m:rPr>
                                                    <m:sty m:val="p"/>
                                                  </m:rPr>
                                                  <m:t>.</m:t>
                                                </m:r>
                                                <m:r>
                                                  <m:t>p</m:t>
                                                </m:r>
                                              </m:sub>
                                              <m:sup>
                                                <m:r>
                                                  <m:t>j</m:t>
                                                </m:r>
                                                <m:r>
                                                  <m:rPr>
                                                    <m:sty m:val="p"/>
                                                  </m:rPr>
                                                  <m:t>*,1</m:t>
                                                </m:r>
                                              </m:sup>
                                            </m:sSubSup>
                                            <m:d>
                                              <m:d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e>
                                            </m:d>
                                          </m:sup>
                                        </m:sSup>
                                      </m:e>
                                    </m:d>
                                  </m:e>
                                </m:d>
                              </m:e>
                            </m:d>
                          </m:e>
                        </m:nary>
                      </m:den>
                    </m:f>
                  </m:e>
                </m:d>
                <m:d>
                  <m:dPr>
                    <m:ctrlPr/>
                  </m:dPr>
                  <m:e>
                    <m:d>
                      <m:dPr>
                        <m:begChr m:val="["/>
                        <m:endChr m:val="]"/>
                        <m:ctrlPr>
                          <w:rPr>
                            <w:i/>
                          </w:rPr>
                        </m:ctrlPr>
                      </m:dPr>
                      <m:e>
                        <m:d>
                          <m:dPr>
                            <m:ctrlPr>
                              <w:rPr>
                                <w:i/>
                              </w:rPr>
                            </m:ctrlPr>
                          </m:dPr>
                          <m:e>
                            <m:sSub>
                              <m:sSubPr>
                                <m:ctrlPr>
                                  <w:rPr>
                                    <w:snapToGrid w:val="0"/>
                                  </w:rPr>
                                </m:ctrlPr>
                              </m:sSubPr>
                              <m:e>
                                <m:r>
                                  <m:t>J</m:t>
                                </m:r>
                              </m:e>
                              <m:sub>
                                <m:r>
                                  <m:t>p</m:t>
                                </m:r>
                                <m:r>
                                  <m:rPr>
                                    <m:sty m:val="p"/>
                                  </m:rPr>
                                  <m:t>,</m:t>
                                </m:r>
                                <m:r>
                                  <m:t>j</m:t>
                                </m:r>
                                <m:r>
                                  <m:rPr>
                                    <m:sty m:val="p"/>
                                  </m:rPr>
                                  <m:t>*</m:t>
                                </m:r>
                              </m:sub>
                            </m:sSub>
                            <m:d>
                              <m:dPr>
                                <m:ctrlPr>
                                  <w:rPr>
                                    <w:snapToGrid w:val="0"/>
                                  </w:r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e>
                            </m:d>
                          </m:e>
                        </m:d>
                        <m:d>
                          <m:dPr>
                            <m:ctrlPr>
                              <w:rPr>
                                <w:i/>
                              </w:rPr>
                            </m:ctrlPr>
                          </m:dPr>
                          <m:e>
                            <m:sSub>
                              <m:sSubPr>
                                <m:ctrlPr>
                                  <w:rPr>
                                    <w:snapToGrid w:val="0"/>
                                  </w:rPr>
                                </m:ctrlPr>
                              </m:sSubPr>
                              <m:e>
                                <m:r>
                                  <m:t>R</m:t>
                                </m:r>
                              </m:e>
                              <m:sub>
                                <m:r>
                                  <m:t>j</m:t>
                                </m:r>
                                <m:r>
                                  <m:rPr>
                                    <m:sty m:val="p"/>
                                  </m:rPr>
                                  <m:t>*,2</m:t>
                                </m:r>
                              </m:sub>
                            </m:sSub>
                            <m:r>
                              <m:rPr>
                                <m:sty m:val="bi"/>
                              </m:rPr>
                              <w:rPr>
                                <w:sz w:val="22"/>
                              </w:rPr>
                              <m:t>-</m:t>
                            </m:r>
                            <m:d>
                              <m:dPr>
                                <m:begChr m:val="["/>
                                <m:endChr m:val="]"/>
                                <m:ctrlPr>
                                  <w:rPr>
                                    <w:b/>
                                    <w:i/>
                                    <w:sz w:val="22"/>
                                  </w:rPr>
                                </m:ctrlPr>
                              </m:dPr>
                              <m:e>
                                <m:r>
                                  <m:rPr>
                                    <m:sty m:val="bi"/>
                                  </m:rPr>
                                  <w:rPr>
                                    <w:sz w:val="22"/>
                                  </w:rPr>
                                  <m:t>1-</m:t>
                                </m:r>
                                <m:sSup>
                                  <m:sSupPr>
                                    <m:ctrlPr>
                                      <w:rPr>
                                        <w:b/>
                                        <w:i/>
                                        <w:sz w:val="22"/>
                                      </w:rPr>
                                    </m:ctrlPr>
                                  </m:sSupPr>
                                  <m:e>
                                    <m:r>
                                      <m:rPr>
                                        <m:sty m:val="bi"/>
                                      </m:rPr>
                                      <m:t>e</m:t>
                                    </m:r>
                                  </m:e>
                                  <m:sup>
                                    <m:r>
                                      <m:rPr>
                                        <m:sty m:val="bi"/>
                                      </m:rPr>
                                      <m:t>-</m:t>
                                    </m:r>
                                    <m:sSubSup>
                                      <m:sSubSupPr>
                                        <m:ctrlPr/>
                                      </m:sSubSupPr>
                                      <m:e>
                                        <m:r>
                                          <m:rPr>
                                            <m:sty m:val="p"/>
                                          </m:rPr>
                                          <w:rPr>
                                            <w:rFonts w:eastAsiaTheme="minorEastAsia"/>
                                            <w:sz w:val="22"/>
                                          </w:rPr>
                                          <m:t>ℷ</m:t>
                                        </m:r>
                                      </m:e>
                                      <m:sub>
                                        <m:r>
                                          <m:t>c</m:t>
                                        </m:r>
                                        <m:r>
                                          <m:rPr>
                                            <m:sty m:val="p"/>
                                          </m:rPr>
                                          <m:t>.</m:t>
                                        </m:r>
                                        <m:r>
                                          <m:t>p</m:t>
                                        </m:r>
                                      </m:sub>
                                      <m:sup>
                                        <m:r>
                                          <m:t>j</m:t>
                                        </m:r>
                                        <m:r>
                                          <m:rPr>
                                            <m:sty m:val="p"/>
                                          </m:rPr>
                                          <m:t>*,1</m:t>
                                        </m:r>
                                      </m:sup>
                                    </m:sSubSup>
                                    <m:d>
                                      <m:d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e>
                                    </m:d>
                                  </m:sup>
                                </m:sSup>
                              </m:e>
                            </m:d>
                          </m:e>
                        </m:d>
                      </m:e>
                    </m:d>
                  </m:e>
                </m:d>
              </m:num>
              <m:den>
                <m:d>
                  <m:dPr>
                    <m:ctrlPr>
                      <w:rPr>
                        <w:i/>
                      </w:rPr>
                    </m:ctrlPr>
                  </m:dPr>
                  <m:e>
                    <m:sSub>
                      <m:sSubPr>
                        <m:ctrlPr>
                          <w:rPr>
                            <w:snapToGrid w:val="0"/>
                          </w:rPr>
                        </m:ctrlPr>
                      </m:sSubPr>
                      <m:e>
                        <m:r>
                          <m:t>J</m:t>
                        </m:r>
                      </m:e>
                      <m:sub>
                        <m:r>
                          <m:t>p</m:t>
                        </m:r>
                        <m:r>
                          <m:rPr>
                            <m:sty m:val="p"/>
                          </m:rPr>
                          <m:t>,</m:t>
                        </m:r>
                        <m:r>
                          <m:t>j</m:t>
                        </m:r>
                        <m:r>
                          <m:rPr>
                            <m:sty m:val="p"/>
                          </m:rPr>
                          <m:t>*</m:t>
                        </m:r>
                      </m:sub>
                    </m:sSub>
                    <m:d>
                      <m:dPr>
                        <m:ctrlPr>
                          <w:rPr>
                            <w:snapToGrid w:val="0"/>
                          </w:r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e>
                    </m:d>
                  </m:e>
                </m:d>
              </m:den>
            </m:f>
            <m:r>
              <m:rPr>
                <m:sty m:val="p"/>
              </m:rPr>
              <m:t>,</m:t>
            </m:r>
            <m:sSub>
              <m:sSubPr>
                <m:ctrlPr>
                  <w:rPr>
                    <w:snapToGrid w:val="0"/>
                  </w:rPr>
                </m:ctrlPr>
              </m:sSubPr>
              <m:e>
                <m:r>
                  <m:t>R</m:t>
                </m:r>
              </m:e>
              <m:sub>
                <m:r>
                  <m:t>j</m:t>
                </m:r>
                <m:r>
                  <m:rPr>
                    <m:sty m:val="p"/>
                  </m:rPr>
                  <m:t>*,2</m:t>
                </m:r>
              </m:sub>
            </m:sSub>
          </m:e>
        </m:d>
      </m:oMath>
      <w:r w:rsidR="005A1F41" w:rsidRPr="00785356">
        <w:tab/>
      </w:r>
      <w:r w:rsidR="005A1F41" w:rsidRPr="00785356">
        <w:tab/>
      </w:r>
      <w:r w:rsidR="005A1F41" w:rsidRPr="00785356">
        <w:tab/>
        <w:t>(5.4)</w:t>
      </w:r>
    </w:p>
    <w:p w14:paraId="75640133" w14:textId="77777777" w:rsidR="005A1F41" w:rsidRPr="00785356" w:rsidRDefault="005A1F41" w:rsidP="005A1F41">
      <w:pPr>
        <w:pStyle w:val="equation"/>
        <w:tabs>
          <w:tab w:val="clear" w:pos="4680"/>
          <w:tab w:val="center" w:pos="4320"/>
        </w:tabs>
        <w:jc w:val="center"/>
      </w:pPr>
      <w:r w:rsidRPr="00785356">
        <w:t xml:space="preserve">for all j* </w:t>
      </w:r>
    </w:p>
    <w:p w14:paraId="188EF140" w14:textId="77777777" w:rsidR="005A1F41" w:rsidRPr="00785356" w:rsidRDefault="005A1F41" w:rsidP="005A1F41">
      <w:pPr>
        <w:pStyle w:val="equation"/>
        <w:tabs>
          <w:tab w:val="clear" w:pos="4680"/>
          <w:tab w:val="center" w:pos="4320"/>
        </w:tabs>
      </w:pPr>
      <w:r w:rsidRPr="00785356">
        <w:tab/>
      </w:r>
      <m:oMath>
        <m:sSubSup>
          <m:sSubSupPr>
            <m:ctrlPr/>
          </m:sSubSupPr>
          <m:e>
            <m:r>
              <m:rPr>
                <m:sty m:val="p"/>
              </m:rPr>
              <w:rPr>
                <w:rFonts w:eastAsiaTheme="minorEastAsia"/>
                <w:sz w:val="22"/>
              </w:rPr>
              <m:t>ℷ</m:t>
            </m:r>
          </m:e>
          <m:sub>
            <m:r>
              <m:t>c</m:t>
            </m:r>
            <m:r>
              <m:rPr>
                <m:sty m:val="p"/>
              </m:rPr>
              <m:t>.</m:t>
            </m:r>
            <m:r>
              <m:t>p</m:t>
            </m:r>
          </m:sub>
          <m:sup>
            <m:r>
              <m:t>j</m:t>
            </m:r>
            <m:r>
              <m:rPr>
                <m:sty m:val="p"/>
              </m:rPr>
              <m:t>*</m:t>
            </m:r>
          </m:sup>
        </m:sSubSup>
        <m:d>
          <m:d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r>
              <m:rPr>
                <m:sty m:val="p"/>
              </m:rPr>
              <m:t>,</m:t>
            </m:r>
            <m:r>
              <m:rPr>
                <m:sty m:val="bi"/>
              </m:rPr>
              <m:t>t</m:t>
            </m:r>
          </m:e>
        </m:d>
        <m:r>
          <m:rPr>
            <m:sty m:val="p"/>
          </m:rPr>
          <m:t>=</m:t>
        </m:r>
        <m:sSubSup>
          <m:sSubSupPr>
            <m:ctrlPr/>
          </m:sSubSupPr>
          <m:e>
            <m:r>
              <m:rPr>
                <m:sty m:val="p"/>
              </m:rPr>
              <w:rPr>
                <w:rFonts w:eastAsiaTheme="minorEastAsia"/>
                <w:sz w:val="22"/>
              </w:rPr>
              <m:t>ψ</m:t>
            </m:r>
          </m:e>
          <m:sub>
            <m:r>
              <m:t>c</m:t>
            </m:r>
            <m:r>
              <m:rPr>
                <m:sty m:val="p"/>
              </m:rPr>
              <m:t>.</m:t>
            </m:r>
            <m:r>
              <m:t>p</m:t>
            </m:r>
          </m:sub>
          <m:sup>
            <m:r>
              <m:t>j</m:t>
            </m:r>
            <m:r>
              <m:rPr>
                <m:sty m:val="p"/>
              </m:rPr>
              <m:t>*,1</m:t>
            </m:r>
          </m:sup>
        </m:sSubSup>
        <m:d>
          <m:d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r>
              <m:rPr>
                <m:sty m:val="p"/>
              </m:rPr>
              <m:t>,</m:t>
            </m:r>
            <m:r>
              <m:rPr>
                <m:sty m:val="bi"/>
              </m:rPr>
              <m:t>t</m:t>
            </m:r>
          </m:e>
        </m:d>
        <m:r>
          <m:rPr>
            <m:sty m:val="p"/>
          </m:rPr>
          <m:t>+</m:t>
        </m:r>
        <m:sSubSup>
          <m:sSubSupPr>
            <m:ctrlPr/>
          </m:sSubSupPr>
          <m:e>
            <m:r>
              <m:rPr>
                <m:sty m:val="p"/>
              </m:rPr>
              <w:rPr>
                <w:rFonts w:eastAsiaTheme="minorEastAsia"/>
                <w:sz w:val="22"/>
              </w:rPr>
              <m:t>ψ</m:t>
            </m:r>
          </m:e>
          <m:sub>
            <m:r>
              <m:t>c</m:t>
            </m:r>
            <m:r>
              <m:rPr>
                <m:sty m:val="p"/>
              </m:rPr>
              <m:t>.</m:t>
            </m:r>
            <m:r>
              <m:t>p</m:t>
            </m:r>
          </m:sub>
          <m:sup>
            <m:r>
              <m:t>j</m:t>
            </m:r>
            <m:r>
              <m:rPr>
                <m:sty m:val="p"/>
              </m:rPr>
              <m:t>*,2</m:t>
            </m:r>
          </m:sup>
        </m:sSubSup>
        <m:d>
          <m:d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r>
              <m:rPr>
                <m:sty m:val="p"/>
              </m:rPr>
              <m:t>,</m:t>
            </m:r>
            <m:r>
              <m:rPr>
                <m:sty m:val="bi"/>
              </m:rPr>
              <m:t>t</m:t>
            </m:r>
          </m:e>
        </m:d>
      </m:oMath>
      <w:r w:rsidRPr="00785356">
        <w:tab/>
        <w:t>(5.5)</w:t>
      </w:r>
    </w:p>
    <w:p w14:paraId="3EC9D122" w14:textId="77777777" w:rsidR="005A1F41" w:rsidRPr="00785356" w:rsidRDefault="005A1F41" w:rsidP="005A1F41">
      <w:pPr>
        <w:pStyle w:val="BodyText"/>
        <w:keepNext/>
      </w:pPr>
      <w:r w:rsidRPr="00785356">
        <w:t>where</w:t>
      </w:r>
    </w:p>
    <w:p w14:paraId="5F68D79F" w14:textId="77777777" w:rsidR="005A1F41" w:rsidRPr="00785356" w:rsidRDefault="00747E9D" w:rsidP="005A1F41">
      <w:pPr>
        <w:pStyle w:val="bullets"/>
      </w:pPr>
      <m:oMath>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oMath>
      <w:r w:rsidR="005A1F41" w:rsidRPr="00785356">
        <w:t xml:space="preserve"> = annual funding allocation for implementing intervention j* in each allocation period </w:t>
      </w:r>
      <w:r w:rsidR="005A1F41" w:rsidRPr="00785356">
        <w:rPr>
          <w:i/>
          <w:iCs/>
        </w:rPr>
        <w:t>q</w:t>
      </w:r>
      <w:r w:rsidR="005A1F41" w:rsidRPr="00785356">
        <w:t xml:space="preserve"> (constant within allocation period </w:t>
      </w:r>
      <w:r w:rsidR="005A1F41" w:rsidRPr="00785356">
        <w:rPr>
          <w:i/>
          <w:iCs/>
        </w:rPr>
        <w:t>q</w:t>
      </w:r>
      <w:proofErr w:type="gramStart"/>
      <w:r w:rsidR="005A1F41" w:rsidRPr="00785356">
        <w:t>);</w:t>
      </w:r>
      <w:proofErr w:type="gramEnd"/>
    </w:p>
    <w:p w14:paraId="5424D989" w14:textId="77777777" w:rsidR="005A1F41" w:rsidRPr="00785356" w:rsidRDefault="00747E9D" w:rsidP="005A1F41">
      <w:pPr>
        <w:pStyle w:val="bullets"/>
      </w:pPr>
      <m:oMath>
        <m:sSubSup>
          <m:sSubSupPr>
            <m:ctrlPr>
              <w:rPr>
                <w:rFonts w:ascii="Cambria Math" w:eastAsiaTheme="minorEastAsia" w:hAnsi="Cambria Math"/>
                <w:sz w:val="22"/>
              </w:rPr>
            </m:ctrlPr>
          </m:sSubSupPr>
          <m:e>
            <m:r>
              <m:rPr>
                <m:sty m:val="p"/>
              </m:rPr>
              <w:rPr>
                <w:rFonts w:ascii="Cambria Math" w:eastAsiaTheme="minorEastAsia" w:hAnsi="Cambria Math"/>
                <w:sz w:val="22"/>
              </w:rPr>
              <m:t>ℷ</m:t>
            </m:r>
          </m:e>
          <m:sub>
            <m:r>
              <w:rPr>
                <w:rFonts w:ascii="Cambria Math" w:eastAsiaTheme="minorEastAsia" w:hAnsi="Cambria Math"/>
                <w:sz w:val="22"/>
              </w:rPr>
              <m:t>c,p</m:t>
            </m:r>
          </m:sub>
          <m:sup>
            <m:r>
              <w:rPr>
                <w:rFonts w:ascii="Cambria Math" w:eastAsiaTheme="minorEastAsia" w:hAnsi="Cambria Math"/>
                <w:sz w:val="22"/>
              </w:rPr>
              <m:t>j*</m:t>
            </m:r>
          </m:sup>
        </m:sSubSup>
        <m:r>
          <w:rPr>
            <w:rFonts w:ascii="Cambria Math" w:eastAsiaTheme="minorEastAsia" w:hAnsi="Cambria Math"/>
            <w:sz w:val="22"/>
          </w:rPr>
          <m:t>(</m:t>
        </m:r>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r>
          <w:rPr>
            <w:rFonts w:ascii="Cambria Math" w:eastAsiaTheme="minorEastAsia" w:hAnsi="Cambria Math"/>
            <w:sz w:val="22"/>
          </w:rPr>
          <m:t>,t)</m:t>
        </m:r>
      </m:oMath>
      <w:r w:rsidR="005A1F41" w:rsidRPr="00785356">
        <w:t>= rate of progression targeted by intervention j* for subpopulation p in compartment c at time t, given all</w:t>
      </w:r>
      <w:proofErr w:type="spellStart"/>
      <w:r w:rsidR="005A1F41" w:rsidRPr="00785356">
        <w:t>ocated</w:t>
      </w:r>
      <w:proofErr w:type="spellEnd"/>
      <w:r w:rsidR="005A1F41" w:rsidRPr="00785356">
        <w:t xml:space="preserve"> funding </w:t>
      </w:r>
      <m:oMath>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oMath>
      <w:r w:rsidR="005A1F41" w:rsidRPr="00785356">
        <w:t xml:space="preserve"> for intervention j* from budget under </w:t>
      </w:r>
      <w:proofErr w:type="gramStart"/>
      <w:r w:rsidR="005A1F41" w:rsidRPr="00785356">
        <w:t>consideration;</w:t>
      </w:r>
      <w:proofErr w:type="gramEnd"/>
    </w:p>
    <w:p w14:paraId="24BA3064" w14:textId="77777777" w:rsidR="005A1F41" w:rsidRPr="00785356" w:rsidRDefault="00747E9D" w:rsidP="005A1F41">
      <w:pPr>
        <w:pStyle w:val="bullets"/>
      </w:pPr>
      <m:oMath>
        <m:sSubSup>
          <m:sSubSupPr>
            <m:ctrlPr>
              <w:rPr>
                <w:rFonts w:ascii="Cambria Math" w:hAnsi="Cambria Math"/>
              </w:rPr>
            </m:ctrlPr>
          </m:sSubSupPr>
          <m:e>
            <m:r>
              <m:rPr>
                <m:sty m:val="p"/>
              </m:rPr>
              <w:rPr>
                <w:rFonts w:ascii="Cambria Math" w:eastAsiaTheme="minorEastAsia" w:hAnsi="Cambria Math"/>
                <w:sz w:val="22"/>
              </w:rPr>
              <m:t>ψ</m:t>
            </m:r>
          </m:e>
          <m:sub>
            <m:r>
              <w:rPr>
                <w:rFonts w:ascii="Cambria Math" w:hAnsi="Cambria Math"/>
              </w:rPr>
              <m:t>c</m:t>
            </m:r>
            <m:r>
              <m:rPr>
                <m:sty m:val="p"/>
              </m:rPr>
              <w:rPr>
                <w:rFonts w:ascii="Cambria Math" w:hAnsi="Cambria Math"/>
              </w:rPr>
              <m:t>.</m:t>
            </m:r>
            <m:r>
              <w:rPr>
                <w:rFonts w:ascii="Cambria Math" w:hAnsi="Cambria Math"/>
              </w:rPr>
              <m:t>p</m:t>
            </m:r>
          </m:sub>
          <m:sup>
            <m:r>
              <w:rPr>
                <w:rFonts w:ascii="Cambria Math" w:hAnsi="Cambria Math"/>
              </w:rPr>
              <m:t>j</m:t>
            </m:r>
            <m:r>
              <m:rPr>
                <m:sty m:val="p"/>
              </m:rPr>
              <w:rPr>
                <w:rFonts w:ascii="Cambria Math" w:hAnsi="Cambria Math"/>
              </w:rPr>
              <m:t>*,1</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cstheme="minorHAnsi"/>
                    <w:sz w:val="22"/>
                  </w:rPr>
                  <m:t>q</m:t>
                </m:r>
              </m:sup>
            </m:sSubSup>
            <m:r>
              <m:rPr>
                <m:sty m:val="p"/>
              </m:rPr>
              <w:rPr>
                <w:rFonts w:ascii="Cambria Math" w:hAnsi="Cambria Math"/>
              </w:rPr>
              <m:t>,</m:t>
            </m:r>
            <m:r>
              <m:rPr>
                <m:sty m:val="bi"/>
              </m:rPr>
              <w:rPr>
                <w:rFonts w:ascii="Cambria Math" w:hAnsi="Cambria Math"/>
              </w:rPr>
              <m:t>t</m:t>
            </m:r>
          </m:e>
        </m:d>
      </m:oMath>
      <w:r w:rsidR="005A1F41" w:rsidRPr="00785356">
        <w:t xml:space="preserve"> = rate of progression targeted by intervention j* for subpopulation p in compartment c at time t, due to the amount of allocated funding </w:t>
      </w:r>
      <m:oMath>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oMath>
      <w:r w:rsidR="005A1F41" w:rsidRPr="00785356">
        <w:t xml:space="preserve"> for intervention j* up to the time 1 funding level</w:t>
      </w:r>
    </w:p>
    <w:p w14:paraId="15DF3B15" w14:textId="77777777" w:rsidR="005A1F41" w:rsidRPr="00785356" w:rsidRDefault="00747E9D" w:rsidP="005A1F41">
      <w:pPr>
        <w:pStyle w:val="bullets"/>
      </w:pPr>
      <m:oMath>
        <m:sSubSup>
          <m:sSubSupPr>
            <m:ctrlPr>
              <w:rPr>
                <w:rFonts w:ascii="Cambria Math" w:hAnsi="Cambria Math"/>
              </w:rPr>
            </m:ctrlPr>
          </m:sSubSupPr>
          <m:e>
            <m:r>
              <m:rPr>
                <m:sty m:val="p"/>
              </m:rPr>
              <w:rPr>
                <w:rFonts w:ascii="Cambria Math" w:eastAsiaTheme="minorEastAsia" w:hAnsi="Cambria Math"/>
                <w:sz w:val="22"/>
              </w:rPr>
              <m:t>ψ</m:t>
            </m:r>
          </m:e>
          <m:sub>
            <m:r>
              <w:rPr>
                <w:rFonts w:ascii="Cambria Math" w:hAnsi="Cambria Math"/>
              </w:rPr>
              <m:t>c</m:t>
            </m:r>
            <m:r>
              <m:rPr>
                <m:sty m:val="p"/>
              </m:rPr>
              <w:rPr>
                <w:rFonts w:ascii="Cambria Math" w:hAnsi="Cambria Math"/>
              </w:rPr>
              <m:t>.</m:t>
            </m:r>
            <m:r>
              <w:rPr>
                <w:rFonts w:ascii="Cambria Math" w:hAnsi="Cambria Math"/>
              </w:rPr>
              <m:t>p</m:t>
            </m:r>
          </m:sub>
          <m:sup>
            <m:r>
              <w:rPr>
                <w:rFonts w:ascii="Cambria Math" w:hAnsi="Cambria Math"/>
              </w:rPr>
              <m:t>j</m:t>
            </m:r>
            <m:r>
              <m:rPr>
                <m:sty m:val="p"/>
              </m:rPr>
              <w:rPr>
                <w:rFonts w:ascii="Cambria Math" w:hAnsi="Cambria Math"/>
              </w:rPr>
              <m:t>*,</m:t>
            </m:r>
            <m:r>
              <m:rPr>
                <m:sty m:val="p"/>
              </m:rPr>
              <w:rPr>
                <w:rFonts w:ascii="Cambria Math"/>
              </w:rPr>
              <m:t>2</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cstheme="minorHAnsi"/>
                    <w:sz w:val="22"/>
                  </w:rPr>
                  <m:t>q</m:t>
                </m:r>
              </m:sup>
            </m:sSubSup>
            <m:r>
              <m:rPr>
                <m:sty m:val="p"/>
              </m:rPr>
              <w:rPr>
                <w:rFonts w:ascii="Cambria Math" w:hAnsi="Cambria Math"/>
              </w:rPr>
              <m:t>,</m:t>
            </m:r>
            <m:r>
              <m:rPr>
                <m:sty m:val="bi"/>
              </m:rPr>
              <w:rPr>
                <w:rFonts w:ascii="Cambria Math" w:hAnsi="Cambria Math"/>
              </w:rPr>
              <m:t>t</m:t>
            </m:r>
          </m:e>
        </m:d>
      </m:oMath>
      <w:r w:rsidR="005A1F41" w:rsidRPr="00785356">
        <w:t xml:space="preserve"> = rate of progression targeted by intervention j* for subpopulation p in compartment c at time t, due to the amount of allocated funding </w:t>
      </w:r>
      <m:oMath>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oMath>
      <w:r w:rsidR="005A1F41" w:rsidRPr="00785356">
        <w:t xml:space="preserve"> beyond the time 1 funding level</w:t>
      </w:r>
    </w:p>
    <w:p w14:paraId="2FEA446F" w14:textId="77777777" w:rsidR="005A1F41" w:rsidRPr="00785356" w:rsidRDefault="00747E9D" w:rsidP="005A1F41">
      <w:pPr>
        <w:pStyle w:val="bullets"/>
      </w:pPr>
      <m:oMath>
        <m:sSubSup>
          <m:sSubSupPr>
            <m:ctrlPr>
              <w:rPr>
                <w:rFonts w:ascii="Cambria Math" w:eastAsiaTheme="minorEastAsia" w:hAnsi="Cambria Math"/>
                <w:sz w:val="22"/>
              </w:rPr>
            </m:ctrlPr>
          </m:sSubSupPr>
          <m:e>
            <m:r>
              <m:rPr>
                <m:sty m:val="p"/>
              </m:rPr>
              <w:rPr>
                <w:rFonts w:ascii="Cambria Math" w:eastAsiaTheme="minorEastAsia" w:hAnsi="Cambria Math"/>
                <w:sz w:val="22"/>
              </w:rPr>
              <m:t>ℶ</m:t>
            </m:r>
          </m:e>
          <m:sub>
            <m:r>
              <w:rPr>
                <w:rFonts w:ascii="Cambria Math" w:eastAsiaTheme="minorEastAsia" w:hAnsi="Cambria Math"/>
                <w:sz w:val="22"/>
              </w:rPr>
              <m:t>c,p</m:t>
            </m:r>
          </m:sub>
          <m:sup>
            <m:r>
              <w:rPr>
                <w:rFonts w:ascii="Cambria Math" w:eastAsiaTheme="minorEastAsia" w:hAnsi="Cambria Math"/>
                <w:sz w:val="22"/>
              </w:rPr>
              <m:t>j*</m:t>
            </m:r>
          </m:sup>
        </m:sSubSup>
        <m:r>
          <w:rPr>
            <w:rFonts w:ascii="Cambria Math" w:eastAsiaTheme="minorEastAsia" w:hAnsi="Cambria Math"/>
            <w:sz w:val="22"/>
          </w:rPr>
          <m:t>(t)</m:t>
        </m:r>
      </m:oMath>
      <w:r w:rsidR="005A1F41" w:rsidRPr="00C00335">
        <w:t xml:space="preserve">= rate of progression targeted by intervention j* for subpopulation p in </w:t>
      </w:r>
      <w:r w:rsidR="005A1F41" w:rsidRPr="00785356">
        <w:t xml:space="preserve">compartment </w:t>
      </w:r>
      <w:proofErr w:type="spellStart"/>
      <w:r w:rsidR="005A1F41" w:rsidRPr="00785356">
        <w:t>c at</w:t>
      </w:r>
      <w:proofErr w:type="spellEnd"/>
      <w:r w:rsidR="005A1F41" w:rsidRPr="00785356">
        <w:t xml:space="preserve"> time t, given no allocated funding for intervention j* from budget under </w:t>
      </w:r>
      <w:proofErr w:type="gramStart"/>
      <w:r w:rsidR="005A1F41" w:rsidRPr="00785356">
        <w:t>consideration;</w:t>
      </w:r>
      <w:proofErr w:type="gramEnd"/>
    </w:p>
    <w:p w14:paraId="49502BD1" w14:textId="77777777" w:rsidR="005A1F41" w:rsidRPr="00785356" w:rsidRDefault="00747E9D" w:rsidP="005A1F41">
      <w:pPr>
        <w:pStyle w:val="bullets"/>
      </w:pPr>
      <m:oMath>
        <m:sSub>
          <m:sSubPr>
            <m:ctrlPr>
              <w:rPr>
                <w:rFonts w:ascii="Cambria Math" w:hAnsi="Cambria Math"/>
                <w:i/>
                <w:sz w:val="22"/>
              </w:rPr>
            </m:ctrlPr>
          </m:sSubPr>
          <m:e>
            <m:r>
              <w:rPr>
                <w:rFonts w:ascii="Cambria Math" w:hAnsi="Cambria Math"/>
                <w:sz w:val="22"/>
              </w:rPr>
              <m:t>J</m:t>
            </m:r>
          </m:e>
          <m:sub>
            <m:r>
              <w:rPr>
                <w:rFonts w:ascii="Cambria Math" w:hAnsi="Cambria Math"/>
                <w:sz w:val="22"/>
              </w:rPr>
              <m:t>p,j*</m:t>
            </m:r>
          </m:sub>
        </m:sSub>
        <m:d>
          <m:dPr>
            <m:ctrlPr>
              <w:rPr>
                <w:rFonts w:ascii="Cambria Math" w:hAnsi="Cambria Math"/>
                <w:i/>
                <w:sz w:val="22"/>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r>
              <w:rPr>
                <w:rFonts w:ascii="Cambria Math" w:hAnsi="Cambria Math"/>
                <w:sz w:val="22"/>
              </w:rPr>
              <m:t>,t</m:t>
            </m:r>
          </m:e>
        </m:d>
      </m:oMath>
      <w:r w:rsidR="005A1F41" w:rsidRPr="00785356">
        <w:rPr>
          <w:sz w:val="22"/>
        </w:rPr>
        <w:t xml:space="preserve"> = </w:t>
      </w:r>
      <w:r w:rsidR="005A1F41" w:rsidRPr="00785356">
        <w:t>number of individuals in subpopulation p eligible for intervention j* at time t, calculated by Equation (5.6):</w:t>
      </w:r>
    </w:p>
    <w:p w14:paraId="23ADD46F" w14:textId="77777777" w:rsidR="005A1F41" w:rsidRPr="00785356" w:rsidRDefault="005A1F41" w:rsidP="005A1F41">
      <w:pPr>
        <w:pStyle w:val="equation"/>
      </w:pPr>
      <w:r w:rsidRPr="00785356">
        <w:tab/>
      </w:r>
      <m:oMath>
        <m:sSub>
          <m:sSubPr>
            <m:ctrlPr>
              <w:rPr>
                <w:i/>
                <w:sz w:val="22"/>
              </w:rPr>
            </m:ctrlPr>
          </m:sSubPr>
          <m:e>
            <m:r>
              <w:rPr>
                <w:sz w:val="22"/>
              </w:rPr>
              <m:t>J</m:t>
            </m:r>
          </m:e>
          <m:sub>
            <m:r>
              <w:rPr>
                <w:sz w:val="22"/>
              </w:rPr>
              <m:t>p,</m:t>
            </m:r>
            <m:sSup>
              <m:sSupPr>
                <m:ctrlPr>
                  <w:rPr>
                    <w:i/>
                    <w:sz w:val="22"/>
                  </w:rPr>
                </m:ctrlPr>
              </m:sSupPr>
              <m:e>
                <m:r>
                  <w:rPr>
                    <w:sz w:val="22"/>
                  </w:rPr>
                  <m:t>j</m:t>
                </m:r>
              </m:e>
              <m:sup>
                <m:r>
                  <w:rPr>
                    <w:sz w:val="22"/>
                  </w:rPr>
                  <m:t>*</m:t>
                </m:r>
              </m:sup>
            </m:sSup>
          </m:sub>
        </m:sSub>
        <m:d>
          <m:dPr>
            <m:ctrlPr>
              <w:rPr>
                <w:i/>
                <w:sz w:val="22"/>
              </w:r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r>
              <w:rPr>
                <w:sz w:val="22"/>
              </w:rPr>
              <m:t>,t</m:t>
            </m:r>
          </m:e>
        </m:d>
        <m:r>
          <w:rPr>
            <w:sz w:val="22"/>
          </w:rPr>
          <m:t>=</m:t>
        </m:r>
        <m:d>
          <m:dPr>
            <m:begChr m:val="["/>
            <m:endChr m:val="]"/>
            <m:ctrlPr>
              <w:rPr>
                <w:i/>
                <w:sz w:val="22"/>
              </w:rPr>
            </m:ctrlPr>
          </m:dPr>
          <m:e>
            <m:sSub>
              <m:sSubPr>
                <m:ctrlPr>
                  <w:rPr>
                    <w:i/>
                    <w:sz w:val="22"/>
                  </w:rPr>
                </m:ctrlPr>
              </m:sSubPr>
              <m:e>
                <m:r>
                  <m:rPr>
                    <m:sty m:val="p"/>
                  </m:rPr>
                  <m:t>u̇</m:t>
                </m:r>
              </m:e>
              <m:sub>
                <m:r>
                  <w:rPr>
                    <w:sz w:val="22"/>
                  </w:rPr>
                  <m:t>p,</m:t>
                </m:r>
                <m:sSup>
                  <m:sSupPr>
                    <m:ctrlPr>
                      <w:rPr>
                        <w:i/>
                        <w:sz w:val="22"/>
                      </w:rPr>
                    </m:ctrlPr>
                  </m:sSupPr>
                  <m:e>
                    <m:r>
                      <w:rPr>
                        <w:sz w:val="22"/>
                      </w:rPr>
                      <m:t>j</m:t>
                    </m:r>
                  </m:e>
                  <m:sup>
                    <m:r>
                      <w:rPr>
                        <w:sz w:val="22"/>
                      </w:rPr>
                      <m:t>*</m:t>
                    </m:r>
                  </m:sup>
                </m:sSup>
              </m:sub>
            </m:sSub>
          </m:e>
        </m:d>
        <m:d>
          <m:dPr>
            <m:begChr m:val="["/>
            <m:endChr m:val="]"/>
            <m:ctrlPr>
              <w:rPr>
                <w:i/>
                <w:sz w:val="22"/>
              </w:rPr>
            </m:ctrlPr>
          </m:dPr>
          <m:e>
            <m:nary>
              <m:naryPr>
                <m:chr m:val="∑"/>
                <m:limLoc m:val="undOvr"/>
                <m:supHide m:val="1"/>
                <m:ctrlPr>
                  <w:rPr>
                    <w:i/>
                    <w:sz w:val="22"/>
                  </w:rPr>
                </m:ctrlPr>
              </m:naryPr>
              <m:sub>
                <m:r>
                  <w:rPr>
                    <w:sz w:val="22"/>
                  </w:rPr>
                  <m:t>c</m:t>
                </m:r>
              </m:sub>
              <m:sup/>
              <m:e>
                <m:d>
                  <m:dPr>
                    <m:begChr m:val="["/>
                    <m:endChr m:val="]"/>
                    <m:ctrlPr>
                      <w:rPr>
                        <w:i/>
                        <w:sz w:val="22"/>
                      </w:rPr>
                    </m:ctrlPr>
                  </m:dPr>
                  <m:e>
                    <m:d>
                      <m:dPr>
                        <m:ctrlPr>
                          <w:rPr>
                            <w:i/>
                            <w:sz w:val="22"/>
                          </w:rPr>
                        </m:ctrlPr>
                      </m:dPr>
                      <m:e>
                        <m:sSubSup>
                          <m:sSubSupPr>
                            <m:ctrlPr>
                              <w:rPr>
                                <w:i/>
                              </w:rPr>
                            </m:ctrlPr>
                          </m:sSubSupPr>
                          <m:e>
                            <m:r>
                              <m:t>X</m:t>
                            </m:r>
                          </m:e>
                          <m:sub>
                            <m:r>
                              <m:t>p</m:t>
                            </m:r>
                          </m:sub>
                          <m:sup>
                            <m:r>
                              <m:t>c</m:t>
                            </m:r>
                          </m:sup>
                        </m:sSubSup>
                        <m:d>
                          <m:dPr>
                            <m:ctrlPr>
                              <w:rPr>
                                <w:i/>
                              </w:rPr>
                            </m:ctrlPr>
                          </m:dPr>
                          <m:e>
                            <m:sSubSup>
                              <m:sSubSupPr>
                                <m:ctrlPr>
                                  <w:rPr>
                                    <w:rFonts w:cstheme="minorHAnsi"/>
                                    <w:b/>
                                    <w:sz w:val="22"/>
                                  </w:rPr>
                                </m:ctrlPr>
                              </m:sSubSupPr>
                              <m:e>
                                <m:r>
                                  <m:rPr>
                                    <m:sty m:val="b"/>
                                  </m:rPr>
                                  <w:rPr>
                                    <w:rFonts w:cstheme="minorHAnsi"/>
                                    <w:sz w:val="22"/>
                                  </w:rPr>
                                  <m:t>ṅ</m:t>
                                </m:r>
                              </m:e>
                              <m:sub>
                                <m:r>
                                  <m:rPr>
                                    <m:sty m:val="bi"/>
                                  </m:rPr>
                                  <w:rPr>
                                    <w:rFonts w:cstheme="minorHAnsi"/>
                                    <w:sz w:val="22"/>
                                  </w:rPr>
                                  <m:t>j*</m:t>
                                </m:r>
                              </m:sub>
                              <m:sup>
                                <m:r>
                                  <m:rPr>
                                    <m:sty m:val="bi"/>
                                  </m:rPr>
                                  <w:rPr>
                                    <w:rFonts w:cstheme="minorHAnsi"/>
                                    <w:sz w:val="22"/>
                                  </w:rPr>
                                  <m:t>q</m:t>
                                </m:r>
                              </m:sup>
                            </m:sSubSup>
                            <m:r>
                              <m:t>,t</m:t>
                            </m:r>
                          </m:e>
                        </m:d>
                      </m:e>
                    </m:d>
                    <m:d>
                      <m:dPr>
                        <m:ctrlPr>
                          <w:rPr>
                            <w:i/>
                            <w:sz w:val="22"/>
                          </w:rPr>
                        </m:ctrlPr>
                      </m:dPr>
                      <m:e>
                        <m:sSub>
                          <m:sSubPr>
                            <m:ctrlPr>
                              <w:rPr>
                                <w:i/>
                                <w:sz w:val="22"/>
                              </w:rPr>
                            </m:ctrlPr>
                          </m:sSubPr>
                          <m:e>
                            <m:r>
                              <m:rPr>
                                <m:sty m:val="b"/>
                              </m:rPr>
                              <w:rPr>
                                <w:sz w:val="22"/>
                              </w:rPr>
                              <m:t>Ḷ</m:t>
                            </m:r>
                          </m:e>
                          <m:sub>
                            <m:r>
                              <w:rPr>
                                <w:sz w:val="22"/>
                              </w:rPr>
                              <m:t>c,</m:t>
                            </m:r>
                            <m:sSup>
                              <m:sSupPr>
                                <m:ctrlPr>
                                  <w:rPr>
                                    <w:i/>
                                    <w:sz w:val="22"/>
                                  </w:rPr>
                                </m:ctrlPr>
                              </m:sSupPr>
                              <m:e>
                                <m:r>
                                  <w:rPr>
                                    <w:sz w:val="22"/>
                                  </w:rPr>
                                  <m:t>j</m:t>
                                </m:r>
                              </m:e>
                              <m:sup>
                                <m:r>
                                  <w:rPr>
                                    <w:sz w:val="22"/>
                                  </w:rPr>
                                  <m:t>*</m:t>
                                </m:r>
                              </m:sup>
                            </m:sSup>
                          </m:sub>
                        </m:sSub>
                      </m:e>
                    </m:d>
                  </m:e>
                </m:d>
              </m:e>
            </m:nary>
          </m:e>
        </m:d>
      </m:oMath>
      <w:r w:rsidRPr="00785356">
        <w:tab/>
        <w:t>(5.6)</w:t>
      </w:r>
    </w:p>
    <w:p w14:paraId="5EBB6231" w14:textId="77777777" w:rsidR="005A1F41" w:rsidRPr="00785356" w:rsidRDefault="00747E9D" w:rsidP="005A1F41">
      <w:pPr>
        <w:pStyle w:val="bullets"/>
      </w:pPr>
      <m:oMath>
        <m:sSubSup>
          <m:sSubSupPr>
            <m:ctrlPr>
              <w:rPr>
                <w:rFonts w:ascii="Cambria Math" w:hAnsi="Cambria Math"/>
                <w:b/>
                <w:sz w:val="22"/>
              </w:rPr>
            </m:ctrlPr>
          </m:sSubSupPr>
          <m:e>
            <m:r>
              <m:rPr>
                <m:sty m:val="b"/>
              </m:rPr>
              <w:rPr>
                <w:rFonts w:ascii="Cambria Math" w:hAnsi="Cambria Math"/>
                <w:sz w:val="22"/>
              </w:rPr>
              <m:t>ẏ</m:t>
            </m:r>
          </m:e>
          <m:sub>
            <m:r>
              <w:rPr>
                <w:rFonts w:ascii="Cambria Math" w:hAnsi="Cambria Math"/>
                <w:sz w:val="22"/>
              </w:rPr>
              <m:t>c,p</m:t>
            </m:r>
          </m:sub>
          <m:sup>
            <m:r>
              <m:rPr>
                <m:sty m:val="bi"/>
              </m:rPr>
              <w:rPr>
                <w:rFonts w:ascii="Cambria Math" w:hAnsi="Cambria Math"/>
                <w:sz w:val="22"/>
              </w:rPr>
              <m:t>j*</m:t>
            </m:r>
          </m:sup>
        </m:sSubSup>
      </m:oMath>
      <w:r w:rsidR="005A1F41" w:rsidRPr="00785356">
        <w:rPr>
          <w:sz w:val="22"/>
        </w:rPr>
        <w:t xml:space="preserve"> = </w:t>
      </w:r>
      <w:r w:rsidR="005A1F41" w:rsidRPr="00785356">
        <w:t xml:space="preserve">rate of progression targeted by intervention j* for individuals in subpopulation p and compartment c in time period 1, as specified in Tables 5.1 through </w:t>
      </w:r>
      <w:proofErr w:type="gramStart"/>
      <w:r w:rsidR="005A1F41" w:rsidRPr="00785356">
        <w:t>5.6;</w:t>
      </w:r>
      <w:proofErr w:type="gramEnd"/>
      <w:r w:rsidR="005A1F41" w:rsidRPr="00785356">
        <w:t xml:space="preserve"> </w:t>
      </w:r>
    </w:p>
    <w:p w14:paraId="55B2D0A9" w14:textId="77777777" w:rsidR="005A1F41" w:rsidRPr="00785356" w:rsidRDefault="00747E9D" w:rsidP="005A1F41">
      <w:pPr>
        <w:pStyle w:val="bullets"/>
      </w:pPr>
      <m:oMath>
        <m:sSub>
          <m:sSubPr>
            <m:ctrlPr>
              <w:rPr>
                <w:rFonts w:ascii="Cambria Math" w:hAnsi="Cambria Math"/>
                <w:i/>
                <w:sz w:val="22"/>
              </w:rPr>
            </m:ctrlPr>
          </m:sSubPr>
          <m:e>
            <m:r>
              <m:rPr>
                <m:sty m:val="p"/>
              </m:rPr>
              <w:rPr>
                <w:rFonts w:ascii="Cambria Math" w:hAnsi="Cambria Math"/>
              </w:rPr>
              <m:t>Ṡ</m:t>
            </m:r>
          </m:e>
          <m:sub>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sub>
        </m:sSub>
      </m:oMath>
      <w:r w:rsidR="005A1F41" w:rsidRPr="00785356">
        <w:t xml:space="preserve">= per-person cost of implementing intervention j*, as incurred by the agency funding the </w:t>
      </w:r>
      <w:proofErr w:type="gramStart"/>
      <w:r w:rsidR="005A1F41" w:rsidRPr="00785356">
        <w:t>int</w:t>
      </w:r>
      <w:proofErr w:type="spellStart"/>
      <w:r w:rsidR="005A1F41" w:rsidRPr="00785356">
        <w:t>ervention</w:t>
      </w:r>
      <w:proofErr w:type="spellEnd"/>
      <w:r w:rsidR="005A1F41" w:rsidRPr="00785356">
        <w:t>;</w:t>
      </w:r>
      <w:proofErr w:type="gramEnd"/>
    </w:p>
    <w:p w14:paraId="47FBBB96" w14:textId="77777777" w:rsidR="005A1F41" w:rsidRPr="00785356" w:rsidDel="00972E3C" w:rsidRDefault="00747E9D" w:rsidP="005A1F41">
      <w:pPr>
        <w:pStyle w:val="bullets"/>
      </w:pPr>
      <m:oMath>
        <m:sSub>
          <m:sSubPr>
            <m:ctrlPr>
              <w:rPr>
                <w:rFonts w:ascii="Cambria Math" w:hAnsi="Cambria Math"/>
                <w:i/>
                <w:sz w:val="22"/>
              </w:rPr>
            </m:ctrlPr>
          </m:sSubPr>
          <m:e>
            <m:r>
              <m:rPr>
                <m:sty m:val="b"/>
              </m:rPr>
              <w:rPr>
                <w:rFonts w:ascii="Cambria Math" w:hAnsi="Cambria Math"/>
                <w:sz w:val="22"/>
              </w:rPr>
              <m:t>Ḷ</m:t>
            </m:r>
          </m:e>
          <m:sub>
            <m:r>
              <w:rPr>
                <w:rFonts w:ascii="Cambria Math" w:hAnsi="Cambria Math"/>
                <w:sz w:val="22"/>
              </w:rPr>
              <m:t>c,</m:t>
            </m:r>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sub>
        </m:sSub>
      </m:oMath>
      <w:r w:rsidR="005A1F41" w:rsidRPr="00785356">
        <w:t xml:space="preserve"> = binary indicator of eligibility for intervention j* for individuals in compartment c (1 = eligible, 0 = not eligible</w:t>
      </w:r>
      <w:proofErr w:type="gramStart"/>
      <w:r w:rsidR="005A1F41" w:rsidRPr="00785356">
        <w:t>);</w:t>
      </w:r>
      <w:proofErr w:type="gramEnd"/>
    </w:p>
    <w:p w14:paraId="1F583B51" w14:textId="77777777" w:rsidR="005A1F41" w:rsidRPr="00785356" w:rsidRDefault="00747E9D" w:rsidP="005A1F41">
      <w:pPr>
        <w:pStyle w:val="bullets"/>
      </w:pPr>
      <m:oMath>
        <m:sSub>
          <m:sSubPr>
            <m:ctrlPr>
              <w:rPr>
                <w:rFonts w:ascii="Cambria Math" w:hAnsi="Cambria Math"/>
                <w:i/>
                <w:sz w:val="22"/>
              </w:rPr>
            </m:ctrlPr>
          </m:sSubPr>
          <m:e>
            <m:r>
              <m:rPr>
                <m:sty m:val="p"/>
              </m:rPr>
              <w:rPr>
                <w:rFonts w:ascii="Cambria Math" w:hAnsi="Cambria Math"/>
              </w:rPr>
              <m:t>u̇</m:t>
            </m:r>
          </m:e>
          <m:sub>
            <m:r>
              <w:rPr>
                <w:rFonts w:ascii="Cambria Math" w:hAnsi="Cambria Math"/>
                <w:sz w:val="22"/>
              </w:rPr>
              <m:t>p,</m:t>
            </m:r>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sub>
        </m:sSub>
      </m:oMath>
      <w:r w:rsidR="005A1F41" w:rsidRPr="00785356">
        <w:t xml:space="preserve"> = binary indicator that subpopulation p is targeted by intervention j* (1 = included, 0 = not included</w:t>
      </w:r>
      <w:proofErr w:type="gramStart"/>
      <w:r w:rsidR="005A1F41" w:rsidRPr="00785356">
        <w:t>);</w:t>
      </w:r>
      <w:proofErr w:type="gramEnd"/>
    </w:p>
    <w:p w14:paraId="16E85364" w14:textId="77777777" w:rsidR="005A1F41" w:rsidRPr="00785356" w:rsidRDefault="00747E9D" w:rsidP="005A1F41">
      <w:pPr>
        <w:pStyle w:val="bullets"/>
        <w:rPr>
          <w:szCs w:val="18"/>
        </w:rPr>
      </w:pPr>
      <m:oMath>
        <m:sSubSup>
          <m:sSubSupPr>
            <m:ctrlPr>
              <w:rPr>
                <w:rFonts w:ascii="Cambria Math" w:hAnsi="Cambria Math"/>
                <w:i/>
              </w:rPr>
            </m:ctrlPr>
          </m:sSubSupPr>
          <m:e>
            <m:r>
              <w:rPr>
                <w:rFonts w:ascii="Cambria Math" w:hAnsi="Cambria Math"/>
              </w:rPr>
              <m:t>X</m:t>
            </m:r>
          </m:e>
          <m:sub>
            <m:r>
              <w:rPr>
                <w:rFonts w:ascii="Cambria Math" w:hAnsi="Cambria Math"/>
              </w:rPr>
              <m:t>p</m:t>
            </m:r>
          </m:sub>
          <m:sup>
            <m:r>
              <w:rPr>
                <w:rFonts w:ascii="Cambria Math" w:hAnsi="Cambria Math"/>
              </w:rPr>
              <m:t>c</m:t>
            </m:r>
          </m:sup>
        </m:sSubSup>
        <m:d>
          <m:dPr>
            <m:ctrlPr>
              <w:rPr>
                <w:rFonts w:ascii="Cambria Math" w:hAnsi="Cambria Math"/>
                <w:i/>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r>
              <w:rPr>
                <w:rFonts w:ascii="Cambria Math" w:hAnsi="Cambria Math"/>
              </w:rPr>
              <m:t>,t</m:t>
            </m:r>
          </m:e>
        </m:d>
      </m:oMath>
      <w:r w:rsidR="005A1F41" w:rsidRPr="00785356">
        <w:t xml:space="preserve"> = Number of individuals in the population in compartment </w:t>
      </w:r>
      <w:r w:rsidR="005A1F41" w:rsidRPr="00785356">
        <w:rPr>
          <w:i/>
        </w:rPr>
        <w:t>c</w:t>
      </w:r>
      <w:r w:rsidR="005A1F41" w:rsidRPr="00785356">
        <w:t xml:space="preserve"> and demographic subpopulation </w:t>
      </w:r>
      <w:proofErr w:type="spellStart"/>
      <w:r w:rsidR="005A1F41" w:rsidRPr="00785356">
        <w:rPr>
          <w:i/>
        </w:rPr>
        <w:t>p</w:t>
      </w:r>
      <w:r w:rsidR="005A1F41" w:rsidRPr="00785356">
        <w:t xml:space="preserve"> at</w:t>
      </w:r>
      <w:proofErr w:type="spellEnd"/>
      <w:r w:rsidR="005A1F41" w:rsidRPr="00785356">
        <w:t xml:space="preserve"> time </w:t>
      </w:r>
      <w:r w:rsidR="005A1F41" w:rsidRPr="00785356">
        <w:rPr>
          <w:i/>
        </w:rPr>
        <w:t xml:space="preserve">t </w:t>
      </w:r>
      <w:r w:rsidR="005A1F41" w:rsidRPr="00785356">
        <w:rPr>
          <w:iCs/>
        </w:rPr>
        <w:t>given</w:t>
      </w:r>
      <w:r w:rsidR="005A1F41" w:rsidRPr="00785356">
        <w:rPr>
          <w:i/>
        </w:rPr>
        <w:t xml:space="preserve"> </w:t>
      </w:r>
      <w:r w:rsidR="005A1F41" w:rsidRPr="00785356">
        <w:t xml:space="preserve">allocated budget </w:t>
      </w:r>
      <m:oMath>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oMath>
      <w:r w:rsidR="005A1F41" w:rsidRPr="00785356">
        <w:t xml:space="preserve"> (relevant only when progression along the HIV continuum of care is determined by allocation-based progression)</w:t>
      </w:r>
    </w:p>
    <w:p w14:paraId="69D3E94F" w14:textId="77777777" w:rsidR="005A1F41" w:rsidRPr="00C00335" w:rsidRDefault="00747E9D" w:rsidP="005A1F41">
      <w:pPr>
        <w:pStyle w:val="bullets"/>
        <w:rPr>
          <w:bCs/>
        </w:rPr>
      </w:pPr>
      <m:oMath>
        <m:sSub>
          <m:sSubPr>
            <m:ctrlPr>
              <w:rPr>
                <w:rFonts w:ascii="Cambria Math" w:hAnsi="Cambria Math"/>
                <w:i/>
              </w:rPr>
            </m:ctrlPr>
          </m:sSubPr>
          <m:e>
            <m:r>
              <w:rPr>
                <w:rFonts w:ascii="Cambria Math" w:hAnsi="Cambria Math"/>
                <w:sz w:val="22"/>
              </w:rPr>
              <m:t>R</m:t>
            </m:r>
          </m:e>
          <m:sub>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r>
              <w:rPr>
                <w:rFonts w:ascii="Cambria Math" w:hAnsi="Cambria Math"/>
                <w:sz w:val="22"/>
              </w:rPr>
              <m:t>,1</m:t>
            </m:r>
          </m:sub>
        </m:sSub>
      </m:oMath>
      <w:r w:rsidR="005A1F41" w:rsidRPr="00C00335">
        <w:t xml:space="preserve"> = maximum reach for intervention j* in any one year among individuals eligible for that </w:t>
      </w:r>
      <w:proofErr w:type="gramStart"/>
      <w:r w:rsidR="005A1F41" w:rsidRPr="00C00335">
        <w:t>intervention;</w:t>
      </w:r>
      <w:proofErr w:type="gramEnd"/>
    </w:p>
    <w:p w14:paraId="01AA6E92" w14:textId="77777777" w:rsidR="005A1F41" w:rsidRPr="00C00335" w:rsidRDefault="00747E9D" w:rsidP="005A1F41">
      <w:pPr>
        <w:pStyle w:val="bullets"/>
      </w:pPr>
      <m:oMath>
        <m:sSub>
          <m:sSubPr>
            <m:ctrlPr>
              <w:rPr>
                <w:rFonts w:ascii="Cambria Math" w:hAnsi="Cambria Math"/>
                <w:i/>
              </w:rPr>
            </m:ctrlPr>
          </m:sSubPr>
          <m:e>
            <m:r>
              <m:rPr>
                <m:sty m:val="bi"/>
              </m:rPr>
              <w:rPr>
                <w:rFonts w:ascii="Cambria Math" w:hAnsi="Cambria Math"/>
              </w:rPr>
              <m:t>R</m:t>
            </m:r>
          </m:e>
          <m:sub>
            <m:sSup>
              <m:sSupPr>
                <m:ctrlPr>
                  <w:rPr>
                    <w:rFonts w:ascii="Cambria Math" w:hAnsi="Cambria Math"/>
                    <w:i/>
                  </w:rPr>
                </m:ctrlPr>
              </m:sSupPr>
              <m:e>
                <m:r>
                  <m:rPr>
                    <m:sty m:val="bi"/>
                  </m:rPr>
                  <w:rPr>
                    <w:rFonts w:ascii="Cambria Math" w:hAnsi="Cambria Math"/>
                  </w:rPr>
                  <m:t>j</m:t>
                </m:r>
              </m:e>
              <m:sup>
                <m:r>
                  <w:rPr>
                    <w:rFonts w:ascii="Cambria Math" w:hAnsi="Cambria Math"/>
                  </w:rPr>
                  <m:t>*</m:t>
                </m:r>
              </m:sup>
            </m:sSup>
            <m:r>
              <w:rPr>
                <w:rFonts w:ascii="Cambria Math" w:hAnsi="Cambria Math"/>
              </w:rPr>
              <m:t>,</m:t>
            </m:r>
            <m:r>
              <m:rPr>
                <m:sty m:val="bi"/>
              </m:rPr>
              <w:rPr>
                <w:rFonts w:ascii="Cambria Math" w:hAnsi="Cambria Math"/>
              </w:rPr>
              <m:t>2</m:t>
            </m:r>
          </m:sub>
        </m:sSub>
      </m:oMath>
      <w:r w:rsidR="005A1F41" w:rsidRPr="00C00335">
        <w:t xml:space="preserve"> = maximum annual rate of the transition targeted by intervention j* </w:t>
      </w:r>
      <w:r w:rsidR="005A1F41" w:rsidRPr="00C00335">
        <w:rPr>
          <w:rFonts w:eastAsiaTheme="minorEastAsia"/>
        </w:rPr>
        <w:t xml:space="preserve">for </w:t>
      </w:r>
      <w:r w:rsidR="005A1F41" w:rsidRPr="00C00335">
        <w:rPr>
          <w:iCs/>
        </w:rPr>
        <w:t>j*</w:t>
      </w:r>
      <w:r w:rsidR="005A1F41" w:rsidRPr="00C00335">
        <w:t xml:space="preserve"> = {1,…,5,7,…10} </w:t>
      </w:r>
      <w:r w:rsidR="005A1F41">
        <w:t>(all interventions targeting progression along the care continuum except l</w:t>
      </w:r>
      <w:r w:rsidR="005A1F41" w:rsidRPr="00C00335">
        <w:t>inkage to HIV care at diagnosis</w:t>
      </w:r>
      <w:r w:rsidR="005A1F41">
        <w:t xml:space="preserve">) </w:t>
      </w:r>
      <w:r w:rsidR="005A1F41" w:rsidRPr="00C00335">
        <w:t>among individuals eligible for that intervention, calculated by Equation (5.</w:t>
      </w:r>
      <w:r w:rsidR="005A1F41">
        <w:t>7</w:t>
      </w:r>
      <w:r w:rsidR="005A1F41" w:rsidRPr="00C00335">
        <w:t>):</w:t>
      </w:r>
    </w:p>
    <w:p w14:paraId="0260759D" w14:textId="77777777" w:rsidR="005A1F41" w:rsidRPr="00C00335" w:rsidRDefault="005A1F41" w:rsidP="005A1F41">
      <w:pPr>
        <w:pStyle w:val="equation"/>
        <w:rPr>
          <w:b/>
        </w:rPr>
      </w:pPr>
      <w:r w:rsidRPr="00C00335">
        <w:rPr>
          <w:b/>
          <w:bCs/>
        </w:rPr>
        <w:tab/>
      </w:r>
      <m:oMath>
        <m:sSub>
          <m:sSubPr>
            <m:ctrlPr/>
          </m:sSubPr>
          <m:e>
            <m:r>
              <m:rPr>
                <m:sty m:val="bi"/>
              </m:rPr>
              <m:t>R</m:t>
            </m:r>
          </m:e>
          <m:sub>
            <m:sSup>
              <m:sSupPr>
                <m:ctrlPr/>
              </m:sSupPr>
              <m:e>
                <m:r>
                  <m:rPr>
                    <m:sty m:val="bi"/>
                  </m:rPr>
                  <m:t>j</m:t>
                </m:r>
              </m:e>
              <m:sup>
                <m:r>
                  <m:rPr>
                    <m:sty m:val="p"/>
                  </m:rPr>
                  <m:t>*</m:t>
                </m:r>
              </m:sup>
            </m:sSup>
            <m:r>
              <m:rPr>
                <m:sty m:val="p"/>
              </m:rPr>
              <m:t>,</m:t>
            </m:r>
            <m:r>
              <m:rPr>
                <m:sty m:val="b"/>
              </m:rPr>
              <m:t>2</m:t>
            </m:r>
          </m:sub>
        </m:sSub>
        <m:r>
          <m:rPr>
            <m:sty m:val="p"/>
          </m:rPr>
          <m:t>=-</m:t>
        </m:r>
        <m:r>
          <m:rPr>
            <m:sty m:val="b"/>
          </m:rPr>
          <m:t>l</m:t>
        </m:r>
        <m:func>
          <m:funcPr>
            <m:ctrlPr/>
          </m:funcPr>
          <m:fName>
            <m:r>
              <m:rPr>
                <m:sty m:val="b"/>
              </m:rPr>
              <m:t>n</m:t>
            </m:r>
          </m:fName>
          <m:e>
            <m:d>
              <m:dPr>
                <m:ctrlPr/>
              </m:dPr>
              <m:e>
                <m:r>
                  <m:rPr>
                    <m:sty m:val="b"/>
                  </m:rPr>
                  <m:t>1</m:t>
                </m:r>
                <m:r>
                  <m:rPr>
                    <m:sty m:val="p"/>
                  </m:rPr>
                  <m:t>-</m:t>
                </m:r>
                <m:sSub>
                  <m:sSubPr>
                    <m:ctrlPr>
                      <w:rPr>
                        <w:b/>
                        <w:bCs/>
                      </w:rPr>
                    </m:ctrlPr>
                  </m:sSubPr>
                  <m:e>
                    <m:r>
                      <m:rPr>
                        <m:sty m:val="bi"/>
                      </m:rPr>
                      <m:t>R</m:t>
                    </m:r>
                  </m:e>
                  <m:sub>
                    <m:sSup>
                      <m:sSupPr>
                        <m:ctrlPr>
                          <w:rPr>
                            <w:b/>
                            <w:bCs/>
                          </w:rPr>
                        </m:ctrlPr>
                      </m:sSupPr>
                      <m:e>
                        <m:r>
                          <m:rPr>
                            <m:sty m:val="bi"/>
                          </m:rPr>
                          <m:t>j</m:t>
                        </m:r>
                      </m:e>
                      <m:sup>
                        <m:r>
                          <m:rPr>
                            <m:sty m:val="p"/>
                          </m:rPr>
                          <m:t>*</m:t>
                        </m:r>
                      </m:sup>
                    </m:sSup>
                    <m:r>
                      <m:rPr>
                        <m:sty m:val="p"/>
                      </m:rPr>
                      <m:t>,</m:t>
                    </m:r>
                    <m:r>
                      <m:rPr>
                        <m:sty m:val="b"/>
                      </m:rPr>
                      <m:t>1</m:t>
                    </m:r>
                  </m:sub>
                </m:sSub>
              </m:e>
            </m:d>
          </m:e>
        </m:func>
      </m:oMath>
      <w:r w:rsidRPr="00C00335">
        <w:rPr>
          <w:rFonts w:eastAsiaTheme="minorEastAsia"/>
          <w:b/>
        </w:rPr>
        <w:br/>
      </w:r>
      <w:r w:rsidRPr="00C00335">
        <w:rPr>
          <w:rFonts w:eastAsiaTheme="minorEastAsia"/>
        </w:rPr>
        <w:tab/>
        <w:t xml:space="preserve">for </w:t>
      </w:r>
      <w:r w:rsidRPr="00C00335">
        <w:rPr>
          <w:iCs/>
        </w:rPr>
        <w:t>j*</w:t>
      </w:r>
      <w:r w:rsidRPr="00C00335">
        <w:t xml:space="preserve"> = {1,…,5,7,…1</w:t>
      </w:r>
      <w:r>
        <w:t>4</w:t>
      </w:r>
      <w:r w:rsidRPr="00C00335">
        <w:t>}</w:t>
      </w:r>
      <w:r w:rsidRPr="00C00335">
        <w:tab/>
        <w:t>(5.</w:t>
      </w:r>
      <w:r>
        <w:t>7</w:t>
      </w:r>
      <w:r w:rsidRPr="00C00335">
        <w:t>)</w:t>
      </w:r>
    </w:p>
    <w:p w14:paraId="498CBFB5" w14:textId="77777777" w:rsidR="005A1F41" w:rsidRPr="00C00335" w:rsidRDefault="00747E9D" w:rsidP="005A1F41">
      <w:pPr>
        <w:pStyle w:val="bullets"/>
      </w:pPr>
      <m:oMath>
        <m:sSub>
          <m:sSubPr>
            <m:ctrlPr>
              <w:rPr>
                <w:rFonts w:ascii="Cambria Math" w:hAnsi="Cambria Math"/>
                <w:i/>
              </w:rPr>
            </m:ctrlPr>
          </m:sSubPr>
          <m:e>
            <m:r>
              <m:rPr>
                <m:sty m:val="bi"/>
              </m:rPr>
              <w:rPr>
                <w:rFonts w:ascii="Cambria Math" w:hAnsi="Cambria Math"/>
              </w:rPr>
              <m:t>R</m:t>
            </m:r>
          </m:e>
          <m:sub>
            <m:sSup>
              <m:sSupPr>
                <m:ctrlPr>
                  <w:rPr>
                    <w:rFonts w:ascii="Cambria Math" w:hAnsi="Cambria Math"/>
                    <w:i/>
                  </w:rPr>
                </m:ctrlPr>
              </m:sSupPr>
              <m:e>
                <m:r>
                  <m:rPr>
                    <m:sty m:val="bi"/>
                  </m:rPr>
                  <w:rPr>
                    <w:rFonts w:ascii="Cambria Math" w:hAnsi="Cambria Math"/>
                  </w:rPr>
                  <m:t>j</m:t>
                </m:r>
              </m:e>
              <m:sup>
                <m:r>
                  <w:rPr>
                    <w:rFonts w:ascii="Cambria Math" w:hAnsi="Cambria Math"/>
                  </w:rPr>
                  <m:t>*</m:t>
                </m:r>
              </m:sup>
            </m:sSup>
            <m:r>
              <w:rPr>
                <w:rFonts w:ascii="Cambria Math" w:hAnsi="Cambria Math"/>
              </w:rPr>
              <m:t>,</m:t>
            </m:r>
            <m:r>
              <m:rPr>
                <m:sty m:val="bi"/>
              </m:rPr>
              <w:rPr>
                <w:rFonts w:ascii="Cambria Math" w:hAnsi="Cambria Math"/>
              </w:rPr>
              <m:t>2</m:t>
            </m:r>
          </m:sub>
        </m:sSub>
      </m:oMath>
      <w:r w:rsidR="005A1F41" w:rsidRPr="00C00335">
        <w:t xml:space="preserve"> = maximum annual probability of transition targeted by intervention </w:t>
      </w:r>
      <w:r w:rsidR="005A1F41" w:rsidRPr="00C00335">
        <w:rPr>
          <w:i/>
          <w:iCs/>
        </w:rPr>
        <w:t>j*</w:t>
      </w:r>
      <w:r w:rsidR="005A1F41" w:rsidRPr="00C00335">
        <w:t xml:space="preserve"> </w:t>
      </w:r>
      <w:r w:rsidR="005A1F41" w:rsidRPr="00C00335">
        <w:rPr>
          <w:rFonts w:eastAsiaTheme="minorEastAsia"/>
        </w:rPr>
        <w:t xml:space="preserve">for </w:t>
      </w:r>
      <w:r w:rsidR="005A1F41" w:rsidRPr="00C00335">
        <w:rPr>
          <w:iCs/>
        </w:rPr>
        <w:t>j*</w:t>
      </w:r>
      <w:r w:rsidR="005A1F41" w:rsidRPr="00C00335">
        <w:t xml:space="preserve"> = {6} </w:t>
      </w:r>
      <w:r w:rsidR="005A1F41">
        <w:t>(l</w:t>
      </w:r>
      <w:r w:rsidR="005A1F41" w:rsidRPr="00C00335">
        <w:t>inkage to HIV care at diagnosis</w:t>
      </w:r>
      <w:r w:rsidR="005A1F41">
        <w:t xml:space="preserve">) </w:t>
      </w:r>
      <w:r w:rsidR="005A1F41" w:rsidRPr="00C00335">
        <w:t>among individuals eligible for that intervention, calculated by Equation (5.</w:t>
      </w:r>
      <w:r w:rsidR="005A1F41">
        <w:t>8</w:t>
      </w:r>
      <w:r w:rsidR="005A1F41" w:rsidRPr="00C00335">
        <w:t>):</w:t>
      </w:r>
    </w:p>
    <w:p w14:paraId="0EED8EBB" w14:textId="37A37205" w:rsidR="00614D37" w:rsidRPr="00C00335" w:rsidRDefault="005A1F41" w:rsidP="005A1F41">
      <w:pPr>
        <w:pStyle w:val="equation"/>
      </w:pPr>
      <w:r w:rsidRPr="00C00335">
        <w:tab/>
      </w:r>
      <m:oMath>
        <m:sSub>
          <m:sSubPr>
            <m:ctrlPr/>
          </m:sSubPr>
          <m:e>
            <m:r>
              <m:rPr>
                <m:sty m:val="bi"/>
              </m:rPr>
              <m:t>R</m:t>
            </m:r>
          </m:e>
          <m:sub>
            <m:sSup>
              <m:sSupPr>
                <m:ctrlPr/>
              </m:sSupPr>
              <m:e>
                <m:r>
                  <m:rPr>
                    <m:sty m:val="bi"/>
                  </m:rPr>
                  <m:t>j</m:t>
                </m:r>
              </m:e>
              <m:sup>
                <m:r>
                  <m:rPr>
                    <m:sty m:val="p"/>
                  </m:rPr>
                  <m:t>*</m:t>
                </m:r>
              </m:sup>
            </m:sSup>
            <m:r>
              <m:rPr>
                <m:sty m:val="p"/>
              </m:rPr>
              <m:t>,</m:t>
            </m:r>
            <m:r>
              <m:rPr>
                <m:sty m:val="b"/>
              </m:rPr>
              <m:t>2</m:t>
            </m:r>
          </m:sub>
        </m:sSub>
        <m:r>
          <m:rPr>
            <m:sty m:val="p"/>
          </m:rPr>
          <m:t>=</m:t>
        </m:r>
        <m:sSub>
          <m:sSubPr>
            <m:ctrlPr/>
          </m:sSubPr>
          <m:e>
            <m:r>
              <m:rPr>
                <m:sty m:val="bi"/>
              </m:rPr>
              <m:t>R</m:t>
            </m:r>
          </m:e>
          <m:sub>
            <m:sSup>
              <m:sSupPr>
                <m:ctrlPr/>
              </m:sSupPr>
              <m:e>
                <m:r>
                  <m:rPr>
                    <m:sty m:val="bi"/>
                  </m:rPr>
                  <m:t>j</m:t>
                </m:r>
              </m:e>
              <m:sup>
                <m:r>
                  <m:rPr>
                    <m:sty m:val="p"/>
                  </m:rPr>
                  <m:t>*</m:t>
                </m:r>
              </m:sup>
            </m:sSup>
            <m:r>
              <m:rPr>
                <m:sty m:val="p"/>
              </m:rPr>
              <m:t>,</m:t>
            </m:r>
            <m:r>
              <m:rPr>
                <m:sty m:val="b"/>
              </m:rPr>
              <m:t>1</m:t>
            </m:r>
          </m:sub>
        </m:sSub>
      </m:oMath>
      <w:r w:rsidRPr="00C00335">
        <w:rPr>
          <w:szCs w:val="18"/>
        </w:rPr>
        <w:br/>
      </w:r>
      <w:r w:rsidRPr="00C00335">
        <w:rPr>
          <w:szCs w:val="18"/>
        </w:rPr>
        <w:tab/>
        <w:t xml:space="preserve">for </w:t>
      </w:r>
      <w:r w:rsidRPr="00C00335">
        <w:rPr>
          <w:iCs/>
          <w:szCs w:val="18"/>
        </w:rPr>
        <w:t>j</w:t>
      </w:r>
      <w:r w:rsidRPr="00C00335">
        <w:rPr>
          <w:szCs w:val="18"/>
        </w:rPr>
        <w:t>* = {6}</w:t>
      </w:r>
      <w:r w:rsidR="006146DC" w:rsidRPr="00421CB1">
        <w:rPr>
          <w:szCs w:val="18"/>
        </w:rPr>
        <w:tab/>
      </w:r>
      <w:r w:rsidR="006146DC" w:rsidRPr="005A1F41">
        <w:rPr>
          <w:szCs w:val="18"/>
        </w:rPr>
        <w:t>(5.</w:t>
      </w:r>
      <w:r w:rsidR="0058458C" w:rsidRPr="005A1F41">
        <w:rPr>
          <w:szCs w:val="18"/>
        </w:rPr>
        <w:t>8</w:t>
      </w:r>
      <w:r w:rsidR="006146DC" w:rsidRPr="005A1F41">
        <w:rPr>
          <w:szCs w:val="18"/>
        </w:rPr>
        <w:t>)</w:t>
      </w:r>
    </w:p>
    <w:p w14:paraId="50809432" w14:textId="2CD4ED87" w:rsidR="007B52F2" w:rsidRPr="0023643C" w:rsidRDefault="007B52F2" w:rsidP="004B71BF">
      <w:pPr>
        <w:pStyle w:val="BodyText"/>
      </w:pPr>
      <w:bookmarkStart w:id="50" w:name="_Toc430182349"/>
      <w:bookmarkStart w:id="51" w:name="_Toc430186348"/>
      <w:bookmarkStart w:id="52" w:name="_Toc430186391"/>
      <w:bookmarkStart w:id="53" w:name="_Toc430245198"/>
      <w:bookmarkEnd w:id="50"/>
      <w:bookmarkEnd w:id="51"/>
      <w:bookmarkEnd w:id="52"/>
      <w:bookmarkEnd w:id="53"/>
      <w:r w:rsidRPr="0023643C">
        <w:t>All other rates and probabilities not directly affected by the allocation to one of the interventions are the same as under the status quo method.</w:t>
      </w:r>
    </w:p>
    <w:p w14:paraId="350A3625" w14:textId="1DACC48E" w:rsidR="004F4E6D" w:rsidRPr="0023643C" w:rsidRDefault="00DF5ADE" w:rsidP="00EC4628">
      <w:pPr>
        <w:pStyle w:val="Heading3"/>
      </w:pPr>
      <w:bookmarkStart w:id="54" w:name="_Toc89257540"/>
      <w:r w:rsidRPr="0023643C">
        <w:t>Diagnosis Rates</w:t>
      </w:r>
      <w:bookmarkEnd w:id="54"/>
    </w:p>
    <w:p w14:paraId="56B61277" w14:textId="0E1A451A" w:rsidR="006D7C60" w:rsidRPr="00C00335" w:rsidRDefault="00472E71" w:rsidP="00A66F61">
      <w:pPr>
        <w:pStyle w:val="BodyText"/>
      </w:pPr>
      <w:r w:rsidRPr="0023643C">
        <w:t xml:space="preserve">The annual diagnosis rate of unaware </w:t>
      </w:r>
      <w:r w:rsidR="005F5C70" w:rsidRPr="0023643C">
        <w:t>HIV-infected</w:t>
      </w:r>
      <w:r w:rsidRPr="0023643C">
        <w:t xml:space="preserve"> individuals is a function of the testing rate</w:t>
      </w:r>
      <w:r w:rsidR="00DF5ADE" w:rsidRPr="0023643C">
        <w:t xml:space="preserve"> (</w:t>
      </w:r>
      <m:oMath>
        <m:sSubSup>
          <m:sSubSupPr>
            <m:ctrlPr>
              <w:rPr>
                <w:rFonts w:ascii="Cambria Math" w:hAnsi="Cambria Math"/>
              </w:rPr>
            </m:ctrlPr>
          </m:sSubSupPr>
          <m:e>
            <m:r>
              <w:rPr>
                <w:rFonts w:ascii="Cambria Math" w:hAnsi="Cambria Math"/>
              </w:rPr>
              <m:t>π</m:t>
            </m:r>
          </m:e>
          <m:sub>
            <m:r>
              <w:rPr>
                <w:rFonts w:ascii="Cambria Math" w:hAnsi="Cambria Math"/>
              </w:rPr>
              <m:t>p</m:t>
            </m:r>
          </m:sub>
          <m:sup>
            <m:r>
              <w:rPr>
                <w:rFonts w:ascii="Cambria Math" w:hAnsi="Cambria Math"/>
              </w:rPr>
              <m:t>c</m:t>
            </m:r>
          </m:sup>
        </m:sSubSup>
        <m:r>
          <m:rPr>
            <m:sty m:val="p"/>
          </m:rPr>
          <w:rPr>
            <w:rFonts w:ascii="Cambria Math" w:hAnsi="Cambria Math"/>
          </w:rPr>
          <m:t>(</m:t>
        </m:r>
        <m:r>
          <w:rPr>
            <w:rFonts w:ascii="Cambria Math" w:hAnsi="Cambria Math"/>
          </w:rPr>
          <m:t>t</m:t>
        </m:r>
        <m:r>
          <m:rPr>
            <m:sty m:val="p"/>
          </m:rPr>
          <w:rPr>
            <w:rFonts w:ascii="Cambria Math" w:hAnsi="Cambria Math"/>
          </w:rPr>
          <m:t>)</m:t>
        </m:r>
      </m:oMath>
      <w:r w:rsidR="00DF5ADE" w:rsidRPr="0023643C">
        <w:t>, as determined by any o</w:t>
      </w:r>
      <w:proofErr w:type="spellStart"/>
      <w:r w:rsidR="00DF5ADE" w:rsidRPr="0023643C">
        <w:t>f</w:t>
      </w:r>
      <w:proofErr w:type="spellEnd"/>
      <w:r w:rsidR="00DF5ADE" w:rsidRPr="0023643C">
        <w:t xml:space="preserve"> the methods used to generate testing rates)</w:t>
      </w:r>
      <w:r w:rsidRPr="0023643C">
        <w:t xml:space="preserve">, the </w:t>
      </w:r>
      <w:bookmarkStart w:id="55" w:name="_Hlk527639830"/>
      <w:r w:rsidR="00E70554" w:rsidRPr="0023643C">
        <w:t>percentage of tests performed in nonclinical (vs. clinical) settings</w:t>
      </w:r>
      <w:bookmarkEnd w:id="55"/>
      <w:r w:rsidR="00E70554" w:rsidRPr="0023643C">
        <w:t xml:space="preserve">, </w:t>
      </w:r>
      <w:r w:rsidRPr="0023643C">
        <w:t>use of rapid (versus conventional) tests</w:t>
      </w:r>
      <w:r w:rsidR="00134851" w:rsidRPr="0023643C">
        <w:t xml:space="preserve"> </w:t>
      </w:r>
      <w:r w:rsidR="00E70554" w:rsidRPr="0023643C">
        <w:t>in each of those settings</w:t>
      </w:r>
      <w:r w:rsidRPr="0023643C">
        <w:t>, the</w:t>
      </w:r>
      <w:r w:rsidR="00134851" w:rsidRPr="0023643C">
        <w:t xml:space="preserve"> types of tests used </w:t>
      </w:r>
      <w:r w:rsidR="00E70554" w:rsidRPr="0023643C">
        <w:t>for initial and confirmatory testing,</w:t>
      </w:r>
      <w:r w:rsidRPr="0023643C">
        <w:t xml:space="preserve"> sensitivity of </w:t>
      </w:r>
      <w:r w:rsidR="00E70554" w:rsidRPr="0023643C">
        <w:t xml:space="preserve">each of those types of </w:t>
      </w:r>
      <w:r w:rsidRPr="0023643C">
        <w:t xml:space="preserve">tests, and the likelihood of individuals getting notified of </w:t>
      </w:r>
      <w:r w:rsidR="00E70554" w:rsidRPr="0023643C">
        <w:t xml:space="preserve">initial testing </w:t>
      </w:r>
      <w:r w:rsidRPr="0023643C">
        <w:t>results</w:t>
      </w:r>
      <w:r w:rsidRPr="00C00335">
        <w:t>. The diagnosis rates are</w:t>
      </w:r>
      <w:r w:rsidR="006D7C60" w:rsidRPr="00C00335">
        <w:t xml:space="preserve"> c</w:t>
      </w:r>
      <w:r w:rsidRPr="00C00335">
        <w:t xml:space="preserve">alculated </w:t>
      </w:r>
      <w:r w:rsidR="006D7C60" w:rsidRPr="00C00335">
        <w:t xml:space="preserve">using Equation </w:t>
      </w:r>
      <w:r w:rsidR="008B30F8" w:rsidRPr="00C00335">
        <w:t>(</w:t>
      </w:r>
      <w:r w:rsidR="005B0687" w:rsidRPr="00C00335">
        <w:t>5</w:t>
      </w:r>
      <w:r w:rsidR="00C277F4" w:rsidRPr="00C00335">
        <w:t>.</w:t>
      </w:r>
      <w:r w:rsidR="00693DF2">
        <w:t>9</w:t>
      </w:r>
      <w:r w:rsidR="008B30F8" w:rsidRPr="00C00335">
        <w:t>)</w:t>
      </w:r>
      <w:r w:rsidRPr="00C00335">
        <w:t xml:space="preserve"> and vary</w:t>
      </w:r>
      <w:r w:rsidR="006D7C60" w:rsidRPr="00C00335">
        <w:t xml:space="preserve"> </w:t>
      </w:r>
      <w:r w:rsidR="00186AEF" w:rsidRPr="00C00335">
        <w:t xml:space="preserve">by time </w:t>
      </w:r>
      <w:r w:rsidR="00186AEF" w:rsidRPr="00C00335">
        <w:rPr>
          <w:i/>
        </w:rPr>
        <w:t>t</w:t>
      </w:r>
      <w:r w:rsidR="00C038D1" w:rsidRPr="00C00335">
        <w:t xml:space="preserve"> and</w:t>
      </w:r>
      <w:r w:rsidR="00186AEF" w:rsidRPr="00C00335">
        <w:t xml:space="preserve"> HIV status </w:t>
      </w:r>
      <w:r w:rsidR="00186AEF" w:rsidRPr="00C00335">
        <w:rPr>
          <w:i/>
        </w:rPr>
        <w:t>h</w:t>
      </w:r>
      <w:r w:rsidR="00AF110F" w:rsidRPr="00C00335">
        <w:rPr>
          <w:iCs/>
        </w:rPr>
        <w:t xml:space="preserve"> (captured in </w:t>
      </w:r>
      <w:r w:rsidR="00C038D1" w:rsidRPr="00C00335">
        <w:rPr>
          <w:iCs/>
        </w:rPr>
        <w:t xml:space="preserve">compartment </w:t>
      </w:r>
      <w:r w:rsidR="00AF110F" w:rsidRPr="00C00335">
        <w:rPr>
          <w:i/>
        </w:rPr>
        <w:t>c</w:t>
      </w:r>
      <w:r w:rsidR="00AF110F" w:rsidRPr="00C00335">
        <w:rPr>
          <w:iCs/>
        </w:rPr>
        <w:t>)</w:t>
      </w:r>
      <w:r w:rsidR="00186AEF" w:rsidRPr="00C00335">
        <w:t xml:space="preserve">, </w:t>
      </w:r>
      <w:r w:rsidR="00CA4D64" w:rsidRPr="00C00335">
        <w:t>and</w:t>
      </w:r>
      <w:r w:rsidR="00186AEF" w:rsidRPr="00C00335">
        <w:t xml:space="preserve"> by race</w:t>
      </w:r>
      <w:r w:rsidR="00710F65" w:rsidRPr="00C00335">
        <w:t>/ethnicity</w:t>
      </w:r>
      <w:r w:rsidR="00202678" w:rsidRPr="00C00335">
        <w:t>,</w:t>
      </w:r>
      <w:r w:rsidR="006D7C60" w:rsidRPr="00C00335">
        <w:t xml:space="preserve"> transmission group</w:t>
      </w:r>
      <w:r w:rsidR="00202678" w:rsidRPr="00C00335">
        <w:t>, and risk level</w:t>
      </w:r>
      <w:r w:rsidR="00C038D1" w:rsidRPr="00C00335">
        <w:t xml:space="preserve"> (captured in subpopulation p)</w:t>
      </w:r>
      <w:r w:rsidR="00A66F61" w:rsidRPr="00C00335">
        <w:t>:</w:t>
      </w:r>
    </w:p>
    <w:p w14:paraId="21EF322E" w14:textId="20D9AE6B" w:rsidR="00E53406" w:rsidRPr="00C00335" w:rsidRDefault="005C4A78" w:rsidP="006146DC">
      <w:pPr>
        <w:pStyle w:val="equation"/>
        <w:rPr>
          <w:rFonts w:eastAsiaTheme="minorHAnsi"/>
        </w:rPr>
      </w:pPr>
      <w:r w:rsidRPr="00C00335">
        <w:tab/>
      </w:r>
      <m:oMath>
        <m:sSubSup>
          <m:sSubSupPr>
            <m:ctrlPr/>
          </m:sSubSupPr>
          <m:e>
            <m:r>
              <m:t>τ</m:t>
            </m:r>
          </m:e>
          <m:sub>
            <m:r>
              <m:t>p</m:t>
            </m:r>
          </m:sub>
          <m:sup>
            <m:r>
              <m:t>c</m:t>
            </m:r>
          </m:sup>
        </m:sSubSup>
        <m:r>
          <m:rPr>
            <m:sty m:val="p"/>
          </m:rPr>
          <w:rPr>
            <w:rFonts w:eastAsiaTheme="minorHAnsi"/>
          </w:rPr>
          <m:t>(</m:t>
        </m:r>
        <m:r>
          <w:rPr>
            <w:rFonts w:eastAsiaTheme="minorHAnsi"/>
          </w:rPr>
          <m:t>t</m:t>
        </m:r>
        <m:r>
          <m:rPr>
            <m:sty m:val="p"/>
          </m:rPr>
          <w:rPr>
            <w:rFonts w:eastAsiaTheme="minorHAnsi"/>
          </w:rPr>
          <m:t>)=</m:t>
        </m:r>
        <m:sSubSup>
          <m:sSubSupPr>
            <m:ctrlPr>
              <w:rPr>
                <w:i/>
              </w:rPr>
            </m:ctrlPr>
          </m:sSubSupPr>
          <m:e>
            <m:r>
              <m:t>π</m:t>
            </m:r>
          </m:e>
          <m:sub>
            <m:r>
              <m:t>p</m:t>
            </m:r>
          </m:sub>
          <m:sup>
            <m:r>
              <m:t>c</m:t>
            </m:r>
          </m:sup>
        </m:sSubSup>
        <m:d>
          <m:dPr>
            <m:ctrlPr>
              <w:rPr>
                <w:i/>
              </w:rPr>
            </m:ctrlPr>
          </m:dPr>
          <m:e>
            <m:r>
              <m:t>t</m:t>
            </m:r>
          </m:e>
        </m:d>
        <m:r>
          <m:rPr>
            <m:sty m:val="p"/>
          </m:rPr>
          <w:rPr>
            <w:rFonts w:eastAsiaTheme="minorHAnsi"/>
          </w:rPr>
          <m:t>*</m:t>
        </m:r>
        <m:d>
          <m:dPr>
            <m:begChr m:val="["/>
            <m:endChr m:val="]"/>
            <m:ctrlPr>
              <w:rPr>
                <w:rFonts w:eastAsiaTheme="minorHAnsi"/>
              </w:rPr>
            </m:ctrlPr>
          </m:dPr>
          <m:e>
            <m:sSub>
              <m:sSubPr>
                <m:ctrlPr>
                  <w:rPr>
                    <w:rFonts w:eastAsiaTheme="minorHAnsi"/>
                  </w:rPr>
                </m:ctrlPr>
              </m:sSubPr>
              <m:e>
                <m:r>
                  <w:rPr>
                    <w:rFonts w:eastAsiaTheme="minorHAnsi"/>
                  </w:rPr>
                  <m:t>ψ</m:t>
                </m:r>
              </m:e>
              <m:sub>
                <m:r>
                  <w:rPr>
                    <w:rFonts w:eastAsiaTheme="minorHAnsi"/>
                  </w:rPr>
                  <m:t>p</m:t>
                </m:r>
              </m:sub>
            </m:sSub>
            <m:r>
              <m:rPr>
                <m:sty m:val="p"/>
              </m:rPr>
              <w:rPr>
                <w:rFonts w:eastAsiaTheme="minorHAnsi"/>
              </w:rPr>
              <m:t>(</m:t>
            </m:r>
            <m:r>
              <w:rPr>
                <w:rFonts w:eastAsiaTheme="minorHAnsi"/>
              </w:rPr>
              <m:t>t</m:t>
            </m:r>
            <m:r>
              <m:rPr>
                <m:sty m:val="p"/>
              </m:rPr>
              <w:rPr>
                <w:rFonts w:eastAsiaTheme="minorHAnsi"/>
              </w:rPr>
              <m:t>)*</m:t>
            </m:r>
            <m:sSub>
              <m:sSubPr>
                <m:ctrlPr>
                  <w:rPr>
                    <w:rFonts w:eastAsiaTheme="minorHAnsi"/>
                  </w:rPr>
                </m:ctrlPr>
              </m:sSubPr>
              <m:e>
                <m:r>
                  <w:rPr>
                    <w:rFonts w:eastAsiaTheme="minorHAnsi"/>
                  </w:rPr>
                  <m:t>w</m:t>
                </m:r>
              </m:e>
              <m:sub>
                <m:r>
                  <w:rPr>
                    <w:rFonts w:eastAsiaTheme="minorHAnsi"/>
                  </w:rPr>
                  <m:t>c</m:t>
                </m:r>
                <m:r>
                  <m:rPr>
                    <m:sty m:val="p"/>
                  </m:rPr>
                  <w:rPr>
                    <w:rFonts w:eastAsiaTheme="minorHAnsi"/>
                  </w:rPr>
                  <m:t xml:space="preserve"> ,</m:t>
                </m:r>
                <m:r>
                  <w:rPr>
                    <w:rFonts w:eastAsiaTheme="minorHAnsi"/>
                  </w:rPr>
                  <m:t>g</m:t>
                </m:r>
                <m:r>
                  <m:rPr>
                    <m:sty m:val="p"/>
                  </m:rPr>
                  <w:rPr>
                    <w:rFonts w:eastAsiaTheme="minorHAnsi"/>
                  </w:rPr>
                  <m:t>=1</m:t>
                </m:r>
              </m:sub>
            </m:sSub>
            <m:r>
              <m:rPr>
                <m:sty m:val="p"/>
              </m:rPr>
              <w:rPr>
                <w:rFonts w:eastAsiaTheme="minorHAnsi"/>
              </w:rPr>
              <m:t>*</m:t>
            </m:r>
            <m:sSub>
              <m:sSubPr>
                <m:ctrlPr>
                  <w:rPr>
                    <w:rFonts w:eastAsiaTheme="minorHAnsi"/>
                  </w:rPr>
                </m:ctrlPr>
              </m:sSubPr>
              <m:e>
                <m:r>
                  <w:rPr>
                    <w:rFonts w:eastAsiaTheme="minorHAnsi"/>
                  </w:rPr>
                  <m:t>ϖ</m:t>
                </m:r>
              </m:e>
              <m:sub>
                <m:r>
                  <w:rPr>
                    <w:rFonts w:eastAsiaTheme="minorHAnsi"/>
                  </w:rPr>
                  <m:t>p</m:t>
                </m:r>
                <m:r>
                  <m:rPr>
                    <m:sty m:val="p"/>
                  </m:rPr>
                  <w:rPr>
                    <w:rFonts w:eastAsiaTheme="minorHAnsi"/>
                  </w:rPr>
                  <m:t>,</m:t>
                </m:r>
                <m:r>
                  <w:rPr>
                    <w:rFonts w:eastAsiaTheme="minorHAnsi"/>
                  </w:rPr>
                  <m:t>g</m:t>
                </m:r>
                <m:r>
                  <m:rPr>
                    <m:sty m:val="p"/>
                  </m:rPr>
                  <w:rPr>
                    <w:rFonts w:eastAsiaTheme="minorHAnsi"/>
                  </w:rPr>
                  <m:t>=1</m:t>
                </m:r>
              </m:sub>
            </m:sSub>
            <m:r>
              <m:rPr>
                <m:sty m:val="p"/>
              </m:rPr>
              <w:rPr>
                <w:rFonts w:eastAsiaTheme="minorHAnsi"/>
              </w:rPr>
              <m:t>(</m:t>
            </m:r>
            <m:r>
              <w:rPr>
                <w:rFonts w:eastAsiaTheme="minorHAnsi"/>
              </w:rPr>
              <m:t>t</m:t>
            </m:r>
            <m:r>
              <m:rPr>
                <m:sty m:val="p"/>
              </m:rPr>
              <w:rPr>
                <w:rFonts w:eastAsiaTheme="minorHAnsi"/>
              </w:rPr>
              <m:t>)+</m:t>
            </m:r>
            <m:d>
              <m:dPr>
                <m:ctrlPr>
                  <w:rPr>
                    <w:rFonts w:eastAsiaTheme="minorHAnsi"/>
                  </w:rPr>
                </m:ctrlPr>
              </m:dPr>
              <m:e>
                <m:r>
                  <m:rPr>
                    <m:sty m:val="p"/>
                  </m:rPr>
                  <w:rPr>
                    <w:rFonts w:eastAsiaTheme="minorHAnsi"/>
                  </w:rPr>
                  <m:t>1-</m:t>
                </m:r>
                <m:sSub>
                  <m:sSubPr>
                    <m:ctrlPr>
                      <w:rPr>
                        <w:rFonts w:eastAsiaTheme="minorHAnsi"/>
                      </w:rPr>
                    </m:ctrlPr>
                  </m:sSubPr>
                  <m:e>
                    <m:r>
                      <w:rPr>
                        <w:rFonts w:eastAsiaTheme="minorHAnsi"/>
                      </w:rPr>
                      <m:t>ψ</m:t>
                    </m:r>
                  </m:e>
                  <m:sub>
                    <m:r>
                      <w:rPr>
                        <w:rFonts w:eastAsiaTheme="minorHAnsi"/>
                      </w:rPr>
                      <m:t>p</m:t>
                    </m:r>
                  </m:sub>
                </m:sSub>
                <m:d>
                  <m:dPr>
                    <m:ctrlPr>
                      <w:rPr>
                        <w:rFonts w:eastAsiaTheme="minorHAnsi"/>
                      </w:rPr>
                    </m:ctrlPr>
                  </m:dPr>
                  <m:e>
                    <m:r>
                      <w:rPr>
                        <w:rFonts w:eastAsiaTheme="minorHAnsi"/>
                      </w:rPr>
                      <m:t>t</m:t>
                    </m:r>
                  </m:e>
                </m:d>
              </m:e>
            </m:d>
            <m:r>
              <m:rPr>
                <m:sty m:val="p"/>
              </m:rPr>
              <w:rPr>
                <w:rFonts w:eastAsiaTheme="minorHAnsi"/>
              </w:rPr>
              <m:t>*</m:t>
            </m:r>
            <m:sSub>
              <m:sSubPr>
                <m:ctrlPr>
                  <w:rPr>
                    <w:rFonts w:eastAsiaTheme="minorHAnsi"/>
                  </w:rPr>
                </m:ctrlPr>
              </m:sSubPr>
              <m:e>
                <m:r>
                  <w:rPr>
                    <w:rFonts w:eastAsiaTheme="minorHAnsi"/>
                  </w:rPr>
                  <m:t>w</m:t>
                </m:r>
              </m:e>
              <m:sub>
                <m:r>
                  <w:rPr>
                    <w:rFonts w:eastAsiaTheme="minorHAnsi"/>
                  </w:rPr>
                  <m:t>c</m:t>
                </m:r>
                <m:r>
                  <m:rPr>
                    <m:sty m:val="p"/>
                  </m:rPr>
                  <w:rPr>
                    <w:rFonts w:eastAsiaTheme="minorHAnsi"/>
                  </w:rPr>
                  <m:t xml:space="preserve"> , </m:t>
                </m:r>
                <m:r>
                  <w:rPr>
                    <w:rFonts w:eastAsiaTheme="minorHAnsi"/>
                  </w:rPr>
                  <m:t>g</m:t>
                </m:r>
                <m:r>
                  <m:rPr>
                    <m:sty m:val="p"/>
                  </m:rPr>
                  <w:rPr>
                    <w:rFonts w:eastAsiaTheme="minorHAnsi"/>
                  </w:rPr>
                  <m:t>=2</m:t>
                </m:r>
              </m:sub>
            </m:sSub>
            <m:r>
              <m:rPr>
                <m:sty m:val="p"/>
              </m:rPr>
              <w:rPr>
                <w:rFonts w:eastAsiaTheme="minorHAnsi"/>
              </w:rPr>
              <m:t>*</m:t>
            </m:r>
            <m:sSub>
              <m:sSubPr>
                <m:ctrlPr>
                  <w:rPr>
                    <w:rFonts w:eastAsiaTheme="minorHAnsi"/>
                  </w:rPr>
                </m:ctrlPr>
              </m:sSubPr>
              <m:e>
                <m:r>
                  <w:rPr>
                    <w:rFonts w:eastAsiaTheme="minorHAnsi"/>
                  </w:rPr>
                  <m:t>ϖ</m:t>
                </m:r>
              </m:e>
              <m:sub>
                <m:r>
                  <w:rPr>
                    <w:rFonts w:eastAsiaTheme="minorHAnsi"/>
                  </w:rPr>
                  <m:t>p</m:t>
                </m:r>
                <m:r>
                  <m:rPr>
                    <m:sty m:val="p"/>
                  </m:rPr>
                  <w:rPr>
                    <w:rFonts w:eastAsiaTheme="minorHAnsi"/>
                  </w:rPr>
                  <m:t>,</m:t>
                </m:r>
                <m:r>
                  <w:rPr>
                    <w:rFonts w:eastAsiaTheme="minorHAnsi"/>
                  </w:rPr>
                  <m:t>g</m:t>
                </m:r>
                <m:r>
                  <m:rPr>
                    <m:sty m:val="p"/>
                  </m:rPr>
                  <w:rPr>
                    <w:rFonts w:eastAsiaTheme="minorHAnsi"/>
                  </w:rPr>
                  <m:t>=2</m:t>
                </m:r>
              </m:sub>
            </m:sSub>
            <m:r>
              <m:rPr>
                <m:sty m:val="p"/>
              </m:rPr>
              <w:rPr>
                <w:rFonts w:eastAsiaTheme="minorHAnsi"/>
              </w:rPr>
              <m:t>(</m:t>
            </m:r>
            <m:r>
              <w:rPr>
                <w:rFonts w:eastAsiaTheme="minorHAnsi"/>
              </w:rPr>
              <m:t>t</m:t>
            </m:r>
            <m:r>
              <m:rPr>
                <m:sty m:val="p"/>
              </m:rPr>
              <w:rPr>
                <w:rFonts w:eastAsiaTheme="minorHAnsi"/>
              </w:rPr>
              <m:t>)</m:t>
            </m:r>
          </m:e>
        </m:d>
      </m:oMath>
      <w:r w:rsidRPr="00C00335">
        <w:tab/>
        <w:t>(5</w:t>
      </w:r>
      <w:r w:rsidR="00C277F4" w:rsidRPr="00C00335">
        <w:t>.</w:t>
      </w:r>
      <w:r w:rsidR="00693DF2">
        <w:t>9</w:t>
      </w:r>
      <w:r w:rsidRPr="00C00335">
        <w:t>)</w:t>
      </w:r>
    </w:p>
    <w:p w14:paraId="7064C51B" w14:textId="77777777" w:rsidR="00E53406" w:rsidRPr="00C00335" w:rsidRDefault="005C4A78" w:rsidP="00474F9B">
      <w:pPr>
        <w:pStyle w:val="BodyText"/>
        <w:keepNext/>
        <w:rPr>
          <w:rFonts w:eastAsiaTheme="minorHAnsi"/>
        </w:rPr>
      </w:pPr>
      <w:r w:rsidRPr="00C00335">
        <w:rPr>
          <w:rFonts w:eastAsiaTheme="minorHAnsi"/>
        </w:rPr>
        <w:t>w</w:t>
      </w:r>
      <w:r w:rsidR="00E53406" w:rsidRPr="00C00335">
        <w:rPr>
          <w:rFonts w:eastAsiaTheme="minorHAnsi"/>
        </w:rPr>
        <w:t>here</w:t>
      </w:r>
    </w:p>
    <w:p w14:paraId="64EA9810" w14:textId="57D6CC25" w:rsidR="00E53406" w:rsidRPr="0023643C" w:rsidRDefault="00747E9D" w:rsidP="002B1372">
      <w:pPr>
        <w:pStyle w:val="bullets"/>
      </w:pPr>
      <m:oMath>
        <m:sSubSup>
          <m:sSubSupPr>
            <m:ctrlPr>
              <w:rPr>
                <w:rFonts w:ascii="Cambria Math" w:hAnsi="Cambria Math"/>
                <w:i/>
                <w:sz w:val="24"/>
              </w:rPr>
            </m:ctrlPr>
          </m:sSubSupPr>
          <m:e>
            <m:r>
              <w:rPr>
                <w:rFonts w:ascii="Cambria Math" w:hAnsi="Cambria Math"/>
              </w:rPr>
              <m:t>τ</m:t>
            </m:r>
          </m:e>
          <m:sub>
            <m:r>
              <w:rPr>
                <w:rFonts w:ascii="Cambria Math" w:hAnsi="Cambria Math"/>
              </w:rPr>
              <m:t>p</m:t>
            </m:r>
          </m:sub>
          <m:sup>
            <m:r>
              <w:rPr>
                <w:rFonts w:ascii="Cambria Math" w:hAnsi="Cambria Math"/>
              </w:rPr>
              <m:t>c</m:t>
            </m:r>
          </m:sup>
        </m:sSubSup>
        <m:r>
          <w:rPr>
            <w:rFonts w:ascii="Cambria Math" w:hAnsi="Cambria Math"/>
            <w:sz w:val="24"/>
          </w:rPr>
          <m:t>(t)</m:t>
        </m:r>
      </m:oMath>
      <w:r w:rsidR="00E53406" w:rsidRPr="00C00335">
        <w:t xml:space="preserve"> = </w:t>
      </w:r>
      <w:r w:rsidR="00CA4D64" w:rsidRPr="00C00335">
        <w:t>d</w:t>
      </w:r>
      <w:r w:rsidR="00DF5ADE" w:rsidRPr="00C00335">
        <w:t>iagnosis rate based on</w:t>
      </w:r>
      <w:r w:rsidR="00E53406" w:rsidRPr="00C00335">
        <w:t xml:space="preserve"> test and notification </w:t>
      </w:r>
      <w:r w:rsidR="00DF5ADE" w:rsidRPr="00C00335">
        <w:t xml:space="preserve">of </w:t>
      </w:r>
      <w:r w:rsidR="00E53406" w:rsidRPr="00C00335">
        <w:t>unaware</w:t>
      </w:r>
      <w:r w:rsidR="00DF5ADE" w:rsidRPr="00C00335">
        <w:t xml:space="preserve"> infected individuals in</w:t>
      </w:r>
      <w:r w:rsidR="00E53406" w:rsidRPr="00C00335">
        <w:t xml:space="preserve"> </w:t>
      </w:r>
      <w:r w:rsidR="008C3821" w:rsidRPr="0023643C">
        <w:t xml:space="preserve">compartment </w:t>
      </w:r>
      <w:r w:rsidR="008C3821" w:rsidRPr="0023643C">
        <w:rPr>
          <w:i/>
        </w:rPr>
        <w:t>c</w:t>
      </w:r>
      <w:r w:rsidR="00DF5ADE" w:rsidRPr="0023643C">
        <w:rPr>
          <w:iCs/>
        </w:rPr>
        <w:t xml:space="preserve">, progressing </w:t>
      </w:r>
      <w:r w:rsidR="00AF110F" w:rsidRPr="0023643C">
        <w:rPr>
          <w:iCs/>
        </w:rPr>
        <w:t xml:space="preserve">them </w:t>
      </w:r>
      <w:r w:rsidR="00DF5ADE" w:rsidRPr="0023643C">
        <w:rPr>
          <w:iCs/>
        </w:rPr>
        <w:t>from unaware</w:t>
      </w:r>
      <w:r w:rsidR="00DF5ADE" w:rsidRPr="0023643C">
        <w:rPr>
          <w:i/>
        </w:rPr>
        <w:t xml:space="preserve"> </w:t>
      </w:r>
      <w:r w:rsidR="00E53406" w:rsidRPr="0023643C">
        <w:t>(</w:t>
      </w:r>
      <w:r w:rsidR="00E53406" w:rsidRPr="0023643C">
        <w:rPr>
          <w:i/>
          <w:iCs/>
        </w:rPr>
        <w:t>r</w:t>
      </w:r>
      <w:r w:rsidR="00E628BE" w:rsidRPr="0023643C">
        <w:rPr>
          <w:i/>
          <w:iCs/>
        </w:rPr>
        <w:t> = </w:t>
      </w:r>
      <w:r w:rsidR="00E53406" w:rsidRPr="0023643C">
        <w:t>1) to aware (</w:t>
      </w:r>
      <w:r w:rsidR="00E53406" w:rsidRPr="0023643C">
        <w:rPr>
          <w:i/>
          <w:iCs/>
        </w:rPr>
        <w:t>r</w:t>
      </w:r>
      <w:r w:rsidR="00E628BE" w:rsidRPr="0023643C">
        <w:t> = </w:t>
      </w:r>
      <w:r w:rsidR="00E53406" w:rsidRPr="0023643C">
        <w:t>2</w:t>
      </w:r>
      <w:r w:rsidR="008C3821" w:rsidRPr="0023643C">
        <w:t xml:space="preserve"> or </w:t>
      </w:r>
      <w:r w:rsidR="008C3821" w:rsidRPr="0023643C">
        <w:rPr>
          <w:i/>
        </w:rPr>
        <w:t>r</w:t>
      </w:r>
      <w:r w:rsidR="00E628BE" w:rsidRPr="0023643C">
        <w:rPr>
          <w:i/>
        </w:rPr>
        <w:t> = </w:t>
      </w:r>
      <w:r w:rsidR="008C3821" w:rsidRPr="0023643C">
        <w:t>3</w:t>
      </w:r>
      <w:r w:rsidR="00E53406" w:rsidRPr="0023643C">
        <w:t xml:space="preserve">), by </w:t>
      </w:r>
      <w:r w:rsidR="000C57A4" w:rsidRPr="0023643C">
        <w:t xml:space="preserve">subpopulation </w:t>
      </w:r>
      <w:r w:rsidR="00E53406" w:rsidRPr="0023643C">
        <w:rPr>
          <w:i/>
        </w:rPr>
        <w:t>p</w:t>
      </w:r>
      <w:r w:rsidR="00425360" w:rsidRPr="0023643C">
        <w:t xml:space="preserve">, for </w:t>
      </w:r>
      <w:r w:rsidR="00425360" w:rsidRPr="0023643C">
        <w:rPr>
          <w:i/>
        </w:rPr>
        <w:t>c</w:t>
      </w:r>
      <w:r w:rsidR="00425360" w:rsidRPr="0023643C">
        <w:t xml:space="preserve"> = {3</w:t>
      </w:r>
      <w:r w:rsidR="004F4E6D" w:rsidRPr="0023643C">
        <w:t>,</w:t>
      </w:r>
      <w:r w:rsidR="00425360" w:rsidRPr="0023643C">
        <w:t xml:space="preserve"> 6, 11, 16, 21</w:t>
      </w:r>
      <w:proofErr w:type="gramStart"/>
      <w:r w:rsidR="00425360" w:rsidRPr="0023643C">
        <w:t>}</w:t>
      </w:r>
      <w:r w:rsidR="00CA4D64" w:rsidRPr="0023643C">
        <w:t>;</w:t>
      </w:r>
      <w:proofErr w:type="gramEnd"/>
    </w:p>
    <w:p w14:paraId="16D89660" w14:textId="48271D82" w:rsidR="00E12D6A" w:rsidRPr="0023643C" w:rsidRDefault="00747E9D" w:rsidP="00986CC6">
      <w:pPr>
        <w:pStyle w:val="bullets"/>
        <w:keepNext/>
      </w:pPr>
      <m:oMath>
        <m:sSub>
          <m:sSubPr>
            <m:ctrlPr>
              <w:rPr>
                <w:rFonts w:ascii="Cambria Math" w:hAnsi="Cambria Math"/>
                <w:i/>
              </w:rPr>
            </m:ctrlPr>
          </m:sSubPr>
          <m:e>
            <m:r>
              <w:rPr>
                <w:rFonts w:ascii="Cambria Math" w:hAnsi="Cambria Math"/>
                <w:sz w:val="22"/>
              </w:rPr>
              <m:t>ϵ</m:t>
            </m:r>
          </m:e>
          <m:sub>
            <m:r>
              <w:rPr>
                <w:rFonts w:ascii="Cambria Math" w:hAnsi="Cambria Math"/>
                <w:sz w:val="22"/>
              </w:rPr>
              <m:t>p</m:t>
            </m:r>
          </m:sub>
        </m:sSub>
        <m:r>
          <w:rPr>
            <w:rFonts w:ascii="Cambria Math" w:hAnsi="Cambria Math"/>
            <w:sz w:val="22"/>
          </w:rPr>
          <m:t>(t)</m:t>
        </m:r>
      </m:oMath>
      <w:r w:rsidR="00886E79" w:rsidRPr="0023643C">
        <w:t xml:space="preserve"> </w:t>
      </w:r>
      <w:r w:rsidR="00E12D6A" w:rsidRPr="0023643C">
        <w:t xml:space="preserve"> = </w:t>
      </w:r>
      <w:r w:rsidR="00CA4D64" w:rsidRPr="0023643C">
        <w:t>p</w:t>
      </w:r>
      <w:r w:rsidR="00E12D6A" w:rsidRPr="0023643C">
        <w:t>ercent</w:t>
      </w:r>
      <w:r w:rsidR="005B0687" w:rsidRPr="0023643C">
        <w:t>age</w:t>
      </w:r>
      <w:r w:rsidR="00E12D6A" w:rsidRPr="0023643C">
        <w:t xml:space="preserve"> of screens </w:t>
      </w:r>
      <w:r w:rsidR="005B0687" w:rsidRPr="0023643C">
        <w:t>that</w:t>
      </w:r>
      <w:r w:rsidR="00E12D6A" w:rsidRPr="0023643C">
        <w:t xml:space="preserve"> are rapid</w:t>
      </w:r>
      <w:r w:rsidR="00AF110F" w:rsidRPr="0023643C">
        <w:t xml:space="preserve"> (type of test </w:t>
      </w:r>
      <w:r w:rsidR="00AF110F" w:rsidRPr="0023643C">
        <w:rPr>
          <w:i/>
          <w:iCs/>
        </w:rPr>
        <w:t>g</w:t>
      </w:r>
      <w:r w:rsidR="00AF110F" w:rsidRPr="0023643C">
        <w:t xml:space="preserve"> = 1)</w:t>
      </w:r>
      <w:r w:rsidR="00886E79">
        <w:t xml:space="preserve"> across all settings</w:t>
      </w:r>
      <w:r w:rsidR="005B0687" w:rsidRPr="0023643C">
        <w:t>,</w:t>
      </w:r>
      <w:r w:rsidR="00E12D6A" w:rsidRPr="0023643C">
        <w:t xml:space="preserve"> by subpopulation </w:t>
      </w:r>
      <w:r w:rsidR="00E12D6A" w:rsidRPr="0023643C">
        <w:rPr>
          <w:i/>
        </w:rPr>
        <w:t>p</w:t>
      </w:r>
      <w:r w:rsidR="00617B5A" w:rsidRPr="0023643C">
        <w:rPr>
          <w:i/>
        </w:rPr>
        <w:t xml:space="preserve"> </w:t>
      </w:r>
      <w:r w:rsidR="00617B5A" w:rsidRPr="0023643C">
        <w:rPr>
          <w:iCs/>
        </w:rPr>
        <w:t>and time</w:t>
      </w:r>
      <w:r w:rsidR="00617B5A" w:rsidRPr="0023643C">
        <w:rPr>
          <w:i/>
        </w:rPr>
        <w:t xml:space="preserve"> t</w:t>
      </w:r>
      <w:r w:rsidR="00970794" w:rsidRPr="0023643C">
        <w:t>, calculated as:</w:t>
      </w:r>
      <w:r w:rsidR="00970794" w:rsidRPr="0023643C">
        <w:br/>
      </w:r>
      <m:oMathPara>
        <m:oMath>
          <m:sSub>
            <m:sSubPr>
              <m:ctrlPr>
                <w:rPr>
                  <w:rFonts w:ascii="Cambria Math" w:hAnsi="Cambria Math"/>
                  <w:i/>
                </w:rPr>
              </m:ctrlPr>
            </m:sSubPr>
            <m:e>
              <m:r>
                <w:rPr>
                  <w:rFonts w:ascii="Cambria Math" w:hAnsi="Cambria Math"/>
                  <w:sz w:val="22"/>
                </w:rPr>
                <m:t>ϵ</m:t>
              </m:r>
            </m:e>
            <m:sub>
              <m:r>
                <w:rPr>
                  <w:rFonts w:ascii="Cambria Math" w:hAnsi="Cambria Math"/>
                  <w:sz w:val="22"/>
                </w:rPr>
                <m:t>p</m:t>
              </m:r>
            </m:sub>
          </m:sSub>
          <m:r>
            <w:rPr>
              <w:rFonts w:ascii="Cambria Math" w:hAnsi="Cambria Math"/>
              <w:sz w:val="22"/>
            </w:rPr>
            <m:t>(t)</m:t>
          </m:r>
          <m:r>
            <m:rPr>
              <m:sty m:val="p"/>
            </m:rPr>
            <w:rPr>
              <w:rFonts w:ascii="Cambria Math" w:hAnsi="Cambria Math"/>
            </w:rPr>
            <m:t xml:space="preserve">  </m:t>
          </m:r>
          <m:r>
            <w:rPr>
              <w:rFonts w:ascii="Cambria Math" w:hAnsi="Cambria Math"/>
            </w:rPr>
            <m:t>=</m:t>
          </m:r>
          <m:nary>
            <m:naryPr>
              <m:chr m:val="∑"/>
              <m:limLoc m:val="undOvr"/>
              <m:supHide m:val="1"/>
              <m:ctrlPr>
                <w:rPr>
                  <w:rFonts w:ascii="Cambria Math" w:hAnsi="Cambria Math"/>
                  <w:i/>
                  <w:sz w:val="22"/>
                </w:rPr>
              </m:ctrlPr>
            </m:naryPr>
            <m:sub>
              <m:r>
                <w:rPr>
                  <w:rFonts w:ascii="Cambria Math" w:hAnsi="Cambria Math"/>
                  <w:sz w:val="22"/>
                </w:rPr>
                <m:t>v</m:t>
              </m:r>
            </m:sub>
            <m:sup/>
            <m:e>
              <m:r>
                <w:rPr>
                  <w:rFonts w:ascii="Cambria Math" w:hAnsi="Cambria Math"/>
                  <w:sz w:val="22"/>
                </w:rPr>
                <m:t>(</m:t>
              </m:r>
              <m:sSub>
                <m:sSubPr>
                  <m:ctrlPr>
                    <w:rPr>
                      <w:rFonts w:ascii="Cambria Math" w:hAnsi="Cambria Math"/>
                      <w:i/>
                    </w:rPr>
                  </m:ctrlPr>
                </m:sSubPr>
                <m:e>
                  <m:r>
                    <w:rPr>
                      <w:rFonts w:ascii="Cambria Math" w:hAnsi="Cambria Math"/>
                    </w:rPr>
                    <m:t>φ</m:t>
                  </m:r>
                </m:e>
                <m:sub>
                  <m:r>
                    <w:rPr>
                      <w:rFonts w:ascii="Cambria Math" w:hAnsi="Cambria Math"/>
                    </w:rPr>
                    <m:t>v</m:t>
                  </m:r>
                </m:sub>
              </m:sSub>
              <m:r>
                <w:rPr>
                  <w:rFonts w:ascii="Cambria Math" w:hAnsi="Cambria Math"/>
                  <w:sz w:val="22"/>
                </w:rPr>
                <m:t xml:space="preserve">* </m:t>
              </m:r>
              <m:sSubSup>
                <m:sSubSupPr>
                  <m:ctrlPr>
                    <w:rPr>
                      <w:rFonts w:ascii="Cambria Math" w:hAnsi="Cambria Math"/>
                      <w:i/>
                      <w:sz w:val="22"/>
                    </w:rPr>
                  </m:ctrlPr>
                </m:sSubSupPr>
                <m:e>
                  <m:r>
                    <w:rPr>
                      <w:rFonts w:ascii="Cambria Math" w:hAnsi="Cambria Math"/>
                      <w:sz w:val="22"/>
                    </w:rPr>
                    <m:t>ϵ</m:t>
                  </m:r>
                </m:e>
                <m:sub>
                  <m:r>
                    <w:rPr>
                      <w:rFonts w:ascii="Cambria Math" w:hAnsi="Cambria Math"/>
                      <w:sz w:val="22"/>
                    </w:rPr>
                    <m:t>p</m:t>
                  </m:r>
                </m:sub>
                <m:sup>
                  <m:r>
                    <w:rPr>
                      <w:rFonts w:ascii="Cambria Math" w:hAnsi="Cambria Math"/>
                      <w:sz w:val="22"/>
                    </w:rPr>
                    <m:t>v</m:t>
                  </m:r>
                </m:sup>
              </m:sSubSup>
              <m:r>
                <w:rPr>
                  <w:rFonts w:ascii="Cambria Math" w:hAnsi="Cambria Math"/>
                  <w:sz w:val="22"/>
                </w:rPr>
                <m:t>)</m:t>
              </m:r>
            </m:e>
          </m:nary>
          <m:r>
            <w:rPr>
              <w:rFonts w:ascii="Cambria Math" w:hAnsi="Cambria Math"/>
            </w:rPr>
            <m:t xml:space="preserve"> </m:t>
          </m:r>
          <m:r>
            <m:rPr>
              <m:sty m:val="p"/>
            </m:rPr>
            <w:rPr>
              <w:rFonts w:ascii="Cambria Math" w:hAnsi="Cambria Math"/>
            </w:rPr>
            <w:br/>
          </m:r>
        </m:oMath>
      </m:oMathPara>
      <w:r w:rsidR="00274102" w:rsidRPr="0023643C">
        <w:t>where</w:t>
      </w:r>
    </w:p>
    <w:p w14:paraId="3CF5BD07" w14:textId="101C521E" w:rsidR="000741DE" w:rsidRPr="0023643C" w:rsidRDefault="00747E9D" w:rsidP="000741DE">
      <w:pPr>
        <w:pStyle w:val="bullets-3rdlevel"/>
      </w:pPr>
      <m:oMath>
        <m:sSub>
          <m:sSubPr>
            <m:ctrlPr>
              <w:rPr>
                <w:rFonts w:ascii="Cambria Math" w:hAnsi="Cambria Math"/>
                <w:i/>
              </w:rPr>
            </m:ctrlPr>
          </m:sSubPr>
          <m:e>
            <m:r>
              <w:rPr>
                <w:rFonts w:ascii="Cambria Math" w:hAnsi="Cambria Math"/>
              </w:rPr>
              <m:t>φ</m:t>
            </m:r>
          </m:e>
          <m:sub>
            <m:r>
              <w:rPr>
                <w:rFonts w:ascii="Cambria Math" w:hAnsi="Cambria Math"/>
              </w:rPr>
              <m:t>v</m:t>
            </m:r>
          </m:sub>
        </m:sSub>
      </m:oMath>
      <w:r w:rsidR="000741DE" w:rsidRPr="0023643C">
        <w:t xml:space="preserve"> = </w:t>
      </w:r>
      <w:r w:rsidR="006F58AD" w:rsidRPr="0023643C">
        <w:t>p</w:t>
      </w:r>
      <w:r w:rsidR="000741DE" w:rsidRPr="0023643C">
        <w:t xml:space="preserve">ercentage of screens that occur in </w:t>
      </w:r>
      <w:r w:rsidR="001214DB" w:rsidRPr="0023643C">
        <w:t>setting v</w:t>
      </w:r>
      <w:r w:rsidR="000741DE" w:rsidRPr="0023643C">
        <w:t>; and</w:t>
      </w:r>
    </w:p>
    <w:p w14:paraId="0B942863" w14:textId="4FCFCEAB" w:rsidR="000741DE" w:rsidRPr="0023643C" w:rsidRDefault="00747E9D" w:rsidP="004B71BF">
      <w:pPr>
        <w:pStyle w:val="bullets-3rdlevel"/>
      </w:pPr>
      <m:oMath>
        <m:sSubSup>
          <m:sSubSupPr>
            <m:ctrlPr>
              <w:rPr>
                <w:rFonts w:ascii="Cambria Math" w:hAnsi="Cambria Math"/>
                <w:i/>
                <w:sz w:val="22"/>
              </w:rPr>
            </m:ctrlPr>
          </m:sSubSupPr>
          <m:e>
            <m:r>
              <w:rPr>
                <w:rFonts w:ascii="Cambria Math" w:hAnsi="Cambria Math"/>
                <w:sz w:val="22"/>
              </w:rPr>
              <m:t>ϵ</m:t>
            </m:r>
          </m:e>
          <m:sub>
            <m:r>
              <w:rPr>
                <w:rFonts w:ascii="Cambria Math" w:hAnsi="Cambria Math"/>
                <w:sz w:val="22"/>
              </w:rPr>
              <m:t>p</m:t>
            </m:r>
          </m:sub>
          <m:sup>
            <m:r>
              <w:rPr>
                <w:rFonts w:ascii="Cambria Math" w:hAnsi="Cambria Math"/>
                <w:sz w:val="22"/>
              </w:rPr>
              <m:t>v</m:t>
            </m:r>
          </m:sup>
        </m:sSubSup>
        <m:r>
          <w:rPr>
            <w:rFonts w:ascii="Cambria Math" w:hAnsi="Cambria Math"/>
            <w:sz w:val="22"/>
          </w:rPr>
          <m:t>(t)</m:t>
        </m:r>
      </m:oMath>
      <w:r w:rsidR="000741DE" w:rsidRPr="0023643C">
        <w:t xml:space="preserve"> = </w:t>
      </w:r>
      <w:r w:rsidR="006F58AD" w:rsidRPr="0023643C">
        <w:t>p</w:t>
      </w:r>
      <w:r w:rsidR="000741DE" w:rsidRPr="0023643C">
        <w:t>ercentage of screens that are rapid (type of test g = 1) in setting v, by subpopulation p</w:t>
      </w:r>
      <w:r w:rsidR="00886E79">
        <w:t xml:space="preserve"> and time </w:t>
      </w:r>
      <w:proofErr w:type="gramStart"/>
      <w:r w:rsidR="00886E79" w:rsidRPr="00886E79">
        <w:rPr>
          <w:i/>
          <w:iCs/>
        </w:rPr>
        <w:t>t</w:t>
      </w:r>
      <w:r w:rsidR="000741DE" w:rsidRPr="0023643C">
        <w:t>;</w:t>
      </w:r>
      <w:proofErr w:type="gramEnd"/>
    </w:p>
    <w:p w14:paraId="0E0D9E52" w14:textId="25D99B46" w:rsidR="000C57A4" w:rsidRPr="00C00335" w:rsidRDefault="00747E9D" w:rsidP="002B1372">
      <w:pPr>
        <w:pStyle w:val="bullets"/>
      </w:pPr>
      <m:oMath>
        <m:sSub>
          <m:sSubPr>
            <m:ctrlPr>
              <w:rPr>
                <w:rFonts w:ascii="Cambria Math" w:hAnsi="Cambria Math"/>
                <w:i/>
              </w:rPr>
            </m:ctrlPr>
          </m:sSubPr>
          <m:e>
            <m:r>
              <w:rPr>
                <w:rFonts w:ascii="Cambria Math" w:hAnsi="Cambria Math"/>
              </w:rPr>
              <m:t>ϖ</m:t>
            </m:r>
          </m:e>
          <m:sub>
            <m:r>
              <w:rPr>
                <w:rFonts w:ascii="Cambria Math" w:hAnsi="Cambria Math"/>
              </w:rPr>
              <m:t>p,g</m:t>
            </m:r>
          </m:sub>
        </m:sSub>
        <m:r>
          <w:rPr>
            <w:rFonts w:ascii="Cambria Math" w:hAnsi="Cambria Math"/>
          </w:rPr>
          <m:t>(t)</m:t>
        </m:r>
      </m:oMath>
      <w:r w:rsidR="000C57A4" w:rsidRPr="0023643C">
        <w:t xml:space="preserve"> = probability of notification given a</w:t>
      </w:r>
      <w:r w:rsidR="00436AD3" w:rsidRPr="0023643C">
        <w:t xml:space="preserve"> confirmed positive test</w:t>
      </w:r>
      <w:r w:rsidR="00436AD3" w:rsidRPr="00C00335">
        <w:t xml:space="preserve"> result</w:t>
      </w:r>
      <w:r w:rsidR="003168C5" w:rsidRPr="00C00335">
        <w:t xml:space="preserve"> for a previously undiagnosed individual in</w:t>
      </w:r>
      <w:r w:rsidR="000C57A4" w:rsidRPr="00C00335">
        <w:t xml:space="preserve"> subpopulation </w:t>
      </w:r>
      <w:r w:rsidR="000C57A4" w:rsidRPr="00C00335">
        <w:rPr>
          <w:i/>
        </w:rPr>
        <w:t>p</w:t>
      </w:r>
      <w:r w:rsidR="00436AD3" w:rsidRPr="00C00335">
        <w:rPr>
          <w:i/>
        </w:rPr>
        <w:t xml:space="preserve"> </w:t>
      </w:r>
      <w:r w:rsidR="00436AD3" w:rsidRPr="00C00335">
        <w:t>and type of test</w:t>
      </w:r>
      <w:r w:rsidR="00436AD3" w:rsidRPr="00C00335">
        <w:rPr>
          <w:i/>
        </w:rPr>
        <w:t xml:space="preserve"> g</w:t>
      </w:r>
      <w:r w:rsidR="002B5D24" w:rsidRPr="00C00335">
        <w:rPr>
          <w:iCs/>
        </w:rPr>
        <w:t xml:space="preserve"> at time </w:t>
      </w:r>
      <w:r w:rsidR="002B5D24" w:rsidRPr="00C00335">
        <w:rPr>
          <w:i/>
        </w:rPr>
        <w:t>t</w:t>
      </w:r>
      <w:r w:rsidR="00CA4D64" w:rsidRPr="00C00335">
        <w:rPr>
          <w:iCs/>
        </w:rPr>
        <w:t>; and</w:t>
      </w:r>
    </w:p>
    <w:p w14:paraId="3B7F612B" w14:textId="4F17FC31" w:rsidR="00E53406" w:rsidRPr="00C00335" w:rsidRDefault="000C57A4" w:rsidP="002B1372">
      <w:pPr>
        <w:pStyle w:val="bullets"/>
      </w:pPr>
      <w:proofErr w:type="spellStart"/>
      <w:r w:rsidRPr="00C00335">
        <w:rPr>
          <w:i/>
        </w:rPr>
        <w:t>w</w:t>
      </w:r>
      <w:r w:rsidRPr="00C00335">
        <w:rPr>
          <w:i/>
          <w:vertAlign w:val="subscript"/>
        </w:rPr>
        <w:t>c</w:t>
      </w:r>
      <w:r w:rsidR="00436AD3" w:rsidRPr="00C00335">
        <w:rPr>
          <w:i/>
          <w:vertAlign w:val="subscript"/>
        </w:rPr>
        <w:t>,g</w:t>
      </w:r>
      <w:proofErr w:type="spellEnd"/>
      <w:r w:rsidR="000C2D5B" w:rsidRPr="00C00335">
        <w:rPr>
          <w:i/>
          <w:vertAlign w:val="subscript"/>
        </w:rPr>
        <w:t xml:space="preserve"> </w:t>
      </w:r>
      <w:r w:rsidRPr="00C00335">
        <w:rPr>
          <w:i/>
        </w:rPr>
        <w:t>=</w:t>
      </w:r>
      <w:r w:rsidR="000C2D5B" w:rsidRPr="00C00335">
        <w:rPr>
          <w:i/>
        </w:rPr>
        <w:t xml:space="preserve"> </w:t>
      </w:r>
      <w:r w:rsidR="00CA4D64" w:rsidRPr="00C00335">
        <w:t>t</w:t>
      </w:r>
      <w:r w:rsidRPr="00C00335">
        <w:t xml:space="preserve">est sensitivity by compartment </w:t>
      </w:r>
      <w:r w:rsidRPr="00C00335">
        <w:rPr>
          <w:i/>
        </w:rPr>
        <w:t>c</w:t>
      </w:r>
      <w:r w:rsidR="00E12D6A" w:rsidRPr="00C00335">
        <w:t xml:space="preserve"> and type of test</w:t>
      </w:r>
      <w:r w:rsidR="00436AD3" w:rsidRPr="00C00335">
        <w:t xml:space="preserve"> </w:t>
      </w:r>
      <w:proofErr w:type="spellStart"/>
      <w:r w:rsidR="00436AD3" w:rsidRPr="00C00335">
        <w:rPr>
          <w:i/>
        </w:rPr>
        <w:t>g</w:t>
      </w:r>
      <w:r w:rsidR="00CA4D64" w:rsidRPr="00C00335">
        <w:rPr>
          <w:iCs/>
        </w:rPr>
        <w:t>.</w:t>
      </w:r>
      <w:proofErr w:type="spellEnd"/>
    </w:p>
    <w:p w14:paraId="20BF7D00" w14:textId="2A6BA984" w:rsidR="000F420A" w:rsidRPr="00C00335" w:rsidRDefault="00617B5A" w:rsidP="00766A8C">
      <w:pPr>
        <w:pStyle w:val="BodyText"/>
      </w:pPr>
      <w:r w:rsidRPr="00C00335">
        <w:rPr>
          <w:rFonts w:eastAsiaTheme="minorHAnsi"/>
        </w:rPr>
        <w:t xml:space="preserve">Undiagnosed infected individuals </w:t>
      </w:r>
      <w:r w:rsidR="00186AEF" w:rsidRPr="00C00335">
        <w:t>who</w:t>
      </w:r>
      <w:r w:rsidR="00FD4CDF" w:rsidRPr="00C00335">
        <w:t xml:space="preserve"> are diagnosed progress either to the aware stages without immediate linkage to </w:t>
      </w:r>
      <w:r w:rsidR="003C0141" w:rsidRPr="00C00335">
        <w:t xml:space="preserve">HIV </w:t>
      </w:r>
      <w:r w:rsidR="00FD4CDF" w:rsidRPr="00C00335">
        <w:t>care (</w:t>
      </w:r>
      <w:r w:rsidR="00FD4CDF" w:rsidRPr="00C00335">
        <w:rPr>
          <w:i/>
        </w:rPr>
        <w:t>r</w:t>
      </w:r>
      <w:r w:rsidR="00E628BE" w:rsidRPr="00C00335">
        <w:rPr>
          <w:i/>
        </w:rPr>
        <w:t> = </w:t>
      </w:r>
      <w:r w:rsidR="00FD4CDF" w:rsidRPr="00C00335">
        <w:t xml:space="preserve">1 to </w:t>
      </w:r>
      <w:r w:rsidR="00FD4CDF" w:rsidRPr="00C00335">
        <w:rPr>
          <w:i/>
        </w:rPr>
        <w:t>r</w:t>
      </w:r>
      <w:r w:rsidR="00E628BE" w:rsidRPr="00C00335">
        <w:t> = </w:t>
      </w:r>
      <w:r w:rsidR="008C3821" w:rsidRPr="00C00335">
        <w:t>2</w:t>
      </w:r>
      <w:r w:rsidR="00FD4CDF" w:rsidRPr="00C00335">
        <w:t xml:space="preserve">) or to the aware stages with immediate linkage to </w:t>
      </w:r>
      <w:r w:rsidR="003C0141" w:rsidRPr="00C00335">
        <w:t xml:space="preserve">HIV </w:t>
      </w:r>
      <w:r w:rsidR="00FD4CDF" w:rsidRPr="00C00335">
        <w:t>care (</w:t>
      </w:r>
      <w:r w:rsidR="00FD4CDF" w:rsidRPr="00C00335">
        <w:rPr>
          <w:i/>
        </w:rPr>
        <w:t>r</w:t>
      </w:r>
      <w:r w:rsidR="00E628BE" w:rsidRPr="00C00335">
        <w:rPr>
          <w:i/>
        </w:rPr>
        <w:t> = </w:t>
      </w:r>
      <w:r w:rsidR="00FD4CDF" w:rsidRPr="00C00335">
        <w:t xml:space="preserve">1 to </w:t>
      </w:r>
      <w:r w:rsidR="00FD4CDF" w:rsidRPr="00C00335">
        <w:rPr>
          <w:i/>
        </w:rPr>
        <w:t>r</w:t>
      </w:r>
      <w:r w:rsidR="00E628BE" w:rsidRPr="00C00335">
        <w:t> = </w:t>
      </w:r>
      <w:r w:rsidR="00FD4CDF" w:rsidRPr="00C00335">
        <w:t>3).</w:t>
      </w:r>
      <w:r w:rsidR="000F420A" w:rsidRPr="00C00335">
        <w:t xml:space="preserve"> </w:t>
      </w:r>
      <w:r w:rsidR="005F5C70" w:rsidRPr="00C00335">
        <w:t>HIV-uninfected</w:t>
      </w:r>
      <w:r w:rsidR="00FD4CDF" w:rsidRPr="00C00335">
        <w:t xml:space="preserve"> individuals cannot be diagnosed </w:t>
      </w:r>
      <w:r w:rsidR="00186AEF" w:rsidRPr="00C00335">
        <w:t xml:space="preserve">and do not </w:t>
      </w:r>
      <w:r w:rsidR="00FD4CDF" w:rsidRPr="00C00335">
        <w:t>transition between</w:t>
      </w:r>
      <w:r w:rsidR="00186AEF" w:rsidRPr="00C00335">
        <w:t xml:space="preserve"> the main</w:t>
      </w:r>
      <w:r w:rsidR="00FD4CDF" w:rsidRPr="00C00335">
        <w:t xml:space="preserve"> compartments; if tested, they remain in the susceptible stage (</w:t>
      </w:r>
      <w:r w:rsidR="00FD4CDF" w:rsidRPr="00C00335">
        <w:rPr>
          <w:i/>
        </w:rPr>
        <w:t>h</w:t>
      </w:r>
      <w:r w:rsidR="00E628BE" w:rsidRPr="00C00335">
        <w:t> = </w:t>
      </w:r>
      <w:r w:rsidR="00FD4CDF" w:rsidRPr="00C00335">
        <w:t>0)</w:t>
      </w:r>
      <w:r w:rsidRPr="00C00335">
        <w:t>; the only effect of their testing in the model is to incur costs</w:t>
      </w:r>
      <w:r w:rsidR="00FD4CDF" w:rsidRPr="00C00335">
        <w:t>.</w:t>
      </w:r>
      <w:r w:rsidR="00AF110F" w:rsidRPr="00C00335">
        <w:t xml:space="preserve"> </w:t>
      </w:r>
      <w:r w:rsidR="00766A8C" w:rsidRPr="00C00335">
        <w:t xml:space="preserve">The model assumed </w:t>
      </w:r>
      <w:r w:rsidR="00AF110F" w:rsidRPr="00C00335">
        <w:t>100% test specificity.</w:t>
      </w:r>
    </w:p>
    <w:p w14:paraId="144CBDF3" w14:textId="13980D1A" w:rsidR="00B20C8F" w:rsidRPr="00C00335" w:rsidRDefault="00A504C0" w:rsidP="004B71BF">
      <w:pPr>
        <w:pStyle w:val="Heading2"/>
      </w:pPr>
      <w:bookmarkStart w:id="56" w:name="_Toc89257541"/>
      <w:bookmarkStart w:id="57" w:name="_Toc398293117"/>
      <w:bookmarkStart w:id="58" w:name="_Hlk50033022"/>
      <w:r w:rsidRPr="00A504C0">
        <w:t xml:space="preserve">Transitions between Compartments Due to </w:t>
      </w:r>
      <w:proofErr w:type="spellStart"/>
      <w:r w:rsidR="00B20C8F" w:rsidRPr="00C00335">
        <w:t>PrEP</w:t>
      </w:r>
      <w:proofErr w:type="spellEnd"/>
      <w:r w:rsidR="00B20C8F" w:rsidRPr="00C00335">
        <w:t xml:space="preserve"> </w:t>
      </w:r>
      <w:r w:rsidR="000F3209" w:rsidRPr="00C00335">
        <w:t>P</w:t>
      </w:r>
      <w:r w:rsidR="00B20C8F" w:rsidRPr="00C00335">
        <w:t>articipation</w:t>
      </w:r>
      <w:bookmarkEnd w:id="56"/>
    </w:p>
    <w:p w14:paraId="097466CE" w14:textId="1AD71188" w:rsidR="0020712D" w:rsidRPr="00E832D1" w:rsidRDefault="0020712D" w:rsidP="00546F1F">
      <w:pPr>
        <w:pStyle w:val="BodyText"/>
      </w:pPr>
      <w:r w:rsidRPr="00E832D1">
        <w:t xml:space="preserve">High-risk HETs, high-risk MSM, and PWID were assumed to be eligible for </w:t>
      </w:r>
      <w:proofErr w:type="spellStart"/>
      <w:r w:rsidRPr="00E832D1">
        <w:t>PrEP.</w:t>
      </w:r>
      <w:proofErr w:type="spellEnd"/>
      <w:r w:rsidRPr="00E832D1">
        <w:t xml:space="preserve"> </w:t>
      </w:r>
      <w:r w:rsidR="00B20C8F" w:rsidRPr="00E832D1">
        <w:t xml:space="preserve">Uninfected </w:t>
      </w:r>
      <w:r w:rsidRPr="00E832D1">
        <w:t>people in those subpopulations could</w:t>
      </w:r>
      <w:r w:rsidR="00B20C8F" w:rsidRPr="00E832D1">
        <w:t xml:space="preserve"> initiate or </w:t>
      </w:r>
      <w:r w:rsidR="00766A8C" w:rsidRPr="00E832D1">
        <w:t>stop participation in</w:t>
      </w:r>
      <w:r w:rsidR="00B20C8F" w:rsidRPr="00E832D1">
        <w:t xml:space="preserve"> </w:t>
      </w:r>
      <w:proofErr w:type="spellStart"/>
      <w:r w:rsidR="00B20C8F" w:rsidRPr="00E832D1">
        <w:t>PrEP</w:t>
      </w:r>
      <w:proofErr w:type="spellEnd"/>
      <w:r w:rsidR="008C3EEF" w:rsidRPr="00E832D1">
        <w:t xml:space="preserve"> each year</w:t>
      </w:r>
      <w:r w:rsidR="00B20C8F" w:rsidRPr="00E832D1">
        <w:t xml:space="preserve">, </w:t>
      </w:r>
      <w:proofErr w:type="gramStart"/>
      <w:r w:rsidR="00B20C8F" w:rsidRPr="00E832D1">
        <w:t>but</w:t>
      </w:r>
      <w:r w:rsidR="00B21B19" w:rsidRPr="00E832D1">
        <w:t>,</w:t>
      </w:r>
      <w:proofErr w:type="gramEnd"/>
      <w:r w:rsidR="00B21B19" w:rsidRPr="00E832D1">
        <w:t xml:space="preserve"> being uninfected,</w:t>
      </w:r>
      <w:r w:rsidR="00693DF2" w:rsidRPr="00E832D1">
        <w:t xml:space="preserve"> </w:t>
      </w:r>
      <w:r w:rsidR="00B20C8F" w:rsidRPr="00E832D1">
        <w:t xml:space="preserve">they do not transition between the continuum-of-care stages. </w:t>
      </w:r>
    </w:p>
    <w:p w14:paraId="5A996DB1" w14:textId="7BA6866E" w:rsidR="000C2107" w:rsidRPr="00421CB1" w:rsidRDefault="008C3EEF" w:rsidP="00546F1F">
      <w:pPr>
        <w:pStyle w:val="BodyText"/>
      </w:pPr>
      <w:r w:rsidRPr="00421CB1">
        <w:t>T</w:t>
      </w:r>
      <w:r w:rsidR="00B20C8F" w:rsidRPr="00421CB1">
        <w:t>he model</w:t>
      </w:r>
      <w:r w:rsidR="0035118C" w:rsidRPr="00421CB1">
        <w:t xml:space="preserve"> does not </w:t>
      </w:r>
      <w:r w:rsidR="00170A3B" w:rsidRPr="00421CB1">
        <w:t xml:space="preserve">consider </w:t>
      </w:r>
      <w:proofErr w:type="spellStart"/>
      <w:r w:rsidR="00170A3B" w:rsidRPr="00421CB1">
        <w:t>PrEP</w:t>
      </w:r>
      <w:proofErr w:type="spellEnd"/>
      <w:r w:rsidR="00170A3B" w:rsidRPr="00421CB1">
        <w:t xml:space="preserve"> in the first and second time periods but does allow for </w:t>
      </w:r>
      <w:proofErr w:type="spellStart"/>
      <w:r w:rsidR="00170A3B" w:rsidRPr="00421CB1">
        <w:t>PrEP</w:t>
      </w:r>
      <w:proofErr w:type="spellEnd"/>
      <w:r w:rsidR="00170A3B" w:rsidRPr="00421CB1">
        <w:t xml:space="preserve"> in the third time period. In the</w:t>
      </w:r>
      <w:r w:rsidR="00B20C8F" w:rsidRPr="00421CB1">
        <w:t xml:space="preserve"> base-case</w:t>
      </w:r>
      <w:r w:rsidR="00170A3B" w:rsidRPr="00421CB1">
        <w:t>, however,</w:t>
      </w:r>
      <w:r w:rsidR="00B20C8F" w:rsidRPr="00421CB1">
        <w:t xml:space="preserve"> no use of </w:t>
      </w:r>
      <w:proofErr w:type="spellStart"/>
      <w:r w:rsidR="00B20C8F" w:rsidRPr="00421CB1">
        <w:t>PrEP</w:t>
      </w:r>
      <w:proofErr w:type="spellEnd"/>
      <w:r w:rsidR="00170A3B" w:rsidRPr="00421CB1">
        <w:t xml:space="preserve"> is assumed</w:t>
      </w:r>
      <w:r w:rsidR="00B20C8F" w:rsidRPr="00421CB1">
        <w:t>.</w:t>
      </w:r>
      <w:r w:rsidR="00170A3B" w:rsidRPr="00421CB1">
        <w:t xml:space="preserve"> Use of </w:t>
      </w:r>
      <w:proofErr w:type="spellStart"/>
      <w:r w:rsidR="00170A3B" w:rsidRPr="00421CB1">
        <w:t>PrEP</w:t>
      </w:r>
      <w:proofErr w:type="spellEnd"/>
      <w:r w:rsidR="00170A3B" w:rsidRPr="00421CB1">
        <w:t xml:space="preserve"> is indicated by inputs that define initiation rates and rates of reduction in population on </w:t>
      </w:r>
      <w:proofErr w:type="spellStart"/>
      <w:r w:rsidR="00170A3B" w:rsidRPr="00421CB1">
        <w:t>PrEP</w:t>
      </w:r>
      <w:proofErr w:type="spellEnd"/>
      <w:r w:rsidR="00170A3B" w:rsidRPr="00421CB1">
        <w:t>, respectively, that can vary by year.</w:t>
      </w:r>
      <w:r w:rsidR="0020712D" w:rsidRPr="00421CB1">
        <w:t xml:space="preserve"> </w:t>
      </w:r>
    </w:p>
    <w:p w14:paraId="50397994" w14:textId="7B25E7F4" w:rsidR="00A6452A" w:rsidRPr="00C00335" w:rsidRDefault="008C3EEF" w:rsidP="00105AA4">
      <w:pPr>
        <w:pStyle w:val="BodyText"/>
      </w:pPr>
      <w:r w:rsidRPr="00E832D1">
        <w:t xml:space="preserve">Those uninfected individuals who </w:t>
      </w:r>
      <w:r w:rsidR="00724408" w:rsidRPr="00E832D1">
        <w:t>are in the “on</w:t>
      </w:r>
      <w:r w:rsidR="00784C65" w:rsidRPr="00E832D1">
        <w:t xml:space="preserve"> </w:t>
      </w:r>
      <w:proofErr w:type="spellStart"/>
      <w:r w:rsidR="00784C65" w:rsidRPr="00E832D1">
        <w:t>PrEP</w:t>
      </w:r>
      <w:proofErr w:type="spellEnd"/>
      <w:r w:rsidR="00724408" w:rsidRPr="00E832D1">
        <w:t xml:space="preserve">” compartment (c = 2) incur </w:t>
      </w:r>
      <w:r w:rsidR="007A340F" w:rsidRPr="00E832D1">
        <w:t xml:space="preserve">drug and monitoring </w:t>
      </w:r>
      <w:r w:rsidR="00724408" w:rsidRPr="00E832D1">
        <w:t xml:space="preserve">costs for </w:t>
      </w:r>
      <w:proofErr w:type="spellStart"/>
      <w:r w:rsidR="00724408" w:rsidRPr="00E832D1">
        <w:t>PrEP.</w:t>
      </w:r>
      <w:proofErr w:type="spellEnd"/>
      <w:r w:rsidR="00724408" w:rsidRPr="00E832D1">
        <w:t xml:space="preserve"> They also have reduced incidence of HIV infection (further discussed in </w:t>
      </w:r>
      <w:r w:rsidR="00CA2896" w:rsidRPr="00E832D1">
        <w:t>Section </w:t>
      </w:r>
      <w:r w:rsidR="00724408" w:rsidRPr="00E832D1">
        <w:t>6.4).</w:t>
      </w:r>
      <w:bookmarkEnd w:id="57"/>
      <w:r w:rsidR="0020712D" w:rsidRPr="00E832D1">
        <w:t xml:space="preserve"> People who became infected while on </w:t>
      </w:r>
      <w:proofErr w:type="spellStart"/>
      <w:r w:rsidR="0020712D" w:rsidRPr="00E832D1">
        <w:t>PrEP</w:t>
      </w:r>
      <w:proofErr w:type="spellEnd"/>
      <w:r w:rsidR="0020712D" w:rsidRPr="00E832D1">
        <w:t xml:space="preserve"> were assumed to be immediately diagnosed and linked to care, based on the assumption that those on </w:t>
      </w:r>
      <w:proofErr w:type="spellStart"/>
      <w:r w:rsidR="0020712D" w:rsidRPr="00E832D1">
        <w:t>PrEP</w:t>
      </w:r>
      <w:proofErr w:type="spellEnd"/>
      <w:r w:rsidR="0020712D" w:rsidRPr="00E832D1">
        <w:t xml:space="preserve"> are regularly tested and already engaged in medical care.</w:t>
      </w:r>
      <w:r w:rsidR="0020712D">
        <w:t xml:space="preserve"> </w:t>
      </w:r>
    </w:p>
    <w:bookmarkEnd w:id="58"/>
    <w:p w14:paraId="47F9F590" w14:textId="1FF8682A" w:rsidR="002F7514" w:rsidRPr="00C00335" w:rsidRDefault="002F7514" w:rsidP="00813D6D">
      <w:pPr>
        <w:pStyle w:val="BodyText"/>
        <w:sectPr w:rsidR="002F7514" w:rsidRPr="00C00335" w:rsidSect="003973F2">
          <w:headerReference w:type="even" r:id="rId54"/>
          <w:headerReference w:type="default" r:id="rId55"/>
          <w:footerReference w:type="even" r:id="rId56"/>
          <w:footerReference w:type="default" r:id="rId57"/>
          <w:endnotePr>
            <w:numFmt w:val="decimal"/>
          </w:endnotePr>
          <w:type w:val="oddPage"/>
          <w:pgSz w:w="12240" w:h="15840"/>
          <w:pgMar w:top="1440" w:right="1440" w:bottom="1440" w:left="1440" w:header="720" w:footer="720" w:gutter="0"/>
          <w:pgNumType w:chapStyle="1"/>
          <w:cols w:space="720"/>
          <w:docGrid w:linePitch="360"/>
        </w:sectPr>
      </w:pPr>
    </w:p>
    <w:p w14:paraId="5B4E6423" w14:textId="77777777" w:rsidR="009D5AF4" w:rsidRPr="00C00335" w:rsidRDefault="00B41A9A" w:rsidP="00B41A9A">
      <w:pPr>
        <w:pStyle w:val="Heading1"/>
      </w:pPr>
      <w:bookmarkStart w:id="59" w:name="_Toc398293118"/>
      <w:bookmarkStart w:id="60" w:name="_Toc89257542"/>
      <w:r w:rsidRPr="00C00335">
        <w:lastRenderedPageBreak/>
        <w:t>Force of Infection</w:t>
      </w:r>
      <w:bookmarkEnd w:id="59"/>
      <w:bookmarkEnd w:id="60"/>
    </w:p>
    <w:p w14:paraId="209061E8" w14:textId="29B58925" w:rsidR="004F4E6D" w:rsidRPr="00C00335" w:rsidRDefault="00B41A9A" w:rsidP="008E4622">
      <w:pPr>
        <w:pStyle w:val="BodyText"/>
      </w:pPr>
      <w:r w:rsidRPr="00C00335">
        <w:t>This section outlines the methods applied for calculating the force of HIV infection</w:t>
      </w:r>
      <w:r w:rsidR="003303A2" w:rsidRPr="00C00335">
        <w:t>, represented by lambda</w:t>
      </w:r>
      <w:r w:rsidRPr="00C00335">
        <w:t xml:space="preserve"> (λ). Infection via both vaginal and anal </w:t>
      </w:r>
      <w:r w:rsidR="00782B9B" w:rsidRPr="00C00335">
        <w:t>sex act</w:t>
      </w:r>
      <w:r w:rsidRPr="00C00335">
        <w:t>s occurs for</w:t>
      </w:r>
      <w:r w:rsidR="007A340F">
        <w:t xml:space="preserve"> at least </w:t>
      </w:r>
      <w:r w:rsidR="000C3E94">
        <w:t>some</w:t>
      </w:r>
      <w:r w:rsidR="007A340F">
        <w:t xml:space="preserve"> individuals in</w:t>
      </w:r>
      <w:r w:rsidRPr="00C00335">
        <w:t xml:space="preserve"> all transmission groups. Infection via </w:t>
      </w:r>
      <w:r w:rsidR="00DB6E5A" w:rsidRPr="00C00335">
        <w:t xml:space="preserve">shared </w:t>
      </w:r>
      <w:r w:rsidRPr="00C00335">
        <w:t>needle</w:t>
      </w:r>
      <w:r w:rsidR="00DB6E5A" w:rsidRPr="00C00335">
        <w:t>s</w:t>
      </w:r>
      <w:r w:rsidRPr="00C00335">
        <w:t xml:space="preserve"> occurs for </w:t>
      </w:r>
      <w:r w:rsidR="008E4622" w:rsidRPr="00C00335">
        <w:t>PWID</w:t>
      </w:r>
      <w:r w:rsidRPr="00C00335">
        <w:t xml:space="preserve"> only.</w:t>
      </w:r>
      <w:r w:rsidR="007E710A" w:rsidRPr="00C00335">
        <w:t xml:space="preserve"> Infection risk is calculated per person in the susceptible population.</w:t>
      </w:r>
    </w:p>
    <w:p w14:paraId="69646FD9" w14:textId="188BF397" w:rsidR="000F420A" w:rsidRPr="00C00335" w:rsidRDefault="00937B71" w:rsidP="00937B71">
      <w:pPr>
        <w:pStyle w:val="BodyText"/>
      </w:pPr>
      <w:r w:rsidRPr="00C00335">
        <w:t xml:space="preserve">The </w:t>
      </w:r>
      <w:r w:rsidRPr="001B00EF">
        <w:t xml:space="preserve">force of infection for susceptible individuals who are not on </w:t>
      </w:r>
      <w:proofErr w:type="spellStart"/>
      <w:r w:rsidRPr="001B00EF">
        <w:t>PrEP</w:t>
      </w:r>
      <w:proofErr w:type="spellEnd"/>
      <w:r w:rsidRPr="001B00EF">
        <w:t xml:space="preserve"> (</w:t>
      </w:r>
      <w:r w:rsidR="00D96458" w:rsidRPr="001B00EF">
        <w:t>c</w:t>
      </w:r>
      <w:r w:rsidR="00E628BE" w:rsidRPr="001B00EF">
        <w:t> = </w:t>
      </w:r>
      <w:r w:rsidRPr="001B00EF">
        <w:t>1)</w:t>
      </w:r>
      <w:r w:rsidR="00376E40" w:rsidRPr="001B00EF">
        <w:t xml:space="preserve"> or participating in a syringe exchange program (SEP; not distinguished by a separate compartment)</w:t>
      </w:r>
      <w:r w:rsidRPr="001B00EF">
        <w:t xml:space="preserve"> is equal to </w:t>
      </w:r>
      <w:r w:rsidRPr="001B00EF">
        <w:rPr>
          <w:rFonts w:ascii="Calibri" w:hAnsi="Calibri"/>
        </w:rPr>
        <w:t>λ</w:t>
      </w:r>
      <w:r w:rsidRPr="001B00EF">
        <w:t xml:space="preserve">. For susceptible individuals who are on </w:t>
      </w:r>
      <w:proofErr w:type="spellStart"/>
      <w:r w:rsidRPr="001B00EF">
        <w:t>PrEP</w:t>
      </w:r>
      <w:proofErr w:type="spellEnd"/>
      <w:r w:rsidR="00376E40" w:rsidRPr="001B00EF">
        <w:t xml:space="preserve"> or in an SEP</w:t>
      </w:r>
      <w:r w:rsidRPr="001B00EF">
        <w:t xml:space="preserve">, their force of infection is equal to </w:t>
      </w:r>
      <w:r w:rsidRPr="001B00EF">
        <w:rPr>
          <w:rFonts w:ascii="Calibri" w:hAnsi="Calibri"/>
        </w:rPr>
        <w:t>λ</w:t>
      </w:r>
      <w:r w:rsidRPr="001B00EF">
        <w:t xml:space="preserve"> reduced by a multiplicative reduction in infection risk</w:t>
      </w:r>
      <w:r w:rsidR="0021012F" w:rsidRPr="001B00EF">
        <w:t>; details on the application of those affects are outlined in Sections 6.4 and 6.5</w:t>
      </w:r>
      <w:r w:rsidRPr="001B00EF">
        <w:t>.</w:t>
      </w:r>
    </w:p>
    <w:p w14:paraId="4D23CF91" w14:textId="77777777" w:rsidR="00B41A9A" w:rsidRPr="00C00335" w:rsidRDefault="00B41A9A" w:rsidP="00B41A9A">
      <w:pPr>
        <w:pStyle w:val="Heading2"/>
      </w:pPr>
      <w:bookmarkStart w:id="61" w:name="_Toc398293119"/>
      <w:bookmarkStart w:id="62" w:name="_Toc89257543"/>
      <w:r w:rsidRPr="00C00335">
        <w:t>Sexual and Needle-</w:t>
      </w:r>
      <w:r w:rsidR="00D1426F" w:rsidRPr="00C00335">
        <w:t>S</w:t>
      </w:r>
      <w:r w:rsidRPr="00C00335">
        <w:t>haring Partnerships</w:t>
      </w:r>
      <w:bookmarkEnd w:id="61"/>
      <w:bookmarkEnd w:id="62"/>
    </w:p>
    <w:p w14:paraId="71DED18D" w14:textId="21878B1B" w:rsidR="000F420A" w:rsidRPr="00C00335" w:rsidRDefault="00B41A9A" w:rsidP="00511F42">
      <w:pPr>
        <w:pStyle w:val="BodyText"/>
      </w:pPr>
      <w:r w:rsidRPr="001B00EF">
        <w:t xml:space="preserve">The partner pool of each transmission group was </w:t>
      </w:r>
      <w:r w:rsidR="00FF226F" w:rsidRPr="001B00EF">
        <w:t xml:space="preserve">defined </w:t>
      </w:r>
      <w:r w:rsidRPr="001B00EF">
        <w:t xml:space="preserve">so that </w:t>
      </w:r>
      <w:r w:rsidR="00FF226F" w:rsidRPr="001B00EF">
        <w:t xml:space="preserve">illogical </w:t>
      </w:r>
      <w:r w:rsidR="007B52F2" w:rsidRPr="001B00EF">
        <w:t>partnerships</w:t>
      </w:r>
      <w:r w:rsidR="00820ABC" w:rsidRPr="001B00EF">
        <w:t xml:space="preserve">, such as </w:t>
      </w:r>
      <w:r w:rsidR="001D47C7" w:rsidRPr="001B00EF">
        <w:t xml:space="preserve">sexual partnerships </w:t>
      </w:r>
      <w:r w:rsidR="00820ABC" w:rsidRPr="001B00EF">
        <w:t>between HET males and HET males</w:t>
      </w:r>
      <w:r w:rsidR="001D47C7" w:rsidRPr="001B00EF">
        <w:t xml:space="preserve"> and needle-sharing partnerships between PWID and HETs (</w:t>
      </w:r>
      <w:r w:rsidR="00753E8A" w:rsidRPr="001B00EF">
        <w:t>as</w:t>
      </w:r>
      <w:r w:rsidR="001D47C7" w:rsidRPr="001B00EF">
        <w:t xml:space="preserve"> HETs do not, by definition, share needles)</w:t>
      </w:r>
      <w:r w:rsidR="00820ABC" w:rsidRPr="001B00EF">
        <w:t>,</w:t>
      </w:r>
      <w:r w:rsidRPr="001B00EF">
        <w:t xml:space="preserve"> did</w:t>
      </w:r>
      <w:r w:rsidRPr="00C00335">
        <w:t xml:space="preserve"> not occur</w:t>
      </w:r>
      <w:r w:rsidR="00820ABC" w:rsidRPr="00C00335">
        <w:t xml:space="preserve"> </w:t>
      </w:r>
      <w:r w:rsidR="00FF226F">
        <w:t xml:space="preserve">so that </w:t>
      </w:r>
      <w:r w:rsidR="00471841">
        <w:t>the partnerships</w:t>
      </w:r>
      <w:r w:rsidR="00FF226F">
        <w:t xml:space="preserve"> reflected available data on the distribution of each group’s partnering groups</w:t>
      </w:r>
      <w:r w:rsidR="00116715" w:rsidRPr="00C00335">
        <w:t xml:space="preserve">, </w:t>
      </w:r>
      <w:r w:rsidR="00513253">
        <w:t>(</w:t>
      </w:r>
      <w:proofErr w:type="gramStart"/>
      <w:r w:rsidR="00FF226F">
        <w:t>e.g.</w:t>
      </w:r>
      <w:proofErr w:type="gramEnd"/>
      <w:r w:rsidR="00FF226F">
        <w:t xml:space="preserve"> most of </w:t>
      </w:r>
      <w:r w:rsidR="00116715" w:rsidRPr="00C00335">
        <w:t>HET males</w:t>
      </w:r>
      <w:r w:rsidR="00FF226F">
        <w:t xml:space="preserve">’ </w:t>
      </w:r>
      <w:r w:rsidR="001D47C7">
        <w:t xml:space="preserve">sexual </w:t>
      </w:r>
      <w:r w:rsidR="00FF226F">
        <w:t xml:space="preserve">partners were </w:t>
      </w:r>
      <w:r w:rsidR="00116715" w:rsidRPr="00C00335">
        <w:t>HET females</w:t>
      </w:r>
      <w:r w:rsidRPr="00C00335">
        <w:t xml:space="preserve">. To implement </w:t>
      </w:r>
      <w:r w:rsidR="00FF226F">
        <w:t>these</w:t>
      </w:r>
      <w:r w:rsidR="00FF226F" w:rsidRPr="00C00335">
        <w:t xml:space="preserve"> </w:t>
      </w:r>
      <w:r w:rsidRPr="00C00335">
        <w:t>assumption</w:t>
      </w:r>
      <w:r w:rsidR="00FF226F">
        <w:t>s</w:t>
      </w:r>
      <w:r w:rsidRPr="00C00335">
        <w:t>, we created two mixing matrices to represent the distributions of sexual and needle-sharing partners, respectively, of the susceptible population</w:t>
      </w:r>
      <w:r w:rsidR="00820ABC" w:rsidRPr="00C00335">
        <w:t xml:space="preserve"> within any given year</w:t>
      </w:r>
      <w:r w:rsidRPr="00C00335">
        <w:t xml:space="preserve"> by transmission group, sex, risk level, race</w:t>
      </w:r>
      <w:r w:rsidR="00B8648E" w:rsidRPr="00C00335">
        <w:t>/ethnicity</w:t>
      </w:r>
      <w:r w:rsidRPr="00C00335">
        <w:t>, and age group</w:t>
      </w:r>
      <w:r w:rsidR="009F2437" w:rsidRPr="00C00335">
        <w:t>.</w:t>
      </w:r>
      <w:r w:rsidR="007E710A" w:rsidRPr="00C00335">
        <w:t xml:space="preserve"> Because infection risk is calculated from the perspective of the susceptible individual, only the mixing patterns of the susceptible population are relevant.</w:t>
      </w:r>
    </w:p>
    <w:p w14:paraId="0C1A134C" w14:textId="09CF4641" w:rsidR="00B41A9A" w:rsidRPr="00C00335" w:rsidRDefault="00B41A9A" w:rsidP="00E9227D">
      <w:pPr>
        <w:pStyle w:val="BodyText"/>
      </w:pPr>
      <w:r w:rsidRPr="00C00335">
        <w:t xml:space="preserve">The distribution of sexual partners was defined by sex and transmission group, </w:t>
      </w:r>
      <w:r w:rsidR="005E509E" w:rsidRPr="00C00335">
        <w:t>race/</w:t>
      </w:r>
      <w:r w:rsidR="00F10CCC" w:rsidRPr="00C00335">
        <w:t xml:space="preserve"> </w:t>
      </w:r>
      <w:r w:rsidR="005E509E" w:rsidRPr="00C00335">
        <w:t xml:space="preserve">ethnicity, age group, and </w:t>
      </w:r>
      <w:r w:rsidR="00D81284" w:rsidRPr="00C00335">
        <w:t xml:space="preserve">risk level. </w:t>
      </w:r>
      <w:r w:rsidR="00871E69" w:rsidRPr="00C00335">
        <w:t>Tables </w:t>
      </w:r>
      <w:r w:rsidR="00F36478" w:rsidRPr="00C00335">
        <w:t>6</w:t>
      </w:r>
      <w:r w:rsidR="00CC1362" w:rsidRPr="00C00335">
        <w:t>.</w:t>
      </w:r>
      <w:r w:rsidR="00150D22" w:rsidRPr="00C00335">
        <w:t xml:space="preserve">1 through </w:t>
      </w:r>
      <w:r w:rsidR="00F36478" w:rsidRPr="00C00335">
        <w:t>6</w:t>
      </w:r>
      <w:r w:rsidR="00CC1362" w:rsidRPr="00C00335">
        <w:t>.</w:t>
      </w:r>
      <w:r w:rsidR="00150D22" w:rsidRPr="00C00335">
        <w:t>4</w:t>
      </w:r>
      <w:r w:rsidRPr="00C00335">
        <w:t xml:space="preserve"> outline the values used to determine the distribution of sexual partn</w:t>
      </w:r>
      <w:r w:rsidR="002B54F6" w:rsidRPr="00C00335">
        <w:t xml:space="preserve">ers by these categories; </w:t>
      </w:r>
      <w:r w:rsidR="00871E69" w:rsidRPr="00C00335">
        <w:t>Tables </w:t>
      </w:r>
      <w:r w:rsidR="00946060" w:rsidRPr="00C00335">
        <w:t>6.5 through</w:t>
      </w:r>
      <w:r w:rsidR="00150D22" w:rsidRPr="00C00335">
        <w:t xml:space="preserve"> </w:t>
      </w:r>
      <w:r w:rsidR="00F36478" w:rsidRPr="00C00335">
        <w:t>6</w:t>
      </w:r>
      <w:r w:rsidR="00CC1362" w:rsidRPr="00C00335">
        <w:t>.</w:t>
      </w:r>
      <w:r w:rsidR="00694ABD" w:rsidRPr="00C00335">
        <w:t xml:space="preserve">7 </w:t>
      </w:r>
      <w:r w:rsidRPr="00C00335">
        <w:t xml:space="preserve">outline the values used to determine the </w:t>
      </w:r>
      <w:r w:rsidRPr="00E832D1">
        <w:t xml:space="preserve">distribution of needle-sharing partners. The values in </w:t>
      </w:r>
      <w:r w:rsidR="008131D8" w:rsidRPr="00E832D1">
        <w:t xml:space="preserve">several of </w:t>
      </w:r>
      <w:r w:rsidRPr="00E832D1">
        <w:t>these mixing matrices</w:t>
      </w:r>
      <w:r w:rsidR="008131D8" w:rsidRPr="00E832D1">
        <w:t xml:space="preserve"> (as specified in the </w:t>
      </w:r>
      <w:r w:rsidR="008131D8" w:rsidRPr="00E832D1">
        <w:rPr>
          <w:i/>
          <w:iCs/>
        </w:rPr>
        <w:t>Source</w:t>
      </w:r>
      <w:r w:rsidR="008131D8" w:rsidRPr="00E832D1">
        <w:t xml:space="preserve"> columns)</w:t>
      </w:r>
      <w:r w:rsidRPr="00E832D1">
        <w:t xml:space="preserve"> were calibrated </w:t>
      </w:r>
      <w:r w:rsidR="002B3F0A" w:rsidRPr="00E832D1">
        <w:t>to ensure</w:t>
      </w:r>
      <w:r w:rsidRPr="00E832D1">
        <w:t xml:space="preserve"> that the annual number of infections</w:t>
      </w:r>
      <w:r w:rsidR="006A61D1" w:rsidRPr="00E832D1">
        <w:t>, overall and by key subpopulations,</w:t>
      </w:r>
      <w:r w:rsidRPr="00E832D1">
        <w:t xml:space="preserve"> in </w:t>
      </w:r>
      <w:r w:rsidR="002F6834" w:rsidRPr="00E832D1">
        <w:t>201</w:t>
      </w:r>
      <w:r w:rsidR="00D52D3D" w:rsidRPr="00E832D1">
        <w:t>6</w:t>
      </w:r>
      <w:r w:rsidRPr="00E832D1">
        <w:t xml:space="preserve"> estimated by the model closely matched </w:t>
      </w:r>
      <w:r w:rsidR="002844F2" w:rsidRPr="00E832D1">
        <w:t xml:space="preserve">2016 </w:t>
      </w:r>
      <w:r w:rsidRPr="00E832D1">
        <w:t>surveillance data from CDC (</w:t>
      </w:r>
      <w:r w:rsidR="00C0235F" w:rsidRPr="00E832D1">
        <w:t>2019</w:t>
      </w:r>
      <w:r w:rsidR="00880BA0">
        <w:t>a</w:t>
      </w:r>
      <w:r w:rsidRPr="00E832D1">
        <w:t>)</w:t>
      </w:r>
      <w:r w:rsidR="006A61D1" w:rsidRPr="00E832D1">
        <w:t xml:space="preserve">; details on that calibration are outlined in Section </w:t>
      </w:r>
      <w:r w:rsidR="00176A62" w:rsidRPr="00E832D1">
        <w:t>1</w:t>
      </w:r>
      <w:r w:rsidR="00176A62">
        <w:t>0</w:t>
      </w:r>
      <w:r w:rsidRPr="00E832D1">
        <w:t>. We assumed random mixing within each</w:t>
      </w:r>
      <w:r w:rsidRPr="00D52D3D">
        <w:t xml:space="preserve"> partner pool.</w:t>
      </w:r>
    </w:p>
    <w:p w14:paraId="5F6314DD" w14:textId="4342F1CC" w:rsidR="008F5D01" w:rsidRPr="00C00335" w:rsidRDefault="008F5D01" w:rsidP="008F5D01">
      <w:pPr>
        <w:pStyle w:val="TableTitle"/>
      </w:pPr>
      <w:bookmarkStart w:id="63" w:name="_Toc89257596"/>
      <w:bookmarkStart w:id="64" w:name="_Toc398293120"/>
      <w:r w:rsidRPr="00C00335">
        <w:lastRenderedPageBreak/>
        <w:t xml:space="preserve">Table </w:t>
      </w:r>
      <w:r w:rsidR="00F36478" w:rsidRPr="00C00335">
        <w:t>6</w:t>
      </w:r>
      <w:r w:rsidR="00563F41" w:rsidRPr="00C00335">
        <w:t>.</w:t>
      </w:r>
      <w:r w:rsidRPr="00C00335">
        <w:t>1.</w:t>
      </w:r>
      <w:r w:rsidRPr="00C00335">
        <w:tab/>
        <w:t xml:space="preserve">Distribution of Sexual Partners by Sex and Transmission </w:t>
      </w:r>
      <w:r w:rsidR="00B8648E" w:rsidRPr="00C00335">
        <w:t>G</w:t>
      </w:r>
      <w:r w:rsidRPr="00C00335">
        <w:t>roup</w:t>
      </w:r>
      <w:bookmarkEnd w:id="63"/>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504"/>
        <w:gridCol w:w="954"/>
        <w:gridCol w:w="1085"/>
        <w:gridCol w:w="877"/>
        <w:gridCol w:w="1059"/>
        <w:gridCol w:w="1184"/>
        <w:gridCol w:w="2697"/>
      </w:tblGrid>
      <w:tr w:rsidR="00035E2A" w:rsidRPr="00C00335" w14:paraId="430D5B64" w14:textId="77777777" w:rsidTr="004C4731">
        <w:trPr>
          <w:cantSplit/>
          <w:tblHeader/>
        </w:trPr>
        <w:tc>
          <w:tcPr>
            <w:tcW w:w="9360" w:type="dxa"/>
            <w:gridSpan w:val="7"/>
            <w:tcBorders>
              <w:top w:val="single" w:sz="12" w:space="0" w:color="000000"/>
              <w:bottom w:val="single" w:sz="4" w:space="0" w:color="auto"/>
            </w:tcBorders>
            <w:shd w:val="clear" w:color="auto" w:fill="auto"/>
            <w:noWrap/>
            <w:vAlign w:val="bottom"/>
          </w:tcPr>
          <w:p w14:paraId="09FCD1E8" w14:textId="7CD44206" w:rsidR="00035E2A" w:rsidRPr="00C00335" w:rsidRDefault="00035E2A" w:rsidP="00474F9B">
            <w:pPr>
              <w:pStyle w:val="TableHeaders"/>
              <w:keepNext/>
              <w:spacing w:before="40" w:after="40"/>
            </w:pPr>
            <w:r w:rsidRPr="00C00335">
              <w:t>Partnering Populations</w:t>
            </w:r>
          </w:p>
        </w:tc>
      </w:tr>
      <w:tr w:rsidR="008F5D01" w:rsidRPr="00C00335" w14:paraId="280C45B5" w14:textId="77777777" w:rsidTr="004C4731">
        <w:trPr>
          <w:cantSplit/>
          <w:tblHeader/>
        </w:trPr>
        <w:tc>
          <w:tcPr>
            <w:tcW w:w="1504" w:type="dxa"/>
            <w:tcBorders>
              <w:top w:val="single" w:sz="4" w:space="0" w:color="auto"/>
              <w:bottom w:val="single" w:sz="6" w:space="0" w:color="auto"/>
            </w:tcBorders>
            <w:shd w:val="clear" w:color="auto" w:fill="auto"/>
            <w:noWrap/>
            <w:vAlign w:val="bottom"/>
            <w:hideMark/>
          </w:tcPr>
          <w:p w14:paraId="77243C59" w14:textId="77777777" w:rsidR="008F5D01" w:rsidRPr="00C00335" w:rsidRDefault="00B8648E" w:rsidP="00474F9B">
            <w:pPr>
              <w:pStyle w:val="TableHeaders"/>
              <w:keepNext/>
              <w:spacing w:before="40" w:after="40"/>
              <w:ind w:left="-81" w:right="-88"/>
            </w:pPr>
            <w:r w:rsidRPr="00C00335">
              <w:t>Sex and Transmission Group</w:t>
            </w:r>
          </w:p>
        </w:tc>
        <w:tc>
          <w:tcPr>
            <w:tcW w:w="954" w:type="dxa"/>
            <w:tcBorders>
              <w:top w:val="single" w:sz="4" w:space="0" w:color="auto"/>
              <w:bottom w:val="single" w:sz="6" w:space="0" w:color="auto"/>
            </w:tcBorders>
            <w:shd w:val="clear" w:color="auto" w:fill="auto"/>
            <w:noWrap/>
            <w:vAlign w:val="bottom"/>
            <w:hideMark/>
          </w:tcPr>
          <w:p w14:paraId="442C08E9" w14:textId="77777777" w:rsidR="008F5D01" w:rsidRPr="00C00335" w:rsidRDefault="008F5D01" w:rsidP="00474F9B">
            <w:pPr>
              <w:pStyle w:val="TableHeaders"/>
              <w:keepNext/>
              <w:spacing w:before="40" w:after="40"/>
            </w:pPr>
            <w:r w:rsidRPr="00C00335">
              <w:t xml:space="preserve">HET </w:t>
            </w:r>
            <w:r w:rsidRPr="00C00335">
              <w:br/>
              <w:t>Males</w:t>
            </w:r>
          </w:p>
        </w:tc>
        <w:tc>
          <w:tcPr>
            <w:tcW w:w="1085" w:type="dxa"/>
            <w:tcBorders>
              <w:top w:val="single" w:sz="4" w:space="0" w:color="auto"/>
              <w:bottom w:val="single" w:sz="6" w:space="0" w:color="auto"/>
            </w:tcBorders>
            <w:shd w:val="clear" w:color="auto" w:fill="auto"/>
            <w:noWrap/>
            <w:vAlign w:val="bottom"/>
            <w:hideMark/>
          </w:tcPr>
          <w:p w14:paraId="685E9FBE" w14:textId="77777777" w:rsidR="008F5D01" w:rsidRPr="00C00335" w:rsidRDefault="008F5D01" w:rsidP="00474F9B">
            <w:pPr>
              <w:pStyle w:val="TableHeaders"/>
              <w:keepNext/>
              <w:spacing w:before="40" w:after="40"/>
              <w:ind w:left="-95" w:right="-95"/>
            </w:pPr>
            <w:r w:rsidRPr="00C00335">
              <w:t>HET Females</w:t>
            </w:r>
          </w:p>
        </w:tc>
        <w:tc>
          <w:tcPr>
            <w:tcW w:w="877" w:type="dxa"/>
            <w:tcBorders>
              <w:top w:val="single" w:sz="4" w:space="0" w:color="auto"/>
              <w:bottom w:val="single" w:sz="6" w:space="0" w:color="auto"/>
            </w:tcBorders>
            <w:shd w:val="clear" w:color="auto" w:fill="auto"/>
            <w:noWrap/>
            <w:vAlign w:val="bottom"/>
            <w:hideMark/>
          </w:tcPr>
          <w:p w14:paraId="112338B5" w14:textId="77777777" w:rsidR="008F5D01" w:rsidRPr="00C00335" w:rsidRDefault="008F5D01" w:rsidP="00474F9B">
            <w:pPr>
              <w:pStyle w:val="TableHeaders"/>
              <w:keepNext/>
              <w:spacing w:before="40" w:after="40"/>
            </w:pPr>
            <w:r w:rsidRPr="00C00335">
              <w:t>MSM</w:t>
            </w:r>
          </w:p>
        </w:tc>
        <w:tc>
          <w:tcPr>
            <w:tcW w:w="1059" w:type="dxa"/>
            <w:tcBorders>
              <w:top w:val="single" w:sz="4" w:space="0" w:color="auto"/>
              <w:bottom w:val="single" w:sz="6" w:space="0" w:color="auto"/>
            </w:tcBorders>
            <w:shd w:val="clear" w:color="auto" w:fill="auto"/>
            <w:noWrap/>
            <w:vAlign w:val="bottom"/>
            <w:hideMark/>
          </w:tcPr>
          <w:p w14:paraId="0F4334D3" w14:textId="6F5B2F97" w:rsidR="008F5D01" w:rsidRPr="00C00335" w:rsidRDefault="00F77D76" w:rsidP="00474F9B">
            <w:pPr>
              <w:pStyle w:val="TableHeaders"/>
              <w:keepNext/>
              <w:spacing w:before="40" w:after="40"/>
            </w:pPr>
            <w:r w:rsidRPr="00C00335">
              <w:t>PWID</w:t>
            </w:r>
            <w:r w:rsidR="008F5D01" w:rsidRPr="00C00335">
              <w:t xml:space="preserve"> Males</w:t>
            </w:r>
          </w:p>
        </w:tc>
        <w:tc>
          <w:tcPr>
            <w:tcW w:w="1184" w:type="dxa"/>
            <w:tcBorders>
              <w:top w:val="single" w:sz="4" w:space="0" w:color="auto"/>
              <w:bottom w:val="single" w:sz="6" w:space="0" w:color="auto"/>
            </w:tcBorders>
            <w:shd w:val="clear" w:color="auto" w:fill="auto"/>
            <w:noWrap/>
            <w:vAlign w:val="bottom"/>
            <w:hideMark/>
          </w:tcPr>
          <w:p w14:paraId="204E378E" w14:textId="183DAA52" w:rsidR="008F5D01" w:rsidRPr="00C00335" w:rsidRDefault="00F77D76" w:rsidP="00474F9B">
            <w:pPr>
              <w:pStyle w:val="TableHeaders"/>
              <w:keepNext/>
              <w:spacing w:before="40" w:after="40"/>
            </w:pPr>
            <w:r w:rsidRPr="00C00335">
              <w:t>PWID</w:t>
            </w:r>
            <w:r w:rsidR="008F5D01" w:rsidRPr="00C00335">
              <w:t xml:space="preserve"> Females</w:t>
            </w:r>
          </w:p>
        </w:tc>
        <w:tc>
          <w:tcPr>
            <w:tcW w:w="2697" w:type="dxa"/>
            <w:tcBorders>
              <w:top w:val="single" w:sz="4" w:space="0" w:color="auto"/>
              <w:bottom w:val="single" w:sz="6" w:space="0" w:color="auto"/>
            </w:tcBorders>
            <w:shd w:val="clear" w:color="auto" w:fill="auto"/>
            <w:noWrap/>
            <w:vAlign w:val="bottom"/>
            <w:hideMark/>
          </w:tcPr>
          <w:p w14:paraId="73B5FF33" w14:textId="77777777" w:rsidR="008F5D01" w:rsidRPr="00C00335" w:rsidRDefault="008F5D01" w:rsidP="00474F9B">
            <w:pPr>
              <w:pStyle w:val="TableHeaders"/>
              <w:keepNext/>
              <w:spacing w:before="40" w:after="40"/>
            </w:pPr>
            <w:r w:rsidRPr="00C00335">
              <w:t>Source</w:t>
            </w:r>
          </w:p>
        </w:tc>
      </w:tr>
      <w:tr w:rsidR="00044BA9" w:rsidRPr="00C00335" w14:paraId="7C963C0F" w14:textId="77777777" w:rsidTr="00684AB2">
        <w:trPr>
          <w:cantSplit/>
        </w:trPr>
        <w:tc>
          <w:tcPr>
            <w:tcW w:w="1504" w:type="dxa"/>
            <w:tcBorders>
              <w:top w:val="single" w:sz="6" w:space="0" w:color="auto"/>
              <w:bottom w:val="single" w:sz="6" w:space="0" w:color="808080" w:themeColor="background1" w:themeShade="80"/>
            </w:tcBorders>
            <w:shd w:val="clear" w:color="auto" w:fill="auto"/>
            <w:noWrap/>
            <w:hideMark/>
          </w:tcPr>
          <w:p w14:paraId="79DB0618" w14:textId="77777777" w:rsidR="00044BA9" w:rsidRPr="00C00335" w:rsidRDefault="00044BA9" w:rsidP="00044BA9">
            <w:pPr>
              <w:pStyle w:val="TableText"/>
              <w:keepNext/>
              <w:spacing w:before="40" w:after="40"/>
            </w:pPr>
            <w:r w:rsidRPr="00C00335">
              <w:t>HET males</w:t>
            </w:r>
          </w:p>
        </w:tc>
        <w:tc>
          <w:tcPr>
            <w:tcW w:w="954" w:type="dxa"/>
            <w:tcBorders>
              <w:top w:val="single" w:sz="6" w:space="0" w:color="auto"/>
              <w:bottom w:val="single" w:sz="6" w:space="0" w:color="808080" w:themeColor="background1" w:themeShade="80"/>
            </w:tcBorders>
            <w:shd w:val="clear" w:color="auto" w:fill="auto"/>
            <w:noWrap/>
            <w:hideMark/>
          </w:tcPr>
          <w:p w14:paraId="6285C2A6" w14:textId="77777777" w:rsidR="00044BA9" w:rsidRPr="00C00335" w:rsidRDefault="00044BA9" w:rsidP="00044BA9">
            <w:pPr>
              <w:pStyle w:val="TableTextDec"/>
              <w:keepNext/>
              <w:tabs>
                <w:tab w:val="clear" w:pos="1015"/>
                <w:tab w:val="decimal" w:pos="388"/>
              </w:tabs>
              <w:spacing w:before="40" w:after="40"/>
              <w:jc w:val="center"/>
            </w:pPr>
          </w:p>
        </w:tc>
        <w:tc>
          <w:tcPr>
            <w:tcW w:w="1085" w:type="dxa"/>
            <w:tcBorders>
              <w:top w:val="single" w:sz="6" w:space="0" w:color="auto"/>
              <w:bottom w:val="single" w:sz="6" w:space="0" w:color="808080" w:themeColor="background1" w:themeShade="80"/>
            </w:tcBorders>
            <w:shd w:val="clear" w:color="auto" w:fill="auto"/>
            <w:noWrap/>
            <w:hideMark/>
          </w:tcPr>
          <w:p w14:paraId="408944EE" w14:textId="2035E120" w:rsidR="00044BA9" w:rsidRPr="00C00335" w:rsidRDefault="00044BA9" w:rsidP="00044BA9">
            <w:pPr>
              <w:pStyle w:val="TableTextDec"/>
              <w:keepNext/>
              <w:tabs>
                <w:tab w:val="clear" w:pos="1015"/>
                <w:tab w:val="decimal" w:pos="388"/>
              </w:tabs>
              <w:spacing w:before="40" w:after="40"/>
              <w:jc w:val="center"/>
            </w:pPr>
            <w:r w:rsidRPr="007D5702">
              <w:t>97.7%</w:t>
            </w:r>
          </w:p>
        </w:tc>
        <w:tc>
          <w:tcPr>
            <w:tcW w:w="877" w:type="dxa"/>
            <w:tcBorders>
              <w:top w:val="single" w:sz="6" w:space="0" w:color="auto"/>
              <w:bottom w:val="single" w:sz="6" w:space="0" w:color="808080" w:themeColor="background1" w:themeShade="80"/>
            </w:tcBorders>
            <w:shd w:val="clear" w:color="auto" w:fill="auto"/>
            <w:noWrap/>
            <w:hideMark/>
          </w:tcPr>
          <w:p w14:paraId="6D262424" w14:textId="77777777" w:rsidR="00044BA9" w:rsidRPr="00C00335" w:rsidRDefault="00044BA9" w:rsidP="00044BA9">
            <w:pPr>
              <w:pStyle w:val="TableTextDec"/>
              <w:keepNext/>
              <w:tabs>
                <w:tab w:val="clear" w:pos="1015"/>
              </w:tabs>
              <w:spacing w:before="40" w:after="40"/>
              <w:ind w:left="-96" w:right="-87"/>
              <w:jc w:val="center"/>
            </w:pPr>
          </w:p>
        </w:tc>
        <w:tc>
          <w:tcPr>
            <w:tcW w:w="1059" w:type="dxa"/>
            <w:tcBorders>
              <w:top w:val="single" w:sz="6" w:space="0" w:color="auto"/>
              <w:bottom w:val="single" w:sz="6" w:space="0" w:color="808080" w:themeColor="background1" w:themeShade="80"/>
            </w:tcBorders>
            <w:shd w:val="clear" w:color="auto" w:fill="auto"/>
            <w:noWrap/>
            <w:hideMark/>
          </w:tcPr>
          <w:p w14:paraId="6B45766E" w14:textId="77777777" w:rsidR="00044BA9" w:rsidRPr="00C00335" w:rsidRDefault="00044BA9" w:rsidP="00044BA9">
            <w:pPr>
              <w:pStyle w:val="TableTextDec"/>
              <w:keepNext/>
              <w:tabs>
                <w:tab w:val="clear" w:pos="1015"/>
                <w:tab w:val="decimal" w:pos="388"/>
              </w:tabs>
              <w:spacing w:before="40" w:after="40"/>
              <w:jc w:val="center"/>
            </w:pPr>
          </w:p>
        </w:tc>
        <w:tc>
          <w:tcPr>
            <w:tcW w:w="1184" w:type="dxa"/>
            <w:tcBorders>
              <w:top w:val="single" w:sz="6" w:space="0" w:color="auto"/>
              <w:bottom w:val="single" w:sz="6" w:space="0" w:color="808080" w:themeColor="background1" w:themeShade="80"/>
            </w:tcBorders>
            <w:shd w:val="clear" w:color="auto" w:fill="auto"/>
            <w:noWrap/>
            <w:hideMark/>
          </w:tcPr>
          <w:p w14:paraId="62DD55D1" w14:textId="7E482E38" w:rsidR="00044BA9" w:rsidRPr="00C00335" w:rsidRDefault="00044BA9" w:rsidP="00044BA9">
            <w:pPr>
              <w:pStyle w:val="TableTextDec"/>
              <w:keepNext/>
              <w:tabs>
                <w:tab w:val="clear" w:pos="1015"/>
                <w:tab w:val="decimal" w:pos="388"/>
              </w:tabs>
              <w:spacing w:before="40" w:after="40"/>
              <w:jc w:val="center"/>
            </w:pPr>
            <w:r w:rsidRPr="007D5702">
              <w:t>2.3%</w:t>
            </w:r>
          </w:p>
        </w:tc>
        <w:tc>
          <w:tcPr>
            <w:tcW w:w="2697" w:type="dxa"/>
            <w:tcBorders>
              <w:top w:val="single" w:sz="6" w:space="0" w:color="auto"/>
              <w:bottom w:val="single" w:sz="6" w:space="0" w:color="808080" w:themeColor="background1" w:themeShade="80"/>
            </w:tcBorders>
            <w:shd w:val="clear" w:color="auto" w:fill="auto"/>
            <w:noWrap/>
            <w:hideMark/>
          </w:tcPr>
          <w:p w14:paraId="60321681" w14:textId="77777777" w:rsidR="00044BA9" w:rsidRPr="00C00335" w:rsidRDefault="00044BA9" w:rsidP="00044BA9">
            <w:pPr>
              <w:pStyle w:val="TableText"/>
              <w:keepNext/>
              <w:spacing w:before="40" w:after="40"/>
            </w:pPr>
            <w:r w:rsidRPr="00C00335">
              <w:t>Determined by calibration</w:t>
            </w:r>
          </w:p>
        </w:tc>
      </w:tr>
      <w:tr w:rsidR="00044BA9" w:rsidRPr="00C00335" w14:paraId="52418656" w14:textId="77777777" w:rsidTr="00684AB2">
        <w:trPr>
          <w:cantSplit/>
        </w:trPr>
        <w:tc>
          <w:tcPr>
            <w:tcW w:w="1504" w:type="dxa"/>
            <w:tcBorders>
              <w:top w:val="single" w:sz="6" w:space="0" w:color="808080" w:themeColor="background1" w:themeShade="80"/>
              <w:bottom w:val="single" w:sz="6" w:space="0" w:color="808080" w:themeColor="background1" w:themeShade="80"/>
            </w:tcBorders>
            <w:shd w:val="clear" w:color="auto" w:fill="auto"/>
            <w:noWrap/>
            <w:hideMark/>
          </w:tcPr>
          <w:p w14:paraId="2A8B0C8D" w14:textId="77777777" w:rsidR="00044BA9" w:rsidRPr="00C00335" w:rsidRDefault="00044BA9" w:rsidP="00044BA9">
            <w:pPr>
              <w:pStyle w:val="TableText"/>
              <w:keepNext/>
              <w:spacing w:before="40" w:after="40"/>
            </w:pPr>
            <w:r w:rsidRPr="00C00335">
              <w:t>HET females</w:t>
            </w:r>
          </w:p>
        </w:tc>
        <w:tc>
          <w:tcPr>
            <w:tcW w:w="954" w:type="dxa"/>
            <w:tcBorders>
              <w:top w:val="single" w:sz="6" w:space="0" w:color="808080" w:themeColor="background1" w:themeShade="80"/>
              <w:bottom w:val="single" w:sz="6" w:space="0" w:color="808080" w:themeColor="background1" w:themeShade="80"/>
            </w:tcBorders>
            <w:shd w:val="clear" w:color="auto" w:fill="auto"/>
            <w:noWrap/>
            <w:hideMark/>
          </w:tcPr>
          <w:p w14:paraId="336D55DD" w14:textId="61AEDB30" w:rsidR="00044BA9" w:rsidRPr="00C00335" w:rsidRDefault="00044BA9" w:rsidP="00044BA9">
            <w:pPr>
              <w:pStyle w:val="TableTextDec"/>
              <w:keepNext/>
              <w:tabs>
                <w:tab w:val="clear" w:pos="1015"/>
                <w:tab w:val="decimal" w:pos="388"/>
              </w:tabs>
              <w:spacing w:before="40" w:after="40"/>
              <w:jc w:val="center"/>
            </w:pPr>
            <w:r w:rsidRPr="007D5702">
              <w:t>97.1%</w:t>
            </w:r>
          </w:p>
        </w:tc>
        <w:tc>
          <w:tcPr>
            <w:tcW w:w="1085" w:type="dxa"/>
            <w:tcBorders>
              <w:top w:val="single" w:sz="6" w:space="0" w:color="808080" w:themeColor="background1" w:themeShade="80"/>
              <w:bottom w:val="single" w:sz="6" w:space="0" w:color="808080" w:themeColor="background1" w:themeShade="80"/>
            </w:tcBorders>
            <w:shd w:val="clear" w:color="auto" w:fill="auto"/>
            <w:noWrap/>
            <w:hideMark/>
          </w:tcPr>
          <w:p w14:paraId="0483D48F" w14:textId="77777777" w:rsidR="00044BA9" w:rsidRPr="00C00335" w:rsidRDefault="00044BA9" w:rsidP="00044BA9">
            <w:pPr>
              <w:pStyle w:val="TableTextDec"/>
              <w:keepNext/>
              <w:tabs>
                <w:tab w:val="clear" w:pos="1015"/>
                <w:tab w:val="decimal" w:pos="388"/>
              </w:tabs>
              <w:spacing w:before="40" w:after="40"/>
              <w:jc w:val="center"/>
            </w:pPr>
          </w:p>
        </w:tc>
        <w:tc>
          <w:tcPr>
            <w:tcW w:w="877" w:type="dxa"/>
            <w:tcBorders>
              <w:top w:val="single" w:sz="6" w:space="0" w:color="808080" w:themeColor="background1" w:themeShade="80"/>
              <w:bottom w:val="single" w:sz="6" w:space="0" w:color="808080" w:themeColor="background1" w:themeShade="80"/>
            </w:tcBorders>
            <w:shd w:val="clear" w:color="auto" w:fill="auto"/>
            <w:noWrap/>
            <w:hideMark/>
          </w:tcPr>
          <w:p w14:paraId="507E1A2F" w14:textId="1C926998" w:rsidR="00044BA9" w:rsidRPr="00C00335" w:rsidRDefault="00044BA9" w:rsidP="00044BA9">
            <w:pPr>
              <w:pStyle w:val="TableTextDec"/>
              <w:keepNext/>
              <w:tabs>
                <w:tab w:val="clear" w:pos="1015"/>
              </w:tabs>
              <w:spacing w:before="40" w:after="40"/>
              <w:ind w:left="-96" w:right="-87"/>
              <w:jc w:val="center"/>
            </w:pPr>
            <w:r w:rsidRPr="007D5702">
              <w:t>2.7%</w:t>
            </w:r>
          </w:p>
        </w:tc>
        <w:tc>
          <w:tcPr>
            <w:tcW w:w="1059" w:type="dxa"/>
            <w:tcBorders>
              <w:top w:val="single" w:sz="6" w:space="0" w:color="808080" w:themeColor="background1" w:themeShade="80"/>
              <w:bottom w:val="single" w:sz="6" w:space="0" w:color="808080" w:themeColor="background1" w:themeShade="80"/>
            </w:tcBorders>
            <w:shd w:val="clear" w:color="auto" w:fill="auto"/>
            <w:noWrap/>
            <w:hideMark/>
          </w:tcPr>
          <w:p w14:paraId="10BF6BAC" w14:textId="19A015D4" w:rsidR="00044BA9" w:rsidRPr="00C00335" w:rsidRDefault="00044BA9" w:rsidP="00044BA9">
            <w:pPr>
              <w:pStyle w:val="TableTextDec"/>
              <w:keepNext/>
              <w:tabs>
                <w:tab w:val="clear" w:pos="1015"/>
                <w:tab w:val="decimal" w:pos="388"/>
              </w:tabs>
              <w:spacing w:before="40" w:after="40"/>
              <w:jc w:val="center"/>
            </w:pPr>
            <w:r w:rsidRPr="007D5702">
              <w:t>0.2%</w:t>
            </w:r>
          </w:p>
        </w:tc>
        <w:tc>
          <w:tcPr>
            <w:tcW w:w="1184" w:type="dxa"/>
            <w:tcBorders>
              <w:top w:val="single" w:sz="6" w:space="0" w:color="808080" w:themeColor="background1" w:themeShade="80"/>
              <w:bottom w:val="single" w:sz="6" w:space="0" w:color="808080" w:themeColor="background1" w:themeShade="80"/>
            </w:tcBorders>
            <w:shd w:val="clear" w:color="auto" w:fill="auto"/>
            <w:noWrap/>
            <w:hideMark/>
          </w:tcPr>
          <w:p w14:paraId="1A925CDC" w14:textId="77777777" w:rsidR="00044BA9" w:rsidRPr="00C00335" w:rsidRDefault="00044BA9" w:rsidP="00044BA9">
            <w:pPr>
              <w:pStyle w:val="TableTextDec"/>
              <w:keepNext/>
              <w:tabs>
                <w:tab w:val="clear" w:pos="1015"/>
                <w:tab w:val="decimal" w:pos="388"/>
              </w:tabs>
              <w:spacing w:before="40" w:after="40"/>
              <w:jc w:val="center"/>
            </w:pPr>
          </w:p>
        </w:tc>
        <w:tc>
          <w:tcPr>
            <w:tcW w:w="2697" w:type="dxa"/>
            <w:tcBorders>
              <w:top w:val="single" w:sz="6" w:space="0" w:color="808080" w:themeColor="background1" w:themeShade="80"/>
              <w:bottom w:val="single" w:sz="6" w:space="0" w:color="808080" w:themeColor="background1" w:themeShade="80"/>
            </w:tcBorders>
            <w:shd w:val="clear" w:color="auto" w:fill="auto"/>
            <w:noWrap/>
            <w:hideMark/>
          </w:tcPr>
          <w:p w14:paraId="7C012050" w14:textId="77777777" w:rsidR="00044BA9" w:rsidRPr="00C00335" w:rsidRDefault="00044BA9" w:rsidP="00044BA9">
            <w:pPr>
              <w:pStyle w:val="TableText"/>
              <w:keepNext/>
              <w:spacing w:before="40" w:after="40"/>
            </w:pPr>
            <w:r w:rsidRPr="00C00335">
              <w:t>Determined by calibration</w:t>
            </w:r>
          </w:p>
        </w:tc>
      </w:tr>
      <w:tr w:rsidR="00044BA9" w:rsidRPr="00C00335" w14:paraId="5F4B2807" w14:textId="77777777" w:rsidTr="00684AB2">
        <w:trPr>
          <w:cantSplit/>
        </w:trPr>
        <w:tc>
          <w:tcPr>
            <w:tcW w:w="1504" w:type="dxa"/>
            <w:tcBorders>
              <w:top w:val="single" w:sz="6" w:space="0" w:color="808080" w:themeColor="background1" w:themeShade="80"/>
              <w:bottom w:val="single" w:sz="6" w:space="0" w:color="808080" w:themeColor="background1" w:themeShade="80"/>
            </w:tcBorders>
            <w:shd w:val="clear" w:color="auto" w:fill="auto"/>
            <w:noWrap/>
            <w:hideMark/>
          </w:tcPr>
          <w:p w14:paraId="36CB7306" w14:textId="77777777" w:rsidR="00044BA9" w:rsidRPr="00C00335" w:rsidRDefault="00044BA9" w:rsidP="00044BA9">
            <w:pPr>
              <w:pStyle w:val="TableText"/>
              <w:keepNext/>
              <w:spacing w:before="40" w:after="40"/>
            </w:pPr>
            <w:r w:rsidRPr="00C00335">
              <w:t>MSM</w:t>
            </w:r>
          </w:p>
        </w:tc>
        <w:tc>
          <w:tcPr>
            <w:tcW w:w="954" w:type="dxa"/>
            <w:tcBorders>
              <w:top w:val="single" w:sz="6" w:space="0" w:color="808080" w:themeColor="background1" w:themeShade="80"/>
              <w:bottom w:val="single" w:sz="6" w:space="0" w:color="808080" w:themeColor="background1" w:themeShade="80"/>
            </w:tcBorders>
            <w:shd w:val="clear" w:color="auto" w:fill="auto"/>
            <w:noWrap/>
            <w:hideMark/>
          </w:tcPr>
          <w:p w14:paraId="36088898" w14:textId="77777777" w:rsidR="00044BA9" w:rsidRPr="00C00335" w:rsidRDefault="00044BA9" w:rsidP="00044BA9">
            <w:pPr>
              <w:pStyle w:val="TableTextDec"/>
              <w:keepNext/>
              <w:tabs>
                <w:tab w:val="clear" w:pos="1015"/>
                <w:tab w:val="decimal" w:pos="388"/>
              </w:tabs>
              <w:spacing w:before="40" w:after="40"/>
              <w:jc w:val="center"/>
            </w:pPr>
          </w:p>
        </w:tc>
        <w:tc>
          <w:tcPr>
            <w:tcW w:w="1085" w:type="dxa"/>
            <w:tcBorders>
              <w:top w:val="single" w:sz="6" w:space="0" w:color="808080" w:themeColor="background1" w:themeShade="80"/>
              <w:bottom w:val="single" w:sz="6" w:space="0" w:color="808080" w:themeColor="background1" w:themeShade="80"/>
            </w:tcBorders>
            <w:shd w:val="clear" w:color="auto" w:fill="auto"/>
            <w:noWrap/>
            <w:hideMark/>
          </w:tcPr>
          <w:p w14:paraId="006CF9C7" w14:textId="0FBE4C20" w:rsidR="00044BA9" w:rsidRPr="00C00335" w:rsidRDefault="00044BA9" w:rsidP="00044BA9">
            <w:pPr>
              <w:pStyle w:val="TableTextDec"/>
              <w:keepNext/>
              <w:tabs>
                <w:tab w:val="clear" w:pos="1015"/>
                <w:tab w:val="decimal" w:pos="388"/>
              </w:tabs>
              <w:spacing w:before="40" w:after="40"/>
              <w:jc w:val="center"/>
            </w:pPr>
            <w:r w:rsidRPr="007D5702">
              <w:t>41.1%</w:t>
            </w:r>
          </w:p>
        </w:tc>
        <w:tc>
          <w:tcPr>
            <w:tcW w:w="877" w:type="dxa"/>
            <w:tcBorders>
              <w:top w:val="single" w:sz="6" w:space="0" w:color="808080" w:themeColor="background1" w:themeShade="80"/>
              <w:bottom w:val="single" w:sz="6" w:space="0" w:color="808080" w:themeColor="background1" w:themeShade="80"/>
            </w:tcBorders>
            <w:shd w:val="clear" w:color="auto" w:fill="auto"/>
            <w:noWrap/>
            <w:hideMark/>
          </w:tcPr>
          <w:p w14:paraId="6FB6F080" w14:textId="1A74C778" w:rsidR="00044BA9" w:rsidRPr="00C00335" w:rsidRDefault="00044BA9" w:rsidP="00044BA9">
            <w:pPr>
              <w:pStyle w:val="TableTextDec"/>
              <w:keepNext/>
              <w:tabs>
                <w:tab w:val="clear" w:pos="1015"/>
              </w:tabs>
              <w:spacing w:before="40" w:after="40"/>
              <w:ind w:left="-96" w:right="-87"/>
              <w:jc w:val="center"/>
            </w:pPr>
            <w:r w:rsidRPr="007D5702">
              <w:t>58.6%</w:t>
            </w:r>
          </w:p>
        </w:tc>
        <w:tc>
          <w:tcPr>
            <w:tcW w:w="1059" w:type="dxa"/>
            <w:tcBorders>
              <w:top w:val="single" w:sz="6" w:space="0" w:color="808080" w:themeColor="background1" w:themeShade="80"/>
              <w:bottom w:val="single" w:sz="6" w:space="0" w:color="808080" w:themeColor="background1" w:themeShade="80"/>
            </w:tcBorders>
            <w:shd w:val="clear" w:color="auto" w:fill="auto"/>
            <w:noWrap/>
            <w:hideMark/>
          </w:tcPr>
          <w:p w14:paraId="58355AF5" w14:textId="77777777" w:rsidR="00044BA9" w:rsidRPr="00C00335" w:rsidRDefault="00044BA9" w:rsidP="00044BA9">
            <w:pPr>
              <w:pStyle w:val="TableTextDec"/>
              <w:keepNext/>
              <w:tabs>
                <w:tab w:val="clear" w:pos="1015"/>
                <w:tab w:val="decimal" w:pos="388"/>
              </w:tabs>
              <w:spacing w:before="40" w:after="40"/>
              <w:jc w:val="center"/>
            </w:pPr>
          </w:p>
        </w:tc>
        <w:tc>
          <w:tcPr>
            <w:tcW w:w="1184" w:type="dxa"/>
            <w:tcBorders>
              <w:top w:val="single" w:sz="6" w:space="0" w:color="808080" w:themeColor="background1" w:themeShade="80"/>
              <w:bottom w:val="single" w:sz="6" w:space="0" w:color="808080" w:themeColor="background1" w:themeShade="80"/>
            </w:tcBorders>
            <w:shd w:val="clear" w:color="auto" w:fill="auto"/>
            <w:noWrap/>
            <w:hideMark/>
          </w:tcPr>
          <w:p w14:paraId="11EF4325" w14:textId="7BD55329" w:rsidR="00044BA9" w:rsidRPr="00C00335" w:rsidRDefault="00044BA9" w:rsidP="00044BA9">
            <w:pPr>
              <w:pStyle w:val="TableTextDec"/>
              <w:keepNext/>
              <w:tabs>
                <w:tab w:val="clear" w:pos="1015"/>
                <w:tab w:val="decimal" w:pos="388"/>
              </w:tabs>
              <w:spacing w:before="40" w:after="40"/>
              <w:jc w:val="center"/>
            </w:pPr>
            <w:r w:rsidRPr="007D5702">
              <w:t>0.2%</w:t>
            </w:r>
          </w:p>
        </w:tc>
        <w:tc>
          <w:tcPr>
            <w:tcW w:w="2697" w:type="dxa"/>
            <w:tcBorders>
              <w:top w:val="single" w:sz="6" w:space="0" w:color="808080" w:themeColor="background1" w:themeShade="80"/>
              <w:bottom w:val="single" w:sz="6" w:space="0" w:color="808080" w:themeColor="background1" w:themeShade="80"/>
            </w:tcBorders>
            <w:shd w:val="clear" w:color="auto" w:fill="auto"/>
            <w:noWrap/>
            <w:hideMark/>
          </w:tcPr>
          <w:p w14:paraId="22EFA9A0" w14:textId="77777777" w:rsidR="00044BA9" w:rsidRPr="00C00335" w:rsidRDefault="00044BA9" w:rsidP="00044BA9">
            <w:pPr>
              <w:pStyle w:val="TableText"/>
              <w:keepNext/>
              <w:spacing w:before="40" w:after="40"/>
            </w:pPr>
            <w:r w:rsidRPr="00C00335">
              <w:t>Determined by calibration</w:t>
            </w:r>
          </w:p>
        </w:tc>
      </w:tr>
      <w:tr w:rsidR="00044BA9" w:rsidRPr="00C00335" w14:paraId="09462175" w14:textId="77777777" w:rsidTr="00684AB2">
        <w:trPr>
          <w:cantSplit/>
        </w:trPr>
        <w:tc>
          <w:tcPr>
            <w:tcW w:w="1504" w:type="dxa"/>
            <w:tcBorders>
              <w:top w:val="single" w:sz="6" w:space="0" w:color="808080" w:themeColor="background1" w:themeShade="80"/>
              <w:bottom w:val="single" w:sz="6" w:space="0" w:color="808080" w:themeColor="background1" w:themeShade="80"/>
            </w:tcBorders>
            <w:shd w:val="clear" w:color="auto" w:fill="auto"/>
            <w:noWrap/>
            <w:hideMark/>
          </w:tcPr>
          <w:p w14:paraId="614B8AA1" w14:textId="5A26618B" w:rsidR="00044BA9" w:rsidRPr="00C00335" w:rsidRDefault="00044BA9" w:rsidP="00044BA9">
            <w:pPr>
              <w:pStyle w:val="TableText"/>
              <w:keepNext/>
              <w:spacing w:before="40" w:after="40"/>
            </w:pPr>
            <w:r w:rsidRPr="00C00335">
              <w:t>PWID male</w:t>
            </w:r>
          </w:p>
        </w:tc>
        <w:tc>
          <w:tcPr>
            <w:tcW w:w="954" w:type="dxa"/>
            <w:tcBorders>
              <w:top w:val="single" w:sz="6" w:space="0" w:color="808080" w:themeColor="background1" w:themeShade="80"/>
              <w:bottom w:val="single" w:sz="6" w:space="0" w:color="808080" w:themeColor="background1" w:themeShade="80"/>
            </w:tcBorders>
            <w:shd w:val="clear" w:color="auto" w:fill="auto"/>
            <w:noWrap/>
            <w:hideMark/>
          </w:tcPr>
          <w:p w14:paraId="2A122685" w14:textId="77777777" w:rsidR="00044BA9" w:rsidRPr="00C00335" w:rsidRDefault="00044BA9" w:rsidP="00044BA9">
            <w:pPr>
              <w:pStyle w:val="TableTextDec"/>
              <w:keepNext/>
              <w:tabs>
                <w:tab w:val="clear" w:pos="1015"/>
                <w:tab w:val="decimal" w:pos="388"/>
              </w:tabs>
              <w:spacing w:before="40" w:after="40"/>
              <w:jc w:val="center"/>
            </w:pPr>
          </w:p>
        </w:tc>
        <w:tc>
          <w:tcPr>
            <w:tcW w:w="1085" w:type="dxa"/>
            <w:tcBorders>
              <w:top w:val="single" w:sz="6" w:space="0" w:color="808080" w:themeColor="background1" w:themeShade="80"/>
              <w:bottom w:val="single" w:sz="6" w:space="0" w:color="808080" w:themeColor="background1" w:themeShade="80"/>
            </w:tcBorders>
            <w:shd w:val="clear" w:color="auto" w:fill="auto"/>
            <w:noWrap/>
            <w:hideMark/>
          </w:tcPr>
          <w:p w14:paraId="155C829A" w14:textId="6D9314E6" w:rsidR="00044BA9" w:rsidRPr="00C00335" w:rsidRDefault="00044BA9" w:rsidP="00044BA9">
            <w:pPr>
              <w:pStyle w:val="TableTextDec"/>
              <w:keepNext/>
              <w:tabs>
                <w:tab w:val="clear" w:pos="1015"/>
                <w:tab w:val="decimal" w:pos="388"/>
              </w:tabs>
              <w:spacing w:before="40" w:after="40"/>
              <w:jc w:val="center"/>
            </w:pPr>
            <w:r w:rsidRPr="007D5702">
              <w:t>59.4%</w:t>
            </w:r>
          </w:p>
        </w:tc>
        <w:tc>
          <w:tcPr>
            <w:tcW w:w="877" w:type="dxa"/>
            <w:tcBorders>
              <w:top w:val="single" w:sz="6" w:space="0" w:color="808080" w:themeColor="background1" w:themeShade="80"/>
              <w:bottom w:val="single" w:sz="6" w:space="0" w:color="808080" w:themeColor="background1" w:themeShade="80"/>
            </w:tcBorders>
            <w:shd w:val="clear" w:color="auto" w:fill="auto"/>
            <w:noWrap/>
            <w:hideMark/>
          </w:tcPr>
          <w:p w14:paraId="190B0FF6" w14:textId="77777777" w:rsidR="00044BA9" w:rsidRPr="00C00335" w:rsidRDefault="00044BA9" w:rsidP="00044BA9">
            <w:pPr>
              <w:pStyle w:val="TableTextDec"/>
              <w:keepNext/>
              <w:tabs>
                <w:tab w:val="clear" w:pos="1015"/>
              </w:tabs>
              <w:spacing w:before="40" w:after="40"/>
              <w:ind w:left="-96" w:right="-87"/>
              <w:jc w:val="center"/>
            </w:pPr>
          </w:p>
        </w:tc>
        <w:tc>
          <w:tcPr>
            <w:tcW w:w="1059" w:type="dxa"/>
            <w:tcBorders>
              <w:top w:val="single" w:sz="6" w:space="0" w:color="808080" w:themeColor="background1" w:themeShade="80"/>
              <w:bottom w:val="single" w:sz="6" w:space="0" w:color="808080" w:themeColor="background1" w:themeShade="80"/>
            </w:tcBorders>
            <w:shd w:val="clear" w:color="auto" w:fill="auto"/>
            <w:noWrap/>
            <w:hideMark/>
          </w:tcPr>
          <w:p w14:paraId="587004D1" w14:textId="77777777" w:rsidR="00044BA9" w:rsidRPr="00C00335" w:rsidRDefault="00044BA9" w:rsidP="00044BA9">
            <w:pPr>
              <w:pStyle w:val="TableTextDec"/>
              <w:keepNext/>
              <w:tabs>
                <w:tab w:val="clear" w:pos="1015"/>
                <w:tab w:val="decimal" w:pos="388"/>
              </w:tabs>
              <w:spacing w:before="40" w:after="40"/>
              <w:jc w:val="center"/>
            </w:pPr>
          </w:p>
        </w:tc>
        <w:tc>
          <w:tcPr>
            <w:tcW w:w="1184" w:type="dxa"/>
            <w:tcBorders>
              <w:top w:val="single" w:sz="6" w:space="0" w:color="808080" w:themeColor="background1" w:themeShade="80"/>
              <w:bottom w:val="single" w:sz="6" w:space="0" w:color="808080" w:themeColor="background1" w:themeShade="80"/>
            </w:tcBorders>
            <w:shd w:val="clear" w:color="auto" w:fill="auto"/>
            <w:noWrap/>
            <w:hideMark/>
          </w:tcPr>
          <w:p w14:paraId="5C75A575" w14:textId="0FE98378" w:rsidR="00044BA9" w:rsidRPr="00C00335" w:rsidRDefault="00044BA9" w:rsidP="00044BA9">
            <w:pPr>
              <w:pStyle w:val="TableTextDec"/>
              <w:keepNext/>
              <w:tabs>
                <w:tab w:val="clear" w:pos="1015"/>
                <w:tab w:val="decimal" w:pos="388"/>
              </w:tabs>
              <w:spacing w:before="40" w:after="40"/>
              <w:jc w:val="center"/>
            </w:pPr>
            <w:r w:rsidRPr="007D5702">
              <w:t>40.6%</w:t>
            </w:r>
          </w:p>
        </w:tc>
        <w:tc>
          <w:tcPr>
            <w:tcW w:w="2697" w:type="dxa"/>
            <w:tcBorders>
              <w:top w:val="single" w:sz="6" w:space="0" w:color="808080" w:themeColor="background1" w:themeShade="80"/>
              <w:bottom w:val="single" w:sz="6" w:space="0" w:color="808080" w:themeColor="background1" w:themeShade="80"/>
            </w:tcBorders>
            <w:shd w:val="clear" w:color="auto" w:fill="auto"/>
            <w:noWrap/>
          </w:tcPr>
          <w:p w14:paraId="28596A0C" w14:textId="77777777" w:rsidR="00044BA9" w:rsidRPr="00C00335" w:rsidRDefault="00044BA9" w:rsidP="00044BA9">
            <w:pPr>
              <w:pStyle w:val="TableText"/>
              <w:keepNext/>
              <w:spacing w:before="40" w:after="40"/>
            </w:pPr>
            <w:r w:rsidRPr="00C00335">
              <w:t>Determined by calibration</w:t>
            </w:r>
          </w:p>
        </w:tc>
      </w:tr>
      <w:tr w:rsidR="00044BA9" w:rsidRPr="00C00335" w14:paraId="0D4F31DE" w14:textId="77777777" w:rsidTr="00684AB2">
        <w:trPr>
          <w:cantSplit/>
        </w:trPr>
        <w:tc>
          <w:tcPr>
            <w:tcW w:w="1504" w:type="dxa"/>
            <w:tcBorders>
              <w:top w:val="single" w:sz="6" w:space="0" w:color="808080" w:themeColor="background1" w:themeShade="80"/>
              <w:bottom w:val="single" w:sz="12" w:space="0" w:color="000000"/>
            </w:tcBorders>
            <w:shd w:val="clear" w:color="auto" w:fill="auto"/>
            <w:noWrap/>
            <w:hideMark/>
          </w:tcPr>
          <w:p w14:paraId="627E49D6" w14:textId="74CEDE0E" w:rsidR="00044BA9" w:rsidRPr="00C00335" w:rsidRDefault="00044BA9" w:rsidP="00044BA9">
            <w:pPr>
              <w:pStyle w:val="TableText"/>
              <w:keepNext/>
              <w:spacing w:before="40" w:after="40"/>
            </w:pPr>
            <w:r w:rsidRPr="00C00335">
              <w:t>PWID female</w:t>
            </w:r>
          </w:p>
        </w:tc>
        <w:tc>
          <w:tcPr>
            <w:tcW w:w="954" w:type="dxa"/>
            <w:tcBorders>
              <w:top w:val="single" w:sz="6" w:space="0" w:color="808080" w:themeColor="background1" w:themeShade="80"/>
              <w:bottom w:val="single" w:sz="12" w:space="0" w:color="000000"/>
            </w:tcBorders>
            <w:shd w:val="clear" w:color="auto" w:fill="auto"/>
            <w:noWrap/>
            <w:hideMark/>
          </w:tcPr>
          <w:p w14:paraId="21E389C2" w14:textId="22F920D4" w:rsidR="00044BA9" w:rsidRPr="00C00335" w:rsidRDefault="00044BA9" w:rsidP="00044BA9">
            <w:pPr>
              <w:pStyle w:val="TableTextDec"/>
              <w:keepNext/>
              <w:tabs>
                <w:tab w:val="clear" w:pos="1015"/>
                <w:tab w:val="decimal" w:pos="388"/>
              </w:tabs>
              <w:spacing w:before="40" w:after="40"/>
              <w:jc w:val="center"/>
            </w:pPr>
            <w:r w:rsidRPr="007D5702">
              <w:t>63.1%</w:t>
            </w:r>
          </w:p>
        </w:tc>
        <w:tc>
          <w:tcPr>
            <w:tcW w:w="1085" w:type="dxa"/>
            <w:tcBorders>
              <w:top w:val="single" w:sz="6" w:space="0" w:color="808080" w:themeColor="background1" w:themeShade="80"/>
              <w:bottom w:val="single" w:sz="12" w:space="0" w:color="000000"/>
            </w:tcBorders>
            <w:shd w:val="clear" w:color="auto" w:fill="auto"/>
            <w:noWrap/>
            <w:hideMark/>
          </w:tcPr>
          <w:p w14:paraId="3128AA59" w14:textId="77777777" w:rsidR="00044BA9" w:rsidRPr="00C00335" w:rsidRDefault="00044BA9" w:rsidP="00044BA9">
            <w:pPr>
              <w:pStyle w:val="TableTextDec"/>
              <w:keepNext/>
              <w:tabs>
                <w:tab w:val="clear" w:pos="1015"/>
                <w:tab w:val="decimal" w:pos="388"/>
              </w:tabs>
              <w:spacing w:before="40" w:after="40"/>
              <w:jc w:val="center"/>
            </w:pPr>
          </w:p>
        </w:tc>
        <w:tc>
          <w:tcPr>
            <w:tcW w:w="877" w:type="dxa"/>
            <w:tcBorders>
              <w:top w:val="single" w:sz="6" w:space="0" w:color="808080" w:themeColor="background1" w:themeShade="80"/>
              <w:bottom w:val="single" w:sz="12" w:space="0" w:color="000000"/>
            </w:tcBorders>
            <w:shd w:val="clear" w:color="auto" w:fill="auto"/>
            <w:noWrap/>
            <w:hideMark/>
          </w:tcPr>
          <w:p w14:paraId="001BEE21" w14:textId="570C430A" w:rsidR="00044BA9" w:rsidRPr="00C00335" w:rsidRDefault="00044BA9" w:rsidP="00044BA9">
            <w:pPr>
              <w:pStyle w:val="TableTextDec"/>
              <w:keepNext/>
              <w:tabs>
                <w:tab w:val="clear" w:pos="1015"/>
              </w:tabs>
              <w:spacing w:before="40" w:after="40"/>
              <w:ind w:left="-96" w:right="-87"/>
              <w:jc w:val="center"/>
            </w:pPr>
            <w:r w:rsidRPr="007D5702">
              <w:t>1.0%</w:t>
            </w:r>
          </w:p>
        </w:tc>
        <w:tc>
          <w:tcPr>
            <w:tcW w:w="1059" w:type="dxa"/>
            <w:tcBorders>
              <w:top w:val="single" w:sz="6" w:space="0" w:color="808080" w:themeColor="background1" w:themeShade="80"/>
              <w:bottom w:val="single" w:sz="12" w:space="0" w:color="000000"/>
            </w:tcBorders>
            <w:shd w:val="clear" w:color="auto" w:fill="auto"/>
            <w:noWrap/>
            <w:hideMark/>
          </w:tcPr>
          <w:p w14:paraId="4A8B1AA4" w14:textId="73AB833D" w:rsidR="00044BA9" w:rsidRPr="00C00335" w:rsidRDefault="00044BA9" w:rsidP="00044BA9">
            <w:pPr>
              <w:pStyle w:val="TableTextDec"/>
              <w:keepNext/>
              <w:tabs>
                <w:tab w:val="clear" w:pos="1015"/>
                <w:tab w:val="decimal" w:pos="388"/>
              </w:tabs>
              <w:spacing w:before="40" w:after="40"/>
              <w:jc w:val="center"/>
            </w:pPr>
            <w:r w:rsidRPr="007D5702">
              <w:t>35.9%</w:t>
            </w:r>
          </w:p>
        </w:tc>
        <w:tc>
          <w:tcPr>
            <w:tcW w:w="1184" w:type="dxa"/>
            <w:tcBorders>
              <w:top w:val="single" w:sz="6" w:space="0" w:color="808080" w:themeColor="background1" w:themeShade="80"/>
              <w:bottom w:val="single" w:sz="12" w:space="0" w:color="000000"/>
            </w:tcBorders>
            <w:shd w:val="clear" w:color="auto" w:fill="auto"/>
            <w:noWrap/>
            <w:hideMark/>
          </w:tcPr>
          <w:p w14:paraId="5589D753" w14:textId="77777777" w:rsidR="00044BA9" w:rsidRPr="00C00335" w:rsidRDefault="00044BA9" w:rsidP="00044BA9">
            <w:pPr>
              <w:pStyle w:val="TableTextDec"/>
              <w:keepNext/>
              <w:tabs>
                <w:tab w:val="clear" w:pos="1015"/>
                <w:tab w:val="decimal" w:pos="388"/>
              </w:tabs>
              <w:spacing w:before="40" w:after="40"/>
              <w:jc w:val="center"/>
            </w:pPr>
          </w:p>
        </w:tc>
        <w:tc>
          <w:tcPr>
            <w:tcW w:w="2697" w:type="dxa"/>
            <w:tcBorders>
              <w:top w:val="single" w:sz="6" w:space="0" w:color="808080" w:themeColor="background1" w:themeShade="80"/>
              <w:bottom w:val="single" w:sz="12" w:space="0" w:color="000000"/>
            </w:tcBorders>
            <w:shd w:val="clear" w:color="auto" w:fill="auto"/>
            <w:noWrap/>
          </w:tcPr>
          <w:p w14:paraId="241679E6" w14:textId="76527F8A" w:rsidR="00044BA9" w:rsidRPr="00C00335" w:rsidRDefault="00044BA9" w:rsidP="00044BA9">
            <w:pPr>
              <w:pStyle w:val="TableText"/>
              <w:keepNext/>
              <w:spacing w:before="40" w:after="40"/>
            </w:pPr>
            <w:r w:rsidRPr="00C00335">
              <w:t>Determined by calibration; PWID females—MSM partnerships assumed</w:t>
            </w:r>
          </w:p>
        </w:tc>
      </w:tr>
    </w:tbl>
    <w:p w14:paraId="3238C5CD" w14:textId="6C27209A" w:rsidR="008F5D01" w:rsidRPr="00C00335" w:rsidRDefault="00B8648E" w:rsidP="00181BDA">
      <w:pPr>
        <w:pStyle w:val="Source1"/>
      </w:pPr>
      <w:r w:rsidRPr="00C00335">
        <w:t xml:space="preserve">Note: </w:t>
      </w:r>
      <w:r w:rsidR="008F5D01" w:rsidRPr="00C00335">
        <w:t>HET</w:t>
      </w:r>
      <w:r w:rsidR="00E628BE" w:rsidRPr="00C00335">
        <w:t> = </w:t>
      </w:r>
      <w:r w:rsidR="008F5D01" w:rsidRPr="00C00335">
        <w:t>heterosexual; MSM</w:t>
      </w:r>
      <w:r w:rsidR="00E628BE" w:rsidRPr="00C00335">
        <w:t> = </w:t>
      </w:r>
      <w:r w:rsidR="008F5D01" w:rsidRPr="00C00335">
        <w:t>men who have sex with men</w:t>
      </w:r>
      <w:r w:rsidR="00F77D76" w:rsidRPr="00C00335">
        <w:t>; PWID</w:t>
      </w:r>
      <w:r w:rsidR="00E628BE" w:rsidRPr="00C00335">
        <w:t> = </w:t>
      </w:r>
      <w:r w:rsidR="00F77D76" w:rsidRPr="00C00335">
        <w:t>people who inject drugs</w:t>
      </w:r>
    </w:p>
    <w:p w14:paraId="47090D22" w14:textId="2557E648" w:rsidR="008F5D01" w:rsidRPr="00C00335" w:rsidRDefault="004F4E6D" w:rsidP="008F5D01">
      <w:pPr>
        <w:pStyle w:val="TableTitle"/>
      </w:pPr>
      <w:bookmarkStart w:id="65" w:name="_Toc89257597"/>
      <w:r w:rsidRPr="00C00335">
        <w:t>Table 6.</w:t>
      </w:r>
      <w:r w:rsidR="008F5D01" w:rsidRPr="00C00335">
        <w:t>2.</w:t>
      </w:r>
      <w:r w:rsidR="008F5D01" w:rsidRPr="00C00335">
        <w:tab/>
        <w:t>Distribution of Sexual Partners by Race</w:t>
      </w:r>
      <w:r w:rsidR="00B8648E" w:rsidRPr="00C00335">
        <w:t>/Ethnicity</w:t>
      </w:r>
      <w:bookmarkEnd w:id="65"/>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009"/>
        <w:gridCol w:w="1350"/>
        <w:gridCol w:w="1350"/>
        <w:gridCol w:w="1350"/>
        <w:gridCol w:w="3301"/>
      </w:tblGrid>
      <w:tr w:rsidR="008F5D01" w:rsidRPr="00C00335" w14:paraId="50FA4D57" w14:textId="77777777" w:rsidTr="00260D8A">
        <w:trPr>
          <w:cantSplit/>
          <w:tblHeader/>
        </w:trPr>
        <w:tc>
          <w:tcPr>
            <w:tcW w:w="2009" w:type="dxa"/>
            <w:tcBorders>
              <w:top w:val="single" w:sz="12" w:space="0" w:color="000000"/>
              <w:bottom w:val="single" w:sz="6" w:space="0" w:color="auto"/>
            </w:tcBorders>
            <w:shd w:val="clear" w:color="auto" w:fill="auto"/>
            <w:noWrap/>
            <w:vAlign w:val="bottom"/>
            <w:hideMark/>
          </w:tcPr>
          <w:p w14:paraId="4149AC04" w14:textId="77777777" w:rsidR="008F5D01" w:rsidRPr="00C00335" w:rsidRDefault="00B8648E" w:rsidP="00D81284">
            <w:pPr>
              <w:pStyle w:val="TableHeaders"/>
              <w:keepNext/>
            </w:pPr>
            <w:r w:rsidRPr="00C00335">
              <w:t>Race/Ethnicity</w:t>
            </w:r>
          </w:p>
        </w:tc>
        <w:tc>
          <w:tcPr>
            <w:tcW w:w="1350" w:type="dxa"/>
            <w:tcBorders>
              <w:top w:val="single" w:sz="12" w:space="0" w:color="000000"/>
              <w:bottom w:val="single" w:sz="6" w:space="0" w:color="auto"/>
            </w:tcBorders>
            <w:shd w:val="clear" w:color="auto" w:fill="auto"/>
            <w:noWrap/>
            <w:vAlign w:val="bottom"/>
            <w:hideMark/>
          </w:tcPr>
          <w:p w14:paraId="4258E70D" w14:textId="77777777" w:rsidR="008F5D01" w:rsidRPr="00C00335" w:rsidRDefault="008F5D01" w:rsidP="00D81284">
            <w:pPr>
              <w:pStyle w:val="TableHeaders"/>
              <w:keepNext/>
            </w:pPr>
            <w:r w:rsidRPr="00C00335">
              <w:t>Black</w:t>
            </w:r>
          </w:p>
        </w:tc>
        <w:tc>
          <w:tcPr>
            <w:tcW w:w="1350" w:type="dxa"/>
            <w:tcBorders>
              <w:top w:val="single" w:sz="12" w:space="0" w:color="000000"/>
              <w:bottom w:val="single" w:sz="6" w:space="0" w:color="auto"/>
            </w:tcBorders>
            <w:shd w:val="clear" w:color="auto" w:fill="auto"/>
            <w:noWrap/>
            <w:vAlign w:val="bottom"/>
            <w:hideMark/>
          </w:tcPr>
          <w:p w14:paraId="67A4B024" w14:textId="77777777" w:rsidR="008F5D01" w:rsidRPr="00C00335" w:rsidRDefault="008F5D01" w:rsidP="00D81284">
            <w:pPr>
              <w:pStyle w:val="TableHeaders"/>
              <w:keepNext/>
            </w:pPr>
            <w:r w:rsidRPr="00C00335">
              <w:t>Hispanic</w:t>
            </w:r>
          </w:p>
        </w:tc>
        <w:tc>
          <w:tcPr>
            <w:tcW w:w="1350" w:type="dxa"/>
            <w:tcBorders>
              <w:top w:val="single" w:sz="12" w:space="0" w:color="000000"/>
              <w:bottom w:val="single" w:sz="6" w:space="0" w:color="auto"/>
            </w:tcBorders>
            <w:shd w:val="clear" w:color="auto" w:fill="auto"/>
            <w:noWrap/>
            <w:vAlign w:val="bottom"/>
            <w:hideMark/>
          </w:tcPr>
          <w:p w14:paraId="34064DCA" w14:textId="76F18F56" w:rsidR="008F5D01" w:rsidRPr="00C00335" w:rsidRDefault="00896735" w:rsidP="00D81284">
            <w:pPr>
              <w:pStyle w:val="TableHeaders"/>
              <w:keepNext/>
            </w:pPr>
            <w:r>
              <w:t>White/</w:t>
            </w:r>
            <w:r w:rsidR="000E77C1">
              <w:t xml:space="preserve"> O</w:t>
            </w:r>
            <w:r>
              <w:t>ther</w:t>
            </w:r>
          </w:p>
        </w:tc>
        <w:tc>
          <w:tcPr>
            <w:tcW w:w="3301" w:type="dxa"/>
            <w:tcBorders>
              <w:top w:val="single" w:sz="12" w:space="0" w:color="000000"/>
              <w:bottom w:val="single" w:sz="6" w:space="0" w:color="auto"/>
            </w:tcBorders>
            <w:shd w:val="clear" w:color="auto" w:fill="auto"/>
            <w:noWrap/>
            <w:vAlign w:val="bottom"/>
            <w:hideMark/>
          </w:tcPr>
          <w:p w14:paraId="70E309C2" w14:textId="77777777" w:rsidR="008F5D01" w:rsidRPr="00C00335" w:rsidRDefault="008F5D01" w:rsidP="00D81284">
            <w:pPr>
              <w:pStyle w:val="TableHeaders"/>
              <w:keepNext/>
            </w:pPr>
            <w:r w:rsidRPr="00C00335">
              <w:t>Source</w:t>
            </w:r>
          </w:p>
        </w:tc>
      </w:tr>
      <w:tr w:rsidR="00044BA9" w:rsidRPr="00C00335" w14:paraId="201FA5D5" w14:textId="77777777" w:rsidTr="00684AB2">
        <w:trPr>
          <w:cantSplit/>
        </w:trPr>
        <w:tc>
          <w:tcPr>
            <w:tcW w:w="2009" w:type="dxa"/>
            <w:tcBorders>
              <w:top w:val="single" w:sz="6" w:space="0" w:color="auto"/>
              <w:bottom w:val="single" w:sz="6" w:space="0" w:color="808080" w:themeColor="background1" w:themeShade="80"/>
            </w:tcBorders>
            <w:shd w:val="clear" w:color="auto" w:fill="auto"/>
            <w:noWrap/>
            <w:hideMark/>
          </w:tcPr>
          <w:p w14:paraId="2D75D1CE" w14:textId="77777777" w:rsidR="00044BA9" w:rsidRPr="00C00335" w:rsidRDefault="00044BA9" w:rsidP="00044BA9">
            <w:pPr>
              <w:pStyle w:val="TableText"/>
              <w:keepNext/>
            </w:pPr>
            <w:r w:rsidRPr="00C00335">
              <w:t>Black</w:t>
            </w:r>
          </w:p>
        </w:tc>
        <w:tc>
          <w:tcPr>
            <w:tcW w:w="1350" w:type="dxa"/>
            <w:tcBorders>
              <w:top w:val="single" w:sz="6" w:space="0" w:color="auto"/>
              <w:bottom w:val="single" w:sz="6" w:space="0" w:color="808080" w:themeColor="background1" w:themeShade="80"/>
            </w:tcBorders>
            <w:shd w:val="clear" w:color="auto" w:fill="auto"/>
            <w:noWrap/>
            <w:hideMark/>
          </w:tcPr>
          <w:p w14:paraId="1BFEA574" w14:textId="4BF5B342" w:rsidR="00044BA9" w:rsidRPr="00A8318F" w:rsidRDefault="00044BA9" w:rsidP="00044BA9">
            <w:pPr>
              <w:pStyle w:val="TableTextDec"/>
              <w:keepNext/>
              <w:tabs>
                <w:tab w:val="clear" w:pos="1015"/>
                <w:tab w:val="decimal" w:pos="434"/>
              </w:tabs>
              <w:jc w:val="center"/>
              <w:rPr>
                <w:i/>
                <w:iCs/>
              </w:rPr>
            </w:pPr>
            <w:r w:rsidRPr="00353EF6">
              <w:t>89.1%</w:t>
            </w:r>
          </w:p>
        </w:tc>
        <w:tc>
          <w:tcPr>
            <w:tcW w:w="1350" w:type="dxa"/>
            <w:tcBorders>
              <w:top w:val="single" w:sz="6" w:space="0" w:color="auto"/>
              <w:bottom w:val="single" w:sz="6" w:space="0" w:color="808080" w:themeColor="background1" w:themeShade="80"/>
            </w:tcBorders>
            <w:shd w:val="clear" w:color="auto" w:fill="auto"/>
            <w:noWrap/>
            <w:hideMark/>
          </w:tcPr>
          <w:p w14:paraId="131E0FE9" w14:textId="6AD7BD36" w:rsidR="00044BA9" w:rsidRPr="00A8318F" w:rsidRDefault="00044BA9" w:rsidP="00044BA9">
            <w:pPr>
              <w:pStyle w:val="TableTextDec"/>
              <w:keepNext/>
              <w:tabs>
                <w:tab w:val="clear" w:pos="1015"/>
                <w:tab w:val="decimal" w:pos="434"/>
              </w:tabs>
              <w:jc w:val="center"/>
              <w:rPr>
                <w:i/>
                <w:iCs/>
              </w:rPr>
            </w:pPr>
            <w:r w:rsidRPr="00353EF6">
              <w:t>2.8%</w:t>
            </w:r>
          </w:p>
        </w:tc>
        <w:tc>
          <w:tcPr>
            <w:tcW w:w="1350" w:type="dxa"/>
            <w:tcBorders>
              <w:top w:val="single" w:sz="6" w:space="0" w:color="auto"/>
              <w:bottom w:val="single" w:sz="6" w:space="0" w:color="808080" w:themeColor="background1" w:themeShade="80"/>
            </w:tcBorders>
            <w:shd w:val="clear" w:color="auto" w:fill="auto"/>
            <w:noWrap/>
            <w:hideMark/>
          </w:tcPr>
          <w:p w14:paraId="03551D0A" w14:textId="4099451F" w:rsidR="00044BA9" w:rsidRPr="00A8318F" w:rsidRDefault="00044BA9" w:rsidP="00044BA9">
            <w:pPr>
              <w:pStyle w:val="TableTextDec"/>
              <w:keepNext/>
              <w:tabs>
                <w:tab w:val="clear" w:pos="1015"/>
                <w:tab w:val="decimal" w:pos="434"/>
              </w:tabs>
              <w:jc w:val="center"/>
              <w:rPr>
                <w:i/>
                <w:iCs/>
              </w:rPr>
            </w:pPr>
            <w:r w:rsidRPr="00353EF6">
              <w:t>8.0%</w:t>
            </w:r>
          </w:p>
        </w:tc>
        <w:tc>
          <w:tcPr>
            <w:tcW w:w="3301" w:type="dxa"/>
            <w:vMerge w:val="restart"/>
            <w:tcBorders>
              <w:top w:val="single" w:sz="6" w:space="0" w:color="auto"/>
              <w:bottom w:val="single" w:sz="6" w:space="0" w:color="808080" w:themeColor="background1" w:themeShade="80"/>
            </w:tcBorders>
            <w:shd w:val="clear" w:color="auto" w:fill="auto"/>
            <w:noWrap/>
            <w:hideMark/>
          </w:tcPr>
          <w:p w14:paraId="7347AF5E" w14:textId="35AEEA75" w:rsidR="00044BA9" w:rsidRPr="00C00335" w:rsidRDefault="00044BA9" w:rsidP="00044BA9">
            <w:pPr>
              <w:pStyle w:val="TableText"/>
              <w:keepNext/>
            </w:pPr>
            <w:r w:rsidRPr="00C00335">
              <w:t>Determined by calibration</w:t>
            </w:r>
            <w:r w:rsidRPr="00C00335" w:rsidDel="00732DBA">
              <w:t xml:space="preserve"> </w:t>
            </w:r>
          </w:p>
        </w:tc>
      </w:tr>
      <w:tr w:rsidR="00044BA9" w:rsidRPr="00C00335" w14:paraId="45178A5D" w14:textId="77777777" w:rsidTr="00684AB2">
        <w:trPr>
          <w:cantSplit/>
        </w:trPr>
        <w:tc>
          <w:tcPr>
            <w:tcW w:w="2009" w:type="dxa"/>
            <w:tcBorders>
              <w:top w:val="single" w:sz="6" w:space="0" w:color="808080" w:themeColor="background1" w:themeShade="80"/>
              <w:bottom w:val="single" w:sz="6" w:space="0" w:color="808080" w:themeColor="background1" w:themeShade="80"/>
            </w:tcBorders>
            <w:shd w:val="clear" w:color="auto" w:fill="auto"/>
            <w:noWrap/>
            <w:hideMark/>
          </w:tcPr>
          <w:p w14:paraId="7929B085" w14:textId="77777777" w:rsidR="00044BA9" w:rsidRPr="00C00335" w:rsidRDefault="00044BA9" w:rsidP="00044BA9">
            <w:pPr>
              <w:pStyle w:val="TableText"/>
              <w:keepNext/>
            </w:pPr>
            <w:r w:rsidRPr="00C00335">
              <w:t>Hispanic</w:t>
            </w:r>
          </w:p>
        </w:tc>
        <w:tc>
          <w:tcPr>
            <w:tcW w:w="1350" w:type="dxa"/>
            <w:tcBorders>
              <w:top w:val="single" w:sz="6" w:space="0" w:color="808080" w:themeColor="background1" w:themeShade="80"/>
              <w:bottom w:val="single" w:sz="6" w:space="0" w:color="808080" w:themeColor="background1" w:themeShade="80"/>
            </w:tcBorders>
            <w:shd w:val="clear" w:color="auto" w:fill="auto"/>
            <w:noWrap/>
            <w:hideMark/>
          </w:tcPr>
          <w:p w14:paraId="4F65DDD8" w14:textId="6512412B" w:rsidR="00044BA9" w:rsidRPr="00A8318F" w:rsidRDefault="00044BA9" w:rsidP="00044BA9">
            <w:pPr>
              <w:pStyle w:val="TableTextDec"/>
              <w:keepNext/>
              <w:tabs>
                <w:tab w:val="clear" w:pos="1015"/>
                <w:tab w:val="decimal" w:pos="434"/>
              </w:tabs>
              <w:jc w:val="center"/>
              <w:rPr>
                <w:i/>
                <w:iCs/>
              </w:rPr>
            </w:pPr>
            <w:r w:rsidRPr="00353EF6">
              <w:t>5.3%</w:t>
            </w:r>
          </w:p>
        </w:tc>
        <w:tc>
          <w:tcPr>
            <w:tcW w:w="1350" w:type="dxa"/>
            <w:tcBorders>
              <w:top w:val="single" w:sz="6" w:space="0" w:color="808080" w:themeColor="background1" w:themeShade="80"/>
              <w:bottom w:val="single" w:sz="6" w:space="0" w:color="808080" w:themeColor="background1" w:themeShade="80"/>
            </w:tcBorders>
            <w:shd w:val="clear" w:color="auto" w:fill="auto"/>
            <w:noWrap/>
            <w:hideMark/>
          </w:tcPr>
          <w:p w14:paraId="11FC874E" w14:textId="22D9C570" w:rsidR="00044BA9" w:rsidRPr="00A8318F" w:rsidRDefault="00044BA9" w:rsidP="00044BA9">
            <w:pPr>
              <w:pStyle w:val="TableTextDec"/>
              <w:keepNext/>
              <w:tabs>
                <w:tab w:val="clear" w:pos="1015"/>
                <w:tab w:val="decimal" w:pos="434"/>
              </w:tabs>
              <w:jc w:val="center"/>
              <w:rPr>
                <w:i/>
                <w:iCs/>
              </w:rPr>
            </w:pPr>
            <w:r w:rsidRPr="00353EF6">
              <w:t>66.3%</w:t>
            </w:r>
          </w:p>
        </w:tc>
        <w:tc>
          <w:tcPr>
            <w:tcW w:w="1350" w:type="dxa"/>
            <w:tcBorders>
              <w:top w:val="single" w:sz="6" w:space="0" w:color="808080" w:themeColor="background1" w:themeShade="80"/>
              <w:bottom w:val="single" w:sz="6" w:space="0" w:color="808080" w:themeColor="background1" w:themeShade="80"/>
            </w:tcBorders>
            <w:shd w:val="clear" w:color="auto" w:fill="auto"/>
            <w:noWrap/>
            <w:hideMark/>
          </w:tcPr>
          <w:p w14:paraId="1FDF7B07" w14:textId="75F97AC5" w:rsidR="00044BA9" w:rsidRPr="00A8318F" w:rsidRDefault="00044BA9" w:rsidP="00044BA9">
            <w:pPr>
              <w:pStyle w:val="TableTextDec"/>
              <w:keepNext/>
              <w:tabs>
                <w:tab w:val="clear" w:pos="1015"/>
                <w:tab w:val="decimal" w:pos="434"/>
              </w:tabs>
              <w:jc w:val="center"/>
              <w:rPr>
                <w:i/>
                <w:iCs/>
              </w:rPr>
            </w:pPr>
            <w:r w:rsidRPr="00353EF6">
              <w:t>28.4%</w:t>
            </w:r>
          </w:p>
        </w:tc>
        <w:tc>
          <w:tcPr>
            <w:tcW w:w="3301" w:type="dxa"/>
            <w:vMerge/>
            <w:tcBorders>
              <w:top w:val="single" w:sz="6" w:space="0" w:color="808080" w:themeColor="background1" w:themeShade="80"/>
              <w:bottom w:val="single" w:sz="6" w:space="0" w:color="808080" w:themeColor="background1" w:themeShade="80"/>
            </w:tcBorders>
            <w:shd w:val="clear" w:color="auto" w:fill="auto"/>
            <w:noWrap/>
          </w:tcPr>
          <w:p w14:paraId="5B7F7E27" w14:textId="77777777" w:rsidR="00044BA9" w:rsidRPr="00C00335" w:rsidRDefault="00044BA9" w:rsidP="00044BA9">
            <w:pPr>
              <w:pStyle w:val="TableText"/>
              <w:keepNext/>
            </w:pPr>
          </w:p>
        </w:tc>
      </w:tr>
      <w:tr w:rsidR="00044BA9" w:rsidRPr="00C00335" w14:paraId="38854649" w14:textId="77777777" w:rsidTr="00684AB2">
        <w:trPr>
          <w:cantSplit/>
        </w:trPr>
        <w:tc>
          <w:tcPr>
            <w:tcW w:w="2009" w:type="dxa"/>
            <w:tcBorders>
              <w:top w:val="single" w:sz="6" w:space="0" w:color="808080" w:themeColor="background1" w:themeShade="80"/>
              <w:bottom w:val="single" w:sz="12" w:space="0" w:color="000000"/>
            </w:tcBorders>
            <w:shd w:val="clear" w:color="auto" w:fill="auto"/>
            <w:noWrap/>
            <w:hideMark/>
          </w:tcPr>
          <w:p w14:paraId="3323F6B7" w14:textId="2C14D3E6" w:rsidR="00044BA9" w:rsidRPr="00C00335" w:rsidRDefault="00044BA9" w:rsidP="00044BA9">
            <w:pPr>
              <w:pStyle w:val="TableText"/>
              <w:keepNext/>
            </w:pPr>
            <w:r>
              <w:t>White/other</w:t>
            </w:r>
          </w:p>
        </w:tc>
        <w:tc>
          <w:tcPr>
            <w:tcW w:w="1350" w:type="dxa"/>
            <w:tcBorders>
              <w:top w:val="single" w:sz="6" w:space="0" w:color="808080" w:themeColor="background1" w:themeShade="80"/>
              <w:bottom w:val="single" w:sz="12" w:space="0" w:color="000000"/>
            </w:tcBorders>
            <w:shd w:val="clear" w:color="auto" w:fill="auto"/>
            <w:noWrap/>
            <w:hideMark/>
          </w:tcPr>
          <w:p w14:paraId="05BC97A9" w14:textId="1C061814" w:rsidR="00044BA9" w:rsidRPr="00A8318F" w:rsidRDefault="00044BA9" w:rsidP="00044BA9">
            <w:pPr>
              <w:pStyle w:val="TableTextDec"/>
              <w:keepNext/>
              <w:tabs>
                <w:tab w:val="clear" w:pos="1015"/>
                <w:tab w:val="decimal" w:pos="434"/>
              </w:tabs>
              <w:jc w:val="center"/>
              <w:rPr>
                <w:i/>
                <w:iCs/>
              </w:rPr>
            </w:pPr>
            <w:r w:rsidRPr="00353EF6">
              <w:t>5.3%</w:t>
            </w:r>
          </w:p>
        </w:tc>
        <w:tc>
          <w:tcPr>
            <w:tcW w:w="1350" w:type="dxa"/>
            <w:tcBorders>
              <w:top w:val="single" w:sz="6" w:space="0" w:color="808080" w:themeColor="background1" w:themeShade="80"/>
              <w:bottom w:val="single" w:sz="12" w:space="0" w:color="000000"/>
            </w:tcBorders>
            <w:shd w:val="clear" w:color="auto" w:fill="auto"/>
            <w:noWrap/>
            <w:hideMark/>
          </w:tcPr>
          <w:p w14:paraId="2F12E551" w14:textId="2FE32901" w:rsidR="00044BA9" w:rsidRPr="00A8318F" w:rsidRDefault="00044BA9" w:rsidP="00044BA9">
            <w:pPr>
              <w:pStyle w:val="TableTextDec"/>
              <w:keepNext/>
              <w:tabs>
                <w:tab w:val="clear" w:pos="1015"/>
                <w:tab w:val="decimal" w:pos="434"/>
              </w:tabs>
              <w:jc w:val="center"/>
              <w:rPr>
                <w:i/>
                <w:iCs/>
              </w:rPr>
            </w:pPr>
            <w:r w:rsidRPr="00353EF6">
              <w:t>5.4%</w:t>
            </w:r>
          </w:p>
        </w:tc>
        <w:tc>
          <w:tcPr>
            <w:tcW w:w="1350" w:type="dxa"/>
            <w:tcBorders>
              <w:top w:val="single" w:sz="6" w:space="0" w:color="808080" w:themeColor="background1" w:themeShade="80"/>
              <w:bottom w:val="single" w:sz="12" w:space="0" w:color="000000"/>
            </w:tcBorders>
            <w:shd w:val="clear" w:color="auto" w:fill="auto"/>
            <w:noWrap/>
            <w:hideMark/>
          </w:tcPr>
          <w:p w14:paraId="02F433BD" w14:textId="3EA23946" w:rsidR="00044BA9" w:rsidRPr="00A8318F" w:rsidRDefault="00044BA9" w:rsidP="00044BA9">
            <w:pPr>
              <w:pStyle w:val="TableTextDec"/>
              <w:keepNext/>
              <w:tabs>
                <w:tab w:val="clear" w:pos="1015"/>
                <w:tab w:val="decimal" w:pos="434"/>
              </w:tabs>
              <w:jc w:val="center"/>
              <w:rPr>
                <w:i/>
                <w:iCs/>
              </w:rPr>
            </w:pPr>
            <w:r w:rsidRPr="00353EF6">
              <w:t>89.3%</w:t>
            </w:r>
          </w:p>
        </w:tc>
        <w:tc>
          <w:tcPr>
            <w:tcW w:w="3301" w:type="dxa"/>
            <w:vMerge/>
            <w:tcBorders>
              <w:top w:val="single" w:sz="6" w:space="0" w:color="808080" w:themeColor="background1" w:themeShade="80"/>
              <w:bottom w:val="single" w:sz="12" w:space="0" w:color="000000"/>
            </w:tcBorders>
            <w:shd w:val="clear" w:color="auto" w:fill="auto"/>
            <w:noWrap/>
          </w:tcPr>
          <w:p w14:paraId="6D718EEF" w14:textId="77777777" w:rsidR="00044BA9" w:rsidRPr="00C00335" w:rsidRDefault="00044BA9" w:rsidP="00044BA9">
            <w:pPr>
              <w:pStyle w:val="TableText"/>
              <w:keepNext/>
            </w:pPr>
          </w:p>
        </w:tc>
      </w:tr>
    </w:tbl>
    <w:p w14:paraId="5DB08240" w14:textId="77777777" w:rsidR="002B54F6" w:rsidRPr="00C00335" w:rsidRDefault="002B54F6" w:rsidP="002B54F6">
      <w:pPr>
        <w:pStyle w:val="Source1"/>
      </w:pPr>
    </w:p>
    <w:p w14:paraId="7A1E3251" w14:textId="1F87E3FC" w:rsidR="008F5D01" w:rsidRPr="00D52D3D" w:rsidRDefault="004F4E6D" w:rsidP="008F5D01">
      <w:pPr>
        <w:pStyle w:val="TableTitle"/>
        <w:rPr>
          <w:vertAlign w:val="superscript"/>
        </w:rPr>
      </w:pPr>
      <w:bookmarkStart w:id="66" w:name="_Toc89257598"/>
      <w:r w:rsidRPr="00D52D3D">
        <w:t>Table 6.</w:t>
      </w:r>
      <w:r w:rsidR="008F5D01" w:rsidRPr="00D52D3D">
        <w:t>3.</w:t>
      </w:r>
      <w:r w:rsidR="008F5D01" w:rsidRPr="00D52D3D">
        <w:tab/>
        <w:t>Distribution of Sexual Partners by Age</w:t>
      </w:r>
      <w:r w:rsidR="00C55FA1" w:rsidRPr="00D52D3D">
        <w:t>, HET and PWID</w:t>
      </w:r>
      <w:bookmarkEnd w:id="66"/>
      <w:r w:rsidR="008F5D01" w:rsidRPr="00D52D3D">
        <w:t xml:space="preserve"> </w:t>
      </w:r>
    </w:p>
    <w:tbl>
      <w:tblPr>
        <w:tblW w:w="10102"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379"/>
        <w:gridCol w:w="967"/>
        <w:gridCol w:w="967"/>
        <w:gridCol w:w="968"/>
        <w:gridCol w:w="967"/>
        <w:gridCol w:w="968"/>
        <w:gridCol w:w="967"/>
        <w:gridCol w:w="968"/>
        <w:gridCol w:w="1951"/>
      </w:tblGrid>
      <w:tr w:rsidR="00F44A8D" w:rsidRPr="00D52D3D" w14:paraId="56944796" w14:textId="77777777" w:rsidTr="004B71BF">
        <w:trPr>
          <w:cantSplit/>
          <w:tblHeader/>
        </w:trPr>
        <w:tc>
          <w:tcPr>
            <w:tcW w:w="1379" w:type="dxa"/>
            <w:tcBorders>
              <w:top w:val="single" w:sz="12" w:space="0" w:color="000000"/>
              <w:bottom w:val="single" w:sz="6" w:space="0" w:color="auto"/>
            </w:tcBorders>
            <w:shd w:val="clear" w:color="auto" w:fill="auto"/>
            <w:noWrap/>
            <w:vAlign w:val="bottom"/>
          </w:tcPr>
          <w:p w14:paraId="737D3473" w14:textId="77777777" w:rsidR="00F44A8D" w:rsidRPr="00D52D3D" w:rsidRDefault="00F44A8D" w:rsidP="000B1C51">
            <w:pPr>
              <w:pStyle w:val="TableHeaders"/>
              <w:keepNext/>
              <w:spacing w:before="60" w:after="60"/>
            </w:pPr>
            <w:r w:rsidRPr="00D52D3D">
              <w:t>Age Group</w:t>
            </w:r>
          </w:p>
        </w:tc>
        <w:tc>
          <w:tcPr>
            <w:tcW w:w="967" w:type="dxa"/>
            <w:tcBorders>
              <w:top w:val="single" w:sz="12" w:space="0" w:color="000000"/>
              <w:bottom w:val="single" w:sz="6" w:space="0" w:color="auto"/>
            </w:tcBorders>
            <w:shd w:val="clear" w:color="auto" w:fill="auto"/>
            <w:noWrap/>
            <w:vAlign w:val="bottom"/>
          </w:tcPr>
          <w:p w14:paraId="255216B1" w14:textId="77777777" w:rsidR="00F44A8D" w:rsidRPr="00D52D3D" w:rsidRDefault="00F44A8D" w:rsidP="000B1C51">
            <w:pPr>
              <w:pStyle w:val="TableHeaders"/>
              <w:keepNext/>
              <w:spacing w:before="60" w:after="60"/>
            </w:pPr>
            <w:r w:rsidRPr="00D52D3D">
              <w:t>13–17</w:t>
            </w:r>
          </w:p>
        </w:tc>
        <w:tc>
          <w:tcPr>
            <w:tcW w:w="967" w:type="dxa"/>
            <w:tcBorders>
              <w:top w:val="single" w:sz="12" w:space="0" w:color="000000"/>
              <w:bottom w:val="single" w:sz="6" w:space="0" w:color="auto"/>
            </w:tcBorders>
            <w:shd w:val="clear" w:color="auto" w:fill="auto"/>
            <w:noWrap/>
            <w:vAlign w:val="bottom"/>
          </w:tcPr>
          <w:p w14:paraId="593D41F7" w14:textId="77777777" w:rsidR="00F44A8D" w:rsidRPr="00D52D3D" w:rsidRDefault="00F44A8D" w:rsidP="000B1C51">
            <w:pPr>
              <w:pStyle w:val="TableHeaders"/>
              <w:keepNext/>
              <w:spacing w:before="60" w:after="60"/>
            </w:pPr>
            <w:r w:rsidRPr="00D52D3D">
              <w:t>18–24</w:t>
            </w:r>
          </w:p>
        </w:tc>
        <w:tc>
          <w:tcPr>
            <w:tcW w:w="968" w:type="dxa"/>
            <w:tcBorders>
              <w:top w:val="single" w:sz="12" w:space="0" w:color="000000"/>
              <w:bottom w:val="single" w:sz="6" w:space="0" w:color="auto"/>
            </w:tcBorders>
            <w:shd w:val="clear" w:color="auto" w:fill="auto"/>
            <w:noWrap/>
            <w:vAlign w:val="bottom"/>
          </w:tcPr>
          <w:p w14:paraId="1E188D61" w14:textId="77777777" w:rsidR="00F44A8D" w:rsidRPr="00D52D3D" w:rsidRDefault="00F44A8D" w:rsidP="000B1C51">
            <w:pPr>
              <w:pStyle w:val="TableHeaders"/>
              <w:keepNext/>
              <w:spacing w:before="60" w:after="60"/>
            </w:pPr>
            <w:r w:rsidRPr="00D52D3D">
              <w:t>25–34</w:t>
            </w:r>
          </w:p>
        </w:tc>
        <w:tc>
          <w:tcPr>
            <w:tcW w:w="967" w:type="dxa"/>
            <w:tcBorders>
              <w:top w:val="single" w:sz="12" w:space="0" w:color="000000"/>
              <w:bottom w:val="single" w:sz="6" w:space="0" w:color="auto"/>
            </w:tcBorders>
            <w:shd w:val="clear" w:color="auto" w:fill="auto"/>
            <w:noWrap/>
            <w:vAlign w:val="bottom"/>
          </w:tcPr>
          <w:p w14:paraId="2EF48440" w14:textId="77777777" w:rsidR="00F44A8D" w:rsidRPr="00D52D3D" w:rsidRDefault="00F44A8D" w:rsidP="000B1C51">
            <w:pPr>
              <w:pStyle w:val="TableHeaders"/>
              <w:keepNext/>
              <w:spacing w:before="60" w:after="60"/>
            </w:pPr>
            <w:r w:rsidRPr="00D52D3D">
              <w:t>35–44</w:t>
            </w:r>
          </w:p>
        </w:tc>
        <w:tc>
          <w:tcPr>
            <w:tcW w:w="968" w:type="dxa"/>
            <w:tcBorders>
              <w:top w:val="single" w:sz="12" w:space="0" w:color="000000"/>
              <w:bottom w:val="single" w:sz="6" w:space="0" w:color="auto"/>
            </w:tcBorders>
            <w:shd w:val="clear" w:color="auto" w:fill="auto"/>
            <w:noWrap/>
            <w:vAlign w:val="bottom"/>
          </w:tcPr>
          <w:p w14:paraId="7582660F" w14:textId="3611E98F" w:rsidR="00F44A8D" w:rsidRPr="00D52D3D" w:rsidRDefault="00F44A8D" w:rsidP="000B1C51">
            <w:pPr>
              <w:pStyle w:val="TableHeaders"/>
              <w:keepNext/>
              <w:spacing w:before="60" w:after="60"/>
            </w:pPr>
            <w:r w:rsidRPr="00D52D3D">
              <w:t>45–</w:t>
            </w:r>
            <w:r w:rsidR="00C55FA1" w:rsidRPr="00D52D3D">
              <w:t>5</w:t>
            </w:r>
            <w:r w:rsidRPr="00D52D3D">
              <w:t>4</w:t>
            </w:r>
          </w:p>
        </w:tc>
        <w:tc>
          <w:tcPr>
            <w:tcW w:w="967" w:type="dxa"/>
            <w:tcBorders>
              <w:top w:val="single" w:sz="12" w:space="0" w:color="000000"/>
              <w:bottom w:val="single" w:sz="6" w:space="0" w:color="auto"/>
            </w:tcBorders>
            <w:vAlign w:val="bottom"/>
          </w:tcPr>
          <w:p w14:paraId="68C83576" w14:textId="6839E5F8" w:rsidR="00F44A8D" w:rsidRPr="00D52D3D" w:rsidRDefault="00C55FA1" w:rsidP="00C55FA1">
            <w:pPr>
              <w:pStyle w:val="TableHeaders"/>
              <w:keepNext/>
              <w:spacing w:before="60" w:after="60"/>
            </w:pPr>
            <w:r w:rsidRPr="00D52D3D">
              <w:t>55</w:t>
            </w:r>
            <w:r w:rsidR="000E77C1" w:rsidRPr="00D52D3D">
              <w:t>–</w:t>
            </w:r>
            <w:r w:rsidRPr="00D52D3D">
              <w:t>64</w:t>
            </w:r>
          </w:p>
        </w:tc>
        <w:tc>
          <w:tcPr>
            <w:tcW w:w="968" w:type="dxa"/>
            <w:tcBorders>
              <w:top w:val="single" w:sz="12" w:space="0" w:color="000000"/>
              <w:bottom w:val="single" w:sz="6" w:space="0" w:color="auto"/>
            </w:tcBorders>
            <w:vAlign w:val="bottom"/>
          </w:tcPr>
          <w:p w14:paraId="074ADB04" w14:textId="54303B97" w:rsidR="00F44A8D" w:rsidRPr="00D52D3D" w:rsidRDefault="00C55FA1" w:rsidP="00C55FA1">
            <w:pPr>
              <w:pStyle w:val="TableHeaders"/>
              <w:keepNext/>
              <w:spacing w:before="60" w:after="60"/>
            </w:pPr>
            <w:r w:rsidRPr="00D52D3D">
              <w:t>65+</w:t>
            </w:r>
          </w:p>
        </w:tc>
        <w:tc>
          <w:tcPr>
            <w:tcW w:w="1951" w:type="dxa"/>
            <w:tcBorders>
              <w:top w:val="single" w:sz="12" w:space="0" w:color="000000"/>
              <w:bottom w:val="single" w:sz="6" w:space="0" w:color="auto"/>
            </w:tcBorders>
            <w:shd w:val="clear" w:color="auto" w:fill="auto"/>
            <w:noWrap/>
            <w:vAlign w:val="bottom"/>
            <w:hideMark/>
          </w:tcPr>
          <w:p w14:paraId="26925359" w14:textId="560B3707" w:rsidR="00F44A8D" w:rsidRPr="00D52D3D" w:rsidRDefault="00F44A8D" w:rsidP="000B1C51">
            <w:pPr>
              <w:pStyle w:val="TableHeaders"/>
              <w:keepNext/>
              <w:spacing w:before="60" w:after="60"/>
            </w:pPr>
            <w:r w:rsidRPr="00D52D3D">
              <w:t>Source</w:t>
            </w:r>
          </w:p>
        </w:tc>
      </w:tr>
      <w:tr w:rsidR="00C55FA1" w:rsidRPr="00D52D3D" w14:paraId="61B40126" w14:textId="77777777" w:rsidTr="00946B28">
        <w:trPr>
          <w:cantSplit/>
        </w:trPr>
        <w:tc>
          <w:tcPr>
            <w:tcW w:w="1379" w:type="dxa"/>
            <w:tcBorders>
              <w:top w:val="single" w:sz="6" w:space="0" w:color="auto"/>
              <w:bottom w:val="single" w:sz="6" w:space="0" w:color="808080" w:themeColor="background1" w:themeShade="80"/>
            </w:tcBorders>
            <w:shd w:val="clear" w:color="auto" w:fill="auto"/>
            <w:noWrap/>
          </w:tcPr>
          <w:p w14:paraId="118B1F8F" w14:textId="77777777" w:rsidR="00C55FA1" w:rsidRPr="00D52D3D" w:rsidRDefault="00C55FA1" w:rsidP="00C55FA1">
            <w:pPr>
              <w:pStyle w:val="TableText"/>
              <w:keepNext/>
            </w:pPr>
            <w:r w:rsidRPr="00D52D3D">
              <w:t>13–17</w:t>
            </w:r>
          </w:p>
        </w:tc>
        <w:tc>
          <w:tcPr>
            <w:tcW w:w="967" w:type="dxa"/>
            <w:tcBorders>
              <w:top w:val="single" w:sz="6" w:space="0" w:color="auto"/>
              <w:bottom w:val="single" w:sz="6" w:space="0" w:color="808080" w:themeColor="background1" w:themeShade="80"/>
            </w:tcBorders>
            <w:shd w:val="clear" w:color="auto" w:fill="auto"/>
            <w:noWrap/>
          </w:tcPr>
          <w:p w14:paraId="2146712A" w14:textId="64C5767A" w:rsidR="00C55FA1" w:rsidRPr="00D52D3D" w:rsidRDefault="00C55FA1" w:rsidP="00C55FA1">
            <w:pPr>
              <w:pStyle w:val="TableText"/>
              <w:keepNext/>
              <w:tabs>
                <w:tab w:val="decimal" w:pos="377"/>
              </w:tabs>
            </w:pPr>
            <w:r w:rsidRPr="00D52D3D">
              <w:t>91.05%</w:t>
            </w:r>
          </w:p>
        </w:tc>
        <w:tc>
          <w:tcPr>
            <w:tcW w:w="967" w:type="dxa"/>
            <w:tcBorders>
              <w:top w:val="single" w:sz="6" w:space="0" w:color="auto"/>
              <w:bottom w:val="single" w:sz="6" w:space="0" w:color="808080" w:themeColor="background1" w:themeShade="80"/>
            </w:tcBorders>
            <w:shd w:val="clear" w:color="auto" w:fill="auto"/>
            <w:noWrap/>
          </w:tcPr>
          <w:p w14:paraId="26702549" w14:textId="065F0D20" w:rsidR="00C55FA1" w:rsidRPr="00D52D3D" w:rsidRDefault="00C55FA1" w:rsidP="00C55FA1">
            <w:pPr>
              <w:pStyle w:val="TableText"/>
              <w:keepNext/>
              <w:tabs>
                <w:tab w:val="decimal" w:pos="377"/>
              </w:tabs>
            </w:pPr>
            <w:r w:rsidRPr="00D52D3D">
              <w:t>2.24%</w:t>
            </w:r>
          </w:p>
        </w:tc>
        <w:tc>
          <w:tcPr>
            <w:tcW w:w="968" w:type="dxa"/>
            <w:tcBorders>
              <w:top w:val="single" w:sz="6" w:space="0" w:color="auto"/>
              <w:bottom w:val="single" w:sz="6" w:space="0" w:color="808080" w:themeColor="background1" w:themeShade="80"/>
            </w:tcBorders>
            <w:shd w:val="clear" w:color="auto" w:fill="auto"/>
            <w:noWrap/>
          </w:tcPr>
          <w:p w14:paraId="375330DF" w14:textId="07874032" w:rsidR="00C55FA1" w:rsidRPr="00D52D3D" w:rsidRDefault="00C55FA1" w:rsidP="00C55FA1">
            <w:pPr>
              <w:pStyle w:val="TableText"/>
              <w:keepNext/>
              <w:tabs>
                <w:tab w:val="decimal" w:pos="377"/>
              </w:tabs>
            </w:pPr>
            <w:r w:rsidRPr="00D52D3D">
              <w:t>2.24%</w:t>
            </w:r>
          </w:p>
        </w:tc>
        <w:tc>
          <w:tcPr>
            <w:tcW w:w="967" w:type="dxa"/>
            <w:tcBorders>
              <w:top w:val="single" w:sz="6" w:space="0" w:color="auto"/>
              <w:bottom w:val="single" w:sz="6" w:space="0" w:color="808080" w:themeColor="background1" w:themeShade="80"/>
            </w:tcBorders>
            <w:shd w:val="clear" w:color="auto" w:fill="auto"/>
            <w:noWrap/>
          </w:tcPr>
          <w:p w14:paraId="0D869C34" w14:textId="6AB68126" w:rsidR="00C55FA1" w:rsidRPr="00D52D3D" w:rsidRDefault="00C55FA1" w:rsidP="00C55FA1">
            <w:pPr>
              <w:pStyle w:val="TableText"/>
              <w:keepNext/>
              <w:tabs>
                <w:tab w:val="decimal" w:pos="377"/>
              </w:tabs>
            </w:pPr>
            <w:r w:rsidRPr="00D52D3D">
              <w:t>2.24%</w:t>
            </w:r>
          </w:p>
        </w:tc>
        <w:tc>
          <w:tcPr>
            <w:tcW w:w="968" w:type="dxa"/>
            <w:tcBorders>
              <w:top w:val="single" w:sz="6" w:space="0" w:color="auto"/>
              <w:bottom w:val="single" w:sz="6" w:space="0" w:color="808080" w:themeColor="background1" w:themeShade="80"/>
            </w:tcBorders>
            <w:shd w:val="clear" w:color="auto" w:fill="auto"/>
            <w:noWrap/>
          </w:tcPr>
          <w:p w14:paraId="00232B6B" w14:textId="7685777A" w:rsidR="00C55FA1" w:rsidRPr="00D52D3D" w:rsidRDefault="00C55FA1" w:rsidP="00C55FA1">
            <w:pPr>
              <w:pStyle w:val="TableText"/>
              <w:keepNext/>
              <w:tabs>
                <w:tab w:val="decimal" w:pos="377"/>
              </w:tabs>
            </w:pPr>
            <w:r w:rsidRPr="00D52D3D">
              <w:t>2.00%</w:t>
            </w:r>
          </w:p>
        </w:tc>
        <w:tc>
          <w:tcPr>
            <w:tcW w:w="967" w:type="dxa"/>
            <w:tcBorders>
              <w:top w:val="single" w:sz="6" w:space="0" w:color="auto"/>
              <w:bottom w:val="single" w:sz="6" w:space="0" w:color="808080" w:themeColor="background1" w:themeShade="80"/>
            </w:tcBorders>
          </w:tcPr>
          <w:p w14:paraId="1F377A1B" w14:textId="79457A01" w:rsidR="00C55FA1" w:rsidRPr="00D52D3D" w:rsidRDefault="00C55FA1" w:rsidP="00C55FA1">
            <w:pPr>
              <w:pStyle w:val="TableText"/>
              <w:keepNext/>
            </w:pPr>
            <w:r w:rsidRPr="00D52D3D">
              <w:t>0.00%</w:t>
            </w:r>
          </w:p>
        </w:tc>
        <w:tc>
          <w:tcPr>
            <w:tcW w:w="968" w:type="dxa"/>
            <w:tcBorders>
              <w:top w:val="single" w:sz="6" w:space="0" w:color="auto"/>
              <w:bottom w:val="single" w:sz="6" w:space="0" w:color="808080" w:themeColor="background1" w:themeShade="80"/>
            </w:tcBorders>
          </w:tcPr>
          <w:p w14:paraId="4CC1B41D" w14:textId="79666DC6" w:rsidR="00C55FA1" w:rsidRPr="00D52D3D" w:rsidRDefault="00C55FA1" w:rsidP="00C55FA1">
            <w:pPr>
              <w:pStyle w:val="TableText"/>
              <w:keepNext/>
            </w:pPr>
            <w:r w:rsidRPr="00D52D3D">
              <w:t>0.24%</w:t>
            </w:r>
          </w:p>
        </w:tc>
        <w:tc>
          <w:tcPr>
            <w:tcW w:w="1951" w:type="dxa"/>
            <w:vMerge w:val="restart"/>
            <w:tcBorders>
              <w:top w:val="single" w:sz="6" w:space="0" w:color="auto"/>
            </w:tcBorders>
            <w:shd w:val="clear" w:color="auto" w:fill="auto"/>
            <w:noWrap/>
          </w:tcPr>
          <w:p w14:paraId="60456802" w14:textId="5DC0E944" w:rsidR="00C55FA1" w:rsidRPr="00D52D3D" w:rsidRDefault="00C55FA1" w:rsidP="00C55FA1">
            <w:pPr>
              <w:pStyle w:val="TableText"/>
              <w:keepNext/>
              <w:rPr>
                <w:vertAlign w:val="superscript"/>
              </w:rPr>
            </w:pPr>
            <w:r w:rsidRPr="00D52D3D">
              <w:t>Calculated from Glick et al. (2012)</w:t>
            </w:r>
          </w:p>
        </w:tc>
      </w:tr>
      <w:tr w:rsidR="00C55FA1" w:rsidRPr="00D52D3D" w14:paraId="16A774B7"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519CF0A9" w14:textId="77777777" w:rsidR="00C55FA1" w:rsidRPr="00D52D3D" w:rsidRDefault="00C55FA1" w:rsidP="00C55FA1">
            <w:pPr>
              <w:pStyle w:val="TableText"/>
              <w:keepNext/>
            </w:pPr>
            <w:r w:rsidRPr="00D52D3D">
              <w:t>18–24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CC965C7" w14:textId="698E370B" w:rsidR="00C55FA1" w:rsidRPr="00D52D3D" w:rsidRDefault="00C55FA1" w:rsidP="00C55FA1">
            <w:pPr>
              <w:pStyle w:val="TableText"/>
              <w:keepNext/>
              <w:tabs>
                <w:tab w:val="decimal" w:pos="377"/>
              </w:tabs>
            </w:pPr>
            <w:r w:rsidRPr="00D52D3D">
              <w:t>2.24%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255249BA" w14:textId="0FE2936A" w:rsidR="00C55FA1" w:rsidRPr="00D52D3D" w:rsidRDefault="00C55FA1" w:rsidP="00C55FA1">
            <w:pPr>
              <w:pStyle w:val="TableText"/>
              <w:keepNext/>
              <w:tabs>
                <w:tab w:val="decimal" w:pos="377"/>
              </w:tabs>
            </w:pPr>
            <w:r w:rsidRPr="00D52D3D">
              <w:t>91.05%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0E33484" w14:textId="023E0B00" w:rsidR="00C55FA1" w:rsidRPr="00D52D3D" w:rsidRDefault="00C55FA1" w:rsidP="00C55FA1">
            <w:pPr>
              <w:pStyle w:val="TableText"/>
              <w:keepNext/>
              <w:tabs>
                <w:tab w:val="decimal" w:pos="377"/>
              </w:tabs>
            </w:pPr>
            <w:r w:rsidRPr="00D52D3D">
              <w:t>2.24%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762A4E4" w14:textId="2138A909" w:rsidR="00C55FA1" w:rsidRPr="00D52D3D" w:rsidRDefault="00C55FA1" w:rsidP="00C55FA1">
            <w:pPr>
              <w:pStyle w:val="TableText"/>
              <w:keepNext/>
              <w:tabs>
                <w:tab w:val="decimal" w:pos="377"/>
              </w:tabs>
            </w:pPr>
            <w:r w:rsidRPr="00D52D3D">
              <w:t>2.24%</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E5C78BF" w14:textId="15B9944B" w:rsidR="00C55FA1" w:rsidRPr="00D52D3D" w:rsidRDefault="00C55FA1" w:rsidP="00C55FA1">
            <w:pPr>
              <w:pStyle w:val="TableText"/>
              <w:keepNext/>
              <w:tabs>
                <w:tab w:val="decimal" w:pos="377"/>
              </w:tabs>
            </w:pPr>
            <w:r w:rsidRPr="00D52D3D">
              <w:t>2.00%</w:t>
            </w:r>
          </w:p>
        </w:tc>
        <w:tc>
          <w:tcPr>
            <w:tcW w:w="967" w:type="dxa"/>
            <w:tcBorders>
              <w:top w:val="single" w:sz="6" w:space="0" w:color="808080" w:themeColor="background1" w:themeShade="80"/>
              <w:bottom w:val="single" w:sz="6" w:space="0" w:color="808080" w:themeColor="background1" w:themeShade="80"/>
            </w:tcBorders>
          </w:tcPr>
          <w:p w14:paraId="6CD1308A" w14:textId="0B7AB972" w:rsidR="00C55FA1" w:rsidRPr="00D52D3D" w:rsidRDefault="00C55FA1" w:rsidP="00C55FA1">
            <w:pPr>
              <w:pStyle w:val="TableText"/>
              <w:keepNext/>
            </w:pPr>
            <w:r w:rsidRPr="00D52D3D">
              <w:t>0.00%</w:t>
            </w:r>
          </w:p>
        </w:tc>
        <w:tc>
          <w:tcPr>
            <w:tcW w:w="968" w:type="dxa"/>
            <w:tcBorders>
              <w:top w:val="single" w:sz="6" w:space="0" w:color="808080" w:themeColor="background1" w:themeShade="80"/>
              <w:bottom w:val="single" w:sz="6" w:space="0" w:color="808080" w:themeColor="background1" w:themeShade="80"/>
            </w:tcBorders>
          </w:tcPr>
          <w:p w14:paraId="0EFD3B58" w14:textId="7E2906BA" w:rsidR="00C55FA1" w:rsidRPr="00D52D3D" w:rsidRDefault="00C55FA1" w:rsidP="00C55FA1">
            <w:pPr>
              <w:pStyle w:val="TableText"/>
              <w:keepNext/>
            </w:pPr>
            <w:r w:rsidRPr="00D52D3D">
              <w:t>0.24%</w:t>
            </w:r>
          </w:p>
        </w:tc>
        <w:tc>
          <w:tcPr>
            <w:tcW w:w="1951" w:type="dxa"/>
            <w:vMerge/>
            <w:shd w:val="clear" w:color="auto" w:fill="auto"/>
            <w:noWrap/>
          </w:tcPr>
          <w:p w14:paraId="6C9120E2" w14:textId="3E279148" w:rsidR="00C55FA1" w:rsidRPr="00D52D3D" w:rsidRDefault="00C55FA1" w:rsidP="00C55FA1">
            <w:pPr>
              <w:pStyle w:val="TableText"/>
              <w:keepNext/>
            </w:pPr>
          </w:p>
        </w:tc>
      </w:tr>
      <w:tr w:rsidR="00C55FA1" w:rsidRPr="00D52D3D" w14:paraId="65F43452"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313558A3" w14:textId="77777777" w:rsidR="00C55FA1" w:rsidRPr="00D52D3D" w:rsidRDefault="00C55FA1" w:rsidP="00C55FA1">
            <w:pPr>
              <w:pStyle w:val="TableText"/>
              <w:keepNext/>
            </w:pPr>
            <w:r w:rsidRPr="00D52D3D">
              <w:t>25–34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66963BFB" w14:textId="06F4163E" w:rsidR="00C55FA1" w:rsidRPr="00D52D3D" w:rsidRDefault="00C55FA1" w:rsidP="00C55FA1">
            <w:pPr>
              <w:pStyle w:val="TableText"/>
              <w:keepNext/>
              <w:tabs>
                <w:tab w:val="decimal" w:pos="377"/>
              </w:tabs>
            </w:pPr>
            <w:r w:rsidRPr="00D52D3D">
              <w:t>9.46%</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2C87F310" w14:textId="5D0607FC" w:rsidR="00C55FA1" w:rsidRPr="00D52D3D" w:rsidRDefault="00C55FA1" w:rsidP="00C55FA1">
            <w:pPr>
              <w:pStyle w:val="TableText"/>
              <w:keepNext/>
              <w:tabs>
                <w:tab w:val="decimal" w:pos="377"/>
              </w:tabs>
            </w:pPr>
            <w:r w:rsidRPr="00D52D3D">
              <w:t>9.46%</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76846F59" w14:textId="4B6D48FB" w:rsidR="00C55FA1" w:rsidRPr="00D52D3D" w:rsidRDefault="00C55FA1" w:rsidP="00C55FA1">
            <w:pPr>
              <w:pStyle w:val="TableText"/>
              <w:keepNext/>
              <w:tabs>
                <w:tab w:val="decimal" w:pos="377"/>
              </w:tabs>
            </w:pPr>
            <w:r w:rsidRPr="00D52D3D">
              <w:t>62.18%</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1B08E8F" w14:textId="3A959761" w:rsidR="00C55FA1" w:rsidRPr="00D52D3D" w:rsidRDefault="00C55FA1" w:rsidP="00C55FA1">
            <w:pPr>
              <w:pStyle w:val="TableText"/>
              <w:keepNext/>
              <w:tabs>
                <w:tab w:val="decimal" w:pos="377"/>
              </w:tabs>
            </w:pPr>
            <w:r w:rsidRPr="00D52D3D">
              <w:t>9.46%</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7D59ED12" w14:textId="17DD480C" w:rsidR="00C55FA1" w:rsidRPr="00D52D3D" w:rsidRDefault="00C55FA1" w:rsidP="00C55FA1">
            <w:pPr>
              <w:pStyle w:val="TableText"/>
              <w:keepNext/>
              <w:tabs>
                <w:tab w:val="decimal" w:pos="377"/>
              </w:tabs>
            </w:pPr>
            <w:r w:rsidRPr="00D52D3D">
              <w:t>9.00%</w:t>
            </w:r>
          </w:p>
        </w:tc>
        <w:tc>
          <w:tcPr>
            <w:tcW w:w="967" w:type="dxa"/>
            <w:tcBorders>
              <w:top w:val="single" w:sz="6" w:space="0" w:color="808080" w:themeColor="background1" w:themeShade="80"/>
              <w:bottom w:val="single" w:sz="6" w:space="0" w:color="808080" w:themeColor="background1" w:themeShade="80"/>
            </w:tcBorders>
          </w:tcPr>
          <w:p w14:paraId="2423DA3C" w14:textId="1F21A5BD" w:rsidR="00C55FA1" w:rsidRPr="00D52D3D" w:rsidRDefault="00C55FA1" w:rsidP="00C55FA1">
            <w:pPr>
              <w:pStyle w:val="TableText"/>
              <w:keepNext/>
            </w:pPr>
            <w:r w:rsidRPr="00D52D3D">
              <w:t>0.00%</w:t>
            </w:r>
          </w:p>
        </w:tc>
        <w:tc>
          <w:tcPr>
            <w:tcW w:w="968" w:type="dxa"/>
            <w:tcBorders>
              <w:top w:val="single" w:sz="6" w:space="0" w:color="808080" w:themeColor="background1" w:themeShade="80"/>
              <w:bottom w:val="single" w:sz="6" w:space="0" w:color="808080" w:themeColor="background1" w:themeShade="80"/>
            </w:tcBorders>
          </w:tcPr>
          <w:p w14:paraId="0B48DDB1" w14:textId="68E01208" w:rsidR="00C55FA1" w:rsidRPr="00D52D3D" w:rsidRDefault="00C55FA1" w:rsidP="00C55FA1">
            <w:pPr>
              <w:pStyle w:val="TableText"/>
              <w:keepNext/>
            </w:pPr>
            <w:r w:rsidRPr="00D52D3D">
              <w:t>0.46%</w:t>
            </w:r>
          </w:p>
        </w:tc>
        <w:tc>
          <w:tcPr>
            <w:tcW w:w="1951" w:type="dxa"/>
            <w:vMerge/>
            <w:shd w:val="clear" w:color="auto" w:fill="auto"/>
            <w:noWrap/>
          </w:tcPr>
          <w:p w14:paraId="7DE8C5AB" w14:textId="23DA5DB0" w:rsidR="00C55FA1" w:rsidRPr="00D52D3D" w:rsidRDefault="00C55FA1" w:rsidP="00C55FA1">
            <w:pPr>
              <w:pStyle w:val="TableText"/>
              <w:keepNext/>
            </w:pPr>
          </w:p>
        </w:tc>
      </w:tr>
      <w:tr w:rsidR="00C55FA1" w:rsidRPr="00D52D3D" w14:paraId="62AA6675"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648809B9" w14:textId="77777777" w:rsidR="00C55FA1" w:rsidRPr="00D52D3D" w:rsidRDefault="00C55FA1" w:rsidP="00C55FA1">
            <w:pPr>
              <w:pStyle w:val="TableText"/>
              <w:keepNext/>
            </w:pPr>
            <w:r w:rsidRPr="00D52D3D">
              <w:t>35–44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1E9F98A" w14:textId="7720BCF5" w:rsidR="00C55FA1" w:rsidRPr="00D52D3D" w:rsidRDefault="00C55FA1" w:rsidP="00C55FA1">
            <w:pPr>
              <w:pStyle w:val="TableText"/>
              <w:keepNext/>
              <w:tabs>
                <w:tab w:val="decimal" w:pos="377"/>
              </w:tabs>
            </w:pPr>
            <w:r w:rsidRPr="00D52D3D">
              <w:t>5.25%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816FC3A" w14:textId="3DFDED1A" w:rsidR="00C55FA1" w:rsidRPr="00D52D3D" w:rsidRDefault="00C55FA1" w:rsidP="00C55FA1">
            <w:pPr>
              <w:pStyle w:val="TableText"/>
              <w:keepNext/>
              <w:tabs>
                <w:tab w:val="decimal" w:pos="377"/>
              </w:tabs>
            </w:pPr>
            <w:r w:rsidRPr="00D52D3D">
              <w:t>5.25%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44D6EF6C" w14:textId="517DE013" w:rsidR="00C55FA1" w:rsidRPr="00D52D3D" w:rsidRDefault="00C55FA1" w:rsidP="00C55FA1">
            <w:pPr>
              <w:pStyle w:val="TableText"/>
              <w:keepNext/>
              <w:tabs>
                <w:tab w:val="decimal" w:pos="377"/>
              </w:tabs>
            </w:pPr>
            <w:r w:rsidRPr="00D52D3D">
              <w:t>5.25%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4ABDE7A" w14:textId="650A2CBD" w:rsidR="00C55FA1" w:rsidRPr="00D52D3D" w:rsidRDefault="00C55FA1" w:rsidP="00C55FA1">
            <w:pPr>
              <w:pStyle w:val="TableText"/>
              <w:keepNext/>
              <w:tabs>
                <w:tab w:val="decimal" w:pos="377"/>
              </w:tabs>
            </w:pPr>
            <w:r w:rsidRPr="00D52D3D">
              <w:t>70.00%</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5082926F" w14:textId="526347D2" w:rsidR="00C55FA1" w:rsidRPr="00D52D3D" w:rsidRDefault="00C55FA1" w:rsidP="00C55FA1">
            <w:pPr>
              <w:pStyle w:val="TableText"/>
              <w:keepNext/>
              <w:tabs>
                <w:tab w:val="decimal" w:pos="377"/>
              </w:tabs>
            </w:pPr>
            <w:r w:rsidRPr="00D52D3D">
              <w:t>10.00%</w:t>
            </w:r>
          </w:p>
        </w:tc>
        <w:tc>
          <w:tcPr>
            <w:tcW w:w="967" w:type="dxa"/>
            <w:tcBorders>
              <w:top w:val="single" w:sz="6" w:space="0" w:color="808080" w:themeColor="background1" w:themeShade="80"/>
              <w:bottom w:val="single" w:sz="6" w:space="0" w:color="808080" w:themeColor="background1" w:themeShade="80"/>
            </w:tcBorders>
          </w:tcPr>
          <w:p w14:paraId="29B85632" w14:textId="45C7121D" w:rsidR="00C55FA1" w:rsidRPr="00D52D3D" w:rsidRDefault="00C55FA1" w:rsidP="00C55FA1">
            <w:pPr>
              <w:pStyle w:val="TableText"/>
              <w:keepNext/>
            </w:pPr>
            <w:r w:rsidRPr="00D52D3D">
              <w:t>4.00%</w:t>
            </w:r>
          </w:p>
        </w:tc>
        <w:tc>
          <w:tcPr>
            <w:tcW w:w="968" w:type="dxa"/>
            <w:tcBorders>
              <w:top w:val="single" w:sz="6" w:space="0" w:color="808080" w:themeColor="background1" w:themeShade="80"/>
              <w:bottom w:val="single" w:sz="6" w:space="0" w:color="808080" w:themeColor="background1" w:themeShade="80"/>
            </w:tcBorders>
          </w:tcPr>
          <w:p w14:paraId="5486E63E" w14:textId="010EBFAD" w:rsidR="00C55FA1" w:rsidRPr="00D52D3D" w:rsidRDefault="00C55FA1" w:rsidP="00C55FA1">
            <w:pPr>
              <w:pStyle w:val="TableText"/>
              <w:keepNext/>
            </w:pPr>
            <w:r w:rsidRPr="00D52D3D">
              <w:t>0.25%</w:t>
            </w:r>
          </w:p>
        </w:tc>
        <w:tc>
          <w:tcPr>
            <w:tcW w:w="1951" w:type="dxa"/>
            <w:vMerge/>
            <w:shd w:val="clear" w:color="auto" w:fill="auto"/>
            <w:noWrap/>
          </w:tcPr>
          <w:p w14:paraId="3C389B4B" w14:textId="056D7DFC" w:rsidR="00C55FA1" w:rsidRPr="00D52D3D" w:rsidRDefault="00C55FA1" w:rsidP="00C55FA1">
            <w:pPr>
              <w:pStyle w:val="TableText"/>
              <w:keepNext/>
            </w:pPr>
          </w:p>
        </w:tc>
      </w:tr>
      <w:tr w:rsidR="00C55FA1" w:rsidRPr="00D52D3D" w14:paraId="62CE053F"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3E298B05" w14:textId="10383ED4" w:rsidR="00C55FA1" w:rsidRPr="00D52D3D" w:rsidRDefault="00C55FA1" w:rsidP="00C55FA1">
            <w:pPr>
              <w:pStyle w:val="TableText"/>
              <w:keepNext/>
            </w:pPr>
            <w:r w:rsidRPr="00D52D3D">
              <w:t>45–54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AC70399" w14:textId="2DDBFADC" w:rsidR="00C55FA1" w:rsidRPr="00D52D3D" w:rsidRDefault="00C55FA1" w:rsidP="00C55FA1">
            <w:pPr>
              <w:pStyle w:val="TableText"/>
              <w:keepNext/>
              <w:tabs>
                <w:tab w:val="decimal" w:pos="377"/>
              </w:tabs>
            </w:pPr>
            <w:r w:rsidRPr="00D52D3D">
              <w:t>0.00%</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FE1FB0C" w14:textId="6B338770" w:rsidR="00C55FA1" w:rsidRPr="00D52D3D" w:rsidRDefault="00C55FA1" w:rsidP="00C55FA1">
            <w:pPr>
              <w:pStyle w:val="TableText"/>
              <w:keepNext/>
              <w:tabs>
                <w:tab w:val="decimal" w:pos="377"/>
              </w:tabs>
            </w:pPr>
            <w:r w:rsidRPr="00D52D3D">
              <w:t>5.25%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3B68B581" w14:textId="32DFBDE6" w:rsidR="00C55FA1" w:rsidRPr="00D52D3D" w:rsidRDefault="00C55FA1" w:rsidP="00C55FA1">
            <w:pPr>
              <w:pStyle w:val="TableText"/>
              <w:keepNext/>
              <w:tabs>
                <w:tab w:val="decimal" w:pos="377"/>
              </w:tabs>
            </w:pPr>
            <w:r w:rsidRPr="00D52D3D">
              <w:t>5.25%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3B07EDE8" w14:textId="4C84F97E" w:rsidR="00C55FA1" w:rsidRPr="00D52D3D" w:rsidRDefault="00C55FA1" w:rsidP="00C55FA1">
            <w:pPr>
              <w:pStyle w:val="TableText"/>
              <w:keepNext/>
              <w:tabs>
                <w:tab w:val="decimal" w:pos="377"/>
              </w:tabs>
            </w:pPr>
            <w:r w:rsidRPr="00D52D3D">
              <w:t>5.25%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3A3EA12B" w14:textId="246447EB" w:rsidR="00C55FA1" w:rsidRPr="00D52D3D" w:rsidRDefault="00C55FA1" w:rsidP="00C55FA1">
            <w:pPr>
              <w:pStyle w:val="TableText"/>
              <w:keepNext/>
              <w:tabs>
                <w:tab w:val="decimal" w:pos="377"/>
              </w:tabs>
            </w:pPr>
            <w:r w:rsidRPr="00D52D3D">
              <w:t>70.00%</w:t>
            </w:r>
          </w:p>
        </w:tc>
        <w:tc>
          <w:tcPr>
            <w:tcW w:w="967" w:type="dxa"/>
            <w:tcBorders>
              <w:top w:val="single" w:sz="6" w:space="0" w:color="808080" w:themeColor="background1" w:themeShade="80"/>
              <w:bottom w:val="single" w:sz="6" w:space="0" w:color="808080" w:themeColor="background1" w:themeShade="80"/>
            </w:tcBorders>
          </w:tcPr>
          <w:p w14:paraId="786FE4E8" w14:textId="3627C07D" w:rsidR="00C55FA1" w:rsidRPr="00D52D3D" w:rsidRDefault="00C55FA1" w:rsidP="00C55FA1">
            <w:pPr>
              <w:pStyle w:val="TableText"/>
              <w:keepNext/>
            </w:pPr>
            <w:r w:rsidRPr="00D52D3D">
              <w:t>10.00%</w:t>
            </w:r>
          </w:p>
        </w:tc>
        <w:tc>
          <w:tcPr>
            <w:tcW w:w="968" w:type="dxa"/>
            <w:tcBorders>
              <w:top w:val="single" w:sz="6" w:space="0" w:color="808080" w:themeColor="background1" w:themeShade="80"/>
              <w:bottom w:val="single" w:sz="6" w:space="0" w:color="808080" w:themeColor="background1" w:themeShade="80"/>
            </w:tcBorders>
          </w:tcPr>
          <w:p w14:paraId="4A6D3482" w14:textId="2E104524" w:rsidR="00C55FA1" w:rsidRPr="00D52D3D" w:rsidRDefault="00C55FA1" w:rsidP="00C55FA1">
            <w:pPr>
              <w:pStyle w:val="TableText"/>
              <w:keepNext/>
            </w:pPr>
            <w:r w:rsidRPr="00D52D3D">
              <w:t>4.25%</w:t>
            </w:r>
          </w:p>
        </w:tc>
        <w:tc>
          <w:tcPr>
            <w:tcW w:w="1951" w:type="dxa"/>
            <w:vMerge/>
            <w:shd w:val="clear" w:color="auto" w:fill="auto"/>
            <w:noWrap/>
          </w:tcPr>
          <w:p w14:paraId="0FB9B7D4" w14:textId="563BAD1E" w:rsidR="00C55FA1" w:rsidRPr="00D52D3D" w:rsidRDefault="00C55FA1" w:rsidP="00C55FA1">
            <w:pPr>
              <w:pStyle w:val="TableText"/>
              <w:keepNext/>
            </w:pPr>
          </w:p>
        </w:tc>
      </w:tr>
      <w:tr w:rsidR="00C55FA1" w:rsidRPr="00D52D3D" w14:paraId="06491CFF"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2A55A4E8" w14:textId="58CEF56D" w:rsidR="00C55FA1" w:rsidRPr="00D52D3D" w:rsidRDefault="00C55FA1" w:rsidP="00C55FA1">
            <w:pPr>
              <w:pStyle w:val="TableText"/>
              <w:keepNext/>
            </w:pPr>
            <w:r w:rsidRPr="00D52D3D">
              <w:t>55</w:t>
            </w:r>
            <w:r w:rsidR="000E77C1" w:rsidRPr="00D52D3D">
              <w:t>–</w:t>
            </w:r>
            <w:r w:rsidRPr="00D52D3D">
              <w:t>64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32A429E1" w14:textId="413945BA" w:rsidR="00C55FA1" w:rsidRPr="00D52D3D" w:rsidRDefault="00C55FA1" w:rsidP="00C55FA1">
            <w:pPr>
              <w:pStyle w:val="TableText"/>
              <w:keepNext/>
              <w:tabs>
                <w:tab w:val="decimal" w:pos="377"/>
              </w:tabs>
            </w:pPr>
            <w:r w:rsidRPr="00D52D3D">
              <w:t>0.00%</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EE76F28" w14:textId="4D34CDA1" w:rsidR="00C55FA1" w:rsidRPr="00D52D3D" w:rsidRDefault="00C55FA1" w:rsidP="00C55FA1">
            <w:pPr>
              <w:pStyle w:val="TableText"/>
              <w:keepNext/>
              <w:tabs>
                <w:tab w:val="decimal" w:pos="377"/>
              </w:tabs>
            </w:pPr>
            <w:r w:rsidRPr="00D52D3D">
              <w:t>0.00%</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FA04A3D" w14:textId="7DC18A40" w:rsidR="00C55FA1" w:rsidRPr="00D52D3D" w:rsidRDefault="00C55FA1" w:rsidP="00C55FA1">
            <w:pPr>
              <w:pStyle w:val="TableText"/>
              <w:keepNext/>
              <w:tabs>
                <w:tab w:val="decimal" w:pos="377"/>
              </w:tabs>
            </w:pPr>
            <w:r w:rsidRPr="00D52D3D">
              <w:t>2.24%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734CF7E6" w14:textId="04E1C79E" w:rsidR="00C55FA1" w:rsidRPr="00D52D3D" w:rsidRDefault="00C55FA1" w:rsidP="00C55FA1">
            <w:pPr>
              <w:pStyle w:val="TableText"/>
              <w:keepNext/>
              <w:tabs>
                <w:tab w:val="decimal" w:pos="377"/>
              </w:tabs>
            </w:pPr>
            <w:r w:rsidRPr="00D52D3D">
              <w:t>5.25%</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ACF2891" w14:textId="64B3B05E" w:rsidR="00C55FA1" w:rsidRPr="00D52D3D" w:rsidRDefault="00C55FA1" w:rsidP="00C55FA1">
            <w:pPr>
              <w:pStyle w:val="TableText"/>
              <w:keepNext/>
              <w:tabs>
                <w:tab w:val="decimal" w:pos="377"/>
              </w:tabs>
            </w:pPr>
            <w:r w:rsidRPr="00D52D3D">
              <w:t>15.00%</w:t>
            </w:r>
          </w:p>
        </w:tc>
        <w:tc>
          <w:tcPr>
            <w:tcW w:w="967" w:type="dxa"/>
            <w:tcBorders>
              <w:top w:val="single" w:sz="6" w:space="0" w:color="808080" w:themeColor="background1" w:themeShade="80"/>
              <w:bottom w:val="single" w:sz="6" w:space="0" w:color="808080" w:themeColor="background1" w:themeShade="80"/>
            </w:tcBorders>
          </w:tcPr>
          <w:p w14:paraId="28541FD0" w14:textId="5C81FA49" w:rsidR="00C55FA1" w:rsidRPr="00D52D3D" w:rsidRDefault="00C55FA1" w:rsidP="00C55FA1">
            <w:pPr>
              <w:pStyle w:val="TableText"/>
              <w:keepNext/>
            </w:pPr>
            <w:r w:rsidRPr="00D52D3D">
              <w:t>75.00%</w:t>
            </w:r>
          </w:p>
        </w:tc>
        <w:tc>
          <w:tcPr>
            <w:tcW w:w="968" w:type="dxa"/>
            <w:tcBorders>
              <w:top w:val="single" w:sz="6" w:space="0" w:color="808080" w:themeColor="background1" w:themeShade="80"/>
              <w:bottom w:val="single" w:sz="6" w:space="0" w:color="808080" w:themeColor="background1" w:themeShade="80"/>
            </w:tcBorders>
          </w:tcPr>
          <w:p w14:paraId="3E554003" w14:textId="016BB131" w:rsidR="00C55FA1" w:rsidRPr="00D52D3D" w:rsidRDefault="00C55FA1" w:rsidP="00C55FA1">
            <w:pPr>
              <w:pStyle w:val="TableText"/>
              <w:keepNext/>
            </w:pPr>
            <w:r w:rsidRPr="00D52D3D">
              <w:t>2.51%</w:t>
            </w:r>
          </w:p>
        </w:tc>
        <w:tc>
          <w:tcPr>
            <w:tcW w:w="1951" w:type="dxa"/>
            <w:vMerge/>
            <w:shd w:val="clear" w:color="auto" w:fill="auto"/>
            <w:noWrap/>
          </w:tcPr>
          <w:p w14:paraId="67857792" w14:textId="77777777" w:rsidR="00C55FA1" w:rsidRPr="00D52D3D" w:rsidRDefault="00C55FA1" w:rsidP="00C55FA1">
            <w:pPr>
              <w:pStyle w:val="TableText"/>
              <w:keepNext/>
            </w:pPr>
          </w:p>
        </w:tc>
      </w:tr>
      <w:tr w:rsidR="00C55FA1" w:rsidRPr="00C00335" w14:paraId="17092075" w14:textId="77777777" w:rsidTr="00946B28">
        <w:trPr>
          <w:cantSplit/>
        </w:trPr>
        <w:tc>
          <w:tcPr>
            <w:tcW w:w="1379" w:type="dxa"/>
            <w:tcBorders>
              <w:top w:val="single" w:sz="6" w:space="0" w:color="808080" w:themeColor="background1" w:themeShade="80"/>
              <w:bottom w:val="single" w:sz="12" w:space="0" w:color="000000"/>
            </w:tcBorders>
            <w:shd w:val="clear" w:color="auto" w:fill="auto"/>
            <w:noWrap/>
          </w:tcPr>
          <w:p w14:paraId="75403453" w14:textId="5033205B" w:rsidR="00C55FA1" w:rsidRPr="00D52D3D" w:rsidRDefault="00C55FA1" w:rsidP="00C55FA1">
            <w:pPr>
              <w:pStyle w:val="TableText"/>
              <w:keepNext/>
            </w:pPr>
            <w:r w:rsidRPr="00D52D3D">
              <w:t>65+</w:t>
            </w:r>
          </w:p>
        </w:tc>
        <w:tc>
          <w:tcPr>
            <w:tcW w:w="967" w:type="dxa"/>
            <w:tcBorders>
              <w:top w:val="single" w:sz="6" w:space="0" w:color="808080" w:themeColor="background1" w:themeShade="80"/>
              <w:bottom w:val="single" w:sz="12" w:space="0" w:color="000000"/>
            </w:tcBorders>
            <w:shd w:val="clear" w:color="auto" w:fill="auto"/>
            <w:noWrap/>
          </w:tcPr>
          <w:p w14:paraId="3B244F7C" w14:textId="1B796325" w:rsidR="00C55FA1" w:rsidRPr="00D52D3D" w:rsidRDefault="00C55FA1" w:rsidP="00C55FA1">
            <w:pPr>
              <w:pStyle w:val="TableText"/>
              <w:keepNext/>
              <w:tabs>
                <w:tab w:val="decimal" w:pos="377"/>
              </w:tabs>
            </w:pPr>
            <w:r w:rsidRPr="00D52D3D">
              <w:t>0.00%</w:t>
            </w:r>
          </w:p>
        </w:tc>
        <w:tc>
          <w:tcPr>
            <w:tcW w:w="967" w:type="dxa"/>
            <w:tcBorders>
              <w:top w:val="single" w:sz="6" w:space="0" w:color="808080" w:themeColor="background1" w:themeShade="80"/>
              <w:bottom w:val="single" w:sz="12" w:space="0" w:color="000000"/>
            </w:tcBorders>
            <w:shd w:val="clear" w:color="auto" w:fill="auto"/>
            <w:noWrap/>
          </w:tcPr>
          <w:p w14:paraId="7B0A2148" w14:textId="1ADD3AB7" w:rsidR="00C55FA1" w:rsidRPr="00D52D3D" w:rsidRDefault="00C55FA1" w:rsidP="00C55FA1">
            <w:pPr>
              <w:pStyle w:val="TableText"/>
              <w:keepNext/>
              <w:tabs>
                <w:tab w:val="decimal" w:pos="377"/>
              </w:tabs>
            </w:pPr>
            <w:r w:rsidRPr="00D52D3D">
              <w:t>0.00%</w:t>
            </w:r>
          </w:p>
        </w:tc>
        <w:tc>
          <w:tcPr>
            <w:tcW w:w="968" w:type="dxa"/>
            <w:tcBorders>
              <w:top w:val="single" w:sz="6" w:space="0" w:color="808080" w:themeColor="background1" w:themeShade="80"/>
              <w:bottom w:val="single" w:sz="12" w:space="0" w:color="000000"/>
            </w:tcBorders>
            <w:shd w:val="clear" w:color="auto" w:fill="auto"/>
            <w:noWrap/>
          </w:tcPr>
          <w:p w14:paraId="4EABD42C" w14:textId="34224D45" w:rsidR="00C55FA1" w:rsidRPr="00D52D3D" w:rsidRDefault="00C55FA1" w:rsidP="00C55FA1">
            <w:pPr>
              <w:pStyle w:val="TableText"/>
              <w:keepNext/>
              <w:tabs>
                <w:tab w:val="decimal" w:pos="377"/>
              </w:tabs>
            </w:pPr>
            <w:r w:rsidRPr="00D52D3D">
              <w:t>0.00%</w:t>
            </w:r>
          </w:p>
        </w:tc>
        <w:tc>
          <w:tcPr>
            <w:tcW w:w="967" w:type="dxa"/>
            <w:tcBorders>
              <w:top w:val="single" w:sz="6" w:space="0" w:color="808080" w:themeColor="background1" w:themeShade="80"/>
              <w:bottom w:val="single" w:sz="12" w:space="0" w:color="000000"/>
            </w:tcBorders>
            <w:shd w:val="clear" w:color="auto" w:fill="auto"/>
            <w:noWrap/>
          </w:tcPr>
          <w:p w14:paraId="30F77021" w14:textId="22FB168A" w:rsidR="00C55FA1" w:rsidRPr="00D52D3D" w:rsidRDefault="00C55FA1" w:rsidP="00C55FA1">
            <w:pPr>
              <w:pStyle w:val="TableText"/>
              <w:keepNext/>
              <w:tabs>
                <w:tab w:val="decimal" w:pos="377"/>
              </w:tabs>
            </w:pPr>
            <w:r w:rsidRPr="00D52D3D">
              <w:t>2.00%</w:t>
            </w:r>
          </w:p>
        </w:tc>
        <w:tc>
          <w:tcPr>
            <w:tcW w:w="968" w:type="dxa"/>
            <w:tcBorders>
              <w:top w:val="single" w:sz="6" w:space="0" w:color="808080" w:themeColor="background1" w:themeShade="80"/>
              <w:bottom w:val="single" w:sz="12" w:space="0" w:color="000000"/>
            </w:tcBorders>
            <w:shd w:val="clear" w:color="auto" w:fill="auto"/>
            <w:noWrap/>
          </w:tcPr>
          <w:p w14:paraId="1F957B28" w14:textId="159C6C63" w:rsidR="00C55FA1" w:rsidRPr="00D52D3D" w:rsidRDefault="00C55FA1" w:rsidP="00C55FA1">
            <w:pPr>
              <w:pStyle w:val="TableText"/>
              <w:keepNext/>
              <w:tabs>
                <w:tab w:val="decimal" w:pos="377"/>
              </w:tabs>
            </w:pPr>
            <w:r w:rsidRPr="00D52D3D">
              <w:t>7.00%</w:t>
            </w:r>
          </w:p>
        </w:tc>
        <w:tc>
          <w:tcPr>
            <w:tcW w:w="967" w:type="dxa"/>
            <w:tcBorders>
              <w:top w:val="single" w:sz="6" w:space="0" w:color="808080" w:themeColor="background1" w:themeShade="80"/>
              <w:bottom w:val="single" w:sz="12" w:space="0" w:color="000000"/>
            </w:tcBorders>
          </w:tcPr>
          <w:p w14:paraId="44A266DA" w14:textId="2CF6CF4C" w:rsidR="00C55FA1" w:rsidRPr="00D52D3D" w:rsidRDefault="00C55FA1" w:rsidP="00C55FA1">
            <w:pPr>
              <w:pStyle w:val="TableText"/>
              <w:keepNext/>
            </w:pPr>
            <w:r w:rsidRPr="00D52D3D">
              <w:t>10.00%</w:t>
            </w:r>
          </w:p>
        </w:tc>
        <w:tc>
          <w:tcPr>
            <w:tcW w:w="968" w:type="dxa"/>
            <w:tcBorders>
              <w:top w:val="single" w:sz="6" w:space="0" w:color="808080" w:themeColor="background1" w:themeShade="80"/>
              <w:bottom w:val="single" w:sz="12" w:space="0" w:color="000000"/>
            </w:tcBorders>
          </w:tcPr>
          <w:p w14:paraId="25509150" w14:textId="137B50B8" w:rsidR="00C55FA1" w:rsidRPr="00D52D3D" w:rsidRDefault="00C55FA1" w:rsidP="00C55FA1">
            <w:pPr>
              <w:pStyle w:val="TableText"/>
              <w:keepNext/>
            </w:pPr>
            <w:r w:rsidRPr="00D52D3D">
              <w:t>81.00%</w:t>
            </w:r>
          </w:p>
        </w:tc>
        <w:tc>
          <w:tcPr>
            <w:tcW w:w="1951" w:type="dxa"/>
            <w:vMerge/>
            <w:tcBorders>
              <w:bottom w:val="single" w:sz="12" w:space="0" w:color="000000"/>
            </w:tcBorders>
            <w:shd w:val="clear" w:color="auto" w:fill="auto"/>
            <w:noWrap/>
          </w:tcPr>
          <w:p w14:paraId="1EE374EB" w14:textId="77777777" w:rsidR="00C55FA1" w:rsidRPr="00C00335" w:rsidRDefault="00C55FA1" w:rsidP="00C55FA1">
            <w:pPr>
              <w:pStyle w:val="TableText"/>
              <w:keepNext/>
            </w:pPr>
          </w:p>
        </w:tc>
      </w:tr>
    </w:tbl>
    <w:p w14:paraId="14AC3BCC" w14:textId="3F2306D4" w:rsidR="008F5D01" w:rsidRDefault="008F5D01" w:rsidP="00181BDA">
      <w:pPr>
        <w:pStyle w:val="Source1"/>
      </w:pPr>
    </w:p>
    <w:p w14:paraId="7FCDB5DC" w14:textId="1BAC7DD4" w:rsidR="00C55FA1" w:rsidRPr="00D52D3D" w:rsidRDefault="00C55FA1" w:rsidP="00C55FA1">
      <w:pPr>
        <w:pStyle w:val="TableTitle"/>
        <w:rPr>
          <w:vertAlign w:val="superscript"/>
        </w:rPr>
      </w:pPr>
      <w:bookmarkStart w:id="67" w:name="_Toc89257599"/>
      <w:r w:rsidRPr="00D52D3D">
        <w:lastRenderedPageBreak/>
        <w:t>Table 6.4.</w:t>
      </w:r>
      <w:r w:rsidRPr="00D52D3D">
        <w:tab/>
        <w:t>Distribution of Sexual Partners by Age, MSM</w:t>
      </w:r>
      <w:bookmarkEnd w:id="67"/>
      <w:r w:rsidRPr="00D52D3D">
        <w:t xml:space="preserve"> </w:t>
      </w:r>
    </w:p>
    <w:tbl>
      <w:tblPr>
        <w:tblW w:w="10102"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379"/>
        <w:gridCol w:w="967"/>
        <w:gridCol w:w="967"/>
        <w:gridCol w:w="968"/>
        <w:gridCol w:w="967"/>
        <w:gridCol w:w="968"/>
        <w:gridCol w:w="967"/>
        <w:gridCol w:w="968"/>
        <w:gridCol w:w="1951"/>
      </w:tblGrid>
      <w:tr w:rsidR="00C55FA1" w:rsidRPr="00D52D3D" w14:paraId="6764E015" w14:textId="77777777" w:rsidTr="00946B28">
        <w:trPr>
          <w:cantSplit/>
          <w:tblHeader/>
        </w:trPr>
        <w:tc>
          <w:tcPr>
            <w:tcW w:w="1379" w:type="dxa"/>
            <w:tcBorders>
              <w:top w:val="single" w:sz="12" w:space="0" w:color="000000"/>
              <w:bottom w:val="single" w:sz="6" w:space="0" w:color="auto"/>
            </w:tcBorders>
            <w:shd w:val="clear" w:color="auto" w:fill="auto"/>
            <w:noWrap/>
            <w:vAlign w:val="bottom"/>
          </w:tcPr>
          <w:p w14:paraId="11C6B0F6" w14:textId="77777777" w:rsidR="00C55FA1" w:rsidRPr="00D52D3D" w:rsidRDefault="00C55FA1" w:rsidP="00946B28">
            <w:pPr>
              <w:pStyle w:val="TableHeaders"/>
              <w:keepNext/>
              <w:spacing w:before="60" w:after="60"/>
            </w:pPr>
            <w:r w:rsidRPr="00D52D3D">
              <w:t>Age Group</w:t>
            </w:r>
          </w:p>
        </w:tc>
        <w:tc>
          <w:tcPr>
            <w:tcW w:w="967" w:type="dxa"/>
            <w:tcBorders>
              <w:top w:val="single" w:sz="12" w:space="0" w:color="000000"/>
              <w:bottom w:val="single" w:sz="6" w:space="0" w:color="auto"/>
            </w:tcBorders>
            <w:shd w:val="clear" w:color="auto" w:fill="auto"/>
            <w:noWrap/>
            <w:vAlign w:val="bottom"/>
          </w:tcPr>
          <w:p w14:paraId="0E7F808C" w14:textId="77777777" w:rsidR="00C55FA1" w:rsidRPr="00D52D3D" w:rsidRDefault="00C55FA1" w:rsidP="00946B28">
            <w:pPr>
              <w:pStyle w:val="TableHeaders"/>
              <w:keepNext/>
              <w:spacing w:before="60" w:after="60"/>
            </w:pPr>
            <w:r w:rsidRPr="00D52D3D">
              <w:t>13–17</w:t>
            </w:r>
          </w:p>
        </w:tc>
        <w:tc>
          <w:tcPr>
            <w:tcW w:w="967" w:type="dxa"/>
            <w:tcBorders>
              <w:top w:val="single" w:sz="12" w:space="0" w:color="000000"/>
              <w:bottom w:val="single" w:sz="6" w:space="0" w:color="auto"/>
            </w:tcBorders>
            <w:shd w:val="clear" w:color="auto" w:fill="auto"/>
            <w:noWrap/>
            <w:vAlign w:val="bottom"/>
          </w:tcPr>
          <w:p w14:paraId="4C7330A8" w14:textId="77777777" w:rsidR="00C55FA1" w:rsidRPr="00D52D3D" w:rsidRDefault="00C55FA1" w:rsidP="00946B28">
            <w:pPr>
              <w:pStyle w:val="TableHeaders"/>
              <w:keepNext/>
              <w:spacing w:before="60" w:after="60"/>
            </w:pPr>
            <w:r w:rsidRPr="00D52D3D">
              <w:t>18–24</w:t>
            </w:r>
          </w:p>
        </w:tc>
        <w:tc>
          <w:tcPr>
            <w:tcW w:w="968" w:type="dxa"/>
            <w:tcBorders>
              <w:top w:val="single" w:sz="12" w:space="0" w:color="000000"/>
              <w:bottom w:val="single" w:sz="6" w:space="0" w:color="auto"/>
            </w:tcBorders>
            <w:shd w:val="clear" w:color="auto" w:fill="auto"/>
            <w:noWrap/>
            <w:vAlign w:val="bottom"/>
          </w:tcPr>
          <w:p w14:paraId="7A1E86E7" w14:textId="77777777" w:rsidR="00C55FA1" w:rsidRPr="00D52D3D" w:rsidRDefault="00C55FA1" w:rsidP="00946B28">
            <w:pPr>
              <w:pStyle w:val="TableHeaders"/>
              <w:keepNext/>
              <w:spacing w:before="60" w:after="60"/>
            </w:pPr>
            <w:r w:rsidRPr="00D52D3D">
              <w:t>25–34</w:t>
            </w:r>
          </w:p>
        </w:tc>
        <w:tc>
          <w:tcPr>
            <w:tcW w:w="967" w:type="dxa"/>
            <w:tcBorders>
              <w:top w:val="single" w:sz="12" w:space="0" w:color="000000"/>
              <w:bottom w:val="single" w:sz="6" w:space="0" w:color="auto"/>
            </w:tcBorders>
            <w:shd w:val="clear" w:color="auto" w:fill="auto"/>
            <w:noWrap/>
            <w:vAlign w:val="bottom"/>
          </w:tcPr>
          <w:p w14:paraId="002A3F03" w14:textId="77777777" w:rsidR="00C55FA1" w:rsidRPr="00D52D3D" w:rsidRDefault="00C55FA1" w:rsidP="00946B28">
            <w:pPr>
              <w:pStyle w:val="TableHeaders"/>
              <w:keepNext/>
              <w:spacing w:before="60" w:after="60"/>
            </w:pPr>
            <w:r w:rsidRPr="00D52D3D">
              <w:t>35–44</w:t>
            </w:r>
          </w:p>
        </w:tc>
        <w:tc>
          <w:tcPr>
            <w:tcW w:w="968" w:type="dxa"/>
            <w:tcBorders>
              <w:top w:val="single" w:sz="12" w:space="0" w:color="000000"/>
              <w:bottom w:val="single" w:sz="6" w:space="0" w:color="auto"/>
            </w:tcBorders>
            <w:shd w:val="clear" w:color="auto" w:fill="auto"/>
            <w:noWrap/>
            <w:vAlign w:val="bottom"/>
          </w:tcPr>
          <w:p w14:paraId="6FC00990" w14:textId="77777777" w:rsidR="00C55FA1" w:rsidRPr="00D52D3D" w:rsidRDefault="00C55FA1" w:rsidP="00946B28">
            <w:pPr>
              <w:pStyle w:val="TableHeaders"/>
              <w:keepNext/>
              <w:spacing w:before="60" w:after="60"/>
            </w:pPr>
            <w:r w:rsidRPr="00D52D3D">
              <w:t>45–54</w:t>
            </w:r>
          </w:p>
        </w:tc>
        <w:tc>
          <w:tcPr>
            <w:tcW w:w="967" w:type="dxa"/>
            <w:tcBorders>
              <w:top w:val="single" w:sz="12" w:space="0" w:color="000000"/>
              <w:bottom w:val="single" w:sz="6" w:space="0" w:color="auto"/>
            </w:tcBorders>
            <w:vAlign w:val="bottom"/>
          </w:tcPr>
          <w:p w14:paraId="353BD15A" w14:textId="16AA2919" w:rsidR="00C55FA1" w:rsidRPr="00D52D3D" w:rsidRDefault="00C55FA1" w:rsidP="00946B28">
            <w:pPr>
              <w:pStyle w:val="TableHeaders"/>
              <w:keepNext/>
              <w:spacing w:before="60" w:after="60"/>
            </w:pPr>
            <w:r w:rsidRPr="00D52D3D">
              <w:t>55</w:t>
            </w:r>
            <w:r w:rsidR="000E77C1" w:rsidRPr="00D52D3D">
              <w:t>–</w:t>
            </w:r>
            <w:r w:rsidRPr="00D52D3D">
              <w:t>64</w:t>
            </w:r>
          </w:p>
        </w:tc>
        <w:tc>
          <w:tcPr>
            <w:tcW w:w="968" w:type="dxa"/>
            <w:tcBorders>
              <w:top w:val="single" w:sz="12" w:space="0" w:color="000000"/>
              <w:bottom w:val="single" w:sz="6" w:space="0" w:color="auto"/>
            </w:tcBorders>
            <w:vAlign w:val="bottom"/>
          </w:tcPr>
          <w:p w14:paraId="52DB2B1B" w14:textId="77777777" w:rsidR="00C55FA1" w:rsidRPr="00D52D3D" w:rsidRDefault="00C55FA1" w:rsidP="00946B28">
            <w:pPr>
              <w:pStyle w:val="TableHeaders"/>
              <w:keepNext/>
              <w:spacing w:before="60" w:after="60"/>
            </w:pPr>
            <w:r w:rsidRPr="00D52D3D">
              <w:t>65+</w:t>
            </w:r>
          </w:p>
        </w:tc>
        <w:tc>
          <w:tcPr>
            <w:tcW w:w="1951" w:type="dxa"/>
            <w:tcBorders>
              <w:top w:val="single" w:sz="12" w:space="0" w:color="000000"/>
              <w:bottom w:val="single" w:sz="6" w:space="0" w:color="auto"/>
            </w:tcBorders>
            <w:shd w:val="clear" w:color="auto" w:fill="auto"/>
            <w:noWrap/>
            <w:vAlign w:val="bottom"/>
            <w:hideMark/>
          </w:tcPr>
          <w:p w14:paraId="3D119A9A" w14:textId="77777777" w:rsidR="00C55FA1" w:rsidRPr="00D52D3D" w:rsidRDefault="00C55FA1" w:rsidP="00946B28">
            <w:pPr>
              <w:pStyle w:val="TableHeaders"/>
              <w:keepNext/>
              <w:spacing w:before="60" w:after="60"/>
            </w:pPr>
            <w:r w:rsidRPr="00D52D3D">
              <w:t>Source</w:t>
            </w:r>
          </w:p>
        </w:tc>
      </w:tr>
      <w:tr w:rsidR="00044BA9" w:rsidRPr="00D52D3D" w14:paraId="41224252" w14:textId="77777777" w:rsidTr="00946B28">
        <w:trPr>
          <w:cantSplit/>
        </w:trPr>
        <w:tc>
          <w:tcPr>
            <w:tcW w:w="1379" w:type="dxa"/>
            <w:tcBorders>
              <w:top w:val="single" w:sz="6" w:space="0" w:color="auto"/>
              <w:bottom w:val="single" w:sz="6" w:space="0" w:color="808080" w:themeColor="background1" w:themeShade="80"/>
            </w:tcBorders>
            <w:shd w:val="clear" w:color="auto" w:fill="auto"/>
            <w:noWrap/>
          </w:tcPr>
          <w:p w14:paraId="23F5732D" w14:textId="77777777" w:rsidR="00044BA9" w:rsidRPr="00D52D3D" w:rsidRDefault="00044BA9" w:rsidP="00044BA9">
            <w:pPr>
              <w:pStyle w:val="TableText"/>
              <w:keepNext/>
            </w:pPr>
            <w:r w:rsidRPr="00D52D3D">
              <w:t>13–17</w:t>
            </w:r>
          </w:p>
        </w:tc>
        <w:tc>
          <w:tcPr>
            <w:tcW w:w="967" w:type="dxa"/>
            <w:tcBorders>
              <w:top w:val="single" w:sz="6" w:space="0" w:color="auto"/>
              <w:bottom w:val="single" w:sz="6" w:space="0" w:color="808080" w:themeColor="background1" w:themeShade="80"/>
            </w:tcBorders>
            <w:shd w:val="clear" w:color="auto" w:fill="auto"/>
            <w:noWrap/>
          </w:tcPr>
          <w:p w14:paraId="1A504E41" w14:textId="5A52CE43" w:rsidR="00044BA9" w:rsidRPr="00D52D3D" w:rsidRDefault="00044BA9" w:rsidP="00044BA9">
            <w:pPr>
              <w:pStyle w:val="TableText"/>
              <w:keepNext/>
              <w:tabs>
                <w:tab w:val="decimal" w:pos="377"/>
              </w:tabs>
            </w:pPr>
            <w:r w:rsidRPr="00F27D6E">
              <w:t>15.0%</w:t>
            </w:r>
          </w:p>
        </w:tc>
        <w:tc>
          <w:tcPr>
            <w:tcW w:w="967" w:type="dxa"/>
            <w:tcBorders>
              <w:top w:val="single" w:sz="6" w:space="0" w:color="auto"/>
              <w:bottom w:val="single" w:sz="6" w:space="0" w:color="808080" w:themeColor="background1" w:themeShade="80"/>
            </w:tcBorders>
            <w:shd w:val="clear" w:color="auto" w:fill="auto"/>
            <w:noWrap/>
          </w:tcPr>
          <w:p w14:paraId="15D6E357" w14:textId="1B6C9950" w:rsidR="00044BA9" w:rsidRPr="00D52D3D" w:rsidRDefault="00044BA9" w:rsidP="00044BA9">
            <w:pPr>
              <w:pStyle w:val="TableText"/>
              <w:keepNext/>
              <w:tabs>
                <w:tab w:val="decimal" w:pos="377"/>
              </w:tabs>
            </w:pPr>
            <w:r w:rsidRPr="00F27D6E">
              <w:t>55.4%</w:t>
            </w:r>
          </w:p>
        </w:tc>
        <w:tc>
          <w:tcPr>
            <w:tcW w:w="968" w:type="dxa"/>
            <w:tcBorders>
              <w:top w:val="single" w:sz="6" w:space="0" w:color="auto"/>
              <w:bottom w:val="single" w:sz="6" w:space="0" w:color="808080" w:themeColor="background1" w:themeShade="80"/>
            </w:tcBorders>
            <w:shd w:val="clear" w:color="auto" w:fill="auto"/>
            <w:noWrap/>
          </w:tcPr>
          <w:p w14:paraId="6FDC3E45" w14:textId="78CBD84D" w:rsidR="00044BA9" w:rsidRPr="00D52D3D" w:rsidRDefault="00044BA9" w:rsidP="00044BA9">
            <w:pPr>
              <w:pStyle w:val="TableText"/>
              <w:keepNext/>
              <w:tabs>
                <w:tab w:val="decimal" w:pos="377"/>
              </w:tabs>
            </w:pPr>
            <w:r w:rsidRPr="00F27D6E">
              <w:t>24.8%</w:t>
            </w:r>
          </w:p>
        </w:tc>
        <w:tc>
          <w:tcPr>
            <w:tcW w:w="967" w:type="dxa"/>
            <w:tcBorders>
              <w:top w:val="single" w:sz="6" w:space="0" w:color="auto"/>
              <w:bottom w:val="single" w:sz="6" w:space="0" w:color="808080" w:themeColor="background1" w:themeShade="80"/>
            </w:tcBorders>
            <w:shd w:val="clear" w:color="auto" w:fill="auto"/>
            <w:noWrap/>
          </w:tcPr>
          <w:p w14:paraId="6F4DC9B6" w14:textId="17403B9D" w:rsidR="00044BA9" w:rsidRPr="00D52D3D" w:rsidRDefault="00044BA9" w:rsidP="00044BA9">
            <w:pPr>
              <w:pStyle w:val="TableText"/>
              <w:keepNext/>
              <w:tabs>
                <w:tab w:val="decimal" w:pos="377"/>
              </w:tabs>
            </w:pPr>
            <w:r w:rsidRPr="00F27D6E">
              <w:t>3.2%</w:t>
            </w:r>
          </w:p>
        </w:tc>
        <w:tc>
          <w:tcPr>
            <w:tcW w:w="968" w:type="dxa"/>
            <w:tcBorders>
              <w:top w:val="single" w:sz="6" w:space="0" w:color="auto"/>
              <w:bottom w:val="single" w:sz="6" w:space="0" w:color="808080" w:themeColor="background1" w:themeShade="80"/>
            </w:tcBorders>
            <w:shd w:val="clear" w:color="auto" w:fill="auto"/>
            <w:noWrap/>
          </w:tcPr>
          <w:p w14:paraId="164033A5" w14:textId="0AAEEF15" w:rsidR="00044BA9" w:rsidRPr="00D52D3D" w:rsidRDefault="00044BA9" w:rsidP="00044BA9">
            <w:pPr>
              <w:pStyle w:val="TableText"/>
              <w:keepNext/>
              <w:tabs>
                <w:tab w:val="decimal" w:pos="377"/>
              </w:tabs>
            </w:pPr>
            <w:r w:rsidRPr="00F27D6E">
              <w:t>0.5%</w:t>
            </w:r>
          </w:p>
        </w:tc>
        <w:tc>
          <w:tcPr>
            <w:tcW w:w="967" w:type="dxa"/>
            <w:tcBorders>
              <w:top w:val="single" w:sz="6" w:space="0" w:color="auto"/>
              <w:bottom w:val="single" w:sz="6" w:space="0" w:color="808080" w:themeColor="background1" w:themeShade="80"/>
            </w:tcBorders>
          </w:tcPr>
          <w:p w14:paraId="380A0367" w14:textId="26E9218F" w:rsidR="00044BA9" w:rsidRPr="00D52D3D" w:rsidRDefault="00044BA9" w:rsidP="00044BA9">
            <w:pPr>
              <w:pStyle w:val="TableText"/>
              <w:keepNext/>
              <w:jc w:val="center"/>
            </w:pPr>
            <w:r w:rsidRPr="00F27D6E">
              <w:t>0.5%</w:t>
            </w:r>
          </w:p>
        </w:tc>
        <w:tc>
          <w:tcPr>
            <w:tcW w:w="968" w:type="dxa"/>
            <w:tcBorders>
              <w:top w:val="single" w:sz="6" w:space="0" w:color="auto"/>
              <w:bottom w:val="single" w:sz="6" w:space="0" w:color="808080" w:themeColor="background1" w:themeShade="80"/>
            </w:tcBorders>
          </w:tcPr>
          <w:p w14:paraId="733164AD" w14:textId="517D8582" w:rsidR="00044BA9" w:rsidRPr="00D52D3D" w:rsidRDefault="00044BA9" w:rsidP="00044BA9">
            <w:pPr>
              <w:pStyle w:val="TableText"/>
              <w:keepNext/>
              <w:jc w:val="center"/>
            </w:pPr>
            <w:r w:rsidRPr="00F27D6E">
              <w:t>0.5%</w:t>
            </w:r>
          </w:p>
        </w:tc>
        <w:tc>
          <w:tcPr>
            <w:tcW w:w="1951" w:type="dxa"/>
            <w:vMerge w:val="restart"/>
            <w:tcBorders>
              <w:top w:val="single" w:sz="6" w:space="0" w:color="auto"/>
            </w:tcBorders>
            <w:shd w:val="clear" w:color="auto" w:fill="auto"/>
            <w:noWrap/>
          </w:tcPr>
          <w:p w14:paraId="48F02E05" w14:textId="254332FA" w:rsidR="00044BA9" w:rsidRPr="00D52D3D" w:rsidRDefault="00044BA9" w:rsidP="00044BA9">
            <w:pPr>
              <w:pStyle w:val="TableText"/>
              <w:keepNext/>
              <w:rPr>
                <w:vertAlign w:val="superscript"/>
              </w:rPr>
            </w:pPr>
            <w:r w:rsidRPr="00D52D3D">
              <w:t>Determined by calibration.</w:t>
            </w:r>
          </w:p>
        </w:tc>
      </w:tr>
      <w:tr w:rsidR="00044BA9" w:rsidRPr="00D52D3D" w14:paraId="475E8BA6"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5A5708B9" w14:textId="77777777" w:rsidR="00044BA9" w:rsidRPr="00D52D3D" w:rsidRDefault="00044BA9" w:rsidP="00044BA9">
            <w:pPr>
              <w:pStyle w:val="TableText"/>
              <w:keepNext/>
            </w:pPr>
            <w:r w:rsidRPr="00D52D3D">
              <w:t>18–24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7F67F3E" w14:textId="2749C7E6" w:rsidR="00044BA9" w:rsidRPr="00D52D3D" w:rsidRDefault="00044BA9" w:rsidP="00044BA9">
            <w:pPr>
              <w:pStyle w:val="TableText"/>
              <w:keepNext/>
              <w:tabs>
                <w:tab w:val="decimal" w:pos="377"/>
              </w:tabs>
            </w:pPr>
            <w:r w:rsidRPr="00F27D6E">
              <w:t>8.3%</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267C45CA" w14:textId="4622DA4D" w:rsidR="00044BA9" w:rsidRPr="00D52D3D" w:rsidRDefault="00044BA9" w:rsidP="00044BA9">
            <w:pPr>
              <w:pStyle w:val="TableText"/>
              <w:keepNext/>
              <w:tabs>
                <w:tab w:val="decimal" w:pos="377"/>
              </w:tabs>
            </w:pPr>
            <w:r w:rsidRPr="00F27D6E">
              <w:t>41.8%</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088E2F2D" w14:textId="04AFD6BD" w:rsidR="00044BA9" w:rsidRPr="00D52D3D" w:rsidRDefault="00044BA9" w:rsidP="00044BA9">
            <w:pPr>
              <w:pStyle w:val="TableText"/>
              <w:keepNext/>
              <w:tabs>
                <w:tab w:val="decimal" w:pos="377"/>
              </w:tabs>
            </w:pPr>
            <w:r w:rsidRPr="00F27D6E">
              <w:t>29.1%</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1B48E30" w14:textId="3785D46D" w:rsidR="00044BA9" w:rsidRPr="00D52D3D" w:rsidRDefault="00044BA9" w:rsidP="00044BA9">
            <w:pPr>
              <w:pStyle w:val="TableText"/>
              <w:keepNext/>
              <w:tabs>
                <w:tab w:val="decimal" w:pos="377"/>
              </w:tabs>
            </w:pPr>
            <w:r w:rsidRPr="00F27D6E">
              <w:t>12.2%</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16BFB429" w14:textId="574F8F24" w:rsidR="00044BA9" w:rsidRPr="00D52D3D" w:rsidRDefault="00044BA9" w:rsidP="00044BA9">
            <w:pPr>
              <w:pStyle w:val="TableText"/>
              <w:keepNext/>
              <w:tabs>
                <w:tab w:val="decimal" w:pos="377"/>
              </w:tabs>
            </w:pPr>
            <w:r w:rsidRPr="00F27D6E">
              <w:t>3.4%</w:t>
            </w:r>
          </w:p>
        </w:tc>
        <w:tc>
          <w:tcPr>
            <w:tcW w:w="967" w:type="dxa"/>
            <w:tcBorders>
              <w:top w:val="single" w:sz="6" w:space="0" w:color="808080" w:themeColor="background1" w:themeShade="80"/>
              <w:bottom w:val="single" w:sz="6" w:space="0" w:color="808080" w:themeColor="background1" w:themeShade="80"/>
            </w:tcBorders>
          </w:tcPr>
          <w:p w14:paraId="536F51E0" w14:textId="2125D503" w:rsidR="00044BA9" w:rsidRPr="00D52D3D" w:rsidRDefault="00044BA9" w:rsidP="00044BA9">
            <w:pPr>
              <w:pStyle w:val="TableText"/>
              <w:keepNext/>
              <w:jc w:val="center"/>
            </w:pPr>
            <w:r w:rsidRPr="00F27D6E">
              <w:t>3.2%</w:t>
            </w:r>
          </w:p>
        </w:tc>
        <w:tc>
          <w:tcPr>
            <w:tcW w:w="968" w:type="dxa"/>
            <w:tcBorders>
              <w:top w:val="single" w:sz="6" w:space="0" w:color="808080" w:themeColor="background1" w:themeShade="80"/>
              <w:bottom w:val="single" w:sz="6" w:space="0" w:color="808080" w:themeColor="background1" w:themeShade="80"/>
            </w:tcBorders>
          </w:tcPr>
          <w:p w14:paraId="70A4D510" w14:textId="43404ED0" w:rsidR="00044BA9" w:rsidRPr="00D52D3D" w:rsidRDefault="00044BA9" w:rsidP="00044BA9">
            <w:pPr>
              <w:pStyle w:val="TableText"/>
              <w:keepNext/>
              <w:jc w:val="center"/>
            </w:pPr>
            <w:r w:rsidRPr="00F27D6E">
              <w:t>2.1%</w:t>
            </w:r>
          </w:p>
        </w:tc>
        <w:tc>
          <w:tcPr>
            <w:tcW w:w="1951" w:type="dxa"/>
            <w:vMerge/>
            <w:shd w:val="clear" w:color="auto" w:fill="auto"/>
            <w:noWrap/>
          </w:tcPr>
          <w:p w14:paraId="7E8ECD15" w14:textId="77777777" w:rsidR="00044BA9" w:rsidRPr="00D52D3D" w:rsidRDefault="00044BA9" w:rsidP="00044BA9">
            <w:pPr>
              <w:pStyle w:val="TableText"/>
              <w:keepNext/>
            </w:pPr>
          </w:p>
        </w:tc>
      </w:tr>
      <w:tr w:rsidR="00044BA9" w:rsidRPr="00D52D3D" w14:paraId="6377D3FE"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1120443C" w14:textId="77777777" w:rsidR="00044BA9" w:rsidRPr="00D52D3D" w:rsidRDefault="00044BA9" w:rsidP="00044BA9">
            <w:pPr>
              <w:pStyle w:val="TableText"/>
              <w:keepNext/>
            </w:pPr>
            <w:r w:rsidRPr="00D52D3D">
              <w:t>25–34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DE67EFA" w14:textId="7B55D6D0" w:rsidR="00044BA9" w:rsidRPr="00D52D3D" w:rsidRDefault="00044BA9" w:rsidP="00044BA9">
            <w:pPr>
              <w:pStyle w:val="TableText"/>
              <w:keepNext/>
              <w:tabs>
                <w:tab w:val="decimal" w:pos="377"/>
              </w:tabs>
            </w:pPr>
            <w:r w:rsidRPr="00F27D6E">
              <w:t>4.6%</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2EA1F3BE" w14:textId="65883224" w:rsidR="00044BA9" w:rsidRPr="00D52D3D" w:rsidRDefault="00044BA9" w:rsidP="00044BA9">
            <w:pPr>
              <w:pStyle w:val="TableText"/>
              <w:keepNext/>
              <w:tabs>
                <w:tab w:val="decimal" w:pos="377"/>
              </w:tabs>
            </w:pPr>
            <w:r w:rsidRPr="00F27D6E">
              <w:t>30.1%</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16109F56" w14:textId="3C3F0A1E" w:rsidR="00044BA9" w:rsidRPr="00D52D3D" w:rsidRDefault="00044BA9" w:rsidP="00044BA9">
            <w:pPr>
              <w:pStyle w:val="TableText"/>
              <w:keepNext/>
              <w:tabs>
                <w:tab w:val="decimal" w:pos="377"/>
              </w:tabs>
            </w:pPr>
            <w:r w:rsidRPr="00F27D6E">
              <w:t>23.3%</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6BD5B85" w14:textId="4F6A2D39" w:rsidR="00044BA9" w:rsidRPr="00D52D3D" w:rsidRDefault="00044BA9" w:rsidP="00044BA9">
            <w:pPr>
              <w:pStyle w:val="TableText"/>
              <w:keepNext/>
              <w:tabs>
                <w:tab w:val="decimal" w:pos="377"/>
              </w:tabs>
            </w:pPr>
            <w:r w:rsidRPr="00F27D6E">
              <w:t>30.0%</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796CB669" w14:textId="6F585566" w:rsidR="00044BA9" w:rsidRPr="00D52D3D" w:rsidRDefault="00044BA9" w:rsidP="00044BA9">
            <w:pPr>
              <w:pStyle w:val="TableText"/>
              <w:keepNext/>
              <w:tabs>
                <w:tab w:val="decimal" w:pos="377"/>
              </w:tabs>
            </w:pPr>
            <w:r w:rsidRPr="00F27D6E">
              <w:t>5.9%</w:t>
            </w:r>
          </w:p>
        </w:tc>
        <w:tc>
          <w:tcPr>
            <w:tcW w:w="967" w:type="dxa"/>
            <w:tcBorders>
              <w:top w:val="single" w:sz="6" w:space="0" w:color="808080" w:themeColor="background1" w:themeShade="80"/>
              <w:bottom w:val="single" w:sz="6" w:space="0" w:color="808080" w:themeColor="background1" w:themeShade="80"/>
            </w:tcBorders>
          </w:tcPr>
          <w:p w14:paraId="5A9EC3B8" w14:textId="349F9FB0" w:rsidR="00044BA9" w:rsidRPr="00D52D3D" w:rsidRDefault="00044BA9" w:rsidP="00044BA9">
            <w:pPr>
              <w:pStyle w:val="TableText"/>
              <w:keepNext/>
              <w:jc w:val="center"/>
            </w:pPr>
            <w:r w:rsidRPr="00F27D6E">
              <w:t>3.4%</w:t>
            </w:r>
          </w:p>
        </w:tc>
        <w:tc>
          <w:tcPr>
            <w:tcW w:w="968" w:type="dxa"/>
            <w:tcBorders>
              <w:top w:val="single" w:sz="6" w:space="0" w:color="808080" w:themeColor="background1" w:themeShade="80"/>
              <w:bottom w:val="single" w:sz="6" w:space="0" w:color="808080" w:themeColor="background1" w:themeShade="80"/>
            </w:tcBorders>
          </w:tcPr>
          <w:p w14:paraId="17C74123" w14:textId="150A564E" w:rsidR="00044BA9" w:rsidRPr="00D52D3D" w:rsidRDefault="00044BA9" w:rsidP="00044BA9">
            <w:pPr>
              <w:pStyle w:val="TableText"/>
              <w:keepNext/>
              <w:jc w:val="center"/>
            </w:pPr>
            <w:r w:rsidRPr="00F27D6E">
              <w:t>2.9%</w:t>
            </w:r>
          </w:p>
        </w:tc>
        <w:tc>
          <w:tcPr>
            <w:tcW w:w="1951" w:type="dxa"/>
            <w:vMerge/>
            <w:shd w:val="clear" w:color="auto" w:fill="auto"/>
            <w:noWrap/>
          </w:tcPr>
          <w:p w14:paraId="521AA6A4" w14:textId="77777777" w:rsidR="00044BA9" w:rsidRPr="00D52D3D" w:rsidRDefault="00044BA9" w:rsidP="00044BA9">
            <w:pPr>
              <w:pStyle w:val="TableText"/>
              <w:keepNext/>
            </w:pPr>
          </w:p>
        </w:tc>
      </w:tr>
      <w:tr w:rsidR="00044BA9" w:rsidRPr="00D52D3D" w14:paraId="4DFAA49C"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070C9F21" w14:textId="77777777" w:rsidR="00044BA9" w:rsidRPr="00D52D3D" w:rsidRDefault="00044BA9" w:rsidP="00044BA9">
            <w:pPr>
              <w:pStyle w:val="TableText"/>
              <w:keepNext/>
            </w:pPr>
            <w:r w:rsidRPr="00D52D3D">
              <w:t>35–44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A415F07" w14:textId="63C8498D" w:rsidR="00044BA9" w:rsidRPr="00D52D3D" w:rsidRDefault="00044BA9" w:rsidP="00044BA9">
            <w:pPr>
              <w:pStyle w:val="TableText"/>
              <w:keepNext/>
              <w:tabs>
                <w:tab w:val="decimal" w:pos="377"/>
              </w:tabs>
            </w:pPr>
            <w:r w:rsidRPr="00F27D6E">
              <w:t>2.3%</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8E73F33" w14:textId="2F904ED2" w:rsidR="00044BA9" w:rsidRPr="00D52D3D" w:rsidRDefault="00044BA9" w:rsidP="00044BA9">
            <w:pPr>
              <w:pStyle w:val="TableText"/>
              <w:keepNext/>
              <w:tabs>
                <w:tab w:val="decimal" w:pos="377"/>
              </w:tabs>
            </w:pPr>
            <w:r w:rsidRPr="00F27D6E">
              <w:t>10.6%</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2A704F16" w14:textId="21073980" w:rsidR="00044BA9" w:rsidRPr="00D52D3D" w:rsidRDefault="00044BA9" w:rsidP="00044BA9">
            <w:pPr>
              <w:pStyle w:val="TableText"/>
              <w:keepNext/>
              <w:tabs>
                <w:tab w:val="decimal" w:pos="377"/>
              </w:tabs>
            </w:pPr>
            <w:r w:rsidRPr="00F27D6E">
              <w:t>22.6%</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3196C461" w14:textId="7EB3C68C" w:rsidR="00044BA9" w:rsidRPr="00D52D3D" w:rsidRDefault="00044BA9" w:rsidP="00044BA9">
            <w:pPr>
              <w:pStyle w:val="TableText"/>
              <w:keepNext/>
              <w:tabs>
                <w:tab w:val="decimal" w:pos="377"/>
              </w:tabs>
            </w:pPr>
            <w:r w:rsidRPr="00F27D6E">
              <w:t>31.9%</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7FF8785A" w14:textId="6CDBE090" w:rsidR="00044BA9" w:rsidRPr="00D52D3D" w:rsidRDefault="00044BA9" w:rsidP="00044BA9">
            <w:pPr>
              <w:pStyle w:val="TableText"/>
              <w:keepNext/>
              <w:tabs>
                <w:tab w:val="decimal" w:pos="377"/>
              </w:tabs>
            </w:pPr>
            <w:r w:rsidRPr="00F27D6E">
              <w:t>23.5%</w:t>
            </w:r>
          </w:p>
        </w:tc>
        <w:tc>
          <w:tcPr>
            <w:tcW w:w="967" w:type="dxa"/>
            <w:tcBorders>
              <w:top w:val="single" w:sz="6" w:space="0" w:color="808080" w:themeColor="background1" w:themeShade="80"/>
              <w:bottom w:val="single" w:sz="6" w:space="0" w:color="808080" w:themeColor="background1" w:themeShade="80"/>
            </w:tcBorders>
          </w:tcPr>
          <w:p w14:paraId="7A2E20F5" w14:textId="056EE07F" w:rsidR="00044BA9" w:rsidRPr="00D52D3D" w:rsidRDefault="00044BA9" w:rsidP="00044BA9">
            <w:pPr>
              <w:pStyle w:val="TableText"/>
              <w:keepNext/>
              <w:jc w:val="center"/>
            </w:pPr>
            <w:r w:rsidRPr="00F27D6E">
              <w:t>6.2%</w:t>
            </w:r>
          </w:p>
        </w:tc>
        <w:tc>
          <w:tcPr>
            <w:tcW w:w="968" w:type="dxa"/>
            <w:tcBorders>
              <w:top w:val="single" w:sz="6" w:space="0" w:color="808080" w:themeColor="background1" w:themeShade="80"/>
              <w:bottom w:val="single" w:sz="6" w:space="0" w:color="808080" w:themeColor="background1" w:themeShade="80"/>
            </w:tcBorders>
          </w:tcPr>
          <w:p w14:paraId="56B35867" w14:textId="689961B3" w:rsidR="00044BA9" w:rsidRPr="00D52D3D" w:rsidRDefault="00044BA9" w:rsidP="00044BA9">
            <w:pPr>
              <w:pStyle w:val="TableText"/>
              <w:keepNext/>
              <w:jc w:val="center"/>
            </w:pPr>
            <w:r w:rsidRPr="00F27D6E">
              <w:t>2.9%</w:t>
            </w:r>
          </w:p>
        </w:tc>
        <w:tc>
          <w:tcPr>
            <w:tcW w:w="1951" w:type="dxa"/>
            <w:vMerge/>
            <w:shd w:val="clear" w:color="auto" w:fill="auto"/>
            <w:noWrap/>
          </w:tcPr>
          <w:p w14:paraId="39535BEF" w14:textId="77777777" w:rsidR="00044BA9" w:rsidRPr="00D52D3D" w:rsidRDefault="00044BA9" w:rsidP="00044BA9">
            <w:pPr>
              <w:pStyle w:val="TableText"/>
              <w:keepNext/>
            </w:pPr>
          </w:p>
        </w:tc>
      </w:tr>
      <w:tr w:rsidR="00044BA9" w:rsidRPr="00D52D3D" w14:paraId="0D5DDD25"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2389C4C6" w14:textId="77777777" w:rsidR="00044BA9" w:rsidRPr="00D52D3D" w:rsidRDefault="00044BA9" w:rsidP="00044BA9">
            <w:pPr>
              <w:pStyle w:val="TableText"/>
              <w:keepNext/>
            </w:pPr>
            <w:r w:rsidRPr="00D52D3D">
              <w:t>45–54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774E9A12" w14:textId="1B7F74EA" w:rsidR="00044BA9" w:rsidRPr="00D52D3D" w:rsidRDefault="00044BA9" w:rsidP="00044BA9">
            <w:pPr>
              <w:pStyle w:val="TableText"/>
              <w:keepNext/>
              <w:tabs>
                <w:tab w:val="decimal" w:pos="377"/>
              </w:tabs>
            </w:pPr>
            <w:r w:rsidRPr="00F27D6E">
              <w:t>2.6%</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D79A2F2" w14:textId="4EC34928" w:rsidR="00044BA9" w:rsidRPr="00D52D3D" w:rsidRDefault="00044BA9" w:rsidP="00044BA9">
            <w:pPr>
              <w:pStyle w:val="TableText"/>
              <w:keepNext/>
              <w:tabs>
                <w:tab w:val="decimal" w:pos="377"/>
              </w:tabs>
            </w:pPr>
            <w:r w:rsidRPr="00F27D6E">
              <w:t>4.3%</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5E6CE1DF" w14:textId="3A5C1EBE" w:rsidR="00044BA9" w:rsidRPr="00D52D3D" w:rsidRDefault="00044BA9" w:rsidP="00044BA9">
            <w:pPr>
              <w:pStyle w:val="TableText"/>
              <w:keepNext/>
              <w:tabs>
                <w:tab w:val="decimal" w:pos="377"/>
              </w:tabs>
            </w:pPr>
            <w:r w:rsidRPr="00F27D6E">
              <w:t>8.3%</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12221E8D" w14:textId="50077CC7" w:rsidR="00044BA9" w:rsidRPr="00D52D3D" w:rsidRDefault="00044BA9" w:rsidP="00044BA9">
            <w:pPr>
              <w:pStyle w:val="TableText"/>
              <w:keepNext/>
              <w:tabs>
                <w:tab w:val="decimal" w:pos="377"/>
              </w:tabs>
            </w:pPr>
            <w:r w:rsidRPr="00F27D6E">
              <w:t>17.3%</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41FAC856" w14:textId="312A6F25" w:rsidR="00044BA9" w:rsidRPr="00D52D3D" w:rsidRDefault="00044BA9" w:rsidP="00044BA9">
            <w:pPr>
              <w:pStyle w:val="TableText"/>
              <w:keepNext/>
              <w:tabs>
                <w:tab w:val="decimal" w:pos="377"/>
              </w:tabs>
            </w:pPr>
            <w:r w:rsidRPr="00F27D6E">
              <w:t>41.3%</w:t>
            </w:r>
          </w:p>
        </w:tc>
        <w:tc>
          <w:tcPr>
            <w:tcW w:w="967" w:type="dxa"/>
            <w:tcBorders>
              <w:top w:val="single" w:sz="6" w:space="0" w:color="808080" w:themeColor="background1" w:themeShade="80"/>
              <w:bottom w:val="single" w:sz="6" w:space="0" w:color="808080" w:themeColor="background1" w:themeShade="80"/>
            </w:tcBorders>
          </w:tcPr>
          <w:p w14:paraId="4CE45F29" w14:textId="670921DE" w:rsidR="00044BA9" w:rsidRPr="00D52D3D" w:rsidRDefault="00044BA9" w:rsidP="00044BA9">
            <w:pPr>
              <w:pStyle w:val="TableText"/>
              <w:keepNext/>
              <w:jc w:val="center"/>
            </w:pPr>
            <w:r w:rsidRPr="00F27D6E">
              <w:t>20.8%</w:t>
            </w:r>
          </w:p>
        </w:tc>
        <w:tc>
          <w:tcPr>
            <w:tcW w:w="968" w:type="dxa"/>
            <w:tcBorders>
              <w:top w:val="single" w:sz="6" w:space="0" w:color="808080" w:themeColor="background1" w:themeShade="80"/>
              <w:bottom w:val="single" w:sz="6" w:space="0" w:color="808080" w:themeColor="background1" w:themeShade="80"/>
            </w:tcBorders>
          </w:tcPr>
          <w:p w14:paraId="70239284" w14:textId="172F8CD3" w:rsidR="00044BA9" w:rsidRPr="00D52D3D" w:rsidRDefault="00044BA9" w:rsidP="00044BA9">
            <w:pPr>
              <w:pStyle w:val="TableText"/>
              <w:keepNext/>
              <w:jc w:val="center"/>
            </w:pPr>
            <w:r w:rsidRPr="00F27D6E">
              <w:t>5.4%</w:t>
            </w:r>
          </w:p>
        </w:tc>
        <w:tc>
          <w:tcPr>
            <w:tcW w:w="1951" w:type="dxa"/>
            <w:vMerge/>
            <w:shd w:val="clear" w:color="auto" w:fill="auto"/>
            <w:noWrap/>
          </w:tcPr>
          <w:p w14:paraId="1FB8BE01" w14:textId="77777777" w:rsidR="00044BA9" w:rsidRPr="00D52D3D" w:rsidRDefault="00044BA9" w:rsidP="00044BA9">
            <w:pPr>
              <w:pStyle w:val="TableText"/>
              <w:keepNext/>
            </w:pPr>
          </w:p>
        </w:tc>
      </w:tr>
      <w:tr w:rsidR="00044BA9" w:rsidRPr="00D52D3D" w14:paraId="164E598A" w14:textId="77777777" w:rsidTr="00946B28">
        <w:trPr>
          <w:cantSplit/>
        </w:trPr>
        <w:tc>
          <w:tcPr>
            <w:tcW w:w="1379" w:type="dxa"/>
            <w:tcBorders>
              <w:top w:val="single" w:sz="6" w:space="0" w:color="808080" w:themeColor="background1" w:themeShade="80"/>
              <w:bottom w:val="single" w:sz="6" w:space="0" w:color="808080" w:themeColor="background1" w:themeShade="80"/>
            </w:tcBorders>
            <w:shd w:val="clear" w:color="auto" w:fill="auto"/>
            <w:noWrap/>
          </w:tcPr>
          <w:p w14:paraId="64F9916E" w14:textId="18F75709" w:rsidR="00044BA9" w:rsidRPr="00D52D3D" w:rsidRDefault="00044BA9" w:rsidP="00044BA9">
            <w:pPr>
              <w:pStyle w:val="TableText"/>
              <w:keepNext/>
            </w:pPr>
            <w:r w:rsidRPr="00D52D3D">
              <w:t>55–64</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554D239E" w14:textId="52D464F8" w:rsidR="00044BA9" w:rsidRPr="00D52D3D" w:rsidRDefault="00044BA9" w:rsidP="00044BA9">
            <w:pPr>
              <w:pStyle w:val="TableText"/>
              <w:keepNext/>
              <w:tabs>
                <w:tab w:val="decimal" w:pos="377"/>
              </w:tabs>
            </w:pPr>
            <w:r w:rsidRPr="00F27D6E">
              <w:t>0.5%</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0B5C4B81" w14:textId="5A3F0AB0" w:rsidR="00044BA9" w:rsidRPr="00D52D3D" w:rsidRDefault="00044BA9" w:rsidP="00044BA9">
            <w:pPr>
              <w:pStyle w:val="TableText"/>
              <w:keepNext/>
              <w:tabs>
                <w:tab w:val="decimal" w:pos="377"/>
              </w:tabs>
            </w:pPr>
            <w:r w:rsidRPr="00F27D6E">
              <w:t>4.3%</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6EC944F0" w14:textId="2670B696" w:rsidR="00044BA9" w:rsidRPr="00D52D3D" w:rsidRDefault="00044BA9" w:rsidP="00044BA9">
            <w:pPr>
              <w:pStyle w:val="TableText"/>
              <w:keepNext/>
              <w:tabs>
                <w:tab w:val="decimal" w:pos="377"/>
              </w:tabs>
            </w:pPr>
            <w:r w:rsidRPr="00F27D6E">
              <w:t>5.1%</w:t>
            </w:r>
          </w:p>
        </w:tc>
        <w:tc>
          <w:tcPr>
            <w:tcW w:w="967" w:type="dxa"/>
            <w:tcBorders>
              <w:top w:val="single" w:sz="6" w:space="0" w:color="808080" w:themeColor="background1" w:themeShade="80"/>
              <w:bottom w:val="single" w:sz="6" w:space="0" w:color="808080" w:themeColor="background1" w:themeShade="80"/>
            </w:tcBorders>
            <w:shd w:val="clear" w:color="auto" w:fill="auto"/>
            <w:noWrap/>
          </w:tcPr>
          <w:p w14:paraId="3A66AA6B" w14:textId="643E38CF" w:rsidR="00044BA9" w:rsidRPr="00D52D3D" w:rsidRDefault="00044BA9" w:rsidP="00044BA9">
            <w:pPr>
              <w:pStyle w:val="TableText"/>
              <w:keepNext/>
              <w:tabs>
                <w:tab w:val="decimal" w:pos="377"/>
              </w:tabs>
            </w:pPr>
            <w:r w:rsidRPr="00F27D6E">
              <w:t>9.3%</w:t>
            </w:r>
          </w:p>
        </w:tc>
        <w:tc>
          <w:tcPr>
            <w:tcW w:w="968" w:type="dxa"/>
            <w:tcBorders>
              <w:top w:val="single" w:sz="6" w:space="0" w:color="808080" w:themeColor="background1" w:themeShade="80"/>
              <w:bottom w:val="single" w:sz="6" w:space="0" w:color="808080" w:themeColor="background1" w:themeShade="80"/>
            </w:tcBorders>
            <w:shd w:val="clear" w:color="auto" w:fill="auto"/>
            <w:noWrap/>
          </w:tcPr>
          <w:p w14:paraId="0FA48ED6" w14:textId="6A753EDA" w:rsidR="00044BA9" w:rsidRPr="00D52D3D" w:rsidRDefault="00044BA9" w:rsidP="00044BA9">
            <w:pPr>
              <w:pStyle w:val="TableText"/>
              <w:keepNext/>
              <w:tabs>
                <w:tab w:val="decimal" w:pos="377"/>
              </w:tabs>
            </w:pPr>
            <w:r w:rsidRPr="00F27D6E">
              <w:t>19.4%</w:t>
            </w:r>
          </w:p>
        </w:tc>
        <w:tc>
          <w:tcPr>
            <w:tcW w:w="967" w:type="dxa"/>
            <w:tcBorders>
              <w:top w:val="single" w:sz="6" w:space="0" w:color="808080" w:themeColor="background1" w:themeShade="80"/>
              <w:bottom w:val="single" w:sz="6" w:space="0" w:color="808080" w:themeColor="background1" w:themeShade="80"/>
            </w:tcBorders>
          </w:tcPr>
          <w:p w14:paraId="3708518E" w14:textId="27DAB3E3" w:rsidR="00044BA9" w:rsidRPr="00D52D3D" w:rsidRDefault="00044BA9" w:rsidP="00044BA9">
            <w:pPr>
              <w:pStyle w:val="TableText"/>
              <w:keepNext/>
              <w:jc w:val="center"/>
            </w:pPr>
            <w:r w:rsidRPr="00F27D6E">
              <w:t>37.6%</w:t>
            </w:r>
          </w:p>
        </w:tc>
        <w:tc>
          <w:tcPr>
            <w:tcW w:w="968" w:type="dxa"/>
            <w:tcBorders>
              <w:top w:val="single" w:sz="6" w:space="0" w:color="808080" w:themeColor="background1" w:themeShade="80"/>
              <w:bottom w:val="single" w:sz="6" w:space="0" w:color="808080" w:themeColor="background1" w:themeShade="80"/>
            </w:tcBorders>
          </w:tcPr>
          <w:p w14:paraId="552D75B3" w14:textId="38AF6F88" w:rsidR="00044BA9" w:rsidRPr="00D52D3D" w:rsidRDefault="00044BA9" w:rsidP="00044BA9">
            <w:pPr>
              <w:pStyle w:val="TableText"/>
              <w:keepNext/>
              <w:jc w:val="center"/>
            </w:pPr>
            <w:r w:rsidRPr="00F27D6E">
              <w:t>23.9%</w:t>
            </w:r>
          </w:p>
        </w:tc>
        <w:tc>
          <w:tcPr>
            <w:tcW w:w="1951" w:type="dxa"/>
            <w:vMerge/>
            <w:shd w:val="clear" w:color="auto" w:fill="auto"/>
            <w:noWrap/>
          </w:tcPr>
          <w:p w14:paraId="4C0927F2" w14:textId="77777777" w:rsidR="00044BA9" w:rsidRPr="00D52D3D" w:rsidRDefault="00044BA9" w:rsidP="00044BA9">
            <w:pPr>
              <w:pStyle w:val="TableText"/>
              <w:keepNext/>
            </w:pPr>
          </w:p>
        </w:tc>
      </w:tr>
      <w:tr w:rsidR="00044BA9" w:rsidRPr="00C00335" w14:paraId="48543686" w14:textId="77777777" w:rsidTr="00946B28">
        <w:trPr>
          <w:cantSplit/>
        </w:trPr>
        <w:tc>
          <w:tcPr>
            <w:tcW w:w="1379" w:type="dxa"/>
            <w:tcBorders>
              <w:top w:val="single" w:sz="6" w:space="0" w:color="808080" w:themeColor="background1" w:themeShade="80"/>
              <w:bottom w:val="single" w:sz="12" w:space="0" w:color="000000"/>
            </w:tcBorders>
            <w:shd w:val="clear" w:color="auto" w:fill="auto"/>
            <w:noWrap/>
          </w:tcPr>
          <w:p w14:paraId="56CDC8D1" w14:textId="77777777" w:rsidR="00044BA9" w:rsidRPr="00D52D3D" w:rsidRDefault="00044BA9" w:rsidP="00044BA9">
            <w:pPr>
              <w:pStyle w:val="TableText"/>
              <w:keepNext/>
            </w:pPr>
            <w:r w:rsidRPr="00D52D3D">
              <w:t>65+</w:t>
            </w:r>
          </w:p>
        </w:tc>
        <w:tc>
          <w:tcPr>
            <w:tcW w:w="967" w:type="dxa"/>
            <w:tcBorders>
              <w:top w:val="single" w:sz="6" w:space="0" w:color="808080" w:themeColor="background1" w:themeShade="80"/>
              <w:bottom w:val="single" w:sz="12" w:space="0" w:color="000000"/>
            </w:tcBorders>
            <w:shd w:val="clear" w:color="auto" w:fill="auto"/>
            <w:noWrap/>
          </w:tcPr>
          <w:p w14:paraId="2F9DD0EB" w14:textId="3E1D073B" w:rsidR="00044BA9" w:rsidRPr="00D52D3D" w:rsidRDefault="00044BA9" w:rsidP="00044BA9">
            <w:pPr>
              <w:pStyle w:val="TableText"/>
              <w:keepNext/>
              <w:tabs>
                <w:tab w:val="decimal" w:pos="377"/>
              </w:tabs>
            </w:pPr>
            <w:r w:rsidRPr="00F27D6E">
              <w:t>0.5%</w:t>
            </w:r>
          </w:p>
        </w:tc>
        <w:tc>
          <w:tcPr>
            <w:tcW w:w="967" w:type="dxa"/>
            <w:tcBorders>
              <w:top w:val="single" w:sz="6" w:space="0" w:color="808080" w:themeColor="background1" w:themeShade="80"/>
              <w:bottom w:val="single" w:sz="12" w:space="0" w:color="000000"/>
            </w:tcBorders>
            <w:shd w:val="clear" w:color="auto" w:fill="auto"/>
            <w:noWrap/>
          </w:tcPr>
          <w:p w14:paraId="54649CCA" w14:textId="13DE3601" w:rsidR="00044BA9" w:rsidRPr="00D52D3D" w:rsidRDefault="00044BA9" w:rsidP="00044BA9">
            <w:pPr>
              <w:pStyle w:val="TableText"/>
              <w:keepNext/>
              <w:tabs>
                <w:tab w:val="decimal" w:pos="377"/>
              </w:tabs>
            </w:pPr>
            <w:r w:rsidRPr="00F27D6E">
              <w:t>0.5%</w:t>
            </w:r>
          </w:p>
        </w:tc>
        <w:tc>
          <w:tcPr>
            <w:tcW w:w="968" w:type="dxa"/>
            <w:tcBorders>
              <w:top w:val="single" w:sz="6" w:space="0" w:color="808080" w:themeColor="background1" w:themeShade="80"/>
              <w:bottom w:val="single" w:sz="12" w:space="0" w:color="000000"/>
            </w:tcBorders>
            <w:shd w:val="clear" w:color="auto" w:fill="auto"/>
            <w:noWrap/>
          </w:tcPr>
          <w:p w14:paraId="32DFCDEC" w14:textId="4A52AE88" w:rsidR="00044BA9" w:rsidRPr="00D52D3D" w:rsidRDefault="00044BA9" w:rsidP="00044BA9">
            <w:pPr>
              <w:pStyle w:val="TableText"/>
              <w:keepNext/>
              <w:tabs>
                <w:tab w:val="decimal" w:pos="377"/>
              </w:tabs>
            </w:pPr>
            <w:r w:rsidRPr="00F27D6E">
              <w:t>2.2%</w:t>
            </w:r>
          </w:p>
        </w:tc>
        <w:tc>
          <w:tcPr>
            <w:tcW w:w="967" w:type="dxa"/>
            <w:tcBorders>
              <w:top w:val="single" w:sz="6" w:space="0" w:color="808080" w:themeColor="background1" w:themeShade="80"/>
              <w:bottom w:val="single" w:sz="12" w:space="0" w:color="000000"/>
            </w:tcBorders>
            <w:shd w:val="clear" w:color="auto" w:fill="auto"/>
            <w:noWrap/>
          </w:tcPr>
          <w:p w14:paraId="4EEB96B9" w14:textId="1F3C6DAD" w:rsidR="00044BA9" w:rsidRPr="00D52D3D" w:rsidRDefault="00044BA9" w:rsidP="00044BA9">
            <w:pPr>
              <w:pStyle w:val="TableText"/>
              <w:keepNext/>
              <w:tabs>
                <w:tab w:val="decimal" w:pos="377"/>
              </w:tabs>
            </w:pPr>
            <w:r w:rsidRPr="00F27D6E">
              <w:t>8.6%</w:t>
            </w:r>
          </w:p>
        </w:tc>
        <w:tc>
          <w:tcPr>
            <w:tcW w:w="968" w:type="dxa"/>
            <w:tcBorders>
              <w:top w:val="single" w:sz="6" w:space="0" w:color="808080" w:themeColor="background1" w:themeShade="80"/>
              <w:bottom w:val="single" w:sz="12" w:space="0" w:color="000000"/>
            </w:tcBorders>
            <w:shd w:val="clear" w:color="auto" w:fill="auto"/>
            <w:noWrap/>
          </w:tcPr>
          <w:p w14:paraId="3F0215B1" w14:textId="2EA5BEF5" w:rsidR="00044BA9" w:rsidRPr="00D52D3D" w:rsidRDefault="00044BA9" w:rsidP="00044BA9">
            <w:pPr>
              <w:pStyle w:val="TableText"/>
              <w:keepNext/>
              <w:tabs>
                <w:tab w:val="decimal" w:pos="377"/>
              </w:tabs>
            </w:pPr>
            <w:r w:rsidRPr="00F27D6E">
              <w:t>12.3%</w:t>
            </w:r>
          </w:p>
        </w:tc>
        <w:tc>
          <w:tcPr>
            <w:tcW w:w="967" w:type="dxa"/>
            <w:tcBorders>
              <w:top w:val="single" w:sz="6" w:space="0" w:color="808080" w:themeColor="background1" w:themeShade="80"/>
              <w:bottom w:val="single" w:sz="12" w:space="0" w:color="000000"/>
            </w:tcBorders>
          </w:tcPr>
          <w:p w14:paraId="4E070303" w14:textId="14954990" w:rsidR="00044BA9" w:rsidRPr="00D52D3D" w:rsidRDefault="00044BA9" w:rsidP="00044BA9">
            <w:pPr>
              <w:pStyle w:val="TableText"/>
              <w:keepNext/>
              <w:jc w:val="center"/>
            </w:pPr>
            <w:r w:rsidRPr="00F27D6E">
              <w:t>20.7%</w:t>
            </w:r>
          </w:p>
        </w:tc>
        <w:tc>
          <w:tcPr>
            <w:tcW w:w="968" w:type="dxa"/>
            <w:tcBorders>
              <w:top w:val="single" w:sz="6" w:space="0" w:color="808080" w:themeColor="background1" w:themeShade="80"/>
              <w:bottom w:val="single" w:sz="12" w:space="0" w:color="000000"/>
            </w:tcBorders>
          </w:tcPr>
          <w:p w14:paraId="7E0B7083" w14:textId="62E582D5" w:rsidR="00044BA9" w:rsidRPr="00C00335" w:rsidRDefault="00044BA9" w:rsidP="00044BA9">
            <w:pPr>
              <w:pStyle w:val="TableText"/>
              <w:keepNext/>
              <w:jc w:val="center"/>
            </w:pPr>
            <w:r w:rsidRPr="00F27D6E">
              <w:t>55.1%</w:t>
            </w:r>
          </w:p>
        </w:tc>
        <w:tc>
          <w:tcPr>
            <w:tcW w:w="1951" w:type="dxa"/>
            <w:vMerge/>
            <w:tcBorders>
              <w:bottom w:val="single" w:sz="12" w:space="0" w:color="000000"/>
            </w:tcBorders>
            <w:shd w:val="clear" w:color="auto" w:fill="auto"/>
            <w:noWrap/>
          </w:tcPr>
          <w:p w14:paraId="17E85D69" w14:textId="77777777" w:rsidR="00044BA9" w:rsidRPr="00C00335" w:rsidRDefault="00044BA9" w:rsidP="00044BA9">
            <w:pPr>
              <w:pStyle w:val="TableText"/>
              <w:keepNext/>
            </w:pPr>
          </w:p>
        </w:tc>
      </w:tr>
    </w:tbl>
    <w:p w14:paraId="3DC9BFBE" w14:textId="77777777" w:rsidR="00C55FA1" w:rsidRPr="00C00335" w:rsidRDefault="00C55FA1" w:rsidP="004B71BF">
      <w:pPr>
        <w:pStyle w:val="Source1"/>
        <w:ind w:left="0" w:firstLine="0"/>
      </w:pPr>
    </w:p>
    <w:p w14:paraId="2E7EC8E4" w14:textId="63D2BB86" w:rsidR="008F5D01" w:rsidRPr="00C00335" w:rsidRDefault="004F4E6D" w:rsidP="008F5D01">
      <w:pPr>
        <w:pStyle w:val="TableTitle"/>
      </w:pPr>
      <w:bookmarkStart w:id="68" w:name="_Toc89257600"/>
      <w:r w:rsidRPr="00C00335">
        <w:t>Table 6.</w:t>
      </w:r>
      <w:r w:rsidR="00C55FA1">
        <w:t>5</w:t>
      </w:r>
      <w:r w:rsidR="008F5D01" w:rsidRPr="00C00335">
        <w:t>.</w:t>
      </w:r>
      <w:r w:rsidR="008F5D01" w:rsidRPr="00C00335">
        <w:tab/>
        <w:t>Distribution of Sexual Partners by Risk Level</w:t>
      </w:r>
      <w:r w:rsidR="0018472F" w:rsidRPr="00C00335">
        <w:t>, by Transmission Group</w:t>
      </w:r>
      <w:bookmarkEnd w:id="68"/>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754"/>
        <w:gridCol w:w="1719"/>
        <w:gridCol w:w="1506"/>
        <w:gridCol w:w="1620"/>
        <w:gridCol w:w="2761"/>
      </w:tblGrid>
      <w:tr w:rsidR="0018472F" w:rsidRPr="00C00335" w14:paraId="4DD1F4C1" w14:textId="77777777" w:rsidTr="00260D8A">
        <w:trPr>
          <w:cantSplit/>
          <w:tblHeader/>
        </w:trPr>
        <w:tc>
          <w:tcPr>
            <w:tcW w:w="1754" w:type="dxa"/>
            <w:tcBorders>
              <w:top w:val="single" w:sz="12" w:space="0" w:color="000000"/>
              <w:bottom w:val="single" w:sz="6" w:space="0" w:color="auto"/>
            </w:tcBorders>
          </w:tcPr>
          <w:p w14:paraId="50EDAD1E" w14:textId="77777777" w:rsidR="0018472F" w:rsidRPr="00C00335" w:rsidRDefault="0018472F" w:rsidP="000B1C51">
            <w:pPr>
              <w:pStyle w:val="TableHeaders"/>
              <w:keepNext/>
              <w:spacing w:before="60" w:after="60"/>
            </w:pPr>
            <w:r w:rsidRPr="00C00335">
              <w:t>Transmission Group</w:t>
            </w:r>
          </w:p>
        </w:tc>
        <w:tc>
          <w:tcPr>
            <w:tcW w:w="1719" w:type="dxa"/>
            <w:tcBorders>
              <w:top w:val="single" w:sz="12" w:space="0" w:color="000000"/>
              <w:bottom w:val="single" w:sz="6" w:space="0" w:color="auto"/>
            </w:tcBorders>
            <w:shd w:val="clear" w:color="auto" w:fill="auto"/>
            <w:noWrap/>
            <w:vAlign w:val="bottom"/>
            <w:hideMark/>
          </w:tcPr>
          <w:p w14:paraId="49172D04" w14:textId="3F023A5B" w:rsidR="0018472F" w:rsidRPr="00C00335" w:rsidRDefault="0018472F" w:rsidP="000B1C51">
            <w:pPr>
              <w:pStyle w:val="TableHeaders"/>
              <w:keepNext/>
              <w:spacing w:before="60" w:after="60"/>
            </w:pPr>
            <w:r w:rsidRPr="00C00335">
              <w:t xml:space="preserve">Risk </w:t>
            </w:r>
            <w:proofErr w:type="spellStart"/>
            <w:r w:rsidRPr="00C00335">
              <w:t>Level</w:t>
            </w:r>
            <w:r w:rsidR="00F44A8D" w:rsidRPr="002C016A">
              <w:rPr>
                <w:vertAlign w:val="superscript"/>
              </w:rPr>
              <w:t>a</w:t>
            </w:r>
            <w:proofErr w:type="spellEnd"/>
          </w:p>
        </w:tc>
        <w:tc>
          <w:tcPr>
            <w:tcW w:w="1506" w:type="dxa"/>
            <w:tcBorders>
              <w:top w:val="single" w:sz="12" w:space="0" w:color="000000"/>
              <w:bottom w:val="single" w:sz="6" w:space="0" w:color="auto"/>
            </w:tcBorders>
            <w:shd w:val="clear" w:color="auto" w:fill="auto"/>
            <w:noWrap/>
            <w:vAlign w:val="bottom"/>
            <w:hideMark/>
          </w:tcPr>
          <w:p w14:paraId="1926D97B" w14:textId="77777777" w:rsidR="0018472F" w:rsidRPr="00C00335" w:rsidRDefault="0018472F" w:rsidP="000B1C51">
            <w:pPr>
              <w:pStyle w:val="TableHeaders"/>
              <w:keepNext/>
              <w:spacing w:before="60" w:after="60"/>
            </w:pPr>
            <w:r w:rsidRPr="00C00335">
              <w:t>Low</w:t>
            </w:r>
          </w:p>
        </w:tc>
        <w:tc>
          <w:tcPr>
            <w:tcW w:w="1620" w:type="dxa"/>
            <w:tcBorders>
              <w:top w:val="single" w:sz="12" w:space="0" w:color="000000"/>
              <w:bottom w:val="single" w:sz="6" w:space="0" w:color="auto"/>
            </w:tcBorders>
            <w:shd w:val="clear" w:color="auto" w:fill="auto"/>
            <w:noWrap/>
            <w:vAlign w:val="bottom"/>
            <w:hideMark/>
          </w:tcPr>
          <w:p w14:paraId="02721429" w14:textId="77777777" w:rsidR="0018472F" w:rsidRPr="00C00335" w:rsidRDefault="0018472F" w:rsidP="000B1C51">
            <w:pPr>
              <w:pStyle w:val="TableHeaders"/>
              <w:keepNext/>
              <w:spacing w:before="60" w:after="60"/>
            </w:pPr>
            <w:r w:rsidRPr="00C00335">
              <w:t>High</w:t>
            </w:r>
          </w:p>
        </w:tc>
        <w:tc>
          <w:tcPr>
            <w:tcW w:w="2761" w:type="dxa"/>
            <w:tcBorders>
              <w:top w:val="single" w:sz="12" w:space="0" w:color="000000"/>
              <w:bottom w:val="single" w:sz="6" w:space="0" w:color="auto"/>
            </w:tcBorders>
            <w:shd w:val="clear" w:color="auto" w:fill="auto"/>
            <w:noWrap/>
            <w:vAlign w:val="bottom"/>
            <w:hideMark/>
          </w:tcPr>
          <w:p w14:paraId="6D7C1F84" w14:textId="77777777" w:rsidR="0018472F" w:rsidRPr="00C00335" w:rsidRDefault="0018472F" w:rsidP="000B1C51">
            <w:pPr>
              <w:pStyle w:val="TableHeaders"/>
              <w:keepNext/>
              <w:spacing w:before="60" w:after="60"/>
            </w:pPr>
            <w:r w:rsidRPr="00C00335">
              <w:t>Source</w:t>
            </w:r>
          </w:p>
        </w:tc>
      </w:tr>
      <w:tr w:rsidR="00044BA9" w:rsidRPr="00C00335" w14:paraId="73FAB026" w14:textId="77777777" w:rsidTr="00260D8A">
        <w:trPr>
          <w:cantSplit/>
        </w:trPr>
        <w:tc>
          <w:tcPr>
            <w:tcW w:w="1754" w:type="dxa"/>
            <w:vMerge w:val="restart"/>
            <w:tcBorders>
              <w:top w:val="single" w:sz="6" w:space="0" w:color="auto"/>
              <w:bottom w:val="single" w:sz="6" w:space="0" w:color="808080" w:themeColor="background1" w:themeShade="80"/>
            </w:tcBorders>
          </w:tcPr>
          <w:p w14:paraId="0AA76CF4" w14:textId="1EFA59C0" w:rsidR="00044BA9" w:rsidRPr="00C00335" w:rsidRDefault="00044BA9" w:rsidP="00044BA9">
            <w:pPr>
              <w:pStyle w:val="TableText"/>
              <w:keepNext/>
            </w:pPr>
            <w:r w:rsidRPr="00C00335">
              <w:t xml:space="preserve">HET </w:t>
            </w:r>
          </w:p>
        </w:tc>
        <w:tc>
          <w:tcPr>
            <w:tcW w:w="1719" w:type="dxa"/>
            <w:tcBorders>
              <w:top w:val="single" w:sz="6" w:space="0" w:color="auto"/>
              <w:bottom w:val="single" w:sz="6" w:space="0" w:color="808080" w:themeColor="background1" w:themeShade="80"/>
            </w:tcBorders>
            <w:shd w:val="clear" w:color="auto" w:fill="auto"/>
            <w:noWrap/>
            <w:hideMark/>
          </w:tcPr>
          <w:p w14:paraId="540B8223" w14:textId="77777777" w:rsidR="00044BA9" w:rsidRPr="00C00335" w:rsidRDefault="00044BA9" w:rsidP="00044BA9">
            <w:pPr>
              <w:pStyle w:val="TableText"/>
              <w:keepNext/>
              <w:jc w:val="center"/>
            </w:pPr>
            <w:r w:rsidRPr="00C00335">
              <w:t>Low</w:t>
            </w:r>
          </w:p>
        </w:tc>
        <w:tc>
          <w:tcPr>
            <w:tcW w:w="1506" w:type="dxa"/>
            <w:tcBorders>
              <w:top w:val="single" w:sz="6" w:space="0" w:color="auto"/>
              <w:bottom w:val="single" w:sz="6" w:space="0" w:color="808080" w:themeColor="background1" w:themeShade="80"/>
            </w:tcBorders>
            <w:shd w:val="clear" w:color="auto" w:fill="auto"/>
            <w:noWrap/>
          </w:tcPr>
          <w:p w14:paraId="588C6D14" w14:textId="3B0EB03E" w:rsidR="00044BA9" w:rsidRPr="00C00335" w:rsidRDefault="00044BA9" w:rsidP="00044BA9">
            <w:pPr>
              <w:pStyle w:val="TableText"/>
              <w:keepNext/>
              <w:jc w:val="center"/>
            </w:pPr>
            <w:r w:rsidRPr="00647BCC">
              <w:t>93.3%</w:t>
            </w:r>
          </w:p>
        </w:tc>
        <w:tc>
          <w:tcPr>
            <w:tcW w:w="1620" w:type="dxa"/>
            <w:tcBorders>
              <w:top w:val="single" w:sz="6" w:space="0" w:color="auto"/>
              <w:bottom w:val="single" w:sz="6" w:space="0" w:color="808080" w:themeColor="background1" w:themeShade="80"/>
            </w:tcBorders>
            <w:shd w:val="clear" w:color="auto" w:fill="auto"/>
            <w:noWrap/>
          </w:tcPr>
          <w:p w14:paraId="1E41757B" w14:textId="3EC2CA51" w:rsidR="00044BA9" w:rsidRPr="00C00335" w:rsidRDefault="00044BA9" w:rsidP="00044BA9">
            <w:pPr>
              <w:pStyle w:val="TableText"/>
              <w:keepNext/>
              <w:jc w:val="center"/>
            </w:pPr>
            <w:r w:rsidRPr="00647BCC">
              <w:t>6.7%</w:t>
            </w:r>
          </w:p>
        </w:tc>
        <w:tc>
          <w:tcPr>
            <w:tcW w:w="2761" w:type="dxa"/>
            <w:vMerge w:val="restart"/>
            <w:tcBorders>
              <w:top w:val="single" w:sz="6" w:space="0" w:color="auto"/>
            </w:tcBorders>
            <w:shd w:val="clear" w:color="auto" w:fill="auto"/>
            <w:noWrap/>
            <w:hideMark/>
          </w:tcPr>
          <w:p w14:paraId="5044A1A9" w14:textId="652550EB" w:rsidR="00044BA9" w:rsidRPr="00C00335" w:rsidRDefault="00044BA9" w:rsidP="00044BA9">
            <w:pPr>
              <w:pStyle w:val="TableText"/>
              <w:keepNext/>
            </w:pPr>
            <w:r w:rsidRPr="00C00335">
              <w:t>Determined by calibration. Mixing for high-risk level HETs and PWIDs are assumed to be equal.</w:t>
            </w:r>
          </w:p>
        </w:tc>
      </w:tr>
      <w:tr w:rsidR="00044BA9" w:rsidRPr="00C00335" w14:paraId="701EDBE0" w14:textId="77777777" w:rsidTr="00260D8A">
        <w:trPr>
          <w:cantSplit/>
        </w:trPr>
        <w:tc>
          <w:tcPr>
            <w:tcW w:w="1754" w:type="dxa"/>
            <w:vMerge/>
            <w:tcBorders>
              <w:top w:val="single" w:sz="6" w:space="0" w:color="808080" w:themeColor="background1" w:themeShade="80"/>
              <w:bottom w:val="single" w:sz="6" w:space="0" w:color="808080" w:themeColor="background1" w:themeShade="80"/>
            </w:tcBorders>
          </w:tcPr>
          <w:p w14:paraId="7344A740" w14:textId="77777777" w:rsidR="00044BA9" w:rsidRPr="00C00335" w:rsidRDefault="00044BA9" w:rsidP="00044BA9">
            <w:pPr>
              <w:pStyle w:val="TableText"/>
              <w:keepNext/>
            </w:pPr>
          </w:p>
        </w:tc>
        <w:tc>
          <w:tcPr>
            <w:tcW w:w="1719" w:type="dxa"/>
            <w:tcBorders>
              <w:top w:val="single" w:sz="6" w:space="0" w:color="808080" w:themeColor="background1" w:themeShade="80"/>
              <w:bottom w:val="single" w:sz="6" w:space="0" w:color="808080" w:themeColor="background1" w:themeShade="80"/>
            </w:tcBorders>
            <w:shd w:val="clear" w:color="auto" w:fill="auto"/>
            <w:noWrap/>
            <w:hideMark/>
          </w:tcPr>
          <w:p w14:paraId="2BD12F6C" w14:textId="77777777" w:rsidR="00044BA9" w:rsidRPr="00C00335" w:rsidRDefault="00044BA9" w:rsidP="00044BA9">
            <w:pPr>
              <w:pStyle w:val="TableText"/>
              <w:keepNext/>
              <w:jc w:val="center"/>
            </w:pPr>
            <w:r w:rsidRPr="00C00335">
              <w:t>High</w:t>
            </w:r>
          </w:p>
        </w:tc>
        <w:tc>
          <w:tcPr>
            <w:tcW w:w="1506" w:type="dxa"/>
            <w:tcBorders>
              <w:top w:val="single" w:sz="6" w:space="0" w:color="808080" w:themeColor="background1" w:themeShade="80"/>
              <w:bottom w:val="single" w:sz="6" w:space="0" w:color="808080" w:themeColor="background1" w:themeShade="80"/>
            </w:tcBorders>
            <w:shd w:val="clear" w:color="auto" w:fill="auto"/>
            <w:noWrap/>
          </w:tcPr>
          <w:p w14:paraId="13150EBD" w14:textId="7283FFA0" w:rsidR="00044BA9" w:rsidRPr="00C00335" w:rsidRDefault="00044BA9" w:rsidP="00044BA9">
            <w:pPr>
              <w:pStyle w:val="TableText"/>
              <w:keepNext/>
              <w:jc w:val="center"/>
            </w:pPr>
            <w:r w:rsidRPr="00647BCC">
              <w:t>28.2%</w:t>
            </w:r>
          </w:p>
        </w:tc>
        <w:tc>
          <w:tcPr>
            <w:tcW w:w="1620" w:type="dxa"/>
            <w:tcBorders>
              <w:top w:val="single" w:sz="6" w:space="0" w:color="808080" w:themeColor="background1" w:themeShade="80"/>
              <w:bottom w:val="single" w:sz="6" w:space="0" w:color="808080" w:themeColor="background1" w:themeShade="80"/>
            </w:tcBorders>
            <w:shd w:val="clear" w:color="auto" w:fill="auto"/>
            <w:noWrap/>
          </w:tcPr>
          <w:p w14:paraId="29E32D99" w14:textId="115C9EEB" w:rsidR="00044BA9" w:rsidRPr="00C00335" w:rsidRDefault="00044BA9" w:rsidP="00044BA9">
            <w:pPr>
              <w:pStyle w:val="TableText"/>
              <w:keepNext/>
              <w:jc w:val="center"/>
            </w:pPr>
            <w:r w:rsidRPr="00647BCC">
              <w:t>71.8%</w:t>
            </w:r>
          </w:p>
        </w:tc>
        <w:tc>
          <w:tcPr>
            <w:tcW w:w="2761" w:type="dxa"/>
            <w:vMerge/>
            <w:shd w:val="clear" w:color="auto" w:fill="auto"/>
            <w:noWrap/>
          </w:tcPr>
          <w:p w14:paraId="0B58FE42" w14:textId="05179395" w:rsidR="00044BA9" w:rsidRPr="00C00335" w:rsidRDefault="00044BA9" w:rsidP="00044BA9">
            <w:pPr>
              <w:pStyle w:val="TableText"/>
              <w:keepNext/>
            </w:pPr>
          </w:p>
        </w:tc>
      </w:tr>
      <w:tr w:rsidR="00044BA9" w:rsidRPr="00C00335" w14:paraId="7D50F7BF" w14:textId="77777777" w:rsidTr="00260D8A">
        <w:trPr>
          <w:cantSplit/>
        </w:trPr>
        <w:tc>
          <w:tcPr>
            <w:tcW w:w="1754" w:type="dxa"/>
            <w:tcBorders>
              <w:top w:val="single" w:sz="6" w:space="0" w:color="808080" w:themeColor="background1" w:themeShade="80"/>
              <w:bottom w:val="single" w:sz="6" w:space="0" w:color="808080" w:themeColor="background1" w:themeShade="80"/>
            </w:tcBorders>
          </w:tcPr>
          <w:p w14:paraId="6A38A745" w14:textId="77777777" w:rsidR="00044BA9" w:rsidRPr="00C00335" w:rsidRDefault="00044BA9" w:rsidP="00044BA9">
            <w:pPr>
              <w:pStyle w:val="TableText"/>
              <w:keepNext/>
            </w:pPr>
            <w:proofErr w:type="spellStart"/>
            <w:r w:rsidRPr="00C00335">
              <w:t>PWID</w:t>
            </w:r>
            <w:r w:rsidRPr="00C00335">
              <w:rPr>
                <w:vertAlign w:val="superscript"/>
              </w:rPr>
              <w:t>a</w:t>
            </w:r>
            <w:proofErr w:type="spellEnd"/>
          </w:p>
        </w:tc>
        <w:tc>
          <w:tcPr>
            <w:tcW w:w="1719" w:type="dxa"/>
            <w:tcBorders>
              <w:top w:val="single" w:sz="6" w:space="0" w:color="808080" w:themeColor="background1" w:themeShade="80"/>
              <w:bottom w:val="single" w:sz="6" w:space="0" w:color="808080" w:themeColor="background1" w:themeShade="80"/>
            </w:tcBorders>
            <w:shd w:val="clear" w:color="auto" w:fill="auto"/>
            <w:noWrap/>
          </w:tcPr>
          <w:p w14:paraId="1A75F948" w14:textId="77777777" w:rsidR="00044BA9" w:rsidRPr="00C00335" w:rsidRDefault="00044BA9" w:rsidP="00044BA9">
            <w:pPr>
              <w:pStyle w:val="TableText"/>
              <w:keepNext/>
              <w:jc w:val="center"/>
            </w:pPr>
            <w:r w:rsidRPr="00C00335">
              <w:t>High</w:t>
            </w:r>
          </w:p>
        </w:tc>
        <w:tc>
          <w:tcPr>
            <w:tcW w:w="1506" w:type="dxa"/>
            <w:tcBorders>
              <w:top w:val="single" w:sz="6" w:space="0" w:color="808080" w:themeColor="background1" w:themeShade="80"/>
              <w:bottom w:val="single" w:sz="6" w:space="0" w:color="808080" w:themeColor="background1" w:themeShade="80"/>
            </w:tcBorders>
            <w:shd w:val="clear" w:color="auto" w:fill="auto"/>
            <w:noWrap/>
          </w:tcPr>
          <w:p w14:paraId="3AE8F242" w14:textId="5B3E10F7" w:rsidR="00044BA9" w:rsidRPr="008D6621" w:rsidRDefault="00044BA9" w:rsidP="00044BA9">
            <w:pPr>
              <w:pStyle w:val="TableText"/>
              <w:keepNext/>
              <w:jc w:val="center"/>
              <w:rPr>
                <w:b/>
                <w:bCs/>
              </w:rPr>
            </w:pPr>
            <w:r w:rsidRPr="00F82339">
              <w:t>28.2%</w:t>
            </w:r>
          </w:p>
        </w:tc>
        <w:tc>
          <w:tcPr>
            <w:tcW w:w="1620" w:type="dxa"/>
            <w:tcBorders>
              <w:top w:val="single" w:sz="6" w:space="0" w:color="808080" w:themeColor="background1" w:themeShade="80"/>
              <w:bottom w:val="single" w:sz="6" w:space="0" w:color="808080" w:themeColor="background1" w:themeShade="80"/>
            </w:tcBorders>
            <w:shd w:val="clear" w:color="auto" w:fill="auto"/>
            <w:noWrap/>
          </w:tcPr>
          <w:p w14:paraId="15A2A32C" w14:textId="4B2DADF7" w:rsidR="00044BA9" w:rsidRPr="00C00335" w:rsidRDefault="00044BA9" w:rsidP="00044BA9">
            <w:pPr>
              <w:pStyle w:val="TableText"/>
              <w:keepNext/>
              <w:jc w:val="center"/>
            </w:pPr>
            <w:r w:rsidRPr="00F82339">
              <w:t>71.8%</w:t>
            </w:r>
          </w:p>
        </w:tc>
        <w:tc>
          <w:tcPr>
            <w:tcW w:w="2761" w:type="dxa"/>
            <w:vMerge/>
            <w:shd w:val="clear" w:color="auto" w:fill="auto"/>
            <w:noWrap/>
          </w:tcPr>
          <w:p w14:paraId="1B5A969E" w14:textId="77777777" w:rsidR="00044BA9" w:rsidRPr="00C00335" w:rsidRDefault="00044BA9" w:rsidP="00044BA9">
            <w:pPr>
              <w:pStyle w:val="TableText"/>
              <w:keepNext/>
            </w:pPr>
          </w:p>
        </w:tc>
      </w:tr>
      <w:tr w:rsidR="00044BA9" w:rsidRPr="00C00335" w14:paraId="21424CE7" w14:textId="77777777" w:rsidTr="00260D8A">
        <w:trPr>
          <w:cantSplit/>
        </w:trPr>
        <w:tc>
          <w:tcPr>
            <w:tcW w:w="1754" w:type="dxa"/>
            <w:vMerge w:val="restart"/>
            <w:tcBorders>
              <w:top w:val="single" w:sz="6" w:space="0" w:color="808080" w:themeColor="background1" w:themeShade="80"/>
              <w:bottom w:val="single" w:sz="6" w:space="0" w:color="808080" w:themeColor="background1" w:themeShade="80"/>
            </w:tcBorders>
          </w:tcPr>
          <w:p w14:paraId="6AE61F87" w14:textId="77777777" w:rsidR="00044BA9" w:rsidRPr="00C00335" w:rsidRDefault="00044BA9" w:rsidP="00044BA9">
            <w:pPr>
              <w:pStyle w:val="TableText"/>
              <w:keepNext/>
            </w:pPr>
            <w:r w:rsidRPr="00C00335">
              <w:t>MSM</w:t>
            </w:r>
          </w:p>
        </w:tc>
        <w:tc>
          <w:tcPr>
            <w:tcW w:w="1719" w:type="dxa"/>
            <w:tcBorders>
              <w:top w:val="single" w:sz="6" w:space="0" w:color="808080" w:themeColor="background1" w:themeShade="80"/>
              <w:bottom w:val="single" w:sz="6" w:space="0" w:color="808080" w:themeColor="background1" w:themeShade="80"/>
            </w:tcBorders>
            <w:shd w:val="clear" w:color="auto" w:fill="auto"/>
            <w:noWrap/>
          </w:tcPr>
          <w:p w14:paraId="19546153" w14:textId="77777777" w:rsidR="00044BA9" w:rsidRPr="00C00335" w:rsidRDefault="00044BA9" w:rsidP="00044BA9">
            <w:pPr>
              <w:pStyle w:val="TableText"/>
              <w:keepNext/>
              <w:jc w:val="center"/>
            </w:pPr>
            <w:r w:rsidRPr="00C00335">
              <w:t>Low</w:t>
            </w:r>
          </w:p>
        </w:tc>
        <w:tc>
          <w:tcPr>
            <w:tcW w:w="1506" w:type="dxa"/>
            <w:tcBorders>
              <w:top w:val="single" w:sz="6" w:space="0" w:color="808080" w:themeColor="background1" w:themeShade="80"/>
              <w:bottom w:val="single" w:sz="6" w:space="0" w:color="808080" w:themeColor="background1" w:themeShade="80"/>
            </w:tcBorders>
            <w:shd w:val="clear" w:color="auto" w:fill="auto"/>
            <w:noWrap/>
          </w:tcPr>
          <w:p w14:paraId="55267A8D" w14:textId="6CC30787" w:rsidR="00044BA9" w:rsidRPr="00C00335" w:rsidRDefault="00044BA9" w:rsidP="00044BA9">
            <w:pPr>
              <w:pStyle w:val="TableText"/>
              <w:keepNext/>
              <w:jc w:val="center"/>
            </w:pPr>
            <w:r w:rsidRPr="00111CB8">
              <w:t>90.1%</w:t>
            </w:r>
          </w:p>
        </w:tc>
        <w:tc>
          <w:tcPr>
            <w:tcW w:w="1620" w:type="dxa"/>
            <w:tcBorders>
              <w:top w:val="single" w:sz="6" w:space="0" w:color="808080" w:themeColor="background1" w:themeShade="80"/>
              <w:bottom w:val="single" w:sz="6" w:space="0" w:color="808080" w:themeColor="background1" w:themeShade="80"/>
            </w:tcBorders>
            <w:shd w:val="clear" w:color="auto" w:fill="auto"/>
            <w:noWrap/>
          </w:tcPr>
          <w:p w14:paraId="4038656A" w14:textId="7CF18AC1" w:rsidR="00044BA9" w:rsidRPr="00C00335" w:rsidRDefault="00044BA9" w:rsidP="00044BA9">
            <w:pPr>
              <w:pStyle w:val="TableText"/>
              <w:keepNext/>
              <w:jc w:val="center"/>
            </w:pPr>
            <w:r w:rsidRPr="00111CB8">
              <w:t>9.9%</w:t>
            </w:r>
          </w:p>
        </w:tc>
        <w:tc>
          <w:tcPr>
            <w:tcW w:w="2761" w:type="dxa"/>
            <w:vMerge/>
            <w:shd w:val="clear" w:color="auto" w:fill="auto"/>
            <w:noWrap/>
          </w:tcPr>
          <w:p w14:paraId="4E976674" w14:textId="4373FF3A" w:rsidR="00044BA9" w:rsidRPr="00C00335" w:rsidRDefault="00044BA9" w:rsidP="00044BA9">
            <w:pPr>
              <w:pStyle w:val="TableText"/>
              <w:keepNext/>
            </w:pPr>
          </w:p>
        </w:tc>
      </w:tr>
      <w:tr w:rsidR="00044BA9" w:rsidRPr="00C00335" w14:paraId="7AF877C7" w14:textId="77777777" w:rsidTr="00260D8A">
        <w:trPr>
          <w:cantSplit/>
        </w:trPr>
        <w:tc>
          <w:tcPr>
            <w:tcW w:w="1754" w:type="dxa"/>
            <w:vMerge/>
            <w:tcBorders>
              <w:top w:val="single" w:sz="6" w:space="0" w:color="808080" w:themeColor="background1" w:themeShade="80"/>
              <w:bottom w:val="single" w:sz="12" w:space="0" w:color="000000"/>
            </w:tcBorders>
          </w:tcPr>
          <w:p w14:paraId="078D0ED1" w14:textId="77777777" w:rsidR="00044BA9" w:rsidRPr="00C00335" w:rsidRDefault="00044BA9" w:rsidP="00044BA9">
            <w:pPr>
              <w:pStyle w:val="TableText"/>
              <w:keepNext/>
            </w:pPr>
          </w:p>
        </w:tc>
        <w:tc>
          <w:tcPr>
            <w:tcW w:w="1719" w:type="dxa"/>
            <w:tcBorders>
              <w:top w:val="single" w:sz="6" w:space="0" w:color="808080" w:themeColor="background1" w:themeShade="80"/>
              <w:bottom w:val="single" w:sz="12" w:space="0" w:color="000000"/>
            </w:tcBorders>
            <w:shd w:val="clear" w:color="auto" w:fill="auto"/>
            <w:noWrap/>
          </w:tcPr>
          <w:p w14:paraId="497E13AF" w14:textId="77777777" w:rsidR="00044BA9" w:rsidRPr="00C00335" w:rsidRDefault="00044BA9" w:rsidP="00044BA9">
            <w:pPr>
              <w:pStyle w:val="TableText"/>
              <w:keepNext/>
              <w:jc w:val="center"/>
            </w:pPr>
            <w:r w:rsidRPr="00C00335">
              <w:t>High</w:t>
            </w:r>
          </w:p>
        </w:tc>
        <w:tc>
          <w:tcPr>
            <w:tcW w:w="1506" w:type="dxa"/>
            <w:tcBorders>
              <w:top w:val="single" w:sz="6" w:space="0" w:color="808080" w:themeColor="background1" w:themeShade="80"/>
              <w:bottom w:val="single" w:sz="12" w:space="0" w:color="000000"/>
            </w:tcBorders>
            <w:shd w:val="clear" w:color="auto" w:fill="auto"/>
            <w:noWrap/>
          </w:tcPr>
          <w:p w14:paraId="04C5FD6A" w14:textId="142273C4" w:rsidR="00044BA9" w:rsidRPr="00C00335" w:rsidRDefault="00044BA9" w:rsidP="00044BA9">
            <w:pPr>
              <w:pStyle w:val="TableText"/>
              <w:keepNext/>
              <w:jc w:val="center"/>
            </w:pPr>
            <w:r w:rsidRPr="00111CB8">
              <w:t>4.1%</w:t>
            </w:r>
          </w:p>
        </w:tc>
        <w:tc>
          <w:tcPr>
            <w:tcW w:w="1620" w:type="dxa"/>
            <w:tcBorders>
              <w:top w:val="single" w:sz="6" w:space="0" w:color="808080" w:themeColor="background1" w:themeShade="80"/>
              <w:bottom w:val="single" w:sz="12" w:space="0" w:color="000000"/>
            </w:tcBorders>
            <w:shd w:val="clear" w:color="auto" w:fill="auto"/>
            <w:noWrap/>
          </w:tcPr>
          <w:p w14:paraId="3A978102" w14:textId="441FCD99" w:rsidR="00044BA9" w:rsidRPr="00C00335" w:rsidRDefault="00044BA9" w:rsidP="00044BA9">
            <w:pPr>
              <w:pStyle w:val="TableText"/>
              <w:keepNext/>
              <w:jc w:val="center"/>
            </w:pPr>
            <w:r w:rsidRPr="00111CB8">
              <w:t>95.9%</w:t>
            </w:r>
          </w:p>
        </w:tc>
        <w:tc>
          <w:tcPr>
            <w:tcW w:w="2761" w:type="dxa"/>
            <w:vMerge/>
            <w:tcBorders>
              <w:bottom w:val="single" w:sz="12" w:space="0" w:color="000000"/>
            </w:tcBorders>
            <w:shd w:val="clear" w:color="auto" w:fill="auto"/>
            <w:noWrap/>
          </w:tcPr>
          <w:p w14:paraId="613CF7BA" w14:textId="14658525" w:rsidR="00044BA9" w:rsidRPr="00C00335" w:rsidRDefault="00044BA9" w:rsidP="00044BA9">
            <w:pPr>
              <w:pStyle w:val="TableText"/>
              <w:keepNext/>
            </w:pPr>
          </w:p>
        </w:tc>
      </w:tr>
    </w:tbl>
    <w:p w14:paraId="29180C00" w14:textId="4E75D576" w:rsidR="008F5D01" w:rsidRPr="00C00335" w:rsidRDefault="008B7BBC" w:rsidP="00181BDA">
      <w:pPr>
        <w:pStyle w:val="Source2"/>
      </w:pPr>
      <w:r w:rsidRPr="00C00335">
        <w:t>Note: HET = heterosexual</w:t>
      </w:r>
      <w:r w:rsidR="00C03EBD" w:rsidRPr="00C00335">
        <w:t xml:space="preserve">; PWID = </w:t>
      </w:r>
      <w:r w:rsidRPr="00C00335">
        <w:t>people who inject drugs; MSM = men who have sex with men</w:t>
      </w:r>
    </w:p>
    <w:p w14:paraId="063E2D43" w14:textId="452C53FB" w:rsidR="002A1E55" w:rsidRPr="00C00335" w:rsidRDefault="002A1E55" w:rsidP="004B71BF">
      <w:pPr>
        <w:pStyle w:val="Source1"/>
        <w:ind w:left="0" w:firstLine="0"/>
      </w:pPr>
      <w:r w:rsidRPr="00410126">
        <w:rPr>
          <w:vertAlign w:val="superscript"/>
        </w:rPr>
        <w:t xml:space="preserve">a </w:t>
      </w:r>
      <w:r w:rsidR="00F44A8D" w:rsidRPr="00410126">
        <w:t>See Section 3 for more information on how risk levels are defined.</w:t>
      </w:r>
      <w:r w:rsidR="00F44A8D">
        <w:rPr>
          <w:vertAlign w:val="superscript"/>
        </w:rPr>
        <w:br/>
        <w:t>b</w:t>
      </w:r>
      <w:r w:rsidR="00F44A8D" w:rsidRPr="00C00335">
        <w:rPr>
          <w:vertAlign w:val="superscript"/>
        </w:rPr>
        <w:t xml:space="preserve"> </w:t>
      </w:r>
      <w:r w:rsidRPr="00C00335">
        <w:t>All PWID are high-risk.</w:t>
      </w:r>
    </w:p>
    <w:p w14:paraId="1A911579" w14:textId="2670F9EB" w:rsidR="008F5D01" w:rsidRPr="00C00335" w:rsidRDefault="004F4E6D" w:rsidP="008F5D01">
      <w:pPr>
        <w:pStyle w:val="TableTitle"/>
      </w:pPr>
      <w:bookmarkStart w:id="69" w:name="_Toc89257601"/>
      <w:r w:rsidRPr="00C00335">
        <w:t>Table 6.</w:t>
      </w:r>
      <w:r w:rsidR="00C55FA1">
        <w:t>6</w:t>
      </w:r>
      <w:r w:rsidR="008F5D01" w:rsidRPr="00C00335">
        <w:t>.</w:t>
      </w:r>
      <w:r w:rsidR="008F5D01" w:rsidRPr="00C00335">
        <w:tab/>
        <w:t>Distribution of Needle-Sharing Partners by Sex (</w:t>
      </w:r>
      <w:r w:rsidR="00A1059F" w:rsidRPr="00C00335">
        <w:t>PWID</w:t>
      </w:r>
      <w:r w:rsidR="008F5D01" w:rsidRPr="00C00335">
        <w:t xml:space="preserve"> </w:t>
      </w:r>
      <w:r w:rsidR="00D1426F" w:rsidRPr="00C00335">
        <w:t>O</w:t>
      </w:r>
      <w:r w:rsidR="008F5D01" w:rsidRPr="00C00335">
        <w:t>nly)</w:t>
      </w:r>
      <w:bookmarkEnd w:id="69"/>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124"/>
        <w:gridCol w:w="1777"/>
        <w:gridCol w:w="1839"/>
        <w:gridCol w:w="3620"/>
      </w:tblGrid>
      <w:tr w:rsidR="008F5D01" w:rsidRPr="00C00335" w14:paraId="1BE5C978" w14:textId="77777777" w:rsidTr="00260D8A">
        <w:trPr>
          <w:cantSplit/>
          <w:tblHeader/>
        </w:trPr>
        <w:tc>
          <w:tcPr>
            <w:tcW w:w="2124" w:type="dxa"/>
            <w:tcBorders>
              <w:top w:val="single" w:sz="12" w:space="0" w:color="000000"/>
              <w:bottom w:val="single" w:sz="6" w:space="0" w:color="auto"/>
            </w:tcBorders>
            <w:shd w:val="clear" w:color="auto" w:fill="auto"/>
            <w:noWrap/>
            <w:vAlign w:val="bottom"/>
            <w:hideMark/>
          </w:tcPr>
          <w:p w14:paraId="4AF182A5" w14:textId="77777777" w:rsidR="008F5D01" w:rsidRPr="00C00335" w:rsidRDefault="00B8648E" w:rsidP="000B1C51">
            <w:pPr>
              <w:pStyle w:val="TableHeaders"/>
              <w:keepNext/>
              <w:spacing w:before="60" w:after="60"/>
            </w:pPr>
            <w:r w:rsidRPr="00C00335">
              <w:t>Sex</w:t>
            </w:r>
          </w:p>
        </w:tc>
        <w:tc>
          <w:tcPr>
            <w:tcW w:w="1777" w:type="dxa"/>
            <w:tcBorders>
              <w:top w:val="single" w:sz="12" w:space="0" w:color="000000"/>
              <w:bottom w:val="single" w:sz="6" w:space="0" w:color="auto"/>
            </w:tcBorders>
            <w:shd w:val="clear" w:color="auto" w:fill="auto"/>
            <w:noWrap/>
            <w:vAlign w:val="bottom"/>
            <w:hideMark/>
          </w:tcPr>
          <w:p w14:paraId="2E2DDCEB" w14:textId="77777777" w:rsidR="008F5D01" w:rsidRPr="00C00335" w:rsidRDefault="008F5D01" w:rsidP="000B1C51">
            <w:pPr>
              <w:pStyle w:val="TableHeaders"/>
              <w:keepNext/>
              <w:spacing w:before="60" w:after="60"/>
            </w:pPr>
            <w:r w:rsidRPr="00C00335">
              <w:t>Males</w:t>
            </w:r>
          </w:p>
        </w:tc>
        <w:tc>
          <w:tcPr>
            <w:tcW w:w="1839" w:type="dxa"/>
            <w:tcBorders>
              <w:top w:val="single" w:sz="12" w:space="0" w:color="000000"/>
              <w:bottom w:val="single" w:sz="6" w:space="0" w:color="auto"/>
            </w:tcBorders>
            <w:shd w:val="clear" w:color="auto" w:fill="auto"/>
            <w:noWrap/>
            <w:vAlign w:val="bottom"/>
            <w:hideMark/>
          </w:tcPr>
          <w:p w14:paraId="3080E935" w14:textId="77777777" w:rsidR="008F5D01" w:rsidRPr="00C00335" w:rsidRDefault="008F5D01" w:rsidP="000B1C51">
            <w:pPr>
              <w:pStyle w:val="TableHeaders"/>
              <w:keepNext/>
              <w:spacing w:before="60" w:after="60"/>
            </w:pPr>
            <w:r w:rsidRPr="00C00335">
              <w:t>Females</w:t>
            </w:r>
          </w:p>
        </w:tc>
        <w:tc>
          <w:tcPr>
            <w:tcW w:w="3620" w:type="dxa"/>
            <w:tcBorders>
              <w:top w:val="single" w:sz="12" w:space="0" w:color="000000"/>
              <w:bottom w:val="single" w:sz="6" w:space="0" w:color="auto"/>
            </w:tcBorders>
            <w:shd w:val="clear" w:color="auto" w:fill="auto"/>
            <w:noWrap/>
            <w:vAlign w:val="bottom"/>
            <w:hideMark/>
          </w:tcPr>
          <w:p w14:paraId="5C7F54D1" w14:textId="77777777" w:rsidR="008F5D01" w:rsidRPr="00C00335" w:rsidRDefault="008F5D01" w:rsidP="000B1C51">
            <w:pPr>
              <w:pStyle w:val="TableHeaders"/>
              <w:keepNext/>
              <w:spacing w:before="60" w:after="60"/>
            </w:pPr>
            <w:r w:rsidRPr="00C00335">
              <w:t>Source</w:t>
            </w:r>
          </w:p>
        </w:tc>
      </w:tr>
      <w:tr w:rsidR="00044BA9" w:rsidRPr="00C00335" w14:paraId="1A4F425F" w14:textId="77777777" w:rsidTr="00260D8A">
        <w:trPr>
          <w:cantSplit/>
        </w:trPr>
        <w:tc>
          <w:tcPr>
            <w:tcW w:w="2124" w:type="dxa"/>
            <w:tcBorders>
              <w:top w:val="single" w:sz="6" w:space="0" w:color="auto"/>
              <w:bottom w:val="single" w:sz="6" w:space="0" w:color="808080" w:themeColor="background1" w:themeShade="80"/>
            </w:tcBorders>
            <w:shd w:val="clear" w:color="auto" w:fill="auto"/>
            <w:noWrap/>
            <w:hideMark/>
          </w:tcPr>
          <w:p w14:paraId="596EB784" w14:textId="77777777" w:rsidR="00044BA9" w:rsidRPr="00C00335" w:rsidRDefault="00044BA9" w:rsidP="00044BA9">
            <w:pPr>
              <w:pStyle w:val="TableText"/>
              <w:keepNext/>
            </w:pPr>
            <w:r w:rsidRPr="00C00335">
              <w:t>Males</w:t>
            </w:r>
          </w:p>
        </w:tc>
        <w:tc>
          <w:tcPr>
            <w:tcW w:w="1777" w:type="dxa"/>
            <w:tcBorders>
              <w:top w:val="single" w:sz="6" w:space="0" w:color="auto"/>
              <w:bottom w:val="single" w:sz="6" w:space="0" w:color="808080" w:themeColor="background1" w:themeShade="80"/>
            </w:tcBorders>
            <w:shd w:val="clear" w:color="auto" w:fill="auto"/>
            <w:noWrap/>
          </w:tcPr>
          <w:p w14:paraId="07832244" w14:textId="056BFBAD" w:rsidR="00044BA9" w:rsidRPr="00C00335" w:rsidRDefault="00044BA9" w:rsidP="00044BA9">
            <w:pPr>
              <w:pStyle w:val="TableText"/>
              <w:keepNext/>
              <w:jc w:val="center"/>
            </w:pPr>
            <w:r w:rsidRPr="00C66912">
              <w:t>81%</w:t>
            </w:r>
          </w:p>
        </w:tc>
        <w:tc>
          <w:tcPr>
            <w:tcW w:w="1839" w:type="dxa"/>
            <w:tcBorders>
              <w:top w:val="single" w:sz="6" w:space="0" w:color="auto"/>
              <w:bottom w:val="single" w:sz="6" w:space="0" w:color="808080" w:themeColor="background1" w:themeShade="80"/>
            </w:tcBorders>
            <w:shd w:val="clear" w:color="auto" w:fill="auto"/>
            <w:noWrap/>
          </w:tcPr>
          <w:p w14:paraId="4CC63FFA" w14:textId="74C74000" w:rsidR="00044BA9" w:rsidRPr="00C00335" w:rsidRDefault="00044BA9" w:rsidP="00044BA9">
            <w:pPr>
              <w:pStyle w:val="TableText"/>
              <w:keepNext/>
              <w:jc w:val="center"/>
            </w:pPr>
            <w:r w:rsidRPr="00C66912">
              <w:t>19%</w:t>
            </w:r>
          </w:p>
        </w:tc>
        <w:tc>
          <w:tcPr>
            <w:tcW w:w="3620" w:type="dxa"/>
            <w:vMerge w:val="restart"/>
            <w:tcBorders>
              <w:top w:val="single" w:sz="6" w:space="0" w:color="auto"/>
              <w:bottom w:val="single" w:sz="6" w:space="0" w:color="808080" w:themeColor="background1" w:themeShade="80"/>
            </w:tcBorders>
            <w:shd w:val="clear" w:color="auto" w:fill="auto"/>
            <w:noWrap/>
            <w:hideMark/>
          </w:tcPr>
          <w:p w14:paraId="6C913947" w14:textId="26D88435" w:rsidR="00044BA9" w:rsidRPr="00C00335" w:rsidRDefault="00044BA9" w:rsidP="00044BA9">
            <w:pPr>
              <w:pStyle w:val="TableText"/>
              <w:keepNext/>
            </w:pPr>
            <w:r w:rsidRPr="00C00335">
              <w:t>Determined by calibration.</w:t>
            </w:r>
          </w:p>
        </w:tc>
      </w:tr>
      <w:tr w:rsidR="00044BA9" w:rsidRPr="00C00335" w14:paraId="587C86B4" w14:textId="77777777" w:rsidTr="00260D8A">
        <w:trPr>
          <w:cantSplit/>
        </w:trPr>
        <w:tc>
          <w:tcPr>
            <w:tcW w:w="2124" w:type="dxa"/>
            <w:tcBorders>
              <w:top w:val="single" w:sz="6" w:space="0" w:color="808080" w:themeColor="background1" w:themeShade="80"/>
              <w:bottom w:val="single" w:sz="12" w:space="0" w:color="000000"/>
            </w:tcBorders>
            <w:shd w:val="clear" w:color="auto" w:fill="auto"/>
            <w:noWrap/>
            <w:hideMark/>
          </w:tcPr>
          <w:p w14:paraId="6DB1E770" w14:textId="77777777" w:rsidR="00044BA9" w:rsidRPr="00C00335" w:rsidRDefault="00044BA9" w:rsidP="00044BA9">
            <w:pPr>
              <w:pStyle w:val="TableText"/>
              <w:keepNext/>
            </w:pPr>
            <w:r w:rsidRPr="00C00335">
              <w:t>Females</w:t>
            </w:r>
          </w:p>
        </w:tc>
        <w:tc>
          <w:tcPr>
            <w:tcW w:w="1777" w:type="dxa"/>
            <w:tcBorders>
              <w:top w:val="single" w:sz="6" w:space="0" w:color="808080" w:themeColor="background1" w:themeShade="80"/>
              <w:bottom w:val="single" w:sz="12" w:space="0" w:color="000000"/>
            </w:tcBorders>
            <w:shd w:val="clear" w:color="auto" w:fill="auto"/>
            <w:noWrap/>
          </w:tcPr>
          <w:p w14:paraId="5D08A4FA" w14:textId="65BB9104" w:rsidR="00044BA9" w:rsidRPr="00C00335" w:rsidRDefault="00044BA9" w:rsidP="00044BA9">
            <w:pPr>
              <w:pStyle w:val="TableText"/>
              <w:keepNext/>
              <w:jc w:val="center"/>
            </w:pPr>
            <w:r w:rsidRPr="00C66912">
              <w:t>49%</w:t>
            </w:r>
          </w:p>
        </w:tc>
        <w:tc>
          <w:tcPr>
            <w:tcW w:w="1839" w:type="dxa"/>
            <w:tcBorders>
              <w:top w:val="single" w:sz="6" w:space="0" w:color="808080" w:themeColor="background1" w:themeShade="80"/>
              <w:bottom w:val="single" w:sz="12" w:space="0" w:color="000000"/>
            </w:tcBorders>
            <w:shd w:val="clear" w:color="auto" w:fill="auto"/>
            <w:noWrap/>
          </w:tcPr>
          <w:p w14:paraId="2FADFD3D" w14:textId="789DC08F" w:rsidR="00044BA9" w:rsidRPr="00C00335" w:rsidRDefault="00044BA9" w:rsidP="00044BA9">
            <w:pPr>
              <w:pStyle w:val="TableText"/>
              <w:keepNext/>
              <w:jc w:val="center"/>
            </w:pPr>
            <w:r w:rsidRPr="00C66912">
              <w:t>51%</w:t>
            </w:r>
          </w:p>
        </w:tc>
        <w:tc>
          <w:tcPr>
            <w:tcW w:w="3620" w:type="dxa"/>
            <w:vMerge/>
            <w:tcBorders>
              <w:top w:val="single" w:sz="6" w:space="0" w:color="808080" w:themeColor="background1" w:themeShade="80"/>
              <w:bottom w:val="single" w:sz="12" w:space="0" w:color="000000"/>
            </w:tcBorders>
            <w:shd w:val="clear" w:color="auto" w:fill="auto"/>
            <w:noWrap/>
          </w:tcPr>
          <w:p w14:paraId="40D8CEA6" w14:textId="77777777" w:rsidR="00044BA9" w:rsidRPr="00C00335" w:rsidRDefault="00044BA9" w:rsidP="00044BA9">
            <w:pPr>
              <w:pStyle w:val="TableText"/>
              <w:keepNext/>
            </w:pPr>
          </w:p>
        </w:tc>
      </w:tr>
    </w:tbl>
    <w:p w14:paraId="0F8F8234" w14:textId="7C3FED76" w:rsidR="004F4E6D" w:rsidRPr="00C00335" w:rsidRDefault="005D471A" w:rsidP="008B7BBC">
      <w:pPr>
        <w:pStyle w:val="Source1"/>
      </w:pPr>
      <w:r w:rsidRPr="00C00335">
        <w:t xml:space="preserve">Note: </w:t>
      </w:r>
      <w:r w:rsidR="00F77D76" w:rsidRPr="00C00335">
        <w:t>PWID</w:t>
      </w:r>
      <w:r w:rsidR="00E628BE" w:rsidRPr="00C00335">
        <w:t> = </w:t>
      </w:r>
      <w:r w:rsidR="00F77D76" w:rsidRPr="00C00335">
        <w:t>people who inject drugs</w:t>
      </w:r>
    </w:p>
    <w:p w14:paraId="43FFECB3" w14:textId="5B54A29E" w:rsidR="008F5D01" w:rsidRPr="00C00335" w:rsidRDefault="004F4E6D" w:rsidP="008B7BBC">
      <w:pPr>
        <w:pStyle w:val="TableTitle"/>
      </w:pPr>
      <w:bookmarkStart w:id="70" w:name="_Toc89257602"/>
      <w:r w:rsidRPr="00C00335">
        <w:t>Table 6.</w:t>
      </w:r>
      <w:r w:rsidR="00C55FA1">
        <w:t>7</w:t>
      </w:r>
      <w:r w:rsidR="008F5D01" w:rsidRPr="00C00335">
        <w:t>.</w:t>
      </w:r>
      <w:r w:rsidR="008F5D01" w:rsidRPr="00C00335">
        <w:tab/>
        <w:t>Distribution of Needle-Sharing Partners by Race</w:t>
      </w:r>
      <w:r w:rsidR="00B8648E" w:rsidRPr="00C00335">
        <w:t>/Ethnicity</w:t>
      </w:r>
      <w:r w:rsidR="008F5D01" w:rsidRPr="00C00335">
        <w:t xml:space="preserve"> (</w:t>
      </w:r>
      <w:r w:rsidR="00F77D76" w:rsidRPr="00C00335">
        <w:t>PWID</w:t>
      </w:r>
      <w:r w:rsidR="008F5D01" w:rsidRPr="00C00335">
        <w:t xml:space="preserve"> </w:t>
      </w:r>
      <w:r w:rsidR="00D1426F" w:rsidRPr="00C00335">
        <w:t>O</w:t>
      </w:r>
      <w:r w:rsidR="008F5D01" w:rsidRPr="00C00335">
        <w:t>nly)</w:t>
      </w:r>
      <w:bookmarkEnd w:id="70"/>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800"/>
        <w:gridCol w:w="1350"/>
        <w:gridCol w:w="1530"/>
        <w:gridCol w:w="1440"/>
        <w:gridCol w:w="3240"/>
      </w:tblGrid>
      <w:tr w:rsidR="008F5D01" w:rsidRPr="00C00335" w14:paraId="4827690A" w14:textId="77777777" w:rsidTr="004B71BF">
        <w:trPr>
          <w:cantSplit/>
          <w:tblHeader/>
        </w:trPr>
        <w:tc>
          <w:tcPr>
            <w:tcW w:w="1800" w:type="dxa"/>
            <w:tcBorders>
              <w:top w:val="single" w:sz="12" w:space="0" w:color="000000"/>
              <w:bottom w:val="single" w:sz="6" w:space="0" w:color="auto"/>
            </w:tcBorders>
            <w:shd w:val="clear" w:color="auto" w:fill="auto"/>
            <w:noWrap/>
            <w:vAlign w:val="bottom"/>
            <w:hideMark/>
          </w:tcPr>
          <w:p w14:paraId="4C287AC6" w14:textId="77777777" w:rsidR="008F5D01" w:rsidRPr="00C00335" w:rsidRDefault="00B8648E" w:rsidP="000B1C51">
            <w:pPr>
              <w:pStyle w:val="TableHeaders"/>
              <w:keepNext/>
              <w:spacing w:before="60" w:after="60"/>
            </w:pPr>
            <w:r w:rsidRPr="00C00335">
              <w:t>Race/Ethnicity</w:t>
            </w:r>
          </w:p>
        </w:tc>
        <w:tc>
          <w:tcPr>
            <w:tcW w:w="1350" w:type="dxa"/>
            <w:tcBorders>
              <w:top w:val="single" w:sz="12" w:space="0" w:color="000000"/>
              <w:bottom w:val="single" w:sz="6" w:space="0" w:color="auto"/>
            </w:tcBorders>
            <w:shd w:val="clear" w:color="auto" w:fill="auto"/>
            <w:noWrap/>
            <w:vAlign w:val="bottom"/>
            <w:hideMark/>
          </w:tcPr>
          <w:p w14:paraId="47FADF69" w14:textId="77777777" w:rsidR="008F5D01" w:rsidRPr="00C00335" w:rsidRDefault="008F5D01" w:rsidP="000B1C51">
            <w:pPr>
              <w:pStyle w:val="TableHeaders"/>
              <w:keepNext/>
              <w:spacing w:before="60" w:after="60"/>
            </w:pPr>
            <w:r w:rsidRPr="00C00335">
              <w:t>Black</w:t>
            </w:r>
          </w:p>
        </w:tc>
        <w:tc>
          <w:tcPr>
            <w:tcW w:w="1530" w:type="dxa"/>
            <w:tcBorders>
              <w:top w:val="single" w:sz="12" w:space="0" w:color="000000"/>
              <w:bottom w:val="single" w:sz="6" w:space="0" w:color="auto"/>
            </w:tcBorders>
            <w:shd w:val="clear" w:color="auto" w:fill="auto"/>
            <w:noWrap/>
            <w:vAlign w:val="bottom"/>
            <w:hideMark/>
          </w:tcPr>
          <w:p w14:paraId="7E59A50B" w14:textId="77777777" w:rsidR="008F5D01" w:rsidRPr="00C00335" w:rsidRDefault="008F5D01" w:rsidP="000B1C51">
            <w:pPr>
              <w:pStyle w:val="TableHeaders"/>
              <w:keepNext/>
              <w:spacing w:before="60" w:after="60"/>
            </w:pPr>
            <w:r w:rsidRPr="00C00335">
              <w:t>Hispanic</w:t>
            </w:r>
          </w:p>
        </w:tc>
        <w:tc>
          <w:tcPr>
            <w:tcW w:w="1440" w:type="dxa"/>
            <w:tcBorders>
              <w:top w:val="single" w:sz="12" w:space="0" w:color="000000"/>
              <w:bottom w:val="single" w:sz="6" w:space="0" w:color="auto"/>
            </w:tcBorders>
            <w:shd w:val="clear" w:color="auto" w:fill="auto"/>
            <w:noWrap/>
            <w:vAlign w:val="bottom"/>
            <w:hideMark/>
          </w:tcPr>
          <w:p w14:paraId="501D9866" w14:textId="76D62043" w:rsidR="008F5D01" w:rsidRPr="00C00335" w:rsidRDefault="00896735" w:rsidP="000B1C51">
            <w:pPr>
              <w:pStyle w:val="TableHeaders"/>
              <w:keepNext/>
              <w:spacing w:before="60" w:after="60"/>
            </w:pPr>
            <w:r>
              <w:t>White/</w:t>
            </w:r>
            <w:r w:rsidR="000E77C1">
              <w:t xml:space="preserve"> O</w:t>
            </w:r>
            <w:r>
              <w:t>ther</w:t>
            </w:r>
          </w:p>
        </w:tc>
        <w:tc>
          <w:tcPr>
            <w:tcW w:w="3240" w:type="dxa"/>
            <w:tcBorders>
              <w:top w:val="single" w:sz="12" w:space="0" w:color="000000"/>
              <w:bottom w:val="single" w:sz="6" w:space="0" w:color="auto"/>
            </w:tcBorders>
            <w:shd w:val="clear" w:color="auto" w:fill="auto"/>
            <w:noWrap/>
            <w:vAlign w:val="bottom"/>
            <w:hideMark/>
          </w:tcPr>
          <w:p w14:paraId="1A6C4F35" w14:textId="77777777" w:rsidR="008F5D01" w:rsidRPr="00C00335" w:rsidRDefault="008F5D01" w:rsidP="000B1C51">
            <w:pPr>
              <w:pStyle w:val="TableHeaders"/>
              <w:keepNext/>
              <w:spacing w:before="60" w:after="60"/>
            </w:pPr>
            <w:r w:rsidRPr="00C00335">
              <w:t>Source</w:t>
            </w:r>
          </w:p>
        </w:tc>
      </w:tr>
      <w:tr w:rsidR="008F5D01" w:rsidRPr="00C00335" w14:paraId="56D2ED30" w14:textId="77777777" w:rsidTr="004B71BF">
        <w:trPr>
          <w:cantSplit/>
        </w:trPr>
        <w:tc>
          <w:tcPr>
            <w:tcW w:w="1800" w:type="dxa"/>
            <w:tcBorders>
              <w:top w:val="single" w:sz="6" w:space="0" w:color="auto"/>
              <w:bottom w:val="single" w:sz="6" w:space="0" w:color="808080" w:themeColor="background1" w:themeShade="80"/>
            </w:tcBorders>
            <w:shd w:val="clear" w:color="auto" w:fill="auto"/>
            <w:noWrap/>
            <w:hideMark/>
          </w:tcPr>
          <w:p w14:paraId="2AF574BC" w14:textId="77777777" w:rsidR="008F5D01" w:rsidRPr="00C00335" w:rsidRDefault="008F5D01" w:rsidP="000B1C51">
            <w:pPr>
              <w:pStyle w:val="TableText"/>
              <w:keepNext/>
            </w:pPr>
            <w:r w:rsidRPr="00C00335">
              <w:t>Black</w:t>
            </w:r>
          </w:p>
        </w:tc>
        <w:tc>
          <w:tcPr>
            <w:tcW w:w="1350" w:type="dxa"/>
            <w:tcBorders>
              <w:top w:val="single" w:sz="6" w:space="0" w:color="auto"/>
              <w:bottom w:val="single" w:sz="6" w:space="0" w:color="808080" w:themeColor="background1" w:themeShade="80"/>
            </w:tcBorders>
            <w:shd w:val="clear" w:color="auto" w:fill="auto"/>
            <w:noWrap/>
            <w:hideMark/>
          </w:tcPr>
          <w:p w14:paraId="258C0A71" w14:textId="77777777" w:rsidR="008F5D01" w:rsidRPr="00C00335" w:rsidRDefault="008F5D01" w:rsidP="000B1C51">
            <w:pPr>
              <w:pStyle w:val="TableText"/>
              <w:keepNext/>
              <w:jc w:val="center"/>
            </w:pPr>
            <w:r w:rsidRPr="00C00335">
              <w:t>80%</w:t>
            </w:r>
          </w:p>
        </w:tc>
        <w:tc>
          <w:tcPr>
            <w:tcW w:w="1530" w:type="dxa"/>
            <w:tcBorders>
              <w:top w:val="single" w:sz="6" w:space="0" w:color="auto"/>
              <w:bottom w:val="single" w:sz="6" w:space="0" w:color="808080" w:themeColor="background1" w:themeShade="80"/>
            </w:tcBorders>
            <w:shd w:val="clear" w:color="auto" w:fill="auto"/>
            <w:noWrap/>
            <w:hideMark/>
          </w:tcPr>
          <w:p w14:paraId="08796918" w14:textId="77777777" w:rsidR="008F5D01" w:rsidRPr="00C00335" w:rsidRDefault="008F5D01" w:rsidP="000B1C51">
            <w:pPr>
              <w:pStyle w:val="TableText"/>
              <w:keepNext/>
              <w:jc w:val="center"/>
            </w:pPr>
            <w:r w:rsidRPr="00C00335">
              <w:t>5%</w:t>
            </w:r>
          </w:p>
        </w:tc>
        <w:tc>
          <w:tcPr>
            <w:tcW w:w="1440" w:type="dxa"/>
            <w:tcBorders>
              <w:top w:val="single" w:sz="6" w:space="0" w:color="auto"/>
              <w:bottom w:val="single" w:sz="6" w:space="0" w:color="808080" w:themeColor="background1" w:themeShade="80"/>
            </w:tcBorders>
            <w:shd w:val="clear" w:color="auto" w:fill="auto"/>
            <w:noWrap/>
            <w:hideMark/>
          </w:tcPr>
          <w:p w14:paraId="34C1819B" w14:textId="77777777" w:rsidR="008F5D01" w:rsidRPr="00C00335" w:rsidRDefault="008F5D01" w:rsidP="000B1C51">
            <w:pPr>
              <w:pStyle w:val="TableText"/>
              <w:keepNext/>
              <w:jc w:val="center"/>
            </w:pPr>
            <w:r w:rsidRPr="00C00335">
              <w:t>15%</w:t>
            </w:r>
          </w:p>
        </w:tc>
        <w:tc>
          <w:tcPr>
            <w:tcW w:w="3240" w:type="dxa"/>
            <w:vMerge w:val="restart"/>
            <w:tcBorders>
              <w:top w:val="single" w:sz="6" w:space="0" w:color="auto"/>
              <w:bottom w:val="single" w:sz="6" w:space="0" w:color="808080" w:themeColor="background1" w:themeShade="80"/>
            </w:tcBorders>
            <w:shd w:val="clear" w:color="auto" w:fill="auto"/>
            <w:noWrap/>
            <w:hideMark/>
          </w:tcPr>
          <w:p w14:paraId="7E95E083" w14:textId="21A74913" w:rsidR="008F5D01" w:rsidRPr="00C00335" w:rsidRDefault="006A61D1" w:rsidP="000B1C51">
            <w:pPr>
              <w:pStyle w:val="TableText"/>
              <w:keepNext/>
            </w:pPr>
            <w:r w:rsidRPr="00410126">
              <w:t xml:space="preserve">Data not available to inform this value. </w:t>
            </w:r>
            <w:r w:rsidR="00A96AAA" w:rsidRPr="00410126">
              <w:t>Assumed</w:t>
            </w:r>
            <w:r w:rsidR="0021012F" w:rsidRPr="00410126">
              <w:t>.</w:t>
            </w:r>
            <w:r w:rsidR="008F5D01" w:rsidRPr="00C00335">
              <w:t xml:space="preserve"> </w:t>
            </w:r>
          </w:p>
        </w:tc>
      </w:tr>
      <w:tr w:rsidR="008F5D01" w:rsidRPr="00C00335" w14:paraId="19A85B14" w14:textId="77777777" w:rsidTr="004B71BF">
        <w:trPr>
          <w:cantSplit/>
        </w:trPr>
        <w:tc>
          <w:tcPr>
            <w:tcW w:w="1800" w:type="dxa"/>
            <w:tcBorders>
              <w:top w:val="single" w:sz="6" w:space="0" w:color="808080" w:themeColor="background1" w:themeShade="80"/>
              <w:bottom w:val="single" w:sz="6" w:space="0" w:color="808080" w:themeColor="background1" w:themeShade="80"/>
            </w:tcBorders>
            <w:shd w:val="clear" w:color="auto" w:fill="auto"/>
            <w:noWrap/>
            <w:hideMark/>
          </w:tcPr>
          <w:p w14:paraId="74E21DFB" w14:textId="77777777" w:rsidR="008F5D01" w:rsidRPr="00C00335" w:rsidRDefault="008F5D01" w:rsidP="000B1C51">
            <w:pPr>
              <w:pStyle w:val="TableText"/>
              <w:keepNext/>
            </w:pPr>
            <w:r w:rsidRPr="00C00335">
              <w:t>Hispanic</w:t>
            </w:r>
          </w:p>
        </w:tc>
        <w:tc>
          <w:tcPr>
            <w:tcW w:w="1350" w:type="dxa"/>
            <w:tcBorders>
              <w:top w:val="single" w:sz="6" w:space="0" w:color="808080" w:themeColor="background1" w:themeShade="80"/>
              <w:bottom w:val="single" w:sz="6" w:space="0" w:color="808080" w:themeColor="background1" w:themeShade="80"/>
            </w:tcBorders>
            <w:shd w:val="clear" w:color="auto" w:fill="auto"/>
            <w:noWrap/>
            <w:hideMark/>
          </w:tcPr>
          <w:p w14:paraId="21A51455" w14:textId="77777777" w:rsidR="008F5D01" w:rsidRPr="00C00335" w:rsidRDefault="008F5D01" w:rsidP="000B1C51">
            <w:pPr>
              <w:pStyle w:val="TableText"/>
              <w:keepNext/>
              <w:jc w:val="center"/>
            </w:pPr>
            <w:r w:rsidRPr="00C00335">
              <w:t>5%</w:t>
            </w:r>
          </w:p>
        </w:tc>
        <w:tc>
          <w:tcPr>
            <w:tcW w:w="1530" w:type="dxa"/>
            <w:tcBorders>
              <w:top w:val="single" w:sz="6" w:space="0" w:color="808080" w:themeColor="background1" w:themeShade="80"/>
              <w:bottom w:val="single" w:sz="6" w:space="0" w:color="808080" w:themeColor="background1" w:themeShade="80"/>
            </w:tcBorders>
            <w:shd w:val="clear" w:color="auto" w:fill="auto"/>
            <w:noWrap/>
            <w:hideMark/>
          </w:tcPr>
          <w:p w14:paraId="5509B4F4" w14:textId="77777777" w:rsidR="008F5D01" w:rsidRPr="00C00335" w:rsidRDefault="008F5D01" w:rsidP="000B1C51">
            <w:pPr>
              <w:pStyle w:val="TableText"/>
              <w:keepNext/>
              <w:jc w:val="center"/>
            </w:pPr>
            <w:r w:rsidRPr="00C00335">
              <w:t>80%</w:t>
            </w:r>
          </w:p>
        </w:tc>
        <w:tc>
          <w:tcPr>
            <w:tcW w:w="1440" w:type="dxa"/>
            <w:tcBorders>
              <w:top w:val="single" w:sz="6" w:space="0" w:color="808080" w:themeColor="background1" w:themeShade="80"/>
              <w:bottom w:val="single" w:sz="6" w:space="0" w:color="808080" w:themeColor="background1" w:themeShade="80"/>
            </w:tcBorders>
            <w:shd w:val="clear" w:color="auto" w:fill="auto"/>
            <w:noWrap/>
            <w:hideMark/>
          </w:tcPr>
          <w:p w14:paraId="706FD7B1" w14:textId="77777777" w:rsidR="008F5D01" w:rsidRPr="00C00335" w:rsidRDefault="008F5D01" w:rsidP="000B1C51">
            <w:pPr>
              <w:pStyle w:val="TableText"/>
              <w:keepNext/>
              <w:jc w:val="center"/>
            </w:pPr>
            <w:r w:rsidRPr="00C00335">
              <w:t>15%</w:t>
            </w:r>
          </w:p>
        </w:tc>
        <w:tc>
          <w:tcPr>
            <w:tcW w:w="3240" w:type="dxa"/>
            <w:vMerge/>
            <w:tcBorders>
              <w:top w:val="single" w:sz="6" w:space="0" w:color="808080" w:themeColor="background1" w:themeShade="80"/>
              <w:bottom w:val="single" w:sz="6" w:space="0" w:color="808080" w:themeColor="background1" w:themeShade="80"/>
            </w:tcBorders>
            <w:shd w:val="clear" w:color="auto" w:fill="auto"/>
            <w:noWrap/>
          </w:tcPr>
          <w:p w14:paraId="0DB2A674" w14:textId="77777777" w:rsidR="008F5D01" w:rsidRPr="00C00335" w:rsidRDefault="008F5D01" w:rsidP="000B1C51">
            <w:pPr>
              <w:pStyle w:val="TableText"/>
              <w:keepNext/>
            </w:pPr>
          </w:p>
        </w:tc>
      </w:tr>
      <w:tr w:rsidR="008F5D01" w:rsidRPr="00C00335" w14:paraId="58107103" w14:textId="77777777" w:rsidTr="004B71BF">
        <w:trPr>
          <w:cantSplit/>
        </w:trPr>
        <w:tc>
          <w:tcPr>
            <w:tcW w:w="1800" w:type="dxa"/>
            <w:tcBorders>
              <w:top w:val="single" w:sz="6" w:space="0" w:color="808080" w:themeColor="background1" w:themeShade="80"/>
              <w:bottom w:val="single" w:sz="12" w:space="0" w:color="000000"/>
            </w:tcBorders>
            <w:shd w:val="clear" w:color="auto" w:fill="auto"/>
            <w:noWrap/>
            <w:hideMark/>
          </w:tcPr>
          <w:p w14:paraId="6ABAC4D0" w14:textId="29AB2DC7" w:rsidR="008F5D01" w:rsidRPr="00C00335" w:rsidRDefault="00896735" w:rsidP="000B1C51">
            <w:pPr>
              <w:pStyle w:val="TableText"/>
              <w:keepNext/>
            </w:pPr>
            <w:r>
              <w:t>White/other</w:t>
            </w:r>
          </w:p>
        </w:tc>
        <w:tc>
          <w:tcPr>
            <w:tcW w:w="1350" w:type="dxa"/>
            <w:tcBorders>
              <w:top w:val="single" w:sz="6" w:space="0" w:color="808080" w:themeColor="background1" w:themeShade="80"/>
              <w:bottom w:val="single" w:sz="12" w:space="0" w:color="000000"/>
            </w:tcBorders>
            <w:shd w:val="clear" w:color="auto" w:fill="auto"/>
            <w:noWrap/>
            <w:hideMark/>
          </w:tcPr>
          <w:p w14:paraId="1A1D4265" w14:textId="77777777" w:rsidR="008F5D01" w:rsidRPr="00C00335" w:rsidRDefault="008F5D01" w:rsidP="000B1C51">
            <w:pPr>
              <w:pStyle w:val="TableText"/>
              <w:keepNext/>
              <w:jc w:val="center"/>
            </w:pPr>
            <w:r w:rsidRPr="00C00335">
              <w:t>15%</w:t>
            </w:r>
          </w:p>
        </w:tc>
        <w:tc>
          <w:tcPr>
            <w:tcW w:w="1530" w:type="dxa"/>
            <w:tcBorders>
              <w:top w:val="single" w:sz="6" w:space="0" w:color="808080" w:themeColor="background1" w:themeShade="80"/>
              <w:bottom w:val="single" w:sz="12" w:space="0" w:color="000000"/>
            </w:tcBorders>
            <w:shd w:val="clear" w:color="auto" w:fill="auto"/>
            <w:noWrap/>
            <w:hideMark/>
          </w:tcPr>
          <w:p w14:paraId="6F88E691" w14:textId="77777777" w:rsidR="008F5D01" w:rsidRPr="00C00335" w:rsidRDefault="008F5D01" w:rsidP="000B1C51">
            <w:pPr>
              <w:pStyle w:val="TableText"/>
              <w:keepNext/>
              <w:jc w:val="center"/>
            </w:pPr>
            <w:r w:rsidRPr="00C00335">
              <w:t>5%</w:t>
            </w:r>
          </w:p>
        </w:tc>
        <w:tc>
          <w:tcPr>
            <w:tcW w:w="1440" w:type="dxa"/>
            <w:tcBorders>
              <w:top w:val="single" w:sz="6" w:space="0" w:color="808080" w:themeColor="background1" w:themeShade="80"/>
              <w:bottom w:val="single" w:sz="12" w:space="0" w:color="000000"/>
            </w:tcBorders>
            <w:shd w:val="clear" w:color="auto" w:fill="auto"/>
            <w:noWrap/>
            <w:hideMark/>
          </w:tcPr>
          <w:p w14:paraId="72024C9F" w14:textId="77777777" w:rsidR="008F5D01" w:rsidRPr="00C00335" w:rsidRDefault="008F5D01" w:rsidP="000B1C51">
            <w:pPr>
              <w:pStyle w:val="TableText"/>
              <w:keepNext/>
              <w:jc w:val="center"/>
            </w:pPr>
            <w:r w:rsidRPr="00C00335">
              <w:t>80%</w:t>
            </w:r>
          </w:p>
        </w:tc>
        <w:tc>
          <w:tcPr>
            <w:tcW w:w="3240" w:type="dxa"/>
            <w:vMerge/>
            <w:tcBorders>
              <w:top w:val="single" w:sz="6" w:space="0" w:color="808080" w:themeColor="background1" w:themeShade="80"/>
              <w:bottom w:val="single" w:sz="12" w:space="0" w:color="000000"/>
            </w:tcBorders>
            <w:shd w:val="clear" w:color="auto" w:fill="auto"/>
            <w:noWrap/>
          </w:tcPr>
          <w:p w14:paraId="5D426B04" w14:textId="77777777" w:rsidR="008F5D01" w:rsidRPr="00C00335" w:rsidRDefault="008F5D01" w:rsidP="000B1C51">
            <w:pPr>
              <w:pStyle w:val="TableText"/>
              <w:keepNext/>
            </w:pPr>
          </w:p>
        </w:tc>
      </w:tr>
    </w:tbl>
    <w:p w14:paraId="09CC63E6" w14:textId="175BE0A6" w:rsidR="008F5D01" w:rsidRPr="00C00335" w:rsidRDefault="005D471A" w:rsidP="008F5D01">
      <w:pPr>
        <w:pStyle w:val="Source1"/>
      </w:pPr>
      <w:r w:rsidRPr="00C00335">
        <w:t xml:space="preserve">Note: </w:t>
      </w:r>
      <w:r w:rsidR="00F77D76" w:rsidRPr="00C00335">
        <w:t>PWID</w:t>
      </w:r>
      <w:r w:rsidR="00E628BE" w:rsidRPr="00C00335">
        <w:t> = </w:t>
      </w:r>
      <w:r w:rsidR="00F77D76" w:rsidRPr="00C00335">
        <w:t>people who inject drugs</w:t>
      </w:r>
    </w:p>
    <w:p w14:paraId="01211FF0" w14:textId="2707F6E6" w:rsidR="008F5D01" w:rsidRPr="00410126" w:rsidRDefault="004F4E6D" w:rsidP="008F5D01">
      <w:pPr>
        <w:pStyle w:val="TableTitle"/>
      </w:pPr>
      <w:bookmarkStart w:id="71" w:name="_Toc89257603"/>
      <w:r w:rsidRPr="00410126">
        <w:lastRenderedPageBreak/>
        <w:t>Table 6.</w:t>
      </w:r>
      <w:r w:rsidR="00C55FA1" w:rsidRPr="00410126">
        <w:t>8</w:t>
      </w:r>
      <w:r w:rsidR="008F5D01" w:rsidRPr="00410126">
        <w:t>.</w:t>
      </w:r>
      <w:r w:rsidR="008F5D01" w:rsidRPr="00410126">
        <w:tab/>
        <w:t>Distribution of Needle-Shari</w:t>
      </w:r>
      <w:r w:rsidR="00D1426F" w:rsidRPr="00410126">
        <w:t>ng Partners by Age Group (</w:t>
      </w:r>
      <w:r w:rsidR="00F77D76" w:rsidRPr="00410126">
        <w:t>PWID</w:t>
      </w:r>
      <w:r w:rsidR="00D1426F" w:rsidRPr="00410126">
        <w:t xml:space="preserve"> O</w:t>
      </w:r>
      <w:r w:rsidR="008F5D01" w:rsidRPr="00410126">
        <w:t>nly)</w:t>
      </w:r>
      <w:bookmarkEnd w:id="71"/>
    </w:p>
    <w:tbl>
      <w:tblPr>
        <w:tblW w:w="990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900"/>
        <w:gridCol w:w="1080"/>
        <w:gridCol w:w="1080"/>
        <w:gridCol w:w="1080"/>
        <w:gridCol w:w="1080"/>
        <w:gridCol w:w="1080"/>
        <w:gridCol w:w="1080"/>
        <w:gridCol w:w="1080"/>
        <w:gridCol w:w="1440"/>
      </w:tblGrid>
      <w:tr w:rsidR="00F96EC5" w:rsidRPr="00410126" w14:paraId="11214B9E" w14:textId="6B494A4F" w:rsidTr="004B71BF">
        <w:trPr>
          <w:cantSplit/>
          <w:tblHeader/>
        </w:trPr>
        <w:tc>
          <w:tcPr>
            <w:tcW w:w="900" w:type="dxa"/>
            <w:tcBorders>
              <w:top w:val="single" w:sz="12" w:space="0" w:color="000000"/>
              <w:bottom w:val="single" w:sz="6" w:space="0" w:color="auto"/>
            </w:tcBorders>
            <w:shd w:val="clear" w:color="auto" w:fill="auto"/>
            <w:noWrap/>
            <w:vAlign w:val="bottom"/>
          </w:tcPr>
          <w:p w14:paraId="6ED2E232" w14:textId="2A100B47" w:rsidR="00F96EC5" w:rsidRPr="00410126" w:rsidRDefault="00F96EC5" w:rsidP="000B1C51">
            <w:pPr>
              <w:pStyle w:val="TableHeaders"/>
              <w:keepNext/>
              <w:spacing w:before="60" w:after="60"/>
            </w:pPr>
            <w:r w:rsidRPr="00410126">
              <w:t>Age Group</w:t>
            </w:r>
          </w:p>
        </w:tc>
        <w:tc>
          <w:tcPr>
            <w:tcW w:w="1080" w:type="dxa"/>
            <w:tcBorders>
              <w:top w:val="single" w:sz="12" w:space="0" w:color="000000"/>
              <w:bottom w:val="single" w:sz="6" w:space="0" w:color="auto"/>
            </w:tcBorders>
            <w:shd w:val="clear" w:color="auto" w:fill="auto"/>
            <w:noWrap/>
            <w:vAlign w:val="bottom"/>
          </w:tcPr>
          <w:p w14:paraId="2B3C9838" w14:textId="448D737E" w:rsidR="00F96EC5" w:rsidRPr="00410126" w:rsidRDefault="00F96EC5" w:rsidP="000B1C51">
            <w:pPr>
              <w:pStyle w:val="TableHeaders"/>
              <w:keepNext/>
              <w:spacing w:before="60" w:after="60"/>
            </w:pPr>
            <w:r w:rsidRPr="00410126">
              <w:t>13–17</w:t>
            </w:r>
          </w:p>
        </w:tc>
        <w:tc>
          <w:tcPr>
            <w:tcW w:w="1080" w:type="dxa"/>
            <w:tcBorders>
              <w:top w:val="single" w:sz="12" w:space="0" w:color="000000"/>
              <w:bottom w:val="single" w:sz="6" w:space="0" w:color="auto"/>
            </w:tcBorders>
            <w:shd w:val="clear" w:color="auto" w:fill="auto"/>
            <w:noWrap/>
            <w:vAlign w:val="bottom"/>
          </w:tcPr>
          <w:p w14:paraId="4EA86BB1" w14:textId="0194744E" w:rsidR="00F96EC5" w:rsidRPr="00410126" w:rsidRDefault="00F96EC5" w:rsidP="000B1C51">
            <w:pPr>
              <w:pStyle w:val="TableHeaders"/>
              <w:keepNext/>
              <w:spacing w:before="60" w:after="60"/>
            </w:pPr>
            <w:r w:rsidRPr="00410126">
              <w:t>18–24</w:t>
            </w:r>
          </w:p>
        </w:tc>
        <w:tc>
          <w:tcPr>
            <w:tcW w:w="1080" w:type="dxa"/>
            <w:tcBorders>
              <w:top w:val="single" w:sz="12" w:space="0" w:color="000000"/>
              <w:bottom w:val="single" w:sz="6" w:space="0" w:color="auto"/>
            </w:tcBorders>
            <w:shd w:val="clear" w:color="auto" w:fill="auto"/>
            <w:noWrap/>
            <w:vAlign w:val="bottom"/>
          </w:tcPr>
          <w:p w14:paraId="2E384CDA" w14:textId="373E8B69" w:rsidR="00F96EC5" w:rsidRPr="00410126" w:rsidRDefault="00F96EC5" w:rsidP="000B1C51">
            <w:pPr>
              <w:pStyle w:val="TableHeaders"/>
              <w:keepNext/>
              <w:spacing w:before="60" w:after="60"/>
            </w:pPr>
            <w:r w:rsidRPr="00410126">
              <w:t>25–34</w:t>
            </w:r>
          </w:p>
        </w:tc>
        <w:tc>
          <w:tcPr>
            <w:tcW w:w="1080" w:type="dxa"/>
            <w:tcBorders>
              <w:top w:val="single" w:sz="12" w:space="0" w:color="000000"/>
              <w:bottom w:val="single" w:sz="6" w:space="0" w:color="auto"/>
            </w:tcBorders>
            <w:shd w:val="clear" w:color="auto" w:fill="auto"/>
            <w:noWrap/>
            <w:vAlign w:val="bottom"/>
          </w:tcPr>
          <w:p w14:paraId="40E92215" w14:textId="75770206" w:rsidR="00F96EC5" w:rsidRPr="00410126" w:rsidRDefault="00F96EC5" w:rsidP="000B1C51">
            <w:pPr>
              <w:pStyle w:val="TableHeaders"/>
              <w:keepNext/>
              <w:spacing w:before="60" w:after="60"/>
            </w:pPr>
            <w:r w:rsidRPr="00410126">
              <w:t>35–44</w:t>
            </w:r>
          </w:p>
        </w:tc>
        <w:tc>
          <w:tcPr>
            <w:tcW w:w="1080" w:type="dxa"/>
            <w:tcBorders>
              <w:top w:val="single" w:sz="12" w:space="0" w:color="000000"/>
              <w:bottom w:val="single" w:sz="6" w:space="0" w:color="auto"/>
            </w:tcBorders>
            <w:shd w:val="clear" w:color="auto" w:fill="auto"/>
            <w:noWrap/>
            <w:vAlign w:val="bottom"/>
          </w:tcPr>
          <w:p w14:paraId="4ACD6621" w14:textId="77979398" w:rsidR="00F96EC5" w:rsidRPr="00410126" w:rsidRDefault="00F96EC5" w:rsidP="000B1C51">
            <w:pPr>
              <w:pStyle w:val="TableHeaders"/>
              <w:keepNext/>
              <w:spacing w:before="60" w:after="60"/>
            </w:pPr>
            <w:r w:rsidRPr="00410126">
              <w:t>45–54</w:t>
            </w:r>
          </w:p>
        </w:tc>
        <w:tc>
          <w:tcPr>
            <w:tcW w:w="1080" w:type="dxa"/>
            <w:tcBorders>
              <w:top w:val="single" w:sz="12" w:space="0" w:color="000000"/>
              <w:bottom w:val="single" w:sz="6" w:space="0" w:color="auto"/>
            </w:tcBorders>
            <w:vAlign w:val="bottom"/>
          </w:tcPr>
          <w:p w14:paraId="138B2F90" w14:textId="0D061759" w:rsidR="00F96EC5" w:rsidRPr="00410126" w:rsidRDefault="00F96EC5" w:rsidP="00F96EC5">
            <w:pPr>
              <w:pStyle w:val="TableHeaders"/>
              <w:keepNext/>
              <w:spacing w:before="60" w:after="60"/>
            </w:pPr>
            <w:r w:rsidRPr="00410126">
              <w:t>55</w:t>
            </w:r>
            <w:r w:rsidR="000E77C1" w:rsidRPr="00410126">
              <w:t>–</w:t>
            </w:r>
            <w:r w:rsidRPr="00410126">
              <w:t>64</w:t>
            </w:r>
          </w:p>
        </w:tc>
        <w:tc>
          <w:tcPr>
            <w:tcW w:w="1080" w:type="dxa"/>
            <w:tcBorders>
              <w:top w:val="single" w:sz="12" w:space="0" w:color="000000"/>
              <w:bottom w:val="single" w:sz="6" w:space="0" w:color="auto"/>
            </w:tcBorders>
            <w:vAlign w:val="bottom"/>
          </w:tcPr>
          <w:p w14:paraId="1EFDAD5B" w14:textId="0921DC89" w:rsidR="00F96EC5" w:rsidRPr="00410126" w:rsidRDefault="00F96EC5" w:rsidP="00F96EC5">
            <w:pPr>
              <w:pStyle w:val="TableHeaders"/>
              <w:keepNext/>
              <w:spacing w:before="60" w:after="60"/>
            </w:pPr>
            <w:r w:rsidRPr="00410126">
              <w:t>65+</w:t>
            </w:r>
          </w:p>
        </w:tc>
        <w:tc>
          <w:tcPr>
            <w:tcW w:w="1440" w:type="dxa"/>
            <w:tcBorders>
              <w:top w:val="single" w:sz="12" w:space="0" w:color="000000"/>
              <w:bottom w:val="single" w:sz="6" w:space="0" w:color="auto"/>
            </w:tcBorders>
            <w:shd w:val="clear" w:color="auto" w:fill="auto"/>
            <w:noWrap/>
            <w:vAlign w:val="bottom"/>
          </w:tcPr>
          <w:p w14:paraId="44D3EC69" w14:textId="68F1CACB" w:rsidR="00F96EC5" w:rsidRPr="00410126" w:rsidRDefault="00F96EC5" w:rsidP="000B1C51">
            <w:pPr>
              <w:pStyle w:val="TableHeaders"/>
              <w:keepNext/>
              <w:spacing w:before="60" w:after="60"/>
            </w:pPr>
            <w:r w:rsidRPr="00410126">
              <w:t>Source</w:t>
            </w:r>
          </w:p>
        </w:tc>
      </w:tr>
      <w:tr w:rsidR="00DF3DBF" w:rsidRPr="00410126" w14:paraId="45884793" w14:textId="11CA104D" w:rsidTr="00946B28">
        <w:trPr>
          <w:cantSplit/>
        </w:trPr>
        <w:tc>
          <w:tcPr>
            <w:tcW w:w="900" w:type="dxa"/>
            <w:tcBorders>
              <w:top w:val="single" w:sz="6" w:space="0" w:color="auto"/>
              <w:bottom w:val="single" w:sz="6" w:space="0" w:color="808080" w:themeColor="background1" w:themeShade="80"/>
            </w:tcBorders>
            <w:shd w:val="clear" w:color="auto" w:fill="auto"/>
            <w:noWrap/>
          </w:tcPr>
          <w:p w14:paraId="455EAD36" w14:textId="75B49EC0" w:rsidR="00DF3DBF" w:rsidRPr="00410126" w:rsidRDefault="00DF3DBF" w:rsidP="00DF3DBF">
            <w:pPr>
              <w:pStyle w:val="TableText"/>
              <w:keepNext/>
            </w:pPr>
            <w:r w:rsidRPr="00410126">
              <w:t>13–17</w:t>
            </w:r>
          </w:p>
        </w:tc>
        <w:tc>
          <w:tcPr>
            <w:tcW w:w="1080" w:type="dxa"/>
            <w:tcBorders>
              <w:top w:val="single" w:sz="6" w:space="0" w:color="auto"/>
              <w:bottom w:val="single" w:sz="6" w:space="0" w:color="808080" w:themeColor="background1" w:themeShade="80"/>
            </w:tcBorders>
            <w:shd w:val="clear" w:color="auto" w:fill="auto"/>
            <w:noWrap/>
          </w:tcPr>
          <w:p w14:paraId="5C27CF07" w14:textId="3D0A3A3F" w:rsidR="00DF3DBF" w:rsidRPr="00410126" w:rsidRDefault="00DF3DBF" w:rsidP="00DF3DBF">
            <w:pPr>
              <w:pStyle w:val="TableTextDec"/>
              <w:keepNext/>
              <w:tabs>
                <w:tab w:val="clear" w:pos="1015"/>
                <w:tab w:val="decimal" w:pos="437"/>
              </w:tabs>
            </w:pPr>
            <w:r w:rsidRPr="00410126">
              <w:t>91.05%</w:t>
            </w:r>
          </w:p>
        </w:tc>
        <w:tc>
          <w:tcPr>
            <w:tcW w:w="1080" w:type="dxa"/>
            <w:tcBorders>
              <w:top w:val="single" w:sz="6" w:space="0" w:color="auto"/>
              <w:bottom w:val="single" w:sz="6" w:space="0" w:color="808080" w:themeColor="background1" w:themeShade="80"/>
            </w:tcBorders>
            <w:shd w:val="clear" w:color="auto" w:fill="auto"/>
            <w:noWrap/>
          </w:tcPr>
          <w:p w14:paraId="7E3E1449" w14:textId="29DE6E1D"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auto"/>
              <w:bottom w:val="single" w:sz="6" w:space="0" w:color="808080" w:themeColor="background1" w:themeShade="80"/>
            </w:tcBorders>
            <w:shd w:val="clear" w:color="auto" w:fill="auto"/>
            <w:noWrap/>
          </w:tcPr>
          <w:p w14:paraId="2E9D1F12" w14:textId="2252FFC2"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auto"/>
              <w:bottom w:val="single" w:sz="6" w:space="0" w:color="808080" w:themeColor="background1" w:themeShade="80"/>
            </w:tcBorders>
            <w:shd w:val="clear" w:color="auto" w:fill="auto"/>
            <w:noWrap/>
          </w:tcPr>
          <w:p w14:paraId="5CBDB467" w14:textId="53C79AF8"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auto"/>
              <w:bottom w:val="single" w:sz="6" w:space="0" w:color="808080" w:themeColor="background1" w:themeShade="80"/>
            </w:tcBorders>
            <w:shd w:val="clear" w:color="auto" w:fill="auto"/>
            <w:noWrap/>
          </w:tcPr>
          <w:p w14:paraId="74BEBC77" w14:textId="3DBA5ED0" w:rsidR="00DF3DBF" w:rsidRPr="00410126" w:rsidRDefault="00DF3DBF" w:rsidP="00DF3DBF">
            <w:pPr>
              <w:pStyle w:val="TableTextDec"/>
              <w:keepNext/>
              <w:tabs>
                <w:tab w:val="clear" w:pos="1015"/>
                <w:tab w:val="decimal" w:pos="437"/>
              </w:tabs>
            </w:pPr>
            <w:r w:rsidRPr="00410126">
              <w:t>2.00%</w:t>
            </w:r>
          </w:p>
        </w:tc>
        <w:tc>
          <w:tcPr>
            <w:tcW w:w="1080" w:type="dxa"/>
            <w:tcBorders>
              <w:top w:val="single" w:sz="6" w:space="0" w:color="auto"/>
              <w:bottom w:val="single" w:sz="6" w:space="0" w:color="808080" w:themeColor="background1" w:themeShade="80"/>
            </w:tcBorders>
          </w:tcPr>
          <w:p w14:paraId="37467303" w14:textId="52BCE068" w:rsidR="00DF3DBF" w:rsidRPr="00410126" w:rsidRDefault="00DF3DBF" w:rsidP="00DF3DBF">
            <w:pPr>
              <w:pStyle w:val="TableText"/>
              <w:keepNext/>
              <w:rPr>
                <w:szCs w:val="18"/>
              </w:rPr>
            </w:pPr>
            <w:r w:rsidRPr="00410126">
              <w:rPr>
                <w:szCs w:val="18"/>
              </w:rPr>
              <w:t>0.00%</w:t>
            </w:r>
          </w:p>
        </w:tc>
        <w:tc>
          <w:tcPr>
            <w:tcW w:w="1080" w:type="dxa"/>
            <w:tcBorders>
              <w:top w:val="single" w:sz="6" w:space="0" w:color="auto"/>
              <w:bottom w:val="single" w:sz="6" w:space="0" w:color="808080" w:themeColor="background1" w:themeShade="80"/>
            </w:tcBorders>
          </w:tcPr>
          <w:p w14:paraId="11CEB93B" w14:textId="32F9E247" w:rsidR="00DF3DBF" w:rsidRPr="00410126" w:rsidRDefault="00DF3DBF" w:rsidP="00DF3DBF">
            <w:pPr>
              <w:pStyle w:val="TableText"/>
              <w:keepNext/>
              <w:rPr>
                <w:szCs w:val="18"/>
              </w:rPr>
            </w:pPr>
            <w:r w:rsidRPr="00410126">
              <w:rPr>
                <w:szCs w:val="18"/>
              </w:rPr>
              <w:t>0.24%</w:t>
            </w:r>
          </w:p>
        </w:tc>
        <w:tc>
          <w:tcPr>
            <w:tcW w:w="1440" w:type="dxa"/>
            <w:vMerge w:val="restart"/>
            <w:tcBorders>
              <w:top w:val="single" w:sz="6" w:space="0" w:color="auto"/>
            </w:tcBorders>
            <w:shd w:val="clear" w:color="auto" w:fill="auto"/>
            <w:noWrap/>
          </w:tcPr>
          <w:p w14:paraId="54511465" w14:textId="04F04D36" w:rsidR="00DF3DBF" w:rsidRPr="00410126" w:rsidRDefault="00DF3DBF" w:rsidP="00DF3DBF">
            <w:pPr>
              <w:pStyle w:val="TableText"/>
              <w:keepNext/>
            </w:pPr>
            <w:r w:rsidRPr="00410126">
              <w:t>Assumed same as sexual mixing by age.</w:t>
            </w:r>
            <w:r w:rsidRPr="00410126" w:rsidDel="00732DBA">
              <w:t xml:space="preserve"> </w:t>
            </w:r>
          </w:p>
        </w:tc>
      </w:tr>
      <w:tr w:rsidR="00DF3DBF" w:rsidRPr="00410126" w14:paraId="78927AF3" w14:textId="5507BD75"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182EA6ED" w14:textId="0FE0188B" w:rsidR="00DF3DBF" w:rsidRPr="00410126" w:rsidRDefault="00DF3DBF" w:rsidP="00DF3DBF">
            <w:pPr>
              <w:pStyle w:val="TableText"/>
              <w:keepNext/>
            </w:pPr>
            <w:r w:rsidRPr="00410126">
              <w:t>18–24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50C68160" w14:textId="258C4A5F"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6A5E3150" w14:textId="0B5230E0" w:rsidR="00DF3DBF" w:rsidRPr="00410126" w:rsidRDefault="00DF3DBF" w:rsidP="00DF3DBF">
            <w:pPr>
              <w:pStyle w:val="TableTextDec"/>
              <w:keepNext/>
              <w:tabs>
                <w:tab w:val="clear" w:pos="1015"/>
                <w:tab w:val="decimal" w:pos="437"/>
              </w:tabs>
            </w:pPr>
            <w:r w:rsidRPr="00410126">
              <w:t>91.05%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3A96CA6A" w14:textId="1C50BD2D"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45E0241E" w14:textId="7CC97CFD"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42D6640C" w14:textId="31D43538" w:rsidR="00DF3DBF" w:rsidRPr="00410126" w:rsidRDefault="00DF3DBF" w:rsidP="00DF3DBF">
            <w:pPr>
              <w:pStyle w:val="TableTextDec"/>
              <w:keepNext/>
              <w:tabs>
                <w:tab w:val="clear" w:pos="1015"/>
                <w:tab w:val="decimal" w:pos="437"/>
              </w:tabs>
            </w:pPr>
            <w:r w:rsidRPr="00410126">
              <w:t>2.00%</w:t>
            </w:r>
          </w:p>
        </w:tc>
        <w:tc>
          <w:tcPr>
            <w:tcW w:w="1080" w:type="dxa"/>
            <w:tcBorders>
              <w:top w:val="single" w:sz="6" w:space="0" w:color="808080" w:themeColor="background1" w:themeShade="80"/>
              <w:bottom w:val="single" w:sz="6" w:space="0" w:color="808080" w:themeColor="background1" w:themeShade="80"/>
            </w:tcBorders>
          </w:tcPr>
          <w:p w14:paraId="2002B1EF" w14:textId="376A983B"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0.00%</w:t>
            </w:r>
          </w:p>
        </w:tc>
        <w:tc>
          <w:tcPr>
            <w:tcW w:w="1080" w:type="dxa"/>
            <w:tcBorders>
              <w:top w:val="single" w:sz="6" w:space="0" w:color="808080" w:themeColor="background1" w:themeShade="80"/>
              <w:bottom w:val="single" w:sz="6" w:space="0" w:color="808080" w:themeColor="background1" w:themeShade="80"/>
            </w:tcBorders>
          </w:tcPr>
          <w:p w14:paraId="47F84192" w14:textId="0F5EF27E"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0.24%</w:t>
            </w:r>
          </w:p>
        </w:tc>
        <w:tc>
          <w:tcPr>
            <w:tcW w:w="1440" w:type="dxa"/>
            <w:vMerge/>
            <w:shd w:val="clear" w:color="auto" w:fill="auto"/>
            <w:noWrap/>
          </w:tcPr>
          <w:p w14:paraId="35C8EF56" w14:textId="42A4D125" w:rsidR="00DF3DBF" w:rsidRPr="00410126" w:rsidRDefault="00DF3DBF" w:rsidP="00DF3DBF">
            <w:pPr>
              <w:pStyle w:val="Tabletext0"/>
              <w:keepNext/>
              <w:spacing w:before="60" w:after="60" w:line="240" w:lineRule="auto"/>
            </w:pPr>
          </w:p>
        </w:tc>
      </w:tr>
      <w:tr w:rsidR="00DF3DBF" w:rsidRPr="00410126" w14:paraId="37C0F6A5" w14:textId="7636B613"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2683ABC6" w14:textId="24FC1BD4" w:rsidR="00DF3DBF" w:rsidRPr="00410126" w:rsidRDefault="00DF3DBF" w:rsidP="00DF3DBF">
            <w:pPr>
              <w:pStyle w:val="TableText"/>
              <w:keepNext/>
            </w:pPr>
            <w:r w:rsidRPr="00410126">
              <w:t>25–34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24618932" w14:textId="79750C68" w:rsidR="00DF3DBF" w:rsidRPr="00410126" w:rsidRDefault="00DF3DBF" w:rsidP="00DF3DBF">
            <w:pPr>
              <w:pStyle w:val="TableTextDec"/>
              <w:keepNext/>
              <w:tabs>
                <w:tab w:val="clear" w:pos="1015"/>
                <w:tab w:val="decimal" w:pos="437"/>
              </w:tabs>
            </w:pPr>
            <w:r w:rsidRPr="00410126">
              <w:t>9.46%</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4CD91AD4" w14:textId="138B51C0" w:rsidR="00DF3DBF" w:rsidRPr="00410126" w:rsidRDefault="00DF3DBF" w:rsidP="00DF3DBF">
            <w:pPr>
              <w:pStyle w:val="TableTextDec"/>
              <w:keepNext/>
              <w:tabs>
                <w:tab w:val="clear" w:pos="1015"/>
                <w:tab w:val="decimal" w:pos="437"/>
              </w:tabs>
            </w:pPr>
            <w:r w:rsidRPr="00410126">
              <w:t>9.46%</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3FE724C9" w14:textId="18A71221" w:rsidR="00DF3DBF" w:rsidRPr="00410126" w:rsidRDefault="00DF3DBF" w:rsidP="00DF3DBF">
            <w:pPr>
              <w:pStyle w:val="TableTextDec"/>
              <w:keepNext/>
              <w:tabs>
                <w:tab w:val="clear" w:pos="1015"/>
                <w:tab w:val="decimal" w:pos="437"/>
              </w:tabs>
            </w:pPr>
            <w:r w:rsidRPr="00410126">
              <w:t>62.18%</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217B10D5" w14:textId="3233DD11" w:rsidR="00DF3DBF" w:rsidRPr="00410126" w:rsidRDefault="00DF3DBF" w:rsidP="00DF3DBF">
            <w:pPr>
              <w:pStyle w:val="TableTextDec"/>
              <w:keepNext/>
              <w:tabs>
                <w:tab w:val="clear" w:pos="1015"/>
                <w:tab w:val="decimal" w:pos="437"/>
              </w:tabs>
            </w:pPr>
            <w:r w:rsidRPr="00410126">
              <w:t>9.46%</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09417EBE" w14:textId="350A6F26" w:rsidR="00DF3DBF" w:rsidRPr="00410126" w:rsidRDefault="00DF3DBF" w:rsidP="00DF3DBF">
            <w:pPr>
              <w:pStyle w:val="TableTextDec"/>
              <w:keepNext/>
              <w:tabs>
                <w:tab w:val="clear" w:pos="1015"/>
                <w:tab w:val="decimal" w:pos="437"/>
              </w:tabs>
            </w:pPr>
            <w:r w:rsidRPr="00410126">
              <w:t>9.00%</w:t>
            </w:r>
          </w:p>
        </w:tc>
        <w:tc>
          <w:tcPr>
            <w:tcW w:w="1080" w:type="dxa"/>
            <w:tcBorders>
              <w:top w:val="single" w:sz="6" w:space="0" w:color="808080" w:themeColor="background1" w:themeShade="80"/>
              <w:bottom w:val="single" w:sz="6" w:space="0" w:color="808080" w:themeColor="background1" w:themeShade="80"/>
            </w:tcBorders>
          </w:tcPr>
          <w:p w14:paraId="61223A37" w14:textId="48898432"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0.00%</w:t>
            </w:r>
          </w:p>
        </w:tc>
        <w:tc>
          <w:tcPr>
            <w:tcW w:w="1080" w:type="dxa"/>
            <w:tcBorders>
              <w:top w:val="single" w:sz="6" w:space="0" w:color="808080" w:themeColor="background1" w:themeShade="80"/>
              <w:bottom w:val="single" w:sz="6" w:space="0" w:color="808080" w:themeColor="background1" w:themeShade="80"/>
            </w:tcBorders>
          </w:tcPr>
          <w:p w14:paraId="68EE11C9" w14:textId="5EA14363"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0.46%</w:t>
            </w:r>
          </w:p>
        </w:tc>
        <w:tc>
          <w:tcPr>
            <w:tcW w:w="1440" w:type="dxa"/>
            <w:vMerge/>
            <w:shd w:val="clear" w:color="auto" w:fill="auto"/>
            <w:noWrap/>
          </w:tcPr>
          <w:p w14:paraId="30A7FDD1" w14:textId="19F862AC" w:rsidR="00DF3DBF" w:rsidRPr="00410126" w:rsidRDefault="00DF3DBF" w:rsidP="00DF3DBF">
            <w:pPr>
              <w:pStyle w:val="Tabletext0"/>
              <w:keepNext/>
              <w:spacing w:before="60" w:after="60" w:line="240" w:lineRule="auto"/>
            </w:pPr>
          </w:p>
        </w:tc>
      </w:tr>
      <w:tr w:rsidR="00DF3DBF" w:rsidRPr="00410126" w14:paraId="1062106C" w14:textId="0B1536F3"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00C2E8DE" w14:textId="2BF3E533" w:rsidR="00DF3DBF" w:rsidRPr="00410126" w:rsidRDefault="00DF3DBF" w:rsidP="00DF3DBF">
            <w:pPr>
              <w:pStyle w:val="TableText"/>
              <w:keepNext/>
            </w:pPr>
            <w:r w:rsidRPr="00410126">
              <w:t>35–44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506C46B8" w14:textId="00A52CE9"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64E1D1EA" w14:textId="023E3508"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463EF7D7" w14:textId="4A19CD9C"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78B6DA47" w14:textId="66A322CF" w:rsidR="00DF3DBF" w:rsidRPr="00410126" w:rsidRDefault="00DF3DBF" w:rsidP="00DF3DBF">
            <w:pPr>
              <w:pStyle w:val="TableTextDec"/>
              <w:keepNext/>
              <w:tabs>
                <w:tab w:val="clear" w:pos="1015"/>
                <w:tab w:val="decimal" w:pos="437"/>
              </w:tabs>
            </w:pPr>
            <w:r w:rsidRPr="00410126">
              <w:t>79.00%</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19E0DA92" w14:textId="6C56DB6B" w:rsidR="00DF3DBF" w:rsidRPr="00410126" w:rsidRDefault="00DF3DBF" w:rsidP="00DF3DBF">
            <w:pPr>
              <w:pStyle w:val="TableTextDec"/>
              <w:keepNext/>
              <w:tabs>
                <w:tab w:val="clear" w:pos="1015"/>
                <w:tab w:val="decimal" w:pos="437"/>
              </w:tabs>
            </w:pPr>
            <w:r w:rsidRPr="00410126">
              <w:t>10.00%</w:t>
            </w:r>
          </w:p>
        </w:tc>
        <w:tc>
          <w:tcPr>
            <w:tcW w:w="1080" w:type="dxa"/>
            <w:tcBorders>
              <w:top w:val="single" w:sz="6" w:space="0" w:color="808080" w:themeColor="background1" w:themeShade="80"/>
              <w:bottom w:val="single" w:sz="6" w:space="0" w:color="808080" w:themeColor="background1" w:themeShade="80"/>
            </w:tcBorders>
          </w:tcPr>
          <w:p w14:paraId="6460F2E5" w14:textId="6BA302E8"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4.00%</w:t>
            </w:r>
          </w:p>
        </w:tc>
        <w:tc>
          <w:tcPr>
            <w:tcW w:w="1080" w:type="dxa"/>
            <w:tcBorders>
              <w:top w:val="single" w:sz="6" w:space="0" w:color="808080" w:themeColor="background1" w:themeShade="80"/>
              <w:bottom w:val="single" w:sz="6" w:space="0" w:color="808080" w:themeColor="background1" w:themeShade="80"/>
            </w:tcBorders>
          </w:tcPr>
          <w:p w14:paraId="320ED832" w14:textId="67B3653B"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0.25%</w:t>
            </w:r>
          </w:p>
        </w:tc>
        <w:tc>
          <w:tcPr>
            <w:tcW w:w="1440" w:type="dxa"/>
            <w:vMerge/>
            <w:shd w:val="clear" w:color="auto" w:fill="auto"/>
            <w:noWrap/>
          </w:tcPr>
          <w:p w14:paraId="622DC16B" w14:textId="102D39CB" w:rsidR="00DF3DBF" w:rsidRPr="00410126" w:rsidRDefault="00DF3DBF" w:rsidP="00DF3DBF">
            <w:pPr>
              <w:pStyle w:val="Tabletext0"/>
              <w:keepNext/>
              <w:spacing w:before="60" w:after="60" w:line="240" w:lineRule="auto"/>
            </w:pPr>
          </w:p>
        </w:tc>
      </w:tr>
      <w:tr w:rsidR="00DF3DBF" w:rsidRPr="00410126" w14:paraId="1B412A2C" w14:textId="3CE8EDE6"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1D1CBDF4" w14:textId="5B2C972C" w:rsidR="00DF3DBF" w:rsidRPr="00410126" w:rsidRDefault="00DF3DBF" w:rsidP="00DF3DBF">
            <w:pPr>
              <w:pStyle w:val="TableText"/>
              <w:keepNext/>
            </w:pPr>
            <w:r w:rsidRPr="00410126">
              <w:t>45–54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72AFEE63" w14:textId="58B06433"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6259475F" w14:textId="6ED79DC1"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1613E7A6" w14:textId="7DF2A06D"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14AA8082" w14:textId="43A81013"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6C10AD5A" w14:textId="0200E3FB" w:rsidR="00DF3DBF" w:rsidRPr="00410126" w:rsidRDefault="00DF3DBF" w:rsidP="00DF3DBF">
            <w:pPr>
              <w:pStyle w:val="TableTextDec"/>
              <w:keepNext/>
              <w:tabs>
                <w:tab w:val="clear" w:pos="1015"/>
                <w:tab w:val="decimal" w:pos="437"/>
              </w:tabs>
            </w:pPr>
            <w:r w:rsidRPr="00410126">
              <w:t>70.00%</w:t>
            </w:r>
          </w:p>
        </w:tc>
        <w:tc>
          <w:tcPr>
            <w:tcW w:w="1080" w:type="dxa"/>
            <w:tcBorders>
              <w:top w:val="single" w:sz="6" w:space="0" w:color="808080" w:themeColor="background1" w:themeShade="80"/>
              <w:bottom w:val="single" w:sz="6" w:space="0" w:color="808080" w:themeColor="background1" w:themeShade="80"/>
            </w:tcBorders>
          </w:tcPr>
          <w:p w14:paraId="7042F892" w14:textId="683F7873"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10.00%</w:t>
            </w:r>
          </w:p>
        </w:tc>
        <w:tc>
          <w:tcPr>
            <w:tcW w:w="1080" w:type="dxa"/>
            <w:tcBorders>
              <w:top w:val="single" w:sz="6" w:space="0" w:color="808080" w:themeColor="background1" w:themeShade="80"/>
              <w:bottom w:val="single" w:sz="6" w:space="0" w:color="808080" w:themeColor="background1" w:themeShade="80"/>
            </w:tcBorders>
          </w:tcPr>
          <w:p w14:paraId="5E422ED5" w14:textId="65FCC2D2"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4.25%</w:t>
            </w:r>
          </w:p>
        </w:tc>
        <w:tc>
          <w:tcPr>
            <w:tcW w:w="1440" w:type="dxa"/>
            <w:vMerge/>
            <w:shd w:val="clear" w:color="auto" w:fill="auto"/>
            <w:noWrap/>
          </w:tcPr>
          <w:p w14:paraId="56D74364" w14:textId="7E88B985" w:rsidR="00DF3DBF" w:rsidRPr="00410126" w:rsidRDefault="00DF3DBF" w:rsidP="00DF3DBF">
            <w:pPr>
              <w:pStyle w:val="Tabletext0"/>
              <w:keepNext/>
              <w:spacing w:before="60" w:after="60" w:line="240" w:lineRule="auto"/>
            </w:pPr>
          </w:p>
        </w:tc>
      </w:tr>
      <w:tr w:rsidR="00DF3DBF" w:rsidRPr="00410126" w14:paraId="3AFE9913" w14:textId="77777777" w:rsidTr="00946B28">
        <w:trPr>
          <w:cantSplit/>
        </w:trPr>
        <w:tc>
          <w:tcPr>
            <w:tcW w:w="900" w:type="dxa"/>
            <w:tcBorders>
              <w:top w:val="single" w:sz="6" w:space="0" w:color="808080" w:themeColor="background1" w:themeShade="80"/>
              <w:bottom w:val="single" w:sz="6" w:space="0" w:color="808080" w:themeColor="background1" w:themeShade="80"/>
            </w:tcBorders>
            <w:shd w:val="clear" w:color="auto" w:fill="auto"/>
            <w:noWrap/>
          </w:tcPr>
          <w:p w14:paraId="78A1F0C6" w14:textId="7736B36D" w:rsidR="00DF3DBF" w:rsidRPr="00410126" w:rsidRDefault="00DF3DBF" w:rsidP="00DF3DBF">
            <w:pPr>
              <w:pStyle w:val="TableText"/>
              <w:keepNext/>
            </w:pPr>
            <w:r w:rsidRPr="00410126">
              <w:t>55</w:t>
            </w:r>
            <w:r w:rsidR="000E77C1" w:rsidRPr="00410126">
              <w:t>–</w:t>
            </w:r>
            <w:r w:rsidRPr="00410126">
              <w:t>64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779ED16A" w14:textId="5E6A1162"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22D4C885" w14:textId="2629CD4C"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581D5747" w14:textId="2CB59748" w:rsidR="00DF3DBF" w:rsidRPr="00410126" w:rsidRDefault="00DF3DBF" w:rsidP="00DF3DBF">
            <w:pPr>
              <w:pStyle w:val="TableTextDec"/>
              <w:keepNext/>
              <w:tabs>
                <w:tab w:val="clear" w:pos="1015"/>
                <w:tab w:val="decimal" w:pos="437"/>
              </w:tabs>
            </w:pPr>
            <w:r w:rsidRPr="00410126">
              <w:t>2.24%</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78AA2B23" w14:textId="4D796140" w:rsidR="00DF3DBF" w:rsidRPr="00410126" w:rsidRDefault="00DF3DBF" w:rsidP="00DF3DBF">
            <w:pPr>
              <w:pStyle w:val="TableTextDec"/>
              <w:keepNext/>
              <w:tabs>
                <w:tab w:val="clear" w:pos="1015"/>
                <w:tab w:val="decimal" w:pos="437"/>
              </w:tabs>
            </w:pPr>
            <w:r w:rsidRPr="00410126">
              <w:t>5.25%</w:t>
            </w:r>
          </w:p>
        </w:tc>
        <w:tc>
          <w:tcPr>
            <w:tcW w:w="1080" w:type="dxa"/>
            <w:tcBorders>
              <w:top w:val="single" w:sz="6" w:space="0" w:color="808080" w:themeColor="background1" w:themeShade="80"/>
              <w:bottom w:val="single" w:sz="6" w:space="0" w:color="808080" w:themeColor="background1" w:themeShade="80"/>
            </w:tcBorders>
            <w:shd w:val="clear" w:color="auto" w:fill="auto"/>
            <w:noWrap/>
          </w:tcPr>
          <w:p w14:paraId="3345D095" w14:textId="4494A1A7" w:rsidR="00DF3DBF" w:rsidRPr="00410126" w:rsidRDefault="00DF3DBF" w:rsidP="00DF3DBF">
            <w:pPr>
              <w:pStyle w:val="TableTextDec"/>
              <w:keepNext/>
              <w:tabs>
                <w:tab w:val="clear" w:pos="1015"/>
                <w:tab w:val="decimal" w:pos="437"/>
              </w:tabs>
            </w:pPr>
            <w:r w:rsidRPr="00410126">
              <w:t>15.00%</w:t>
            </w:r>
          </w:p>
        </w:tc>
        <w:tc>
          <w:tcPr>
            <w:tcW w:w="1080" w:type="dxa"/>
            <w:tcBorders>
              <w:top w:val="single" w:sz="6" w:space="0" w:color="808080" w:themeColor="background1" w:themeShade="80"/>
              <w:bottom w:val="single" w:sz="6" w:space="0" w:color="808080" w:themeColor="background1" w:themeShade="80"/>
            </w:tcBorders>
          </w:tcPr>
          <w:p w14:paraId="185FA924" w14:textId="2CCAD379"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75.00%</w:t>
            </w:r>
          </w:p>
        </w:tc>
        <w:tc>
          <w:tcPr>
            <w:tcW w:w="1080" w:type="dxa"/>
            <w:tcBorders>
              <w:top w:val="single" w:sz="6" w:space="0" w:color="808080" w:themeColor="background1" w:themeShade="80"/>
              <w:bottom w:val="single" w:sz="6" w:space="0" w:color="808080" w:themeColor="background1" w:themeShade="80"/>
            </w:tcBorders>
          </w:tcPr>
          <w:p w14:paraId="28E888B8" w14:textId="7C1F92FC"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2.51%</w:t>
            </w:r>
          </w:p>
        </w:tc>
        <w:tc>
          <w:tcPr>
            <w:tcW w:w="1440" w:type="dxa"/>
            <w:vMerge/>
            <w:shd w:val="clear" w:color="auto" w:fill="auto"/>
            <w:noWrap/>
          </w:tcPr>
          <w:p w14:paraId="7BD1CEFC" w14:textId="77777777" w:rsidR="00DF3DBF" w:rsidRPr="00410126" w:rsidRDefault="00DF3DBF" w:rsidP="00DF3DBF">
            <w:pPr>
              <w:pStyle w:val="Tabletext0"/>
              <w:keepNext/>
              <w:spacing w:before="60" w:after="60" w:line="240" w:lineRule="auto"/>
            </w:pPr>
          </w:p>
        </w:tc>
      </w:tr>
      <w:tr w:rsidR="00DF3DBF" w:rsidRPr="00C00335" w14:paraId="192ABC3F" w14:textId="77777777" w:rsidTr="00946B28">
        <w:trPr>
          <w:cantSplit/>
        </w:trPr>
        <w:tc>
          <w:tcPr>
            <w:tcW w:w="900" w:type="dxa"/>
            <w:tcBorders>
              <w:top w:val="single" w:sz="6" w:space="0" w:color="808080" w:themeColor="background1" w:themeShade="80"/>
              <w:bottom w:val="single" w:sz="12" w:space="0" w:color="000000"/>
            </w:tcBorders>
            <w:shd w:val="clear" w:color="auto" w:fill="auto"/>
            <w:noWrap/>
          </w:tcPr>
          <w:p w14:paraId="2BEB127C" w14:textId="2D0FF0D8" w:rsidR="00DF3DBF" w:rsidRPr="00410126" w:rsidRDefault="00DF3DBF" w:rsidP="00DF3DBF">
            <w:pPr>
              <w:pStyle w:val="TableText"/>
              <w:keepNext/>
            </w:pPr>
            <w:r w:rsidRPr="00410126">
              <w:t>65+</w:t>
            </w:r>
          </w:p>
        </w:tc>
        <w:tc>
          <w:tcPr>
            <w:tcW w:w="1080" w:type="dxa"/>
            <w:tcBorders>
              <w:top w:val="single" w:sz="6" w:space="0" w:color="808080" w:themeColor="background1" w:themeShade="80"/>
              <w:bottom w:val="single" w:sz="12" w:space="0" w:color="000000"/>
            </w:tcBorders>
            <w:shd w:val="clear" w:color="auto" w:fill="auto"/>
            <w:noWrap/>
          </w:tcPr>
          <w:p w14:paraId="7430E241" w14:textId="150A4F80"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12" w:space="0" w:color="000000"/>
            </w:tcBorders>
            <w:shd w:val="clear" w:color="auto" w:fill="auto"/>
            <w:noWrap/>
          </w:tcPr>
          <w:p w14:paraId="1264D532" w14:textId="47988E15"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12" w:space="0" w:color="000000"/>
            </w:tcBorders>
            <w:shd w:val="clear" w:color="auto" w:fill="auto"/>
            <w:noWrap/>
          </w:tcPr>
          <w:p w14:paraId="4153A320" w14:textId="428F9864" w:rsidR="00DF3DBF" w:rsidRPr="00410126" w:rsidRDefault="00DF3DBF" w:rsidP="00DF3DBF">
            <w:pPr>
              <w:pStyle w:val="TableTextDec"/>
              <w:keepNext/>
              <w:tabs>
                <w:tab w:val="clear" w:pos="1015"/>
                <w:tab w:val="decimal" w:pos="437"/>
              </w:tabs>
            </w:pPr>
            <w:r w:rsidRPr="00410126">
              <w:t>0.00%</w:t>
            </w:r>
          </w:p>
        </w:tc>
        <w:tc>
          <w:tcPr>
            <w:tcW w:w="1080" w:type="dxa"/>
            <w:tcBorders>
              <w:top w:val="single" w:sz="6" w:space="0" w:color="808080" w:themeColor="background1" w:themeShade="80"/>
              <w:bottom w:val="single" w:sz="12" w:space="0" w:color="000000"/>
            </w:tcBorders>
            <w:shd w:val="clear" w:color="auto" w:fill="auto"/>
            <w:noWrap/>
          </w:tcPr>
          <w:p w14:paraId="40A5D2CC" w14:textId="19D60939" w:rsidR="00DF3DBF" w:rsidRPr="00410126" w:rsidRDefault="00DF3DBF" w:rsidP="00DF3DBF">
            <w:pPr>
              <w:pStyle w:val="TableTextDec"/>
              <w:keepNext/>
              <w:tabs>
                <w:tab w:val="clear" w:pos="1015"/>
                <w:tab w:val="decimal" w:pos="437"/>
              </w:tabs>
            </w:pPr>
            <w:r w:rsidRPr="00410126">
              <w:t>2.00%</w:t>
            </w:r>
          </w:p>
        </w:tc>
        <w:tc>
          <w:tcPr>
            <w:tcW w:w="1080" w:type="dxa"/>
            <w:tcBorders>
              <w:top w:val="single" w:sz="6" w:space="0" w:color="808080" w:themeColor="background1" w:themeShade="80"/>
              <w:bottom w:val="single" w:sz="12" w:space="0" w:color="000000"/>
            </w:tcBorders>
            <w:shd w:val="clear" w:color="auto" w:fill="auto"/>
            <w:noWrap/>
          </w:tcPr>
          <w:p w14:paraId="3494C396" w14:textId="432CA1D4" w:rsidR="00DF3DBF" w:rsidRPr="00410126" w:rsidRDefault="00DF3DBF" w:rsidP="00DF3DBF">
            <w:pPr>
              <w:pStyle w:val="TableTextDec"/>
              <w:keepNext/>
              <w:tabs>
                <w:tab w:val="clear" w:pos="1015"/>
                <w:tab w:val="decimal" w:pos="437"/>
              </w:tabs>
            </w:pPr>
            <w:r w:rsidRPr="00410126">
              <w:t>7.00%</w:t>
            </w:r>
          </w:p>
        </w:tc>
        <w:tc>
          <w:tcPr>
            <w:tcW w:w="1080" w:type="dxa"/>
            <w:tcBorders>
              <w:top w:val="single" w:sz="6" w:space="0" w:color="808080" w:themeColor="background1" w:themeShade="80"/>
              <w:bottom w:val="single" w:sz="12" w:space="0" w:color="000000"/>
            </w:tcBorders>
          </w:tcPr>
          <w:p w14:paraId="4A202569" w14:textId="6256B911"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10.00%</w:t>
            </w:r>
          </w:p>
        </w:tc>
        <w:tc>
          <w:tcPr>
            <w:tcW w:w="1080" w:type="dxa"/>
            <w:tcBorders>
              <w:top w:val="single" w:sz="6" w:space="0" w:color="808080" w:themeColor="background1" w:themeShade="80"/>
              <w:bottom w:val="single" w:sz="12" w:space="0" w:color="000000"/>
            </w:tcBorders>
          </w:tcPr>
          <w:p w14:paraId="4E4817C4" w14:textId="3406B431" w:rsidR="00DF3DBF" w:rsidRPr="00410126" w:rsidRDefault="00DF3DBF" w:rsidP="00DF3DBF">
            <w:pPr>
              <w:pStyle w:val="Tabletext0"/>
              <w:keepNext/>
              <w:spacing w:before="60" w:after="60" w:line="240" w:lineRule="auto"/>
              <w:rPr>
                <w:rFonts w:ascii="Verdana" w:hAnsi="Verdana"/>
                <w:sz w:val="18"/>
                <w:szCs w:val="18"/>
              </w:rPr>
            </w:pPr>
            <w:r w:rsidRPr="00410126">
              <w:rPr>
                <w:rFonts w:ascii="Verdana" w:hAnsi="Verdana"/>
                <w:sz w:val="18"/>
                <w:szCs w:val="18"/>
              </w:rPr>
              <w:t>81.00%</w:t>
            </w:r>
          </w:p>
        </w:tc>
        <w:tc>
          <w:tcPr>
            <w:tcW w:w="1440" w:type="dxa"/>
            <w:vMerge/>
            <w:tcBorders>
              <w:bottom w:val="single" w:sz="12" w:space="0" w:color="000000"/>
            </w:tcBorders>
            <w:shd w:val="clear" w:color="auto" w:fill="auto"/>
            <w:noWrap/>
          </w:tcPr>
          <w:p w14:paraId="3EC4A640" w14:textId="77777777" w:rsidR="00DF3DBF" w:rsidRPr="00C00335" w:rsidRDefault="00DF3DBF" w:rsidP="00DF3DBF">
            <w:pPr>
              <w:pStyle w:val="Tabletext0"/>
              <w:keepNext/>
              <w:spacing w:before="60" w:after="60" w:line="240" w:lineRule="auto"/>
            </w:pPr>
          </w:p>
        </w:tc>
      </w:tr>
    </w:tbl>
    <w:p w14:paraId="600A8EE9" w14:textId="2ADEEF2D" w:rsidR="00807F4B" w:rsidRPr="00C00335" w:rsidRDefault="005D471A" w:rsidP="008F5D01">
      <w:pPr>
        <w:pStyle w:val="Source1"/>
      </w:pPr>
      <w:r w:rsidRPr="00C00335">
        <w:t xml:space="preserve">Note: </w:t>
      </w:r>
      <w:r w:rsidR="00F77D76" w:rsidRPr="00C00335">
        <w:t>PWID</w:t>
      </w:r>
      <w:r w:rsidR="00E628BE" w:rsidRPr="00C00335">
        <w:t> = </w:t>
      </w:r>
      <w:r w:rsidR="00F77D76" w:rsidRPr="00C00335">
        <w:t>people who inject drugs</w:t>
      </w:r>
    </w:p>
    <w:p w14:paraId="296E3703" w14:textId="77777777" w:rsidR="00467D83" w:rsidRPr="00C00335" w:rsidRDefault="00467D83" w:rsidP="00467D83">
      <w:pPr>
        <w:pStyle w:val="Heading2"/>
      </w:pPr>
      <w:bookmarkStart w:id="72" w:name="_Toc89257544"/>
      <w:r w:rsidRPr="00C00335">
        <w:t>Per-Partnership Transmission Risk</w:t>
      </w:r>
      <w:bookmarkEnd w:id="72"/>
    </w:p>
    <w:p w14:paraId="04412D55" w14:textId="35DD9AB6" w:rsidR="00467D83" w:rsidRPr="00C00335" w:rsidRDefault="00467D83" w:rsidP="00B41991">
      <w:pPr>
        <w:pStyle w:val="BodyText"/>
      </w:pPr>
      <w:r w:rsidRPr="00C00335">
        <w:t xml:space="preserve">We calculated the risk of infection per </w:t>
      </w:r>
      <w:proofErr w:type="spellStart"/>
      <w:r w:rsidRPr="00C00335">
        <w:t>serodiscordant</w:t>
      </w:r>
      <w:proofErr w:type="spellEnd"/>
      <w:r w:rsidRPr="00C00335">
        <w:t xml:space="preserve"> partnership for uninfected individuals according to a Bernoulli process</w:t>
      </w:r>
      <w:r w:rsidRPr="00C00335" w:rsidDel="00544F23">
        <w:t xml:space="preserve"> </w:t>
      </w:r>
      <w:r w:rsidRPr="00C00335">
        <w:t>that was a function of per-</w:t>
      </w:r>
      <w:r w:rsidR="00DB6E5A" w:rsidRPr="00C00335">
        <w:t>act</w:t>
      </w:r>
      <w:r w:rsidRPr="00C00335">
        <w:t xml:space="preserve"> </w:t>
      </w:r>
      <w:r w:rsidR="00AD6124" w:rsidRPr="00C00335">
        <w:t>sex- and shared needle</w:t>
      </w:r>
      <w:r w:rsidR="000E77C1">
        <w:t>–</w:t>
      </w:r>
      <w:r w:rsidRPr="00C00335">
        <w:t xml:space="preserve">transmission risk estimates and the number of </w:t>
      </w:r>
      <w:r w:rsidR="00DB6E5A" w:rsidRPr="00C00335">
        <w:t>sex acts and shared needles</w:t>
      </w:r>
      <w:r w:rsidRPr="00C00335">
        <w:t xml:space="preserve"> per partnership. In this model, per-act transmission risk represents the probability of transmission per sex</w:t>
      </w:r>
      <w:r w:rsidR="00DB6E5A" w:rsidRPr="00C00335">
        <w:t xml:space="preserve"> act</w:t>
      </w:r>
      <w:r w:rsidRPr="00C00335">
        <w:t xml:space="preserve"> or </w:t>
      </w:r>
      <w:r w:rsidR="00DB6E5A" w:rsidRPr="00C00335">
        <w:t xml:space="preserve">shared </w:t>
      </w:r>
      <w:r w:rsidRPr="00C00335">
        <w:t xml:space="preserve">needle between an HIV-infected and HIV-uninfected person. This method </w:t>
      </w:r>
      <w:r w:rsidR="00B41991" w:rsidRPr="00C00335">
        <w:t xml:space="preserve">implicitly </w:t>
      </w:r>
      <w:r w:rsidRPr="00C00335">
        <w:t xml:space="preserve">assumes that </w:t>
      </w:r>
      <w:r w:rsidR="00DB6E5A" w:rsidRPr="00C00335">
        <w:t xml:space="preserve">sex acts and shared needles </w:t>
      </w:r>
      <w:r w:rsidRPr="00C00335">
        <w:t>within a partnership are independent</w:t>
      </w:r>
      <w:r w:rsidR="00B41991" w:rsidRPr="00C00335">
        <w:t>, each with the same likelihood of infection based on an average weighted by the likelihood of condom use</w:t>
      </w:r>
      <w:r w:rsidRPr="00C00335">
        <w:t xml:space="preserve"> (Pinkerton et al., 1998). </w:t>
      </w:r>
      <w:r w:rsidR="00871E69" w:rsidRPr="00C00335">
        <w:t>Tables </w:t>
      </w:r>
      <w:r w:rsidRPr="00C00335">
        <w:t>6</w:t>
      </w:r>
      <w:r w:rsidR="00CC1362" w:rsidRPr="00C00335">
        <w:t>.</w:t>
      </w:r>
      <w:r w:rsidRPr="00C00335">
        <w:t>8 through 6</w:t>
      </w:r>
      <w:r w:rsidR="00CC1362" w:rsidRPr="00C00335">
        <w:t>.</w:t>
      </w:r>
      <w:r w:rsidR="008865E7" w:rsidRPr="00C00335">
        <w:t>1</w:t>
      </w:r>
      <w:r w:rsidR="008865E7">
        <w:t>1</w:t>
      </w:r>
      <w:r w:rsidR="008865E7" w:rsidRPr="00C00335">
        <w:t xml:space="preserve"> </w:t>
      </w:r>
      <w:r w:rsidRPr="00C00335">
        <w:t>list the values applied for all parameters that determined these per-partnership risks, as well as the sources from which those values were obtained.</w:t>
      </w:r>
    </w:p>
    <w:bookmarkEnd w:id="64"/>
    <w:p w14:paraId="49FC5B44" w14:textId="77777777" w:rsidR="000B1C51" w:rsidRPr="00C00335" w:rsidRDefault="000B1C51" w:rsidP="000B1C51">
      <w:pPr>
        <w:pStyle w:val="BodyText"/>
      </w:pPr>
    </w:p>
    <w:p w14:paraId="71462202" w14:textId="77777777" w:rsidR="00B41A9A" w:rsidRPr="00C00335" w:rsidRDefault="00B41A9A" w:rsidP="00B41A9A">
      <w:pPr>
        <w:pStyle w:val="paragraph"/>
        <w:sectPr w:rsidR="00B41A9A" w:rsidRPr="00C00335" w:rsidSect="00B73752">
          <w:headerReference w:type="default" r:id="rId58"/>
          <w:endnotePr>
            <w:numFmt w:val="decimal"/>
          </w:endnotePr>
          <w:type w:val="oddPage"/>
          <w:pgSz w:w="12240" w:h="15840"/>
          <w:pgMar w:top="1440" w:right="1440" w:bottom="1440" w:left="1440" w:header="720" w:footer="720" w:gutter="0"/>
          <w:pgNumType w:start="1" w:chapStyle="1"/>
          <w:cols w:space="720"/>
          <w:titlePg/>
          <w:docGrid w:linePitch="360"/>
        </w:sectPr>
      </w:pPr>
    </w:p>
    <w:p w14:paraId="2A938C8E" w14:textId="57127E2A" w:rsidR="00547194" w:rsidRPr="00C00335" w:rsidRDefault="004F4E6D" w:rsidP="00260D8A">
      <w:pPr>
        <w:pStyle w:val="TableTitle"/>
        <w:spacing w:before="240" w:after="40"/>
        <w:ind w:left="1530"/>
      </w:pPr>
      <w:bookmarkStart w:id="73" w:name="_Toc89257604"/>
      <w:r w:rsidRPr="00C00335">
        <w:lastRenderedPageBreak/>
        <w:t>Table 6.</w:t>
      </w:r>
      <w:r w:rsidR="00C55FA1">
        <w:t>9</w:t>
      </w:r>
      <w:r w:rsidR="00547194" w:rsidRPr="00C00335">
        <w:t>.</w:t>
      </w:r>
      <w:r w:rsidR="00547194" w:rsidRPr="00C00335">
        <w:tab/>
        <w:t>Per-</w:t>
      </w:r>
      <w:r w:rsidR="00DB6E5A" w:rsidRPr="00C00335">
        <w:t>Act</w:t>
      </w:r>
      <w:r w:rsidR="00547194" w:rsidRPr="00C00335">
        <w:t xml:space="preserve"> HIV Transmission Risk and Reductions in Risk Due to Circumcision</w:t>
      </w:r>
      <w:r w:rsidR="00B40B60" w:rsidRPr="00C00335">
        <w:t>,</w:t>
      </w:r>
      <w:r w:rsidR="00547194" w:rsidRPr="00C00335">
        <w:t xml:space="preserve"> </w:t>
      </w:r>
      <w:r w:rsidR="00887AC9" w:rsidRPr="00C00335">
        <w:t>Viral Load Suppression</w:t>
      </w:r>
      <w:r w:rsidR="007B3390" w:rsidRPr="00C00335">
        <w:t>, Condom Use</w:t>
      </w:r>
      <w:r w:rsidR="00A550DE" w:rsidRPr="00C00335">
        <w:t>, and Awareness of HIV Infection</w:t>
      </w:r>
      <w:bookmarkEnd w:id="73"/>
    </w:p>
    <w:tbl>
      <w:tblPr>
        <w:tblW w:w="5000" w:type="pct"/>
        <w:tblInd w:w="86" w:type="dxa"/>
        <w:tblBorders>
          <w:top w:val="single" w:sz="12" w:space="0" w:color="000000"/>
          <w:bottom w:val="single" w:sz="12" w:space="0" w:color="000000"/>
          <w:insideH w:val="single" w:sz="2" w:space="0" w:color="DDDDDD"/>
        </w:tblBorders>
        <w:tblLayout w:type="fixed"/>
        <w:tblCellMar>
          <w:left w:w="86" w:type="dxa"/>
          <w:right w:w="86" w:type="dxa"/>
        </w:tblCellMar>
        <w:tblLook w:val="04A0" w:firstRow="1" w:lastRow="0" w:firstColumn="1" w:lastColumn="0" w:noHBand="0" w:noVBand="1"/>
      </w:tblPr>
      <w:tblGrid>
        <w:gridCol w:w="2226"/>
        <w:gridCol w:w="1468"/>
        <w:gridCol w:w="5666"/>
      </w:tblGrid>
      <w:tr w:rsidR="00547194" w:rsidRPr="0023643C" w14:paraId="55F3470F" w14:textId="77777777" w:rsidTr="00024B80">
        <w:trPr>
          <w:cantSplit/>
          <w:tblHeader/>
        </w:trPr>
        <w:tc>
          <w:tcPr>
            <w:tcW w:w="2226" w:type="dxa"/>
            <w:tcBorders>
              <w:top w:val="single" w:sz="12" w:space="0" w:color="000000"/>
              <w:bottom w:val="single" w:sz="6" w:space="0" w:color="auto"/>
            </w:tcBorders>
            <w:shd w:val="clear" w:color="auto" w:fill="auto"/>
            <w:noWrap/>
            <w:vAlign w:val="bottom"/>
          </w:tcPr>
          <w:p w14:paraId="7983F7BA" w14:textId="77777777" w:rsidR="00547194" w:rsidRPr="0023643C" w:rsidRDefault="00547194" w:rsidP="009F0212">
            <w:pPr>
              <w:pStyle w:val="TableHeaders"/>
              <w:spacing w:before="20" w:after="20"/>
            </w:pPr>
            <w:r w:rsidRPr="0023643C">
              <w:t>Parameter</w:t>
            </w:r>
          </w:p>
        </w:tc>
        <w:tc>
          <w:tcPr>
            <w:tcW w:w="1468" w:type="dxa"/>
            <w:tcBorders>
              <w:top w:val="single" w:sz="12" w:space="0" w:color="000000"/>
              <w:bottom w:val="single" w:sz="6" w:space="0" w:color="auto"/>
            </w:tcBorders>
            <w:shd w:val="clear" w:color="auto" w:fill="auto"/>
            <w:noWrap/>
            <w:vAlign w:val="bottom"/>
            <w:hideMark/>
          </w:tcPr>
          <w:p w14:paraId="56C39A19" w14:textId="77777777" w:rsidR="00547194" w:rsidRPr="0023643C" w:rsidRDefault="00547194" w:rsidP="009F0212">
            <w:pPr>
              <w:pStyle w:val="TableHeaders"/>
              <w:spacing w:before="20" w:after="20"/>
            </w:pPr>
            <w:r w:rsidRPr="0023643C">
              <w:t>Value</w:t>
            </w:r>
          </w:p>
        </w:tc>
        <w:tc>
          <w:tcPr>
            <w:tcW w:w="5666" w:type="dxa"/>
            <w:tcBorders>
              <w:top w:val="single" w:sz="12" w:space="0" w:color="000000"/>
              <w:bottom w:val="single" w:sz="6" w:space="0" w:color="auto"/>
            </w:tcBorders>
            <w:shd w:val="clear" w:color="auto" w:fill="auto"/>
            <w:noWrap/>
            <w:vAlign w:val="bottom"/>
            <w:hideMark/>
          </w:tcPr>
          <w:p w14:paraId="28FB90EB" w14:textId="77777777" w:rsidR="00547194" w:rsidRPr="0023643C" w:rsidRDefault="00547194" w:rsidP="009F0212">
            <w:pPr>
              <w:pStyle w:val="TableHeaders"/>
              <w:spacing w:before="20" w:after="20"/>
            </w:pPr>
            <w:r w:rsidRPr="0023643C">
              <w:t>Source</w:t>
            </w:r>
          </w:p>
        </w:tc>
      </w:tr>
      <w:tr w:rsidR="00547194" w:rsidRPr="0023643C" w14:paraId="3FFC626E" w14:textId="77777777" w:rsidTr="00024B80">
        <w:trPr>
          <w:cantSplit/>
        </w:trPr>
        <w:tc>
          <w:tcPr>
            <w:tcW w:w="9360" w:type="dxa"/>
            <w:gridSpan w:val="3"/>
            <w:tcBorders>
              <w:top w:val="single" w:sz="6" w:space="0" w:color="auto"/>
              <w:bottom w:val="single" w:sz="6" w:space="0" w:color="808080" w:themeColor="background1" w:themeShade="80"/>
            </w:tcBorders>
            <w:shd w:val="clear" w:color="auto" w:fill="auto"/>
            <w:noWrap/>
          </w:tcPr>
          <w:p w14:paraId="70F9F36C" w14:textId="06AC2708" w:rsidR="00547194" w:rsidRPr="0023643C" w:rsidRDefault="00547194" w:rsidP="009F0212">
            <w:pPr>
              <w:pStyle w:val="TableText"/>
              <w:spacing w:before="20" w:after="20"/>
            </w:pPr>
            <w:r w:rsidRPr="0023643C">
              <w:t xml:space="preserve">Base probability of transmission per </w:t>
            </w:r>
            <w:proofErr w:type="spellStart"/>
            <w:r w:rsidR="000229FE">
              <w:t>condomless</w:t>
            </w:r>
            <w:proofErr w:type="spellEnd"/>
            <w:r w:rsidRPr="0023643C">
              <w:t xml:space="preserve"> </w:t>
            </w:r>
            <w:r w:rsidR="00782B9B" w:rsidRPr="0023643C">
              <w:t>sex act</w:t>
            </w:r>
            <w:r w:rsidRPr="0023643C">
              <w:t xml:space="preserve"> (given, if male, uncircumcised HIV-uninfected </w:t>
            </w:r>
            <w:r w:rsidR="00556127">
              <w:t>individuals</w:t>
            </w:r>
            <w:r w:rsidRPr="0023643C">
              <w:t>)</w:t>
            </w:r>
          </w:p>
        </w:tc>
      </w:tr>
      <w:tr w:rsidR="005876B9" w:rsidRPr="0023643C" w14:paraId="0D57709E"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5058FAE4" w14:textId="77777777" w:rsidR="005876B9" w:rsidRPr="0023643C" w:rsidRDefault="005876B9" w:rsidP="009F0212">
            <w:pPr>
              <w:pStyle w:val="TableText"/>
              <w:spacing w:before="20" w:after="20"/>
              <w:ind w:left="270"/>
            </w:pPr>
            <w:r w:rsidRPr="0023643C">
              <w:t xml:space="preserve">Vaginal </w:t>
            </w:r>
            <w:proofErr w:type="spellStart"/>
            <w:r w:rsidRPr="0023643C">
              <w:t>insertive</w:t>
            </w:r>
            <w:proofErr w:type="spellEnd"/>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009DCA02" w14:textId="639F0982" w:rsidR="005876B9" w:rsidRPr="002C3139" w:rsidRDefault="00044BA9" w:rsidP="009F0212">
            <w:pPr>
              <w:pStyle w:val="TableTextDec"/>
              <w:tabs>
                <w:tab w:val="clear" w:pos="1015"/>
              </w:tabs>
              <w:spacing w:before="20" w:after="20"/>
              <w:jc w:val="center"/>
            </w:pPr>
            <w:r w:rsidRPr="002C3139">
              <w:t>0.00027</w:t>
            </w:r>
          </w:p>
        </w:tc>
        <w:tc>
          <w:tcPr>
            <w:tcW w:w="5666" w:type="dxa"/>
            <w:vMerge w:val="restart"/>
            <w:tcBorders>
              <w:top w:val="single" w:sz="6" w:space="0" w:color="808080" w:themeColor="background1" w:themeShade="80"/>
            </w:tcBorders>
            <w:shd w:val="clear" w:color="auto" w:fill="auto"/>
            <w:noWrap/>
          </w:tcPr>
          <w:p w14:paraId="405B65A6" w14:textId="7B7EEB51" w:rsidR="005876B9" w:rsidRPr="0023643C" w:rsidRDefault="005876B9" w:rsidP="00C63DB4">
            <w:pPr>
              <w:pStyle w:val="TableText"/>
              <w:spacing w:before="20" w:after="20"/>
            </w:pPr>
            <w:r w:rsidRPr="0023643C">
              <w:t xml:space="preserve">Determined by calibration within bounds </w:t>
            </w:r>
            <w:r w:rsidR="00A2076B" w:rsidRPr="0023643C">
              <w:t>appro</w:t>
            </w:r>
            <w:r w:rsidR="000E77C1" w:rsidRPr="0023643C">
              <w:t>xi</w:t>
            </w:r>
            <w:r w:rsidR="00A2076B" w:rsidRPr="0023643C">
              <w:t>mately equal to</w:t>
            </w:r>
            <w:r w:rsidRPr="0023643C">
              <w:t xml:space="preserve"> confidence interval</w:t>
            </w:r>
            <w:r w:rsidR="00A2076B" w:rsidRPr="0023643C">
              <w:t>s</w:t>
            </w:r>
            <w:r w:rsidRPr="0023643C">
              <w:t xml:space="preserve"> reported by Patel et al. (2014) (with anal receptive lower bound slightly expanded)</w:t>
            </w:r>
          </w:p>
        </w:tc>
      </w:tr>
      <w:tr w:rsidR="005876B9" w:rsidRPr="0023643C" w14:paraId="7C6AE3CF"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6E881E22" w14:textId="77777777" w:rsidR="005876B9" w:rsidRPr="0023643C" w:rsidRDefault="005876B9" w:rsidP="009F0212">
            <w:pPr>
              <w:pStyle w:val="TableText"/>
              <w:spacing w:before="20" w:after="20"/>
              <w:ind w:left="270"/>
            </w:pPr>
            <w:r w:rsidRPr="0023643C">
              <w:t>Vaginal receptive</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76F8FC27" w14:textId="1707C8A7" w:rsidR="005876B9" w:rsidRPr="002C3139" w:rsidRDefault="00044BA9" w:rsidP="009F0212">
            <w:pPr>
              <w:pStyle w:val="TableTextDec"/>
              <w:tabs>
                <w:tab w:val="clear" w:pos="1015"/>
              </w:tabs>
              <w:spacing w:before="20" w:after="20"/>
              <w:jc w:val="center"/>
            </w:pPr>
            <w:r w:rsidRPr="002C3139">
              <w:t>0.00054</w:t>
            </w:r>
          </w:p>
        </w:tc>
        <w:tc>
          <w:tcPr>
            <w:tcW w:w="5666" w:type="dxa"/>
            <w:vMerge/>
            <w:shd w:val="clear" w:color="auto" w:fill="auto"/>
            <w:noWrap/>
          </w:tcPr>
          <w:p w14:paraId="48EE6379" w14:textId="59406C0E" w:rsidR="005876B9" w:rsidRPr="0023643C" w:rsidRDefault="005876B9" w:rsidP="009F0212">
            <w:pPr>
              <w:pStyle w:val="TableText"/>
              <w:spacing w:before="20" w:after="20"/>
            </w:pPr>
          </w:p>
        </w:tc>
      </w:tr>
      <w:tr w:rsidR="005876B9" w:rsidRPr="0023643C" w14:paraId="49B92D60"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2BB267A6" w14:textId="77777777" w:rsidR="005876B9" w:rsidRPr="0023643C" w:rsidRDefault="005876B9" w:rsidP="009F0212">
            <w:pPr>
              <w:pStyle w:val="TableText"/>
              <w:spacing w:before="20" w:after="20"/>
              <w:ind w:left="270"/>
            </w:pPr>
            <w:r w:rsidRPr="0023643C">
              <w:t xml:space="preserve">Anal </w:t>
            </w:r>
            <w:proofErr w:type="spellStart"/>
            <w:r w:rsidRPr="0023643C">
              <w:t>insertive</w:t>
            </w:r>
            <w:proofErr w:type="spellEnd"/>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763F110F" w14:textId="64690320" w:rsidR="005876B9" w:rsidRPr="002C3139" w:rsidRDefault="00044BA9" w:rsidP="009F0212">
            <w:pPr>
              <w:pStyle w:val="TableTextDec"/>
              <w:tabs>
                <w:tab w:val="clear" w:pos="1015"/>
              </w:tabs>
              <w:spacing w:before="20" w:after="20"/>
              <w:jc w:val="center"/>
            </w:pPr>
            <w:r w:rsidRPr="002C3139">
              <w:t>0.00065</w:t>
            </w:r>
          </w:p>
        </w:tc>
        <w:tc>
          <w:tcPr>
            <w:tcW w:w="5666" w:type="dxa"/>
            <w:vMerge/>
            <w:shd w:val="clear" w:color="auto" w:fill="auto"/>
            <w:noWrap/>
          </w:tcPr>
          <w:p w14:paraId="6C7E70C5" w14:textId="195A817F" w:rsidR="005876B9" w:rsidRPr="0023643C" w:rsidRDefault="005876B9" w:rsidP="009F0212">
            <w:pPr>
              <w:pStyle w:val="TableText"/>
              <w:spacing w:before="20" w:after="20"/>
            </w:pPr>
          </w:p>
        </w:tc>
      </w:tr>
      <w:tr w:rsidR="005876B9" w:rsidRPr="0023643C" w14:paraId="05398E69"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600EA6CC" w14:textId="77777777" w:rsidR="005876B9" w:rsidRPr="0023643C" w:rsidRDefault="005876B9" w:rsidP="009F0212">
            <w:pPr>
              <w:pStyle w:val="TableText"/>
              <w:spacing w:before="20" w:after="20"/>
              <w:ind w:left="270"/>
            </w:pPr>
            <w:r w:rsidRPr="0023643C">
              <w:t>Anal receptive</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2D21C1AB" w14:textId="4EE137A4" w:rsidR="005876B9" w:rsidRPr="002C3139" w:rsidRDefault="00044BA9" w:rsidP="009F0212">
            <w:pPr>
              <w:pStyle w:val="TableTextDec"/>
              <w:tabs>
                <w:tab w:val="clear" w:pos="1015"/>
              </w:tabs>
              <w:spacing w:before="20" w:after="20"/>
              <w:jc w:val="center"/>
            </w:pPr>
            <w:r w:rsidRPr="002C3139">
              <w:t>0.01314</w:t>
            </w:r>
          </w:p>
        </w:tc>
        <w:tc>
          <w:tcPr>
            <w:tcW w:w="5666" w:type="dxa"/>
            <w:vMerge/>
            <w:tcBorders>
              <w:bottom w:val="single" w:sz="6" w:space="0" w:color="808080" w:themeColor="background1" w:themeShade="80"/>
            </w:tcBorders>
            <w:shd w:val="clear" w:color="auto" w:fill="auto"/>
            <w:noWrap/>
          </w:tcPr>
          <w:p w14:paraId="030F83A2" w14:textId="5746D3D1" w:rsidR="005876B9" w:rsidRPr="0023643C" w:rsidRDefault="005876B9" w:rsidP="009F0212">
            <w:pPr>
              <w:pStyle w:val="TableText"/>
              <w:spacing w:before="20" w:after="20"/>
            </w:pPr>
          </w:p>
        </w:tc>
      </w:tr>
      <w:tr w:rsidR="00547194" w:rsidRPr="0023643C" w14:paraId="3544A116" w14:textId="77777777" w:rsidTr="00024B80">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tcPr>
          <w:p w14:paraId="0C18FA3D" w14:textId="5E6824FA" w:rsidR="00547194" w:rsidRPr="0023643C" w:rsidRDefault="00547194" w:rsidP="009F0212">
            <w:pPr>
              <w:pStyle w:val="TableText"/>
              <w:spacing w:before="20" w:after="20"/>
            </w:pPr>
            <w:r w:rsidRPr="0023643C">
              <w:t>Relative risk of transmission</w:t>
            </w:r>
            <w:r w:rsidR="00317D06" w:rsidRPr="0023643C">
              <w:t xml:space="preserve"> per </w:t>
            </w:r>
            <w:r w:rsidR="00782B9B" w:rsidRPr="0023643C">
              <w:t>sex act</w:t>
            </w:r>
            <w:r w:rsidRPr="0023643C">
              <w:t xml:space="preserve"> by disease stage</w:t>
            </w:r>
            <w:r w:rsidR="00DD12A9" w:rsidRPr="0023643C">
              <w:t xml:space="preserve"> (versus overall average transmission probabilities by contact type)</w:t>
            </w:r>
            <w:r w:rsidR="00DE3931" w:rsidRPr="0023643C">
              <w:rPr>
                <w:vertAlign w:val="superscript"/>
              </w:rPr>
              <w:t>a</w:t>
            </w:r>
          </w:p>
        </w:tc>
      </w:tr>
      <w:tr w:rsidR="00547194" w:rsidRPr="0023643C" w14:paraId="44D82C19"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24E496A6" w14:textId="77777777" w:rsidR="00547194" w:rsidRPr="0023643C" w:rsidRDefault="00547194" w:rsidP="009F0212">
            <w:pPr>
              <w:pStyle w:val="TableText"/>
              <w:spacing w:before="20" w:after="20"/>
              <w:ind w:left="270"/>
            </w:pPr>
            <w:r w:rsidRPr="0023643C">
              <w:t>Acute</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70742017" w14:textId="77777777" w:rsidR="00547194" w:rsidRPr="0023643C" w:rsidRDefault="00547194" w:rsidP="009F0212">
            <w:pPr>
              <w:pStyle w:val="TableTextDec"/>
              <w:tabs>
                <w:tab w:val="clear" w:pos="1015"/>
              </w:tabs>
              <w:spacing w:before="20" w:after="20"/>
              <w:jc w:val="center"/>
            </w:pPr>
            <w:r w:rsidRPr="0023643C">
              <w:t>6.8333</w:t>
            </w:r>
          </w:p>
        </w:tc>
        <w:tc>
          <w:tcPr>
            <w:tcW w:w="5666" w:type="dxa"/>
            <w:vMerge w:val="restart"/>
            <w:tcBorders>
              <w:top w:val="single" w:sz="6" w:space="0" w:color="808080" w:themeColor="background1" w:themeShade="80"/>
              <w:bottom w:val="single" w:sz="6" w:space="0" w:color="808080" w:themeColor="background1" w:themeShade="80"/>
            </w:tcBorders>
            <w:shd w:val="clear" w:color="auto" w:fill="auto"/>
            <w:noWrap/>
          </w:tcPr>
          <w:p w14:paraId="31FFFEA1" w14:textId="4F168F5E" w:rsidR="00547194" w:rsidRPr="0023643C" w:rsidRDefault="00547194" w:rsidP="009F0212">
            <w:pPr>
              <w:pStyle w:val="TableText"/>
              <w:spacing w:before="20" w:after="20"/>
            </w:pPr>
            <w:proofErr w:type="spellStart"/>
            <w:r w:rsidRPr="0023643C">
              <w:t>Wawer</w:t>
            </w:r>
            <w:proofErr w:type="spellEnd"/>
            <w:r w:rsidRPr="0023643C">
              <w:t xml:space="preserve"> et al. (2005) </w:t>
            </w:r>
          </w:p>
        </w:tc>
      </w:tr>
      <w:tr w:rsidR="00547194" w:rsidRPr="0023643C" w14:paraId="6D9F79A5"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34208B1B" w14:textId="77777777" w:rsidR="00547194" w:rsidRPr="0023643C" w:rsidRDefault="00547194" w:rsidP="009F0212">
            <w:pPr>
              <w:pStyle w:val="TableText"/>
              <w:spacing w:before="20" w:after="20"/>
              <w:ind w:left="270"/>
            </w:pPr>
            <w:r w:rsidRPr="0023643C">
              <w:t>CD4 &gt; 500</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5F856459" w14:textId="77777777" w:rsidR="00547194" w:rsidRPr="0023643C" w:rsidRDefault="00547194" w:rsidP="009F0212">
            <w:pPr>
              <w:pStyle w:val="TableTextDec"/>
              <w:tabs>
                <w:tab w:val="clear" w:pos="1015"/>
              </w:tabs>
              <w:spacing w:before="20" w:after="20"/>
              <w:jc w:val="center"/>
            </w:pPr>
            <w:r w:rsidRPr="0023643C">
              <w:t>0.5833</w:t>
            </w:r>
          </w:p>
        </w:tc>
        <w:tc>
          <w:tcPr>
            <w:tcW w:w="5666" w:type="dxa"/>
            <w:vMerge/>
            <w:tcBorders>
              <w:top w:val="single" w:sz="6" w:space="0" w:color="808080" w:themeColor="background1" w:themeShade="80"/>
              <w:bottom w:val="single" w:sz="6" w:space="0" w:color="808080" w:themeColor="background1" w:themeShade="80"/>
            </w:tcBorders>
            <w:shd w:val="clear" w:color="auto" w:fill="auto"/>
            <w:noWrap/>
          </w:tcPr>
          <w:p w14:paraId="1B67867F" w14:textId="77777777" w:rsidR="00547194" w:rsidRPr="0023643C" w:rsidRDefault="00547194" w:rsidP="009F0212">
            <w:pPr>
              <w:pStyle w:val="Tabletext0"/>
              <w:spacing w:before="20" w:after="20"/>
            </w:pPr>
          </w:p>
        </w:tc>
      </w:tr>
      <w:tr w:rsidR="00547194" w:rsidRPr="0023643C" w14:paraId="078BBBD8"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1A0AA209" w14:textId="77777777" w:rsidR="00547194" w:rsidRPr="0023643C" w:rsidRDefault="00547194" w:rsidP="009F0212">
            <w:pPr>
              <w:pStyle w:val="TableText"/>
              <w:spacing w:before="20" w:after="20"/>
              <w:ind w:left="270"/>
            </w:pPr>
            <w:r w:rsidRPr="0023643C">
              <w:t>CD4 350–500</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24F6E6BF" w14:textId="77777777" w:rsidR="00547194" w:rsidRPr="0023643C" w:rsidRDefault="00547194" w:rsidP="009F0212">
            <w:pPr>
              <w:pStyle w:val="TableTextDec"/>
              <w:tabs>
                <w:tab w:val="clear" w:pos="1015"/>
              </w:tabs>
              <w:spacing w:before="20" w:after="20"/>
              <w:jc w:val="center"/>
            </w:pPr>
            <w:r w:rsidRPr="0023643C">
              <w:t>0.5833</w:t>
            </w:r>
          </w:p>
        </w:tc>
        <w:tc>
          <w:tcPr>
            <w:tcW w:w="5666" w:type="dxa"/>
            <w:vMerge/>
            <w:tcBorders>
              <w:top w:val="single" w:sz="6" w:space="0" w:color="808080" w:themeColor="background1" w:themeShade="80"/>
              <w:bottom w:val="single" w:sz="6" w:space="0" w:color="808080" w:themeColor="background1" w:themeShade="80"/>
            </w:tcBorders>
            <w:shd w:val="clear" w:color="auto" w:fill="auto"/>
            <w:noWrap/>
          </w:tcPr>
          <w:p w14:paraId="2EFEFF0F" w14:textId="77777777" w:rsidR="00547194" w:rsidRPr="0023643C" w:rsidRDefault="00547194" w:rsidP="009F0212">
            <w:pPr>
              <w:pStyle w:val="Tabletext0"/>
              <w:spacing w:before="20" w:after="20"/>
            </w:pPr>
          </w:p>
        </w:tc>
      </w:tr>
      <w:tr w:rsidR="00547194" w:rsidRPr="0023643C" w14:paraId="78A5C0E5"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16B1F555" w14:textId="77777777" w:rsidR="00547194" w:rsidRPr="0023643C" w:rsidRDefault="00547194" w:rsidP="009F0212">
            <w:pPr>
              <w:pStyle w:val="TableText"/>
              <w:spacing w:before="20" w:after="20"/>
              <w:ind w:left="270"/>
            </w:pPr>
            <w:r w:rsidRPr="0023643C">
              <w:t>CD4 200–350</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441D89A2" w14:textId="77777777" w:rsidR="00547194" w:rsidRPr="0023643C" w:rsidRDefault="00547194" w:rsidP="009F0212">
            <w:pPr>
              <w:pStyle w:val="TableTextDec"/>
              <w:tabs>
                <w:tab w:val="clear" w:pos="1015"/>
              </w:tabs>
              <w:spacing w:before="20" w:after="20"/>
              <w:jc w:val="center"/>
            </w:pPr>
            <w:r w:rsidRPr="0023643C">
              <w:t>1.1667</w:t>
            </w:r>
          </w:p>
        </w:tc>
        <w:tc>
          <w:tcPr>
            <w:tcW w:w="5666" w:type="dxa"/>
            <w:vMerge/>
            <w:tcBorders>
              <w:top w:val="single" w:sz="6" w:space="0" w:color="808080" w:themeColor="background1" w:themeShade="80"/>
              <w:bottom w:val="single" w:sz="6" w:space="0" w:color="808080" w:themeColor="background1" w:themeShade="80"/>
            </w:tcBorders>
            <w:shd w:val="clear" w:color="auto" w:fill="auto"/>
            <w:noWrap/>
          </w:tcPr>
          <w:p w14:paraId="3C35D7D4" w14:textId="77777777" w:rsidR="00547194" w:rsidRPr="0023643C" w:rsidRDefault="00547194" w:rsidP="009F0212">
            <w:pPr>
              <w:pStyle w:val="Tabletext0"/>
              <w:spacing w:before="20" w:after="20"/>
            </w:pPr>
          </w:p>
        </w:tc>
      </w:tr>
      <w:tr w:rsidR="00547194" w:rsidRPr="0023643C" w14:paraId="6D573C2D"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09E60C14" w14:textId="77777777" w:rsidR="00547194" w:rsidRPr="0023643C" w:rsidRDefault="00547194" w:rsidP="009F0212">
            <w:pPr>
              <w:pStyle w:val="TableText"/>
              <w:spacing w:before="20" w:after="20"/>
              <w:ind w:left="270"/>
            </w:pPr>
            <w:r w:rsidRPr="0023643C">
              <w:t>CD4 &lt; 200</w:t>
            </w:r>
            <w:r w:rsidR="00425360" w:rsidRPr="0023643C">
              <w:t xml:space="preserve"> (AIDS)</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596A0A8B" w14:textId="77777777" w:rsidR="00547194" w:rsidRPr="0023643C" w:rsidRDefault="00547194" w:rsidP="009F0212">
            <w:pPr>
              <w:pStyle w:val="TableTextDec"/>
              <w:tabs>
                <w:tab w:val="clear" w:pos="1015"/>
              </w:tabs>
              <w:spacing w:before="20" w:after="20"/>
              <w:jc w:val="center"/>
            </w:pPr>
            <w:r w:rsidRPr="0023643C">
              <w:t>3.5833</w:t>
            </w:r>
          </w:p>
        </w:tc>
        <w:tc>
          <w:tcPr>
            <w:tcW w:w="5666" w:type="dxa"/>
            <w:vMerge/>
            <w:tcBorders>
              <w:top w:val="single" w:sz="6" w:space="0" w:color="808080" w:themeColor="background1" w:themeShade="80"/>
              <w:bottom w:val="single" w:sz="6" w:space="0" w:color="808080" w:themeColor="background1" w:themeShade="80"/>
            </w:tcBorders>
            <w:shd w:val="clear" w:color="auto" w:fill="auto"/>
            <w:noWrap/>
          </w:tcPr>
          <w:p w14:paraId="542367F0" w14:textId="77777777" w:rsidR="00547194" w:rsidRPr="0023643C" w:rsidRDefault="00547194" w:rsidP="009F0212">
            <w:pPr>
              <w:pStyle w:val="Tabletext0"/>
              <w:spacing w:before="20" w:after="20"/>
            </w:pPr>
          </w:p>
        </w:tc>
      </w:tr>
      <w:tr w:rsidR="00426372" w:rsidRPr="0023643C" w14:paraId="5F69AD26" w14:textId="77777777" w:rsidTr="00024B80">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tcPr>
          <w:p w14:paraId="46AC69F5" w14:textId="77777777" w:rsidR="00426372" w:rsidRPr="0023643C" w:rsidRDefault="00426372" w:rsidP="009F0212">
            <w:pPr>
              <w:pStyle w:val="TableText"/>
              <w:spacing w:before="20" w:after="20"/>
            </w:pPr>
            <w:r w:rsidRPr="0023643C">
              <w:t>Base probability of transmission per shared needle</w:t>
            </w:r>
          </w:p>
        </w:tc>
      </w:tr>
      <w:tr w:rsidR="00426372" w:rsidRPr="0023643C" w14:paraId="73ECF51B"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74248024" w14:textId="77777777" w:rsidR="00426372" w:rsidRPr="0023643C" w:rsidRDefault="00426372" w:rsidP="009F0212">
            <w:pPr>
              <w:pStyle w:val="TableText"/>
              <w:spacing w:before="20" w:after="20"/>
              <w:ind w:left="270"/>
            </w:pP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3754D027" w14:textId="252CAC4C" w:rsidR="00426372" w:rsidRPr="0023643C" w:rsidRDefault="00044BA9" w:rsidP="009F0212">
            <w:pPr>
              <w:pStyle w:val="TableTextDec"/>
              <w:tabs>
                <w:tab w:val="clear" w:pos="1015"/>
              </w:tabs>
              <w:spacing w:before="20" w:after="20"/>
              <w:jc w:val="center"/>
            </w:pPr>
            <w:r w:rsidRPr="00044BA9">
              <w:rPr>
                <w:i/>
                <w:iCs/>
              </w:rPr>
              <w:t>0.0020</w:t>
            </w:r>
            <w:r>
              <w:rPr>
                <w:i/>
                <w:iCs/>
              </w:rPr>
              <w:t>4</w:t>
            </w:r>
          </w:p>
        </w:tc>
        <w:tc>
          <w:tcPr>
            <w:tcW w:w="5666" w:type="dxa"/>
            <w:tcBorders>
              <w:top w:val="single" w:sz="6" w:space="0" w:color="808080" w:themeColor="background1" w:themeShade="80"/>
              <w:bottom w:val="single" w:sz="6" w:space="0" w:color="808080" w:themeColor="background1" w:themeShade="80"/>
            </w:tcBorders>
            <w:shd w:val="clear" w:color="auto" w:fill="auto"/>
            <w:noWrap/>
          </w:tcPr>
          <w:p w14:paraId="4BC2315F" w14:textId="7F2CFCED" w:rsidR="00426372" w:rsidRPr="0023643C" w:rsidRDefault="00426372" w:rsidP="00A96AAA">
            <w:pPr>
              <w:pStyle w:val="TableText"/>
              <w:spacing w:before="20" w:after="20"/>
            </w:pPr>
            <w:r w:rsidRPr="0023643C">
              <w:t xml:space="preserve">Determined by calibration within </w:t>
            </w:r>
            <w:r w:rsidR="00134203" w:rsidRPr="0023643C">
              <w:t>95% confidence interval (0.0010–0.0050)</w:t>
            </w:r>
            <w:r w:rsidR="00A96AAA" w:rsidRPr="0023643C">
              <w:t xml:space="preserve"> based on </w:t>
            </w:r>
            <w:proofErr w:type="spellStart"/>
            <w:r w:rsidR="00A96AAA" w:rsidRPr="0023643C">
              <w:t>Zaric</w:t>
            </w:r>
            <w:proofErr w:type="spellEnd"/>
            <w:r w:rsidR="00A96AAA" w:rsidRPr="0023643C">
              <w:t xml:space="preserve"> et al. (2000); Wall et al. (1991), Kaplan and Heimer (1992)</w:t>
            </w:r>
            <w:r w:rsidR="00134203" w:rsidRPr="0023643C">
              <w:t xml:space="preserve"> </w:t>
            </w:r>
          </w:p>
        </w:tc>
      </w:tr>
      <w:tr w:rsidR="007B3390" w:rsidRPr="0023643C" w14:paraId="763F5BF2" w14:textId="77777777" w:rsidTr="00024B80">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24B2B10F" w14:textId="00832C5D" w:rsidR="007B3390" w:rsidRPr="0023643C" w:rsidRDefault="00911B01" w:rsidP="009F0212">
            <w:pPr>
              <w:pStyle w:val="TableText"/>
              <w:spacing w:before="20" w:after="20"/>
            </w:pPr>
            <w:r w:rsidRPr="0023643C">
              <w:t>R</w:t>
            </w:r>
            <w:r w:rsidR="007B3390" w:rsidRPr="0023643C">
              <w:t xml:space="preserve">eduction in HIV transmission per </w:t>
            </w:r>
            <w:r w:rsidR="00782B9B" w:rsidRPr="0023643C">
              <w:t>sex act</w:t>
            </w:r>
            <w:r w:rsidR="007B3390" w:rsidRPr="0023643C">
              <w:t xml:space="preserve"> due to condom use</w:t>
            </w:r>
          </w:p>
        </w:tc>
      </w:tr>
      <w:tr w:rsidR="007B3390" w:rsidRPr="0023643C" w14:paraId="77CD5E0F"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77B74866" w14:textId="62D62B91" w:rsidR="007B3390" w:rsidRPr="0023643C" w:rsidRDefault="007B3390" w:rsidP="009F0212">
            <w:pPr>
              <w:pStyle w:val="TableText"/>
              <w:spacing w:before="20" w:after="20"/>
              <w:ind w:left="270"/>
            </w:pPr>
            <w:r w:rsidRPr="0023643C">
              <w:t xml:space="preserve">MSM </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4D616A10" w14:textId="4D523D1B" w:rsidR="007B3390" w:rsidRPr="0023643C" w:rsidRDefault="00911B01" w:rsidP="009F0212">
            <w:pPr>
              <w:pStyle w:val="TableTextDec"/>
              <w:tabs>
                <w:tab w:val="clear" w:pos="1015"/>
              </w:tabs>
              <w:spacing w:before="20" w:after="20"/>
              <w:jc w:val="center"/>
            </w:pPr>
            <w:r w:rsidRPr="0023643C">
              <w:t>0.</w:t>
            </w:r>
            <w:r w:rsidR="00C55FA1" w:rsidRPr="0023643C">
              <w:t>710</w:t>
            </w:r>
          </w:p>
        </w:tc>
        <w:tc>
          <w:tcPr>
            <w:tcW w:w="5666" w:type="dxa"/>
            <w:tcBorders>
              <w:top w:val="single" w:sz="6" w:space="0" w:color="808080" w:themeColor="background1" w:themeShade="80"/>
              <w:bottom w:val="single" w:sz="6" w:space="0" w:color="808080" w:themeColor="background1" w:themeShade="80"/>
            </w:tcBorders>
            <w:shd w:val="clear" w:color="auto" w:fill="auto"/>
            <w:noWrap/>
          </w:tcPr>
          <w:p w14:paraId="2D2ECF24" w14:textId="32893026" w:rsidR="007B3390" w:rsidRPr="0023643C" w:rsidRDefault="00911B01" w:rsidP="009F0212">
            <w:pPr>
              <w:pStyle w:val="TableText"/>
              <w:spacing w:before="20" w:after="20"/>
            </w:pPr>
            <w:r w:rsidRPr="0023643C">
              <w:t>Smith et al. (2015)</w:t>
            </w:r>
          </w:p>
        </w:tc>
      </w:tr>
      <w:tr w:rsidR="007B3390" w:rsidRPr="0023643C" w14:paraId="657FBF32"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50622490" w14:textId="39EE14C8" w:rsidR="007B3390" w:rsidRPr="0023643C" w:rsidRDefault="007B3390" w:rsidP="009F0212">
            <w:pPr>
              <w:pStyle w:val="TableText"/>
              <w:spacing w:before="20" w:after="20"/>
              <w:ind w:left="270"/>
            </w:pPr>
            <w:r w:rsidRPr="0023643C">
              <w:t>HET</w:t>
            </w:r>
          </w:p>
        </w:tc>
        <w:tc>
          <w:tcPr>
            <w:tcW w:w="1468" w:type="dxa"/>
            <w:tcBorders>
              <w:top w:val="single" w:sz="6" w:space="0" w:color="808080" w:themeColor="background1" w:themeShade="80"/>
              <w:bottom w:val="single" w:sz="6" w:space="0" w:color="808080" w:themeColor="background1" w:themeShade="80"/>
            </w:tcBorders>
            <w:shd w:val="clear" w:color="auto" w:fill="auto"/>
            <w:noWrap/>
          </w:tcPr>
          <w:p w14:paraId="60217EEE" w14:textId="16FCF66B" w:rsidR="007B3390" w:rsidRPr="0023643C" w:rsidRDefault="00911B01" w:rsidP="009F0212">
            <w:pPr>
              <w:pStyle w:val="TableTextDec"/>
              <w:tabs>
                <w:tab w:val="clear" w:pos="1015"/>
              </w:tabs>
              <w:spacing w:before="20" w:after="20"/>
              <w:jc w:val="center"/>
            </w:pPr>
            <w:r w:rsidRPr="0023643C">
              <w:t>0.802</w:t>
            </w:r>
          </w:p>
        </w:tc>
        <w:tc>
          <w:tcPr>
            <w:tcW w:w="5666" w:type="dxa"/>
            <w:tcBorders>
              <w:top w:val="single" w:sz="6" w:space="0" w:color="808080" w:themeColor="background1" w:themeShade="80"/>
              <w:bottom w:val="single" w:sz="6" w:space="0" w:color="808080" w:themeColor="background1" w:themeShade="80"/>
            </w:tcBorders>
            <w:shd w:val="clear" w:color="auto" w:fill="auto"/>
            <w:noWrap/>
          </w:tcPr>
          <w:p w14:paraId="000F4968" w14:textId="4EC90924" w:rsidR="00911B01" w:rsidRPr="0023643C" w:rsidRDefault="00911B01" w:rsidP="009F0212">
            <w:pPr>
              <w:pStyle w:val="TableText"/>
              <w:spacing w:before="20" w:after="20"/>
            </w:pPr>
            <w:r w:rsidRPr="0023643C">
              <w:t xml:space="preserve">Weller </w:t>
            </w:r>
            <w:r w:rsidR="009F0212" w:rsidRPr="0023643C">
              <w:t>&amp;</w:t>
            </w:r>
            <w:r w:rsidRPr="0023643C">
              <w:t xml:space="preserve"> Davis (2002)</w:t>
            </w:r>
          </w:p>
        </w:tc>
      </w:tr>
      <w:tr w:rsidR="00547194" w:rsidRPr="0023643C" w14:paraId="380288B3" w14:textId="77777777" w:rsidTr="00024B80">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648406B7" w14:textId="1A04CBE8" w:rsidR="00547194" w:rsidRPr="0023643C" w:rsidRDefault="00547194" w:rsidP="009F0212">
            <w:pPr>
              <w:pStyle w:val="TableText"/>
              <w:spacing w:before="20" w:after="20"/>
            </w:pPr>
            <w:r w:rsidRPr="0023643C">
              <w:t xml:space="preserve">Reduction in HIV transmission per </w:t>
            </w:r>
            <w:r w:rsidR="00782B9B" w:rsidRPr="0023643C">
              <w:t>sex act</w:t>
            </w:r>
            <w:r w:rsidRPr="0023643C">
              <w:t xml:space="preserve"> if </w:t>
            </w:r>
            <w:r w:rsidR="005F5C70" w:rsidRPr="0023643C">
              <w:t>HIV-uninfected</w:t>
            </w:r>
            <w:r w:rsidRPr="0023643C">
              <w:t xml:space="preserve"> partner is circumcised vs. uncircumcised</w:t>
            </w:r>
          </w:p>
        </w:tc>
      </w:tr>
      <w:tr w:rsidR="00547194" w:rsidRPr="0023643C" w14:paraId="45471803"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54431C49" w14:textId="77777777" w:rsidR="00547194" w:rsidRPr="0023643C" w:rsidRDefault="002B6861" w:rsidP="009F0212">
            <w:pPr>
              <w:pStyle w:val="TableText"/>
              <w:spacing w:before="20" w:after="20"/>
              <w:ind w:left="270"/>
            </w:pPr>
            <w:r w:rsidRPr="0023643C">
              <w:t xml:space="preserve">Vaginal </w:t>
            </w:r>
            <w:proofErr w:type="spellStart"/>
            <w:r w:rsidRPr="0023643C">
              <w:t>insertive</w:t>
            </w:r>
            <w:proofErr w:type="spellEnd"/>
          </w:p>
        </w:tc>
        <w:tc>
          <w:tcPr>
            <w:tcW w:w="1468" w:type="dxa"/>
            <w:tcBorders>
              <w:top w:val="single" w:sz="6" w:space="0" w:color="808080" w:themeColor="background1" w:themeShade="80"/>
              <w:bottom w:val="single" w:sz="6" w:space="0" w:color="808080" w:themeColor="background1" w:themeShade="80"/>
            </w:tcBorders>
            <w:shd w:val="clear" w:color="auto" w:fill="auto"/>
            <w:noWrap/>
            <w:hideMark/>
          </w:tcPr>
          <w:p w14:paraId="2DA0ED85" w14:textId="77777777" w:rsidR="00547194" w:rsidRPr="0023643C" w:rsidRDefault="00C432B3" w:rsidP="009F0212">
            <w:pPr>
              <w:pStyle w:val="TableTextDec"/>
              <w:tabs>
                <w:tab w:val="clear" w:pos="1015"/>
              </w:tabs>
              <w:spacing w:before="20" w:after="20"/>
              <w:jc w:val="center"/>
            </w:pPr>
            <w:r w:rsidRPr="0023643C">
              <w:t>0.</w:t>
            </w:r>
            <w:r w:rsidR="00547194" w:rsidRPr="0023643C">
              <w:t>54</w:t>
            </w:r>
          </w:p>
        </w:tc>
        <w:tc>
          <w:tcPr>
            <w:tcW w:w="5666" w:type="dxa"/>
            <w:tcBorders>
              <w:top w:val="single" w:sz="6" w:space="0" w:color="808080" w:themeColor="background1" w:themeShade="80"/>
              <w:bottom w:val="single" w:sz="6" w:space="0" w:color="808080" w:themeColor="background1" w:themeShade="80"/>
            </w:tcBorders>
            <w:shd w:val="clear" w:color="auto" w:fill="auto"/>
            <w:noWrap/>
            <w:hideMark/>
          </w:tcPr>
          <w:p w14:paraId="11C4C85B" w14:textId="77777777" w:rsidR="00547194" w:rsidRPr="0023643C" w:rsidRDefault="00547194" w:rsidP="009F0212">
            <w:pPr>
              <w:pStyle w:val="TableText"/>
              <w:spacing w:before="20" w:after="20"/>
            </w:pPr>
            <w:r w:rsidRPr="0023643C">
              <w:t>Siegfried et al. (2009)</w:t>
            </w:r>
          </w:p>
        </w:tc>
      </w:tr>
      <w:tr w:rsidR="002B6861" w:rsidRPr="0023643C" w14:paraId="7AF14500"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5370F378" w14:textId="77777777" w:rsidR="002B6861" w:rsidRPr="0023643C" w:rsidRDefault="002B6861" w:rsidP="009F0212">
            <w:pPr>
              <w:pStyle w:val="TableText"/>
              <w:spacing w:before="20" w:after="20"/>
              <w:ind w:left="270"/>
            </w:pPr>
            <w:r w:rsidRPr="0023643C">
              <w:t xml:space="preserve">Male-male anal </w:t>
            </w:r>
            <w:proofErr w:type="spellStart"/>
            <w:r w:rsidRPr="0023643C">
              <w:t>insertive</w:t>
            </w:r>
            <w:proofErr w:type="spellEnd"/>
          </w:p>
        </w:tc>
        <w:tc>
          <w:tcPr>
            <w:tcW w:w="1468" w:type="dxa"/>
            <w:tcBorders>
              <w:top w:val="single" w:sz="6" w:space="0" w:color="808080" w:themeColor="background1" w:themeShade="80"/>
              <w:bottom w:val="single" w:sz="6" w:space="0" w:color="808080" w:themeColor="background1" w:themeShade="80"/>
            </w:tcBorders>
            <w:shd w:val="clear" w:color="auto" w:fill="auto"/>
            <w:noWrap/>
            <w:hideMark/>
          </w:tcPr>
          <w:p w14:paraId="2F392E44" w14:textId="77777777" w:rsidR="002B6861" w:rsidRPr="0023643C" w:rsidRDefault="002B6861" w:rsidP="009F0212">
            <w:pPr>
              <w:pStyle w:val="TableTextDec"/>
              <w:tabs>
                <w:tab w:val="clear" w:pos="1015"/>
              </w:tabs>
              <w:spacing w:before="20" w:after="20"/>
              <w:jc w:val="center"/>
            </w:pPr>
            <w:r w:rsidRPr="0023643C">
              <w:t>0.00</w:t>
            </w:r>
          </w:p>
        </w:tc>
        <w:tc>
          <w:tcPr>
            <w:tcW w:w="5666" w:type="dxa"/>
            <w:tcBorders>
              <w:top w:val="single" w:sz="6" w:space="0" w:color="808080" w:themeColor="background1" w:themeShade="80"/>
              <w:bottom w:val="single" w:sz="6" w:space="0" w:color="808080" w:themeColor="background1" w:themeShade="80"/>
            </w:tcBorders>
            <w:shd w:val="clear" w:color="auto" w:fill="auto"/>
            <w:noWrap/>
            <w:hideMark/>
          </w:tcPr>
          <w:p w14:paraId="3FB0C138" w14:textId="77777777" w:rsidR="002B6861" w:rsidRPr="0023643C" w:rsidRDefault="002B6861" w:rsidP="009F0212">
            <w:pPr>
              <w:pStyle w:val="TableText"/>
              <w:spacing w:before="20" w:after="20"/>
            </w:pPr>
            <w:r w:rsidRPr="0023643C">
              <w:t>Assumption due to lack of evidence otherwise.</w:t>
            </w:r>
          </w:p>
        </w:tc>
      </w:tr>
      <w:tr w:rsidR="002B6861" w:rsidRPr="0023643C" w14:paraId="330377C7"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tcPr>
          <w:p w14:paraId="14F11208" w14:textId="77777777" w:rsidR="002B6861" w:rsidRPr="0023643C" w:rsidRDefault="002B6861" w:rsidP="009F0212">
            <w:pPr>
              <w:pStyle w:val="TableText"/>
              <w:spacing w:before="20" w:after="20"/>
              <w:ind w:left="270"/>
            </w:pPr>
            <w:r w:rsidRPr="0023643C">
              <w:t xml:space="preserve">Male-female anal </w:t>
            </w:r>
            <w:proofErr w:type="spellStart"/>
            <w:r w:rsidRPr="0023643C">
              <w:t>insertive</w:t>
            </w:r>
            <w:proofErr w:type="spellEnd"/>
          </w:p>
        </w:tc>
        <w:tc>
          <w:tcPr>
            <w:tcW w:w="1468" w:type="dxa"/>
            <w:tcBorders>
              <w:top w:val="single" w:sz="6" w:space="0" w:color="808080" w:themeColor="background1" w:themeShade="80"/>
              <w:bottom w:val="single" w:sz="6" w:space="0" w:color="808080" w:themeColor="background1" w:themeShade="80"/>
            </w:tcBorders>
            <w:shd w:val="clear" w:color="auto" w:fill="auto"/>
            <w:noWrap/>
            <w:hideMark/>
          </w:tcPr>
          <w:p w14:paraId="7F4D6849" w14:textId="77777777" w:rsidR="002B6861" w:rsidRPr="0023643C" w:rsidRDefault="002B6861" w:rsidP="009F0212">
            <w:pPr>
              <w:pStyle w:val="TableTextDec"/>
              <w:tabs>
                <w:tab w:val="clear" w:pos="1015"/>
              </w:tabs>
              <w:spacing w:before="20" w:after="20"/>
              <w:jc w:val="center"/>
            </w:pPr>
            <w:r w:rsidRPr="0023643C">
              <w:t>0.00</w:t>
            </w:r>
          </w:p>
        </w:tc>
        <w:tc>
          <w:tcPr>
            <w:tcW w:w="5666" w:type="dxa"/>
            <w:tcBorders>
              <w:top w:val="single" w:sz="6" w:space="0" w:color="808080" w:themeColor="background1" w:themeShade="80"/>
              <w:bottom w:val="single" w:sz="6" w:space="0" w:color="808080" w:themeColor="background1" w:themeShade="80"/>
            </w:tcBorders>
            <w:shd w:val="clear" w:color="auto" w:fill="auto"/>
            <w:noWrap/>
            <w:hideMark/>
          </w:tcPr>
          <w:p w14:paraId="57A6BF3D" w14:textId="77777777" w:rsidR="002B6861" w:rsidRPr="0023643C" w:rsidRDefault="002B6861" w:rsidP="009F0212">
            <w:pPr>
              <w:pStyle w:val="TableText"/>
              <w:spacing w:before="20" w:after="20"/>
            </w:pPr>
            <w:r w:rsidRPr="0023643C">
              <w:t>Assumption due to lack of evidence otherwise.</w:t>
            </w:r>
          </w:p>
        </w:tc>
      </w:tr>
      <w:tr w:rsidR="00547194" w:rsidRPr="0023643C" w14:paraId="34B674A3" w14:textId="77777777" w:rsidTr="00024B80">
        <w:trPr>
          <w:cantSplit/>
        </w:trPr>
        <w:tc>
          <w:tcPr>
            <w:tcW w:w="9360"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2716E75C" w14:textId="03740D65" w:rsidR="00547194" w:rsidRPr="0023643C" w:rsidRDefault="00547194" w:rsidP="009F0212">
            <w:pPr>
              <w:pStyle w:val="TableText"/>
              <w:spacing w:before="20" w:after="20"/>
            </w:pPr>
            <w:r w:rsidRPr="0023643C">
              <w:t xml:space="preserve">Reduction in HIV transmission per act if </w:t>
            </w:r>
            <w:r w:rsidR="00695572" w:rsidRPr="0023643C">
              <w:t xml:space="preserve">partner is </w:t>
            </w:r>
            <w:r w:rsidR="00426372" w:rsidRPr="0023643C">
              <w:t>VLS vs. not VLS</w:t>
            </w:r>
          </w:p>
        </w:tc>
      </w:tr>
      <w:tr w:rsidR="00547194" w:rsidRPr="0023643C" w14:paraId="739BB033" w14:textId="77777777" w:rsidTr="00024B80">
        <w:trPr>
          <w:cantSplit/>
        </w:trPr>
        <w:tc>
          <w:tcPr>
            <w:tcW w:w="2226" w:type="dxa"/>
            <w:tcBorders>
              <w:top w:val="single" w:sz="6" w:space="0" w:color="808080" w:themeColor="background1" w:themeShade="80"/>
              <w:bottom w:val="single" w:sz="6" w:space="0" w:color="808080" w:themeColor="background1" w:themeShade="80"/>
            </w:tcBorders>
            <w:shd w:val="clear" w:color="auto" w:fill="auto"/>
            <w:noWrap/>
            <w:hideMark/>
          </w:tcPr>
          <w:p w14:paraId="56A55E3D" w14:textId="3DCDE12D" w:rsidR="00547194" w:rsidRPr="0023643C" w:rsidRDefault="00DB6E5A" w:rsidP="009F0212">
            <w:pPr>
              <w:pStyle w:val="TableText"/>
              <w:spacing w:before="20" w:after="20"/>
              <w:ind w:left="270"/>
            </w:pPr>
            <w:r w:rsidRPr="0023643C">
              <w:t>Shared needle</w:t>
            </w:r>
          </w:p>
        </w:tc>
        <w:tc>
          <w:tcPr>
            <w:tcW w:w="1468" w:type="dxa"/>
            <w:tcBorders>
              <w:top w:val="single" w:sz="6" w:space="0" w:color="808080" w:themeColor="background1" w:themeShade="80"/>
              <w:bottom w:val="single" w:sz="6" w:space="0" w:color="808080" w:themeColor="background1" w:themeShade="80"/>
            </w:tcBorders>
            <w:shd w:val="clear" w:color="auto" w:fill="auto"/>
            <w:noWrap/>
            <w:hideMark/>
          </w:tcPr>
          <w:p w14:paraId="211D3FE0" w14:textId="76898D2E" w:rsidR="00547194" w:rsidRPr="0023643C" w:rsidRDefault="00044BA9" w:rsidP="009F0212">
            <w:pPr>
              <w:pStyle w:val="TableTextDec"/>
              <w:tabs>
                <w:tab w:val="clear" w:pos="1015"/>
              </w:tabs>
              <w:spacing w:before="20" w:after="20"/>
              <w:jc w:val="center"/>
              <w:rPr>
                <w:i/>
                <w:iCs/>
              </w:rPr>
            </w:pPr>
            <w:r>
              <w:rPr>
                <w:i/>
                <w:iCs/>
              </w:rPr>
              <w:t>0.</w:t>
            </w:r>
            <w:r w:rsidRPr="00044BA9">
              <w:rPr>
                <w:i/>
                <w:iCs/>
              </w:rPr>
              <w:t>74</w:t>
            </w:r>
          </w:p>
        </w:tc>
        <w:tc>
          <w:tcPr>
            <w:tcW w:w="5666" w:type="dxa"/>
            <w:tcBorders>
              <w:top w:val="single" w:sz="6" w:space="0" w:color="808080" w:themeColor="background1" w:themeShade="80"/>
              <w:bottom w:val="single" w:sz="6" w:space="0" w:color="808080" w:themeColor="background1" w:themeShade="80"/>
            </w:tcBorders>
            <w:shd w:val="clear" w:color="auto" w:fill="auto"/>
            <w:noWrap/>
            <w:hideMark/>
          </w:tcPr>
          <w:p w14:paraId="7A28358F" w14:textId="77777777" w:rsidR="00547194" w:rsidRPr="0023643C" w:rsidRDefault="00426372" w:rsidP="009F0212">
            <w:pPr>
              <w:pStyle w:val="TableText"/>
              <w:spacing w:before="20" w:after="20"/>
            </w:pPr>
            <w:r w:rsidRPr="0023643C">
              <w:t>Determined by calibration.</w:t>
            </w:r>
          </w:p>
        </w:tc>
      </w:tr>
      <w:tr w:rsidR="00547194" w:rsidRPr="00C00335" w14:paraId="14A57FCD" w14:textId="77777777" w:rsidTr="00024B80">
        <w:trPr>
          <w:cantSplit/>
        </w:trPr>
        <w:tc>
          <w:tcPr>
            <w:tcW w:w="2226" w:type="dxa"/>
            <w:tcBorders>
              <w:top w:val="single" w:sz="6" w:space="0" w:color="808080" w:themeColor="background1" w:themeShade="80"/>
              <w:bottom w:val="single" w:sz="12" w:space="0" w:color="auto"/>
            </w:tcBorders>
            <w:shd w:val="clear" w:color="auto" w:fill="auto"/>
            <w:noWrap/>
            <w:hideMark/>
          </w:tcPr>
          <w:p w14:paraId="36C37B1B" w14:textId="39B9E02E" w:rsidR="00547194" w:rsidRPr="0023643C" w:rsidRDefault="00547194" w:rsidP="009F0212">
            <w:pPr>
              <w:pStyle w:val="TableText"/>
              <w:spacing w:before="20" w:after="20"/>
              <w:ind w:left="270"/>
            </w:pPr>
            <w:r w:rsidRPr="0023643C">
              <w:t>Sex</w:t>
            </w:r>
            <w:r w:rsidR="00DB6E5A" w:rsidRPr="0023643C">
              <w:t xml:space="preserve"> act</w:t>
            </w:r>
          </w:p>
        </w:tc>
        <w:tc>
          <w:tcPr>
            <w:tcW w:w="1468" w:type="dxa"/>
            <w:tcBorders>
              <w:top w:val="single" w:sz="6" w:space="0" w:color="808080" w:themeColor="background1" w:themeShade="80"/>
              <w:bottom w:val="single" w:sz="12" w:space="0" w:color="auto"/>
            </w:tcBorders>
            <w:shd w:val="clear" w:color="auto" w:fill="auto"/>
            <w:noWrap/>
            <w:hideMark/>
          </w:tcPr>
          <w:p w14:paraId="045687EA" w14:textId="66FF1012" w:rsidR="00547194" w:rsidRPr="00E832D1" w:rsidRDefault="00547194" w:rsidP="009F0212">
            <w:pPr>
              <w:pStyle w:val="TableTextDec"/>
              <w:tabs>
                <w:tab w:val="clear" w:pos="1015"/>
              </w:tabs>
              <w:spacing w:before="20" w:after="20"/>
              <w:jc w:val="center"/>
            </w:pPr>
            <w:r w:rsidRPr="00E832D1">
              <w:t>0.9</w:t>
            </w:r>
            <w:r w:rsidR="00B57F8B" w:rsidRPr="00E832D1">
              <w:t>9</w:t>
            </w:r>
          </w:p>
        </w:tc>
        <w:tc>
          <w:tcPr>
            <w:tcW w:w="5666" w:type="dxa"/>
            <w:tcBorders>
              <w:top w:val="single" w:sz="6" w:space="0" w:color="808080" w:themeColor="background1" w:themeShade="80"/>
              <w:bottom w:val="single" w:sz="12" w:space="0" w:color="auto"/>
            </w:tcBorders>
            <w:shd w:val="clear" w:color="auto" w:fill="auto"/>
            <w:noWrap/>
            <w:hideMark/>
          </w:tcPr>
          <w:p w14:paraId="06A8CBF7" w14:textId="68236918" w:rsidR="00547194" w:rsidRPr="00E832D1" w:rsidRDefault="009B7808" w:rsidP="009F0212">
            <w:pPr>
              <w:pStyle w:val="TableText"/>
              <w:spacing w:before="20" w:after="20"/>
            </w:pPr>
            <w:r w:rsidRPr="00E832D1">
              <w:t>Bavinton et al. (2018); Cohen et al. (2016); Rodger et al. (2016); Rodger et al. (2018)</w:t>
            </w:r>
          </w:p>
        </w:tc>
      </w:tr>
    </w:tbl>
    <w:p w14:paraId="2C249060" w14:textId="5999D64C" w:rsidR="00317D06" w:rsidRPr="00C00335" w:rsidRDefault="00547194" w:rsidP="00181BDA">
      <w:pPr>
        <w:pStyle w:val="Source2"/>
      </w:pPr>
      <w:r w:rsidRPr="00C00335">
        <w:t>Note: ART</w:t>
      </w:r>
      <w:r w:rsidR="00E628BE" w:rsidRPr="00C00335">
        <w:t> = </w:t>
      </w:r>
      <w:r w:rsidRPr="00C00335">
        <w:t xml:space="preserve">antiretroviral therapy; </w:t>
      </w:r>
      <w:r w:rsidR="00911B01" w:rsidRPr="00C00335">
        <w:t xml:space="preserve">HET = heterosexual; </w:t>
      </w:r>
      <w:r w:rsidRPr="00C00335">
        <w:t>HIV</w:t>
      </w:r>
      <w:r w:rsidR="00E628BE" w:rsidRPr="00C00335">
        <w:t> = </w:t>
      </w:r>
      <w:r w:rsidRPr="00C00335">
        <w:t>human immunodeficiency virus</w:t>
      </w:r>
      <w:r w:rsidR="00426372" w:rsidRPr="00C00335">
        <w:t xml:space="preserve">; </w:t>
      </w:r>
      <w:r w:rsidR="00911B01" w:rsidRPr="00C00335">
        <w:t xml:space="preserve">MSM = men who have sex with men; </w:t>
      </w:r>
      <w:r w:rsidR="00426372" w:rsidRPr="00C00335">
        <w:t>VLS</w:t>
      </w:r>
      <w:r w:rsidR="00E628BE" w:rsidRPr="00C00335">
        <w:t> = </w:t>
      </w:r>
      <w:r w:rsidR="00426372" w:rsidRPr="00C00335">
        <w:t xml:space="preserve">viral load </w:t>
      </w:r>
      <w:r w:rsidR="00116715" w:rsidRPr="00C00335">
        <w:t>suppressed</w:t>
      </w:r>
    </w:p>
    <w:p w14:paraId="11C36F7F" w14:textId="7B1C0230" w:rsidR="00317D06" w:rsidRPr="00C00335" w:rsidRDefault="00317D06" w:rsidP="00DF1AFE">
      <w:pPr>
        <w:pStyle w:val="Source3"/>
      </w:pPr>
      <w:proofErr w:type="spellStart"/>
      <w:r w:rsidRPr="00C00335">
        <w:rPr>
          <w:vertAlign w:val="superscript"/>
        </w:rPr>
        <w:t>a</w:t>
      </w:r>
      <w:proofErr w:type="spellEnd"/>
      <w:r w:rsidRPr="00C00335">
        <w:rPr>
          <w:vertAlign w:val="superscript"/>
        </w:rPr>
        <w:t xml:space="preserve"> </w:t>
      </w:r>
      <w:r w:rsidRPr="00C00335">
        <w:t>Early infection, the time after acute infection but before viral set point</w:t>
      </w:r>
      <w:r w:rsidR="001C0009" w:rsidRPr="00C00335">
        <w:t>,</w:t>
      </w:r>
      <w:r w:rsidRPr="00C00335">
        <w:t xml:space="preserve"> when transmission risk per </w:t>
      </w:r>
      <w:r w:rsidR="00DB6E5A" w:rsidRPr="00C00335">
        <w:t>sex act or shared needle</w:t>
      </w:r>
      <w:r w:rsidRPr="00C00335">
        <w:t xml:space="preserve"> is elevated and testing is less sensitive</w:t>
      </w:r>
      <w:r w:rsidR="00134203" w:rsidRPr="00C00335">
        <w:t>,</w:t>
      </w:r>
      <w:r w:rsidRPr="00C00335">
        <w:t xml:space="preserve"> is not accounted for in the model.</w:t>
      </w:r>
    </w:p>
    <w:p w14:paraId="11990C98" w14:textId="5CFB7722" w:rsidR="00B41A9A" w:rsidRPr="00C00335" w:rsidRDefault="004F4E6D" w:rsidP="00260D8A">
      <w:pPr>
        <w:pStyle w:val="TableTitle"/>
        <w:ind w:left="1530"/>
      </w:pPr>
      <w:bookmarkStart w:id="74" w:name="_Toc89257605"/>
      <w:r w:rsidRPr="00C00335">
        <w:t>Table 6.</w:t>
      </w:r>
      <w:r w:rsidR="00C55FA1">
        <w:t>10</w:t>
      </w:r>
      <w:r w:rsidR="00726697" w:rsidRPr="00C00335">
        <w:t>.</w:t>
      </w:r>
      <w:r w:rsidR="00726697" w:rsidRPr="00C00335">
        <w:tab/>
      </w:r>
      <w:r w:rsidR="00B41A9A" w:rsidRPr="00C00335">
        <w:t xml:space="preserve">Sexual Partners and Sex </w:t>
      </w:r>
      <w:r w:rsidR="00782B9B" w:rsidRPr="00C00335">
        <w:t>A</w:t>
      </w:r>
      <w:r w:rsidR="00B41A9A" w:rsidRPr="00C00335">
        <w:t>cts</w:t>
      </w:r>
      <w:bookmarkEnd w:id="74"/>
    </w:p>
    <w:tbl>
      <w:tblPr>
        <w:tblW w:w="5047"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996"/>
        <w:gridCol w:w="846"/>
        <w:gridCol w:w="845"/>
        <w:gridCol w:w="845"/>
        <w:gridCol w:w="845"/>
        <w:gridCol w:w="845"/>
        <w:gridCol w:w="853"/>
        <w:gridCol w:w="2373"/>
      </w:tblGrid>
      <w:tr w:rsidR="00B41A9A" w:rsidRPr="00C00335" w14:paraId="37B999C0" w14:textId="77777777" w:rsidTr="006E5792">
        <w:trPr>
          <w:cantSplit/>
          <w:tblHeader/>
        </w:trPr>
        <w:tc>
          <w:tcPr>
            <w:tcW w:w="1996" w:type="dxa"/>
            <w:vMerge w:val="restart"/>
            <w:tcBorders>
              <w:top w:val="single" w:sz="12" w:space="0" w:color="000000"/>
              <w:bottom w:val="single" w:sz="6" w:space="0" w:color="000000"/>
            </w:tcBorders>
            <w:shd w:val="clear" w:color="auto" w:fill="auto"/>
            <w:noWrap/>
            <w:vAlign w:val="bottom"/>
            <w:hideMark/>
          </w:tcPr>
          <w:p w14:paraId="3784D233" w14:textId="77777777" w:rsidR="00B41A9A" w:rsidRPr="00D8741A" w:rsidRDefault="005E2547" w:rsidP="00C63DB4">
            <w:pPr>
              <w:pStyle w:val="TableHeaders"/>
              <w:keepNext/>
              <w:spacing w:before="20" w:after="20" w:line="210" w:lineRule="exact"/>
            </w:pPr>
            <w:r w:rsidRPr="00D8741A">
              <w:t>Parameter</w:t>
            </w:r>
          </w:p>
        </w:tc>
        <w:tc>
          <w:tcPr>
            <w:tcW w:w="2536" w:type="dxa"/>
            <w:gridSpan w:val="3"/>
            <w:tcBorders>
              <w:top w:val="single" w:sz="12" w:space="0" w:color="000000"/>
              <w:bottom w:val="single" w:sz="6" w:space="0" w:color="000000"/>
            </w:tcBorders>
            <w:shd w:val="clear" w:color="auto" w:fill="auto"/>
            <w:noWrap/>
            <w:vAlign w:val="bottom"/>
            <w:hideMark/>
          </w:tcPr>
          <w:p w14:paraId="7D80C418" w14:textId="77777777" w:rsidR="00B41A9A" w:rsidRPr="00C00335" w:rsidRDefault="00B41A9A" w:rsidP="00C63DB4">
            <w:pPr>
              <w:pStyle w:val="TableHeaders"/>
              <w:keepNext/>
              <w:spacing w:before="20" w:after="20" w:line="210" w:lineRule="exact"/>
            </w:pPr>
            <w:r w:rsidRPr="00C00335">
              <w:t>Female</w:t>
            </w:r>
          </w:p>
        </w:tc>
        <w:tc>
          <w:tcPr>
            <w:tcW w:w="2543" w:type="dxa"/>
            <w:gridSpan w:val="3"/>
            <w:tcBorders>
              <w:top w:val="single" w:sz="12" w:space="0" w:color="000000"/>
              <w:bottom w:val="single" w:sz="6" w:space="0" w:color="000000"/>
            </w:tcBorders>
            <w:shd w:val="clear" w:color="auto" w:fill="auto"/>
            <w:noWrap/>
            <w:vAlign w:val="bottom"/>
            <w:hideMark/>
          </w:tcPr>
          <w:p w14:paraId="4FEFB731" w14:textId="77777777" w:rsidR="00B41A9A" w:rsidRPr="00C00335" w:rsidRDefault="00B41A9A" w:rsidP="00C63DB4">
            <w:pPr>
              <w:pStyle w:val="TableHeaders"/>
              <w:keepNext/>
              <w:spacing w:before="20" w:after="20" w:line="210" w:lineRule="exact"/>
            </w:pPr>
            <w:r w:rsidRPr="00C00335">
              <w:t>Male</w:t>
            </w:r>
          </w:p>
        </w:tc>
        <w:tc>
          <w:tcPr>
            <w:tcW w:w="2373" w:type="dxa"/>
            <w:vMerge w:val="restart"/>
            <w:tcBorders>
              <w:top w:val="single" w:sz="12" w:space="0" w:color="000000"/>
              <w:bottom w:val="single" w:sz="6" w:space="0" w:color="000000"/>
            </w:tcBorders>
            <w:shd w:val="clear" w:color="auto" w:fill="auto"/>
            <w:noWrap/>
            <w:vAlign w:val="bottom"/>
            <w:hideMark/>
          </w:tcPr>
          <w:p w14:paraId="3A53B0FC" w14:textId="77777777" w:rsidR="00B41A9A" w:rsidRPr="00C00335" w:rsidRDefault="00B41A9A" w:rsidP="00C63DB4">
            <w:pPr>
              <w:pStyle w:val="TableHeaders"/>
              <w:keepNext/>
              <w:spacing w:before="20" w:after="20" w:line="210" w:lineRule="exact"/>
            </w:pPr>
            <w:r w:rsidRPr="00C00335">
              <w:t>Source</w:t>
            </w:r>
          </w:p>
        </w:tc>
      </w:tr>
      <w:tr w:rsidR="00B41A9A" w:rsidRPr="00C00335" w14:paraId="54D6F075" w14:textId="77777777" w:rsidTr="006E5792">
        <w:trPr>
          <w:cantSplit/>
          <w:tblHeader/>
        </w:trPr>
        <w:tc>
          <w:tcPr>
            <w:tcW w:w="1996" w:type="dxa"/>
            <w:vMerge/>
            <w:tcBorders>
              <w:top w:val="single" w:sz="6" w:space="0" w:color="000000"/>
              <w:bottom w:val="single" w:sz="6" w:space="0" w:color="000000"/>
            </w:tcBorders>
            <w:shd w:val="clear" w:color="auto" w:fill="auto"/>
            <w:noWrap/>
            <w:vAlign w:val="bottom"/>
            <w:hideMark/>
          </w:tcPr>
          <w:p w14:paraId="664C2B4C" w14:textId="77777777" w:rsidR="00B41A9A" w:rsidRPr="00D8741A" w:rsidRDefault="00B41A9A" w:rsidP="00C63DB4">
            <w:pPr>
              <w:pStyle w:val="TableHeaders"/>
              <w:keepNext/>
              <w:spacing w:before="20" w:after="20" w:line="210" w:lineRule="exact"/>
            </w:pPr>
          </w:p>
        </w:tc>
        <w:tc>
          <w:tcPr>
            <w:tcW w:w="846" w:type="dxa"/>
            <w:tcBorders>
              <w:top w:val="single" w:sz="6" w:space="0" w:color="000000"/>
              <w:bottom w:val="single" w:sz="6" w:space="0" w:color="000000"/>
            </w:tcBorders>
            <w:shd w:val="clear" w:color="auto" w:fill="auto"/>
            <w:noWrap/>
            <w:vAlign w:val="bottom"/>
            <w:hideMark/>
          </w:tcPr>
          <w:p w14:paraId="1325E691" w14:textId="77777777" w:rsidR="00B41A9A" w:rsidRPr="00C00335" w:rsidRDefault="00B41A9A" w:rsidP="00C63DB4">
            <w:pPr>
              <w:pStyle w:val="TableHeaders"/>
              <w:keepNext/>
              <w:spacing w:before="20" w:after="20" w:line="210" w:lineRule="exact"/>
            </w:pPr>
            <w:r w:rsidRPr="00C00335">
              <w:t>Black</w:t>
            </w:r>
          </w:p>
        </w:tc>
        <w:tc>
          <w:tcPr>
            <w:tcW w:w="845" w:type="dxa"/>
            <w:tcBorders>
              <w:top w:val="single" w:sz="6" w:space="0" w:color="000000"/>
              <w:bottom w:val="single" w:sz="6" w:space="0" w:color="000000"/>
            </w:tcBorders>
            <w:shd w:val="clear" w:color="auto" w:fill="auto"/>
            <w:noWrap/>
            <w:vAlign w:val="bottom"/>
            <w:hideMark/>
          </w:tcPr>
          <w:p w14:paraId="300B07FE" w14:textId="77777777" w:rsidR="00B41A9A" w:rsidRPr="00C00335" w:rsidRDefault="00B41A9A" w:rsidP="00C63DB4">
            <w:pPr>
              <w:pStyle w:val="TableHeaders"/>
              <w:keepNext/>
              <w:spacing w:before="20" w:after="20" w:line="210" w:lineRule="exact"/>
            </w:pPr>
            <w:r w:rsidRPr="00C00335">
              <w:t>Hispanic</w:t>
            </w:r>
          </w:p>
        </w:tc>
        <w:tc>
          <w:tcPr>
            <w:tcW w:w="845" w:type="dxa"/>
            <w:tcBorders>
              <w:top w:val="single" w:sz="6" w:space="0" w:color="000000"/>
              <w:bottom w:val="single" w:sz="6" w:space="0" w:color="000000"/>
            </w:tcBorders>
            <w:shd w:val="clear" w:color="auto" w:fill="auto"/>
            <w:noWrap/>
            <w:vAlign w:val="bottom"/>
            <w:hideMark/>
          </w:tcPr>
          <w:p w14:paraId="323E6168" w14:textId="0B240A3C" w:rsidR="00B41A9A" w:rsidRPr="00C00335" w:rsidRDefault="00896735" w:rsidP="00C63DB4">
            <w:pPr>
              <w:pStyle w:val="TableHeaders"/>
              <w:keepNext/>
              <w:spacing w:before="20" w:after="20" w:line="210" w:lineRule="exact"/>
            </w:pPr>
            <w:r>
              <w:t>White/</w:t>
            </w:r>
            <w:r w:rsidR="000E77C1">
              <w:t xml:space="preserve"> O</w:t>
            </w:r>
            <w:r>
              <w:t>ther</w:t>
            </w:r>
          </w:p>
        </w:tc>
        <w:tc>
          <w:tcPr>
            <w:tcW w:w="845" w:type="dxa"/>
            <w:tcBorders>
              <w:top w:val="single" w:sz="6" w:space="0" w:color="000000"/>
              <w:bottom w:val="single" w:sz="6" w:space="0" w:color="000000"/>
            </w:tcBorders>
            <w:shd w:val="clear" w:color="auto" w:fill="auto"/>
            <w:noWrap/>
            <w:vAlign w:val="bottom"/>
            <w:hideMark/>
          </w:tcPr>
          <w:p w14:paraId="1E2BAD39" w14:textId="77777777" w:rsidR="00B41A9A" w:rsidRPr="00C00335" w:rsidRDefault="00B41A9A" w:rsidP="00C63DB4">
            <w:pPr>
              <w:pStyle w:val="TableHeaders"/>
              <w:keepNext/>
              <w:spacing w:before="20" w:after="20" w:line="210" w:lineRule="exact"/>
            </w:pPr>
            <w:r w:rsidRPr="00C00335">
              <w:t>Black</w:t>
            </w:r>
          </w:p>
        </w:tc>
        <w:tc>
          <w:tcPr>
            <w:tcW w:w="845" w:type="dxa"/>
            <w:tcBorders>
              <w:top w:val="single" w:sz="6" w:space="0" w:color="000000"/>
              <w:bottom w:val="single" w:sz="6" w:space="0" w:color="000000"/>
            </w:tcBorders>
            <w:shd w:val="clear" w:color="auto" w:fill="auto"/>
            <w:noWrap/>
            <w:vAlign w:val="bottom"/>
            <w:hideMark/>
          </w:tcPr>
          <w:p w14:paraId="0CA12067" w14:textId="77777777" w:rsidR="00B41A9A" w:rsidRPr="00C00335" w:rsidRDefault="00B41A9A" w:rsidP="00C63DB4">
            <w:pPr>
              <w:pStyle w:val="TableHeaders"/>
              <w:keepNext/>
              <w:spacing w:before="20" w:after="20" w:line="210" w:lineRule="exact"/>
            </w:pPr>
            <w:r w:rsidRPr="00C00335">
              <w:t>Hispanic</w:t>
            </w:r>
          </w:p>
        </w:tc>
        <w:tc>
          <w:tcPr>
            <w:tcW w:w="853" w:type="dxa"/>
            <w:tcBorders>
              <w:top w:val="single" w:sz="6" w:space="0" w:color="000000"/>
              <w:bottom w:val="single" w:sz="6" w:space="0" w:color="000000"/>
            </w:tcBorders>
            <w:shd w:val="clear" w:color="auto" w:fill="auto"/>
            <w:noWrap/>
            <w:vAlign w:val="bottom"/>
            <w:hideMark/>
          </w:tcPr>
          <w:p w14:paraId="1C64C7D7" w14:textId="7D6A9963" w:rsidR="00B41A9A" w:rsidRPr="00C00335" w:rsidRDefault="00896735" w:rsidP="00C63DB4">
            <w:pPr>
              <w:pStyle w:val="TableHeaders"/>
              <w:keepNext/>
              <w:spacing w:before="20" w:after="20" w:line="210" w:lineRule="exact"/>
            </w:pPr>
            <w:r>
              <w:t>White/</w:t>
            </w:r>
            <w:r w:rsidR="000E77C1">
              <w:t xml:space="preserve"> O</w:t>
            </w:r>
            <w:r>
              <w:t>ther</w:t>
            </w:r>
          </w:p>
        </w:tc>
        <w:tc>
          <w:tcPr>
            <w:tcW w:w="2373" w:type="dxa"/>
            <w:vMerge/>
            <w:tcBorders>
              <w:top w:val="single" w:sz="6" w:space="0" w:color="000000"/>
              <w:bottom w:val="single" w:sz="6" w:space="0" w:color="000000"/>
            </w:tcBorders>
            <w:shd w:val="clear" w:color="auto" w:fill="auto"/>
            <w:noWrap/>
            <w:vAlign w:val="bottom"/>
            <w:hideMark/>
          </w:tcPr>
          <w:p w14:paraId="61535453" w14:textId="77777777" w:rsidR="00B41A9A" w:rsidRPr="00C00335" w:rsidRDefault="00B41A9A" w:rsidP="00C63DB4">
            <w:pPr>
              <w:pStyle w:val="TableHeaders"/>
              <w:keepNext/>
              <w:spacing w:before="20" w:after="20" w:line="210" w:lineRule="exact"/>
            </w:pPr>
          </w:p>
        </w:tc>
      </w:tr>
      <w:tr w:rsidR="00B41A9A" w:rsidRPr="00C00335" w14:paraId="55991502" w14:textId="77777777" w:rsidTr="006E5792">
        <w:trPr>
          <w:cantSplit/>
        </w:trPr>
        <w:tc>
          <w:tcPr>
            <w:tcW w:w="9448" w:type="dxa"/>
            <w:gridSpan w:val="8"/>
            <w:tcBorders>
              <w:top w:val="single" w:sz="6" w:space="0" w:color="000000"/>
              <w:bottom w:val="single" w:sz="6" w:space="0" w:color="808080" w:themeColor="background1" w:themeShade="80"/>
            </w:tcBorders>
            <w:shd w:val="clear" w:color="auto" w:fill="auto"/>
            <w:noWrap/>
            <w:hideMark/>
          </w:tcPr>
          <w:p w14:paraId="54D39F74" w14:textId="7AE58573" w:rsidR="00B41A9A" w:rsidRPr="00421CB1" w:rsidRDefault="00B41A9A" w:rsidP="00C63DB4">
            <w:pPr>
              <w:pStyle w:val="TableText"/>
              <w:keepNext/>
              <w:spacing w:before="20" w:after="20" w:line="210" w:lineRule="exact"/>
            </w:pPr>
            <w:r w:rsidRPr="00421CB1">
              <w:t xml:space="preserve">Annual number of </w:t>
            </w:r>
            <w:r w:rsidR="00782B9B" w:rsidRPr="00421CB1">
              <w:t xml:space="preserve">sex </w:t>
            </w:r>
            <w:r w:rsidRPr="00421CB1">
              <w:t>acts per partner</w:t>
            </w:r>
            <w:r w:rsidR="00695572" w:rsidRPr="00421CB1">
              <w:t xml:space="preserve"> for HIV-uninfected individuals</w:t>
            </w:r>
          </w:p>
        </w:tc>
      </w:tr>
      <w:tr w:rsidR="00B41A9A" w:rsidRPr="00C00335" w14:paraId="0EC2712A"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6CC7CED5" w14:textId="77777777" w:rsidR="00B41A9A" w:rsidRPr="004933A2" w:rsidRDefault="00B41A9A" w:rsidP="00C63DB4">
            <w:pPr>
              <w:pStyle w:val="TableText"/>
              <w:keepNext/>
              <w:spacing w:before="20" w:after="20" w:line="210" w:lineRule="exact"/>
              <w:ind w:left="270"/>
            </w:pPr>
            <w:r w:rsidRPr="004933A2">
              <w:t>HET</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4856AACE" w14:textId="77777777" w:rsidR="00B41A9A" w:rsidRPr="00785356" w:rsidRDefault="00B41A9A" w:rsidP="00C63DB4">
            <w:pPr>
              <w:pStyle w:val="TableText"/>
              <w:keepNext/>
              <w:spacing w:before="20" w:after="20" w:line="210" w:lineRule="exact"/>
              <w:rPr>
                <w:highlight w:val="yellow"/>
              </w:rPr>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3FE36A31" w14:textId="77777777" w:rsidR="00B41A9A" w:rsidRPr="00785356" w:rsidRDefault="00B41A9A" w:rsidP="00C63DB4">
            <w:pPr>
              <w:pStyle w:val="TableText"/>
              <w:keepNext/>
              <w:spacing w:before="20" w:after="20" w:line="210" w:lineRule="exact"/>
              <w:rPr>
                <w:highlight w:val="yellow"/>
              </w:rPr>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126DACF9" w14:textId="77777777" w:rsidR="00B41A9A" w:rsidRPr="00421CB1" w:rsidRDefault="00B41A9A" w:rsidP="00C63DB4">
            <w:pPr>
              <w:pStyle w:val="TableText"/>
              <w:keepN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149197C3" w14:textId="77777777" w:rsidR="00B41A9A" w:rsidRPr="00421CB1" w:rsidRDefault="00B41A9A" w:rsidP="00C63DB4">
            <w:pPr>
              <w:pStyle w:val="TableText"/>
              <w:keepN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3077DC5F" w14:textId="77777777" w:rsidR="00B41A9A" w:rsidRPr="00421CB1" w:rsidRDefault="00B41A9A" w:rsidP="00C63DB4">
            <w:pPr>
              <w:pStyle w:val="TableText"/>
              <w:keepNext/>
              <w:spacing w:before="20" w:after="20" w:line="210" w:lineRule="exact"/>
            </w:pPr>
          </w:p>
        </w:tc>
        <w:tc>
          <w:tcPr>
            <w:tcW w:w="853" w:type="dxa"/>
            <w:tcBorders>
              <w:top w:val="single" w:sz="6" w:space="0" w:color="808080" w:themeColor="background1" w:themeShade="80"/>
              <w:bottom w:val="single" w:sz="6" w:space="0" w:color="808080" w:themeColor="background1" w:themeShade="80"/>
            </w:tcBorders>
            <w:shd w:val="clear" w:color="auto" w:fill="auto"/>
            <w:noWrap/>
            <w:hideMark/>
          </w:tcPr>
          <w:p w14:paraId="014DFBC3" w14:textId="77777777" w:rsidR="00B41A9A" w:rsidRPr="00421CB1" w:rsidRDefault="00B41A9A" w:rsidP="00C63DB4">
            <w:pPr>
              <w:pStyle w:val="TableText"/>
              <w:keepNext/>
              <w:spacing w:before="20" w:after="20" w:line="210" w:lineRule="exact"/>
            </w:pP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27C013C0" w14:textId="77777777" w:rsidR="00B41A9A" w:rsidRPr="00421CB1" w:rsidRDefault="00B41A9A" w:rsidP="00C63DB4">
            <w:pPr>
              <w:pStyle w:val="TableText"/>
              <w:keepNext/>
              <w:spacing w:before="20" w:after="20" w:line="210" w:lineRule="exact"/>
            </w:pPr>
          </w:p>
        </w:tc>
      </w:tr>
      <w:tr w:rsidR="00B41A9A" w:rsidRPr="00C00335" w14:paraId="02410BA5"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547C1104" w14:textId="77777777" w:rsidR="00B41A9A" w:rsidRPr="004933A2" w:rsidRDefault="00B41A9A" w:rsidP="00C63DB4">
            <w:pPr>
              <w:pStyle w:val="TableText"/>
              <w:spacing w:before="20" w:after="20" w:line="210" w:lineRule="exact"/>
              <w:ind w:left="450"/>
            </w:pPr>
            <w:r w:rsidRPr="004933A2">
              <w:t>High</w:t>
            </w:r>
          </w:p>
        </w:tc>
        <w:tc>
          <w:tcPr>
            <w:tcW w:w="2536" w:type="dxa"/>
            <w:gridSpan w:val="3"/>
            <w:tcBorders>
              <w:top w:val="single" w:sz="6" w:space="0" w:color="808080" w:themeColor="background1" w:themeShade="80"/>
              <w:bottom w:val="single" w:sz="6" w:space="0" w:color="808080" w:themeColor="background1" w:themeShade="80"/>
            </w:tcBorders>
            <w:shd w:val="clear" w:color="auto" w:fill="auto"/>
            <w:noWrap/>
          </w:tcPr>
          <w:p w14:paraId="36A5A3DA" w14:textId="3DF5EB6E" w:rsidR="00B41A9A" w:rsidRPr="00421CB1" w:rsidRDefault="00B41A9A" w:rsidP="00C63DB4">
            <w:pPr>
              <w:pStyle w:val="TableText"/>
              <w:spacing w:before="20" w:after="20" w:line="210" w:lineRule="exact"/>
            </w:pPr>
            <w:r w:rsidRPr="00421CB1">
              <w:t>---------</w:t>
            </w:r>
            <w:r w:rsidR="0037441C" w:rsidRPr="00421CB1">
              <w:t>--</w:t>
            </w:r>
            <w:r w:rsidR="00D8741A" w:rsidRPr="00421CB1">
              <w:t>45.3</w:t>
            </w:r>
            <w:r w:rsidRPr="00421CB1">
              <w:t>------------</w:t>
            </w:r>
          </w:p>
        </w:tc>
        <w:tc>
          <w:tcPr>
            <w:tcW w:w="2543" w:type="dxa"/>
            <w:gridSpan w:val="3"/>
            <w:tcBorders>
              <w:top w:val="single" w:sz="6" w:space="0" w:color="808080" w:themeColor="background1" w:themeShade="80"/>
              <w:bottom w:val="single" w:sz="6" w:space="0" w:color="808080" w:themeColor="background1" w:themeShade="80"/>
            </w:tcBorders>
            <w:shd w:val="clear" w:color="auto" w:fill="auto"/>
            <w:noWrap/>
          </w:tcPr>
          <w:p w14:paraId="0B8BB8D1" w14:textId="0D23F6D3" w:rsidR="00B41A9A" w:rsidRPr="00421CB1" w:rsidRDefault="00B41A9A" w:rsidP="00C63DB4">
            <w:pPr>
              <w:pStyle w:val="TableText"/>
              <w:spacing w:before="20" w:after="20" w:line="210" w:lineRule="exact"/>
            </w:pPr>
            <w:r w:rsidRPr="00421CB1">
              <w:t>----------</w:t>
            </w:r>
            <w:r w:rsidR="0037441C" w:rsidRPr="00421CB1">
              <w:t>-</w:t>
            </w:r>
            <w:r w:rsidR="00D8741A" w:rsidRPr="00421CB1">
              <w:t>29.1</w:t>
            </w:r>
            <w:r w:rsidRPr="00421CB1">
              <w:t>------------</w:t>
            </w: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0A3DDC82" w14:textId="77777777" w:rsidR="00B41A9A" w:rsidRPr="00421CB1" w:rsidRDefault="00B41A9A" w:rsidP="00C63DB4">
            <w:pPr>
              <w:pStyle w:val="TableText"/>
              <w:spacing w:before="20" w:after="20" w:line="210" w:lineRule="exact"/>
            </w:pPr>
            <w:proofErr w:type="spellStart"/>
            <w:r w:rsidRPr="00421CB1">
              <w:t>Calculated</w:t>
            </w:r>
            <w:r w:rsidRPr="00421CB1">
              <w:rPr>
                <w:vertAlign w:val="superscript"/>
              </w:rPr>
              <w:t>a</w:t>
            </w:r>
            <w:proofErr w:type="spellEnd"/>
            <w:r w:rsidRPr="00421CB1">
              <w:rPr>
                <w:vertAlign w:val="superscript"/>
              </w:rPr>
              <w:t>, b</w:t>
            </w:r>
          </w:p>
        </w:tc>
      </w:tr>
      <w:tr w:rsidR="00B41A9A" w:rsidRPr="00C00335" w14:paraId="03BC51E3"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1468770F" w14:textId="77777777" w:rsidR="00B41A9A" w:rsidRPr="004933A2" w:rsidRDefault="00B41A9A" w:rsidP="00C63DB4">
            <w:pPr>
              <w:pStyle w:val="TableText"/>
              <w:spacing w:before="20" w:after="20" w:line="210" w:lineRule="exact"/>
              <w:ind w:left="450"/>
            </w:pPr>
            <w:r w:rsidRPr="004933A2">
              <w:t>Low</w:t>
            </w:r>
          </w:p>
        </w:tc>
        <w:tc>
          <w:tcPr>
            <w:tcW w:w="2536" w:type="dxa"/>
            <w:gridSpan w:val="3"/>
            <w:tcBorders>
              <w:top w:val="single" w:sz="6" w:space="0" w:color="808080" w:themeColor="background1" w:themeShade="80"/>
              <w:bottom w:val="single" w:sz="6" w:space="0" w:color="808080" w:themeColor="background1" w:themeShade="80"/>
            </w:tcBorders>
            <w:shd w:val="clear" w:color="auto" w:fill="auto"/>
            <w:noWrap/>
          </w:tcPr>
          <w:p w14:paraId="06AC442F" w14:textId="7AD918DF" w:rsidR="00B41A9A" w:rsidRPr="00421CB1" w:rsidRDefault="00B41A9A" w:rsidP="00C63DB4">
            <w:pPr>
              <w:pStyle w:val="TableText"/>
              <w:spacing w:before="20" w:after="20" w:line="210" w:lineRule="exact"/>
            </w:pPr>
            <w:r w:rsidRPr="00421CB1">
              <w:t>---------</w:t>
            </w:r>
            <w:r w:rsidR="0037441C" w:rsidRPr="00421CB1">
              <w:t>--</w:t>
            </w:r>
            <w:r w:rsidR="00D8741A" w:rsidRPr="00421CB1">
              <w:t>47.3</w:t>
            </w:r>
            <w:r w:rsidRPr="00421CB1">
              <w:t>------------</w:t>
            </w:r>
          </w:p>
        </w:tc>
        <w:tc>
          <w:tcPr>
            <w:tcW w:w="2543" w:type="dxa"/>
            <w:gridSpan w:val="3"/>
            <w:tcBorders>
              <w:top w:val="single" w:sz="6" w:space="0" w:color="808080" w:themeColor="background1" w:themeShade="80"/>
              <w:bottom w:val="single" w:sz="6" w:space="0" w:color="808080" w:themeColor="background1" w:themeShade="80"/>
            </w:tcBorders>
            <w:shd w:val="clear" w:color="auto" w:fill="auto"/>
            <w:noWrap/>
          </w:tcPr>
          <w:p w14:paraId="19C07F5E" w14:textId="6D8DFABD" w:rsidR="00B41A9A" w:rsidRPr="00421CB1" w:rsidRDefault="00B41A9A" w:rsidP="00C63DB4">
            <w:pPr>
              <w:pStyle w:val="TableText"/>
              <w:spacing w:before="20" w:after="20" w:line="210" w:lineRule="exact"/>
            </w:pPr>
            <w:r w:rsidRPr="00421CB1">
              <w:t>-----------</w:t>
            </w:r>
            <w:r w:rsidR="00D8741A" w:rsidRPr="00421CB1">
              <w:t>43.6</w:t>
            </w:r>
            <w:r w:rsidRPr="00421CB1">
              <w:t>------------</w:t>
            </w: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08E2E6C9" w14:textId="77777777" w:rsidR="00B41A9A" w:rsidRPr="00421CB1" w:rsidRDefault="00B41A9A" w:rsidP="00C63DB4">
            <w:pPr>
              <w:pStyle w:val="TableText"/>
              <w:spacing w:before="20" w:after="20" w:line="210" w:lineRule="exact"/>
            </w:pPr>
            <w:proofErr w:type="spellStart"/>
            <w:r w:rsidRPr="00421CB1">
              <w:t>Calculated</w:t>
            </w:r>
            <w:r w:rsidRPr="00421CB1">
              <w:rPr>
                <w:vertAlign w:val="superscript"/>
              </w:rPr>
              <w:t>a</w:t>
            </w:r>
            <w:proofErr w:type="spellEnd"/>
            <w:r w:rsidRPr="00421CB1">
              <w:rPr>
                <w:vertAlign w:val="superscript"/>
              </w:rPr>
              <w:t>, b</w:t>
            </w:r>
          </w:p>
        </w:tc>
      </w:tr>
      <w:tr w:rsidR="00B41A9A" w:rsidRPr="00C00335" w14:paraId="55AD19FB"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6A9E3306" w14:textId="6816D039" w:rsidR="00B41A9A" w:rsidRPr="00E832D1" w:rsidRDefault="00F77D76" w:rsidP="00C63DB4">
            <w:pPr>
              <w:pStyle w:val="TableText"/>
              <w:spacing w:before="20" w:after="20" w:line="210" w:lineRule="exact"/>
              <w:ind w:left="270"/>
            </w:pPr>
            <w:r w:rsidRPr="00E832D1">
              <w:t>PWID</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2186AE9" w14:textId="77777777" w:rsidR="00B41A9A" w:rsidRPr="00E832D1" w:rsidRDefault="00B41A9A" w:rsidP="00C63DB4">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0DCA3E8B" w14:textId="77777777" w:rsidR="00B41A9A" w:rsidRPr="00E832D1" w:rsidRDefault="00B41A9A" w:rsidP="00C63DB4">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22CE226E" w14:textId="77777777" w:rsidR="00B41A9A" w:rsidRPr="00E832D1" w:rsidRDefault="00B41A9A" w:rsidP="00C63DB4">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590B97D2" w14:textId="77777777" w:rsidR="00B41A9A" w:rsidRPr="00E832D1" w:rsidRDefault="00B41A9A" w:rsidP="00C63DB4">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2CCC4688" w14:textId="77777777" w:rsidR="00B41A9A" w:rsidRPr="00E832D1" w:rsidRDefault="00B41A9A" w:rsidP="00C63DB4">
            <w:pPr>
              <w:pStyle w:val="TableText"/>
              <w:spacing w:before="20" w:after="20" w:line="210" w:lineRule="exact"/>
            </w:pPr>
          </w:p>
        </w:tc>
        <w:tc>
          <w:tcPr>
            <w:tcW w:w="853" w:type="dxa"/>
            <w:tcBorders>
              <w:top w:val="single" w:sz="6" w:space="0" w:color="808080" w:themeColor="background1" w:themeShade="80"/>
              <w:bottom w:val="single" w:sz="6" w:space="0" w:color="808080" w:themeColor="background1" w:themeShade="80"/>
            </w:tcBorders>
            <w:shd w:val="clear" w:color="auto" w:fill="auto"/>
            <w:noWrap/>
            <w:hideMark/>
          </w:tcPr>
          <w:p w14:paraId="33BA90D2" w14:textId="77777777" w:rsidR="00B41A9A" w:rsidRPr="00E832D1" w:rsidRDefault="00B41A9A" w:rsidP="00C63DB4">
            <w:pPr>
              <w:pStyle w:val="TableText"/>
              <w:spacing w:before="20" w:after="20" w:line="210" w:lineRule="exact"/>
            </w:pP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175291B9" w14:textId="77777777" w:rsidR="00B41A9A" w:rsidRPr="00C00335" w:rsidRDefault="00B41A9A" w:rsidP="00C63DB4">
            <w:pPr>
              <w:pStyle w:val="TableText"/>
              <w:spacing w:before="20" w:after="20" w:line="210" w:lineRule="exact"/>
            </w:pPr>
          </w:p>
        </w:tc>
      </w:tr>
      <w:tr w:rsidR="004A4830" w:rsidRPr="00C00335" w14:paraId="2A2CB92F"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6CCA9FBA" w14:textId="77777777" w:rsidR="004A4830" w:rsidRPr="00E832D1" w:rsidRDefault="004A4830" w:rsidP="00C63DB4">
            <w:pPr>
              <w:pStyle w:val="TableText"/>
              <w:spacing w:before="20" w:after="20" w:line="210" w:lineRule="exact"/>
              <w:ind w:left="450"/>
            </w:pPr>
            <w:r w:rsidRPr="00E832D1">
              <w:lastRenderedPageBreak/>
              <w:t>High</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45E91D7" w14:textId="77777777" w:rsidR="004A4830" w:rsidRPr="00E832D1" w:rsidRDefault="004A4830" w:rsidP="00C63DB4">
            <w:pPr>
              <w:pStyle w:val="TableTextDec"/>
              <w:tabs>
                <w:tab w:val="clear" w:pos="1015"/>
                <w:tab w:val="decimal" w:pos="341"/>
              </w:tabs>
              <w:spacing w:before="20" w:after="20" w:line="210" w:lineRule="exact"/>
            </w:pPr>
            <w:r w:rsidRPr="00E832D1">
              <w:t>6.6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B0DB4E8" w14:textId="77777777" w:rsidR="004A4830" w:rsidRPr="00E832D1" w:rsidRDefault="004A4830" w:rsidP="00C63DB4">
            <w:pPr>
              <w:pStyle w:val="TableTextDec"/>
              <w:tabs>
                <w:tab w:val="clear" w:pos="1015"/>
                <w:tab w:val="decimal" w:pos="341"/>
              </w:tabs>
              <w:spacing w:before="20" w:after="20" w:line="210" w:lineRule="exact"/>
            </w:pPr>
            <w:r w:rsidRPr="00E832D1">
              <w:t>1.5</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7E1ECEA" w14:textId="77777777" w:rsidR="004A4830" w:rsidRPr="00E832D1" w:rsidRDefault="004A4830" w:rsidP="00C63DB4">
            <w:pPr>
              <w:pStyle w:val="TableTextDec"/>
              <w:tabs>
                <w:tab w:val="clear" w:pos="1015"/>
                <w:tab w:val="decimal" w:pos="341"/>
              </w:tabs>
              <w:spacing w:before="20" w:after="20" w:line="210" w:lineRule="exact"/>
            </w:pPr>
            <w:r w:rsidRPr="00E832D1">
              <w:t>3.</w:t>
            </w:r>
            <w:r w:rsidR="0037441C" w:rsidRPr="00E832D1">
              <w:t>7</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14AB588" w14:textId="77777777" w:rsidR="004A4830" w:rsidRPr="00E832D1" w:rsidRDefault="004A4830" w:rsidP="00C63DB4">
            <w:pPr>
              <w:pStyle w:val="TableTextDec"/>
              <w:tabs>
                <w:tab w:val="clear" w:pos="1015"/>
                <w:tab w:val="decimal" w:pos="341"/>
              </w:tabs>
              <w:spacing w:before="20" w:after="20" w:line="210" w:lineRule="exact"/>
            </w:pPr>
            <w:r w:rsidRPr="00E832D1">
              <w:t>9.</w:t>
            </w:r>
            <w:r w:rsidR="0037441C" w:rsidRPr="00E832D1">
              <w:t>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A230B27" w14:textId="77777777" w:rsidR="004A4830" w:rsidRPr="00E832D1" w:rsidRDefault="004A4830" w:rsidP="00C63DB4">
            <w:pPr>
              <w:pStyle w:val="TableTextDec"/>
              <w:tabs>
                <w:tab w:val="clear" w:pos="1015"/>
                <w:tab w:val="decimal" w:pos="341"/>
              </w:tabs>
              <w:spacing w:before="20" w:after="20" w:line="210" w:lineRule="exact"/>
            </w:pPr>
            <w:r w:rsidRPr="00E832D1">
              <w:t>12.6</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5D6FD4D2" w14:textId="77777777" w:rsidR="004A4830" w:rsidRPr="00E832D1" w:rsidRDefault="004A4830" w:rsidP="00C63DB4">
            <w:pPr>
              <w:pStyle w:val="TableTextDec"/>
              <w:tabs>
                <w:tab w:val="clear" w:pos="1015"/>
                <w:tab w:val="decimal" w:pos="341"/>
              </w:tabs>
              <w:spacing w:before="20" w:after="20" w:line="210" w:lineRule="exact"/>
            </w:pPr>
            <w:r w:rsidRPr="00E832D1">
              <w:t>11.</w:t>
            </w:r>
            <w:r w:rsidR="0037441C" w:rsidRPr="00E832D1">
              <w:t>9</w:t>
            </w:r>
          </w:p>
        </w:tc>
        <w:tc>
          <w:tcPr>
            <w:tcW w:w="2373" w:type="dxa"/>
            <w:tcBorders>
              <w:top w:val="single" w:sz="6" w:space="0" w:color="808080" w:themeColor="background1" w:themeShade="80"/>
              <w:bottom w:val="single" w:sz="6" w:space="0" w:color="808080" w:themeColor="background1" w:themeShade="80"/>
            </w:tcBorders>
            <w:shd w:val="clear" w:color="auto" w:fill="auto"/>
            <w:noWrap/>
          </w:tcPr>
          <w:p w14:paraId="26446D95" w14:textId="77777777" w:rsidR="004A4830" w:rsidRPr="00C00335" w:rsidRDefault="004A4830" w:rsidP="00C63DB4">
            <w:pPr>
              <w:pStyle w:val="TableText"/>
              <w:spacing w:before="20" w:after="20" w:line="210" w:lineRule="exact"/>
            </w:pPr>
            <w:proofErr w:type="spellStart"/>
            <w:r w:rsidRPr="00C00335">
              <w:t>Calculated</w:t>
            </w:r>
            <w:r w:rsidRPr="00C00335">
              <w:rPr>
                <w:vertAlign w:val="superscript"/>
              </w:rPr>
              <w:t>c</w:t>
            </w:r>
            <w:proofErr w:type="spellEnd"/>
          </w:p>
        </w:tc>
      </w:tr>
      <w:tr w:rsidR="00C02ADB" w:rsidRPr="00C00335" w14:paraId="00161C83" w14:textId="77777777" w:rsidTr="006E5792">
        <w:trPr>
          <w:cantSplit/>
        </w:trPr>
        <w:tc>
          <w:tcPr>
            <w:tcW w:w="9448" w:type="dxa"/>
            <w:gridSpan w:val="8"/>
            <w:tcBorders>
              <w:top w:val="single" w:sz="6" w:space="0" w:color="808080" w:themeColor="background1" w:themeShade="80"/>
              <w:bottom w:val="single" w:sz="6" w:space="0" w:color="808080" w:themeColor="background1" w:themeShade="80"/>
            </w:tcBorders>
            <w:shd w:val="clear" w:color="auto" w:fill="auto"/>
            <w:noWrap/>
          </w:tcPr>
          <w:p w14:paraId="5333AA39" w14:textId="4C8CCA5D" w:rsidR="00C02ADB" w:rsidRPr="00E832D1" w:rsidRDefault="00C02ADB" w:rsidP="00C63DB4">
            <w:pPr>
              <w:pStyle w:val="TableText"/>
              <w:spacing w:before="20" w:after="20" w:line="210" w:lineRule="exact"/>
            </w:pPr>
            <w:r w:rsidRPr="00E832D1">
              <w:t>Annual number of sexual contacts per uninfected person</w:t>
            </w:r>
          </w:p>
        </w:tc>
      </w:tr>
      <w:tr w:rsidR="00B41A9A" w:rsidRPr="00C00335" w14:paraId="03122E30"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10C90191" w14:textId="77777777" w:rsidR="00B41A9A" w:rsidRPr="00E832D1" w:rsidRDefault="00B41A9A" w:rsidP="00C63DB4">
            <w:pPr>
              <w:pStyle w:val="TableText"/>
              <w:spacing w:before="20" w:after="20" w:line="210" w:lineRule="exact"/>
              <w:ind w:left="270"/>
            </w:pPr>
            <w:r w:rsidRPr="00E832D1">
              <w:t>MSM</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0A4DC1B7" w14:textId="77777777" w:rsidR="00B41A9A" w:rsidRPr="00E832D1" w:rsidRDefault="00B41A9A" w:rsidP="00C63DB4">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640D3922" w14:textId="77777777" w:rsidR="00B41A9A" w:rsidRPr="00E832D1" w:rsidRDefault="00B41A9A" w:rsidP="00C63DB4">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6A55BB45" w14:textId="77777777" w:rsidR="00B41A9A" w:rsidRPr="00E832D1" w:rsidRDefault="00B41A9A" w:rsidP="00C63DB4">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75FE31CF" w14:textId="77777777" w:rsidR="00B41A9A" w:rsidRPr="00E832D1" w:rsidRDefault="00B41A9A" w:rsidP="00C63DB4">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33C9DA0C" w14:textId="77777777" w:rsidR="00B41A9A" w:rsidRPr="00E832D1" w:rsidRDefault="00B41A9A" w:rsidP="00C63DB4">
            <w:pPr>
              <w:pStyle w:val="TableText"/>
              <w:spacing w:before="20" w:after="20" w:line="210" w:lineRule="exact"/>
            </w:pPr>
          </w:p>
        </w:tc>
        <w:tc>
          <w:tcPr>
            <w:tcW w:w="853" w:type="dxa"/>
            <w:tcBorders>
              <w:top w:val="single" w:sz="6" w:space="0" w:color="808080" w:themeColor="background1" w:themeShade="80"/>
              <w:bottom w:val="single" w:sz="6" w:space="0" w:color="808080" w:themeColor="background1" w:themeShade="80"/>
            </w:tcBorders>
            <w:shd w:val="clear" w:color="auto" w:fill="auto"/>
            <w:noWrap/>
            <w:hideMark/>
          </w:tcPr>
          <w:p w14:paraId="61BEBDF9" w14:textId="77777777" w:rsidR="00B41A9A" w:rsidRPr="00E832D1" w:rsidRDefault="00B41A9A" w:rsidP="00C63DB4">
            <w:pPr>
              <w:pStyle w:val="TableText"/>
              <w:spacing w:before="20" w:after="20" w:line="210" w:lineRule="exact"/>
            </w:pP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6D8ADB76" w14:textId="77777777" w:rsidR="00B41A9A" w:rsidRPr="00C00335" w:rsidRDefault="00B41A9A" w:rsidP="00C63DB4">
            <w:pPr>
              <w:pStyle w:val="TableText"/>
              <w:spacing w:before="20" w:after="20" w:line="210" w:lineRule="exact"/>
            </w:pPr>
          </w:p>
        </w:tc>
      </w:tr>
      <w:tr w:rsidR="007930B2" w:rsidRPr="00C00335" w14:paraId="08274835"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29763C62" w14:textId="5E166922" w:rsidR="007930B2" w:rsidRPr="00E832D1" w:rsidRDefault="007930B2" w:rsidP="007930B2">
            <w:pPr>
              <w:pStyle w:val="TableText"/>
              <w:spacing w:before="20" w:after="20" w:line="210" w:lineRule="exact"/>
              <w:ind w:left="450"/>
            </w:pPr>
            <w:r w:rsidRPr="00E832D1">
              <w:t>High</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7F75631" w14:textId="579D5AC9" w:rsidR="007930B2" w:rsidRPr="00E832D1" w:rsidRDefault="007930B2" w:rsidP="007930B2">
            <w:pPr>
              <w:pStyle w:val="TableTextDec"/>
              <w:tabs>
                <w:tab w:val="clear" w:pos="1015"/>
                <w:tab w:val="decimal" w:pos="341"/>
              </w:tabs>
              <w:spacing w:before="20" w:after="20" w:line="210" w:lineRule="exact"/>
              <w:jc w:val="center"/>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6B2606E" w14:textId="5DE49910" w:rsidR="007930B2" w:rsidRPr="00E832D1" w:rsidRDefault="007930B2" w:rsidP="007930B2">
            <w:pPr>
              <w:pStyle w:val="TableTextDec"/>
              <w:tabs>
                <w:tab w:val="clear" w:pos="1015"/>
                <w:tab w:val="decimal" w:pos="341"/>
              </w:tabs>
              <w:spacing w:before="20" w:after="20" w:line="210" w:lineRule="exact"/>
              <w:jc w:val="center"/>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42A3281" w14:textId="10A34AD2" w:rsidR="007930B2" w:rsidRPr="00E832D1" w:rsidRDefault="007930B2" w:rsidP="007930B2">
            <w:pPr>
              <w:pStyle w:val="TableTextDec"/>
              <w:tabs>
                <w:tab w:val="clear" w:pos="1015"/>
                <w:tab w:val="decimal" w:pos="341"/>
              </w:tabs>
              <w:spacing w:before="20" w:after="20" w:line="210" w:lineRule="exact"/>
              <w:jc w:val="center"/>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1E050D7" w14:textId="77777777" w:rsidR="007930B2" w:rsidRPr="00E832D1" w:rsidRDefault="007930B2" w:rsidP="007930B2">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589F0A5" w14:textId="77777777" w:rsidR="007930B2" w:rsidRPr="00E832D1" w:rsidRDefault="007930B2" w:rsidP="007930B2">
            <w:pPr>
              <w:pStyle w:val="TableTextDec"/>
              <w:tabs>
                <w:tab w:val="clear" w:pos="1015"/>
                <w:tab w:val="decimal" w:pos="341"/>
              </w:tabs>
              <w:spacing w:before="20" w:after="20" w:line="210" w:lineRule="exact"/>
            </w:pP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67E1A7AF" w14:textId="77777777" w:rsidR="007930B2" w:rsidRPr="00E832D1" w:rsidRDefault="007930B2" w:rsidP="007930B2">
            <w:pPr>
              <w:pStyle w:val="TableTextDec"/>
              <w:tabs>
                <w:tab w:val="clear" w:pos="1015"/>
                <w:tab w:val="decimal" w:pos="341"/>
              </w:tabs>
              <w:spacing w:before="20" w:after="20" w:line="210" w:lineRule="exact"/>
            </w:pPr>
          </w:p>
        </w:tc>
        <w:tc>
          <w:tcPr>
            <w:tcW w:w="2373" w:type="dxa"/>
            <w:tcBorders>
              <w:top w:val="single" w:sz="6" w:space="0" w:color="808080" w:themeColor="background1" w:themeShade="80"/>
            </w:tcBorders>
            <w:shd w:val="clear" w:color="auto" w:fill="auto"/>
            <w:noWrap/>
          </w:tcPr>
          <w:p w14:paraId="56EAC8D4" w14:textId="77777777" w:rsidR="007930B2" w:rsidRPr="00C00335" w:rsidRDefault="007930B2" w:rsidP="007930B2">
            <w:pPr>
              <w:pStyle w:val="TableText"/>
              <w:spacing w:before="20" w:after="20" w:line="210" w:lineRule="exact"/>
            </w:pPr>
          </w:p>
        </w:tc>
      </w:tr>
      <w:tr w:rsidR="00FB5A2F" w:rsidRPr="00C00335" w14:paraId="3BC26454"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6B82A5B3" w14:textId="79557CCA" w:rsidR="00FB5A2F" w:rsidRPr="00E832D1" w:rsidRDefault="00FB5A2F" w:rsidP="00FB5A2F">
            <w:pPr>
              <w:pStyle w:val="TableText"/>
              <w:spacing w:before="20" w:after="20" w:line="210" w:lineRule="exact"/>
              <w:ind w:left="450"/>
            </w:pPr>
            <w:r w:rsidRPr="00E832D1">
              <w:t xml:space="preserve">        13-17</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0E1BC210" w14:textId="49176C95"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9F097EF" w14:textId="73D52919"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E018788" w14:textId="514F628D"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BB97933" w14:textId="01F83448" w:rsidR="00FB5A2F" w:rsidRPr="004933A2" w:rsidRDefault="00FB5A2F" w:rsidP="00FB5A2F">
            <w:pPr>
              <w:pStyle w:val="TableTextDec"/>
              <w:tabs>
                <w:tab w:val="clear" w:pos="1015"/>
                <w:tab w:val="decimal" w:pos="341"/>
              </w:tabs>
              <w:spacing w:before="20" w:after="20" w:line="210" w:lineRule="exact"/>
              <w:rPr>
                <w:highlight w:val="yellow"/>
              </w:rPr>
            </w:pPr>
            <w:r w:rsidRPr="002D316B">
              <w:t>39.6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56B58B1" w14:textId="04F09BFF" w:rsidR="00FB5A2F" w:rsidRPr="004933A2" w:rsidRDefault="00FB5A2F" w:rsidP="00FB5A2F">
            <w:pPr>
              <w:pStyle w:val="TableTextDec"/>
              <w:tabs>
                <w:tab w:val="clear" w:pos="1015"/>
                <w:tab w:val="decimal" w:pos="341"/>
              </w:tabs>
              <w:spacing w:before="20" w:after="20" w:line="210" w:lineRule="exact"/>
              <w:rPr>
                <w:highlight w:val="yellow"/>
              </w:rPr>
            </w:pPr>
            <w:r w:rsidRPr="002D316B">
              <w:t>37.6</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72365CDC" w14:textId="336881ED" w:rsidR="00FB5A2F" w:rsidRPr="004933A2" w:rsidRDefault="00FB5A2F" w:rsidP="00FB5A2F">
            <w:pPr>
              <w:pStyle w:val="TableTextDec"/>
              <w:tabs>
                <w:tab w:val="clear" w:pos="1015"/>
                <w:tab w:val="decimal" w:pos="341"/>
              </w:tabs>
              <w:spacing w:before="20" w:after="20" w:line="210" w:lineRule="exact"/>
              <w:rPr>
                <w:highlight w:val="yellow"/>
              </w:rPr>
            </w:pPr>
            <w:r w:rsidRPr="002D316B">
              <w:t>38.0</w:t>
            </w:r>
          </w:p>
        </w:tc>
        <w:tc>
          <w:tcPr>
            <w:tcW w:w="2373" w:type="dxa"/>
            <w:vMerge w:val="restart"/>
            <w:tcBorders>
              <w:top w:val="single" w:sz="6" w:space="0" w:color="808080" w:themeColor="background1" w:themeShade="80"/>
            </w:tcBorders>
            <w:shd w:val="clear" w:color="auto" w:fill="auto"/>
            <w:noWrap/>
          </w:tcPr>
          <w:p w14:paraId="2A95469B" w14:textId="71350C2C" w:rsidR="00FB5A2F" w:rsidRPr="00C00335" w:rsidRDefault="00FB5A2F" w:rsidP="00FB5A2F">
            <w:pPr>
              <w:pStyle w:val="TableText"/>
              <w:spacing w:before="20" w:after="20" w:line="210" w:lineRule="exact"/>
            </w:pPr>
            <w:r>
              <w:t>Determined by calibration</w:t>
            </w:r>
          </w:p>
        </w:tc>
      </w:tr>
      <w:tr w:rsidR="00FB5A2F" w:rsidRPr="00C00335" w14:paraId="23D7BBC7"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403D516A" w14:textId="6D1CC0B2" w:rsidR="00FB5A2F" w:rsidRPr="00E832D1" w:rsidRDefault="00FB5A2F" w:rsidP="00FB5A2F">
            <w:pPr>
              <w:pStyle w:val="TableText"/>
              <w:spacing w:before="20" w:after="20" w:line="210" w:lineRule="exact"/>
              <w:ind w:left="450"/>
            </w:pPr>
            <w:r w:rsidRPr="00E832D1">
              <w:t xml:space="preserve">        18-24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0B6915CB" w14:textId="0B40EE6F"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975CEC2" w14:textId="5507CFFF"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789C34B" w14:textId="27C341E7"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B15CD6B" w14:textId="68826CE8" w:rsidR="00FB5A2F" w:rsidRPr="004933A2" w:rsidRDefault="00FB5A2F" w:rsidP="00FB5A2F">
            <w:pPr>
              <w:pStyle w:val="TableTextDec"/>
              <w:tabs>
                <w:tab w:val="clear" w:pos="1015"/>
                <w:tab w:val="decimal" w:pos="341"/>
              </w:tabs>
              <w:spacing w:before="20" w:after="20" w:line="210" w:lineRule="exact"/>
              <w:rPr>
                <w:highlight w:val="yellow"/>
              </w:rPr>
            </w:pPr>
            <w:r w:rsidRPr="002D316B">
              <w:t>119.3</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E764C0D" w14:textId="7C2DA3D0" w:rsidR="00FB5A2F" w:rsidRPr="004933A2" w:rsidRDefault="00FB5A2F" w:rsidP="00FB5A2F">
            <w:pPr>
              <w:pStyle w:val="TableTextDec"/>
              <w:tabs>
                <w:tab w:val="clear" w:pos="1015"/>
                <w:tab w:val="decimal" w:pos="341"/>
              </w:tabs>
              <w:spacing w:before="20" w:after="20" w:line="210" w:lineRule="exact"/>
              <w:rPr>
                <w:highlight w:val="yellow"/>
              </w:rPr>
            </w:pPr>
            <w:r w:rsidRPr="002D316B">
              <w:t>106.3</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0B5061D2" w14:textId="57AF8058" w:rsidR="00FB5A2F" w:rsidRPr="004933A2" w:rsidRDefault="00FB5A2F" w:rsidP="00FB5A2F">
            <w:pPr>
              <w:pStyle w:val="TableTextDec"/>
              <w:tabs>
                <w:tab w:val="clear" w:pos="1015"/>
                <w:tab w:val="decimal" w:pos="341"/>
              </w:tabs>
              <w:spacing w:before="20" w:after="20" w:line="210" w:lineRule="exact"/>
              <w:rPr>
                <w:highlight w:val="yellow"/>
              </w:rPr>
            </w:pPr>
            <w:r w:rsidRPr="002D316B">
              <w:t>102.7</w:t>
            </w:r>
          </w:p>
        </w:tc>
        <w:tc>
          <w:tcPr>
            <w:tcW w:w="2373" w:type="dxa"/>
            <w:vMerge/>
            <w:shd w:val="clear" w:color="auto" w:fill="auto"/>
            <w:noWrap/>
          </w:tcPr>
          <w:p w14:paraId="25C579A0" w14:textId="77777777" w:rsidR="00FB5A2F" w:rsidRPr="00C00335" w:rsidRDefault="00FB5A2F" w:rsidP="00FB5A2F">
            <w:pPr>
              <w:pStyle w:val="TableText"/>
              <w:spacing w:before="20" w:after="20" w:line="210" w:lineRule="exact"/>
            </w:pPr>
          </w:p>
        </w:tc>
      </w:tr>
      <w:tr w:rsidR="00FB5A2F" w:rsidRPr="00C00335" w14:paraId="37FFC4A4"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129C4810" w14:textId="47EAD88B" w:rsidR="00FB5A2F" w:rsidRPr="00E832D1" w:rsidRDefault="00FB5A2F" w:rsidP="00FB5A2F">
            <w:pPr>
              <w:pStyle w:val="TableText"/>
              <w:spacing w:before="20" w:after="20" w:line="210" w:lineRule="exact"/>
              <w:ind w:left="450"/>
            </w:pPr>
            <w:r w:rsidRPr="00E832D1">
              <w:t xml:space="preserve">        25-34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10855885" w14:textId="6265FBEA"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6A19D76" w14:textId="7D7E2D06"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122AC14" w14:textId="6C924A65"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A3070E8" w14:textId="3D5943D1" w:rsidR="00FB5A2F" w:rsidRPr="004933A2" w:rsidRDefault="00FB5A2F" w:rsidP="00FB5A2F">
            <w:pPr>
              <w:pStyle w:val="TableTextDec"/>
              <w:tabs>
                <w:tab w:val="clear" w:pos="1015"/>
                <w:tab w:val="decimal" w:pos="341"/>
              </w:tabs>
              <w:spacing w:before="20" w:after="20" w:line="210" w:lineRule="exact"/>
              <w:rPr>
                <w:highlight w:val="yellow"/>
              </w:rPr>
            </w:pPr>
            <w:r w:rsidRPr="002D316B">
              <w:t>108.8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F682E7F" w14:textId="1730015D" w:rsidR="00FB5A2F" w:rsidRPr="004933A2" w:rsidRDefault="00FB5A2F" w:rsidP="00FB5A2F">
            <w:pPr>
              <w:pStyle w:val="TableTextDec"/>
              <w:tabs>
                <w:tab w:val="clear" w:pos="1015"/>
                <w:tab w:val="decimal" w:pos="341"/>
              </w:tabs>
              <w:spacing w:before="20" w:after="20" w:line="210" w:lineRule="exact"/>
              <w:rPr>
                <w:highlight w:val="yellow"/>
              </w:rPr>
            </w:pPr>
            <w:r w:rsidRPr="002D316B">
              <w:t>103.5</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5ACCC382" w14:textId="4E3E26AC" w:rsidR="00FB5A2F" w:rsidRPr="004933A2" w:rsidRDefault="00FB5A2F" w:rsidP="00FB5A2F">
            <w:pPr>
              <w:pStyle w:val="TableTextDec"/>
              <w:tabs>
                <w:tab w:val="clear" w:pos="1015"/>
                <w:tab w:val="decimal" w:pos="341"/>
              </w:tabs>
              <w:spacing w:before="20" w:after="20" w:line="210" w:lineRule="exact"/>
              <w:rPr>
                <w:highlight w:val="yellow"/>
              </w:rPr>
            </w:pPr>
            <w:r w:rsidRPr="002D316B">
              <w:t>111.1</w:t>
            </w:r>
          </w:p>
        </w:tc>
        <w:tc>
          <w:tcPr>
            <w:tcW w:w="2373" w:type="dxa"/>
            <w:vMerge/>
            <w:shd w:val="clear" w:color="auto" w:fill="auto"/>
            <w:noWrap/>
          </w:tcPr>
          <w:p w14:paraId="7C75385A" w14:textId="77777777" w:rsidR="00FB5A2F" w:rsidRPr="00C00335" w:rsidRDefault="00FB5A2F" w:rsidP="00FB5A2F">
            <w:pPr>
              <w:pStyle w:val="TableText"/>
              <w:spacing w:before="20" w:after="20" w:line="210" w:lineRule="exact"/>
            </w:pPr>
          </w:p>
        </w:tc>
      </w:tr>
      <w:tr w:rsidR="00FB5A2F" w:rsidRPr="00C00335" w14:paraId="4217C4DD"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1944D163" w14:textId="106AF6B9" w:rsidR="00FB5A2F" w:rsidRPr="00E832D1" w:rsidRDefault="00FB5A2F" w:rsidP="00FB5A2F">
            <w:pPr>
              <w:pStyle w:val="TableText"/>
              <w:spacing w:before="20" w:after="20" w:line="210" w:lineRule="exact"/>
              <w:ind w:left="450"/>
            </w:pPr>
            <w:r w:rsidRPr="00E832D1">
              <w:t xml:space="preserve">        35-44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0021923E" w14:textId="63DC8CB3"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2F40EBF" w14:textId="1F0EAD5C"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7E66E0A" w14:textId="111D5F57"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E181D6C" w14:textId="603F465D" w:rsidR="00FB5A2F" w:rsidRPr="004933A2" w:rsidRDefault="00FB5A2F" w:rsidP="00FB5A2F">
            <w:pPr>
              <w:pStyle w:val="TableTextDec"/>
              <w:tabs>
                <w:tab w:val="clear" w:pos="1015"/>
                <w:tab w:val="decimal" w:pos="341"/>
              </w:tabs>
              <w:spacing w:before="20" w:after="20" w:line="210" w:lineRule="exact"/>
              <w:rPr>
                <w:highlight w:val="yellow"/>
              </w:rPr>
            </w:pPr>
            <w:r w:rsidRPr="002D316B">
              <w:t>98.9</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E2D7D04" w14:textId="72DD8698" w:rsidR="00FB5A2F" w:rsidRPr="004933A2" w:rsidRDefault="00FB5A2F" w:rsidP="00FB5A2F">
            <w:pPr>
              <w:pStyle w:val="TableTextDec"/>
              <w:tabs>
                <w:tab w:val="clear" w:pos="1015"/>
                <w:tab w:val="decimal" w:pos="341"/>
              </w:tabs>
              <w:spacing w:before="20" w:after="20" w:line="210" w:lineRule="exact"/>
              <w:rPr>
                <w:highlight w:val="yellow"/>
              </w:rPr>
            </w:pPr>
            <w:r w:rsidRPr="002D316B">
              <w:t>72.5</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6221F8EA" w14:textId="78273428" w:rsidR="00FB5A2F" w:rsidRPr="004933A2" w:rsidRDefault="00FB5A2F" w:rsidP="00FB5A2F">
            <w:pPr>
              <w:pStyle w:val="TableTextDec"/>
              <w:tabs>
                <w:tab w:val="clear" w:pos="1015"/>
                <w:tab w:val="decimal" w:pos="341"/>
              </w:tabs>
              <w:spacing w:before="20" w:after="20" w:line="210" w:lineRule="exact"/>
              <w:rPr>
                <w:highlight w:val="yellow"/>
              </w:rPr>
            </w:pPr>
            <w:r w:rsidRPr="002D316B">
              <w:t>83.8</w:t>
            </w:r>
          </w:p>
        </w:tc>
        <w:tc>
          <w:tcPr>
            <w:tcW w:w="2373" w:type="dxa"/>
            <w:vMerge/>
            <w:shd w:val="clear" w:color="auto" w:fill="auto"/>
            <w:noWrap/>
          </w:tcPr>
          <w:p w14:paraId="4C570997" w14:textId="77777777" w:rsidR="00FB5A2F" w:rsidRPr="00C00335" w:rsidRDefault="00FB5A2F" w:rsidP="00FB5A2F">
            <w:pPr>
              <w:pStyle w:val="TableText"/>
              <w:spacing w:before="20" w:after="20" w:line="210" w:lineRule="exact"/>
            </w:pPr>
          </w:p>
        </w:tc>
      </w:tr>
      <w:tr w:rsidR="00FB5A2F" w:rsidRPr="00C00335" w14:paraId="7E532077"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345D079E" w14:textId="3898A204" w:rsidR="00FB5A2F" w:rsidRPr="00E832D1" w:rsidRDefault="00FB5A2F" w:rsidP="00FB5A2F">
            <w:pPr>
              <w:pStyle w:val="TableText"/>
              <w:spacing w:before="20" w:after="20" w:line="210" w:lineRule="exact"/>
              <w:ind w:left="450"/>
            </w:pPr>
            <w:r w:rsidRPr="00E832D1">
              <w:t xml:space="preserve">        45-54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6FFA0187" w14:textId="2A2FDF2B"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5197CAB" w14:textId="09914F96"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DD0AA3A" w14:textId="26A6F49A"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91F4171" w14:textId="5611C213" w:rsidR="00FB5A2F" w:rsidRPr="004933A2" w:rsidRDefault="00FB5A2F" w:rsidP="00FB5A2F">
            <w:pPr>
              <w:pStyle w:val="TableTextDec"/>
              <w:tabs>
                <w:tab w:val="clear" w:pos="1015"/>
                <w:tab w:val="decimal" w:pos="341"/>
              </w:tabs>
              <w:spacing w:before="20" w:after="20" w:line="210" w:lineRule="exact"/>
              <w:rPr>
                <w:highlight w:val="yellow"/>
              </w:rPr>
            </w:pPr>
            <w:r w:rsidRPr="002D316B">
              <w:t>68.7</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F1E8C1A" w14:textId="36093D71" w:rsidR="00FB5A2F" w:rsidRPr="004933A2" w:rsidRDefault="00FB5A2F" w:rsidP="00FB5A2F">
            <w:pPr>
              <w:pStyle w:val="TableTextDec"/>
              <w:tabs>
                <w:tab w:val="clear" w:pos="1015"/>
                <w:tab w:val="decimal" w:pos="341"/>
              </w:tabs>
              <w:spacing w:before="20" w:after="20" w:line="210" w:lineRule="exact"/>
              <w:rPr>
                <w:highlight w:val="yellow"/>
              </w:rPr>
            </w:pPr>
            <w:r w:rsidRPr="002D316B">
              <w:t>70.5</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01F1AB8C" w14:textId="215F9300" w:rsidR="00FB5A2F" w:rsidRPr="004933A2" w:rsidRDefault="00FB5A2F" w:rsidP="00FB5A2F">
            <w:pPr>
              <w:pStyle w:val="TableTextDec"/>
              <w:tabs>
                <w:tab w:val="clear" w:pos="1015"/>
                <w:tab w:val="decimal" w:pos="341"/>
              </w:tabs>
              <w:spacing w:before="20" w:after="20" w:line="210" w:lineRule="exact"/>
              <w:rPr>
                <w:highlight w:val="yellow"/>
              </w:rPr>
            </w:pPr>
            <w:r w:rsidRPr="002D316B">
              <w:t>70.0</w:t>
            </w:r>
          </w:p>
        </w:tc>
        <w:tc>
          <w:tcPr>
            <w:tcW w:w="2373" w:type="dxa"/>
            <w:vMerge/>
            <w:shd w:val="clear" w:color="auto" w:fill="auto"/>
            <w:noWrap/>
          </w:tcPr>
          <w:p w14:paraId="2F4ED521" w14:textId="77777777" w:rsidR="00FB5A2F" w:rsidRPr="00C00335" w:rsidRDefault="00FB5A2F" w:rsidP="00FB5A2F">
            <w:pPr>
              <w:pStyle w:val="TableText"/>
              <w:spacing w:before="20" w:after="20" w:line="210" w:lineRule="exact"/>
            </w:pPr>
          </w:p>
        </w:tc>
      </w:tr>
      <w:tr w:rsidR="00FB5A2F" w:rsidRPr="00C00335" w14:paraId="720CDF71"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08694543" w14:textId="53FC495F" w:rsidR="00FB5A2F" w:rsidRPr="00E832D1" w:rsidRDefault="00FB5A2F" w:rsidP="00FB5A2F">
            <w:pPr>
              <w:pStyle w:val="TableText"/>
              <w:spacing w:before="20" w:after="20" w:line="210" w:lineRule="exact"/>
              <w:ind w:left="450"/>
            </w:pPr>
            <w:r w:rsidRPr="00E832D1">
              <w:t xml:space="preserve">        55-64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992CE24" w14:textId="728FE32C"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FFB1AC4" w14:textId="150B0AEB"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F3E82F4" w14:textId="63AE9DA1"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C32BBDC" w14:textId="4286447E" w:rsidR="00FB5A2F" w:rsidRPr="004933A2" w:rsidRDefault="00FB5A2F" w:rsidP="00FB5A2F">
            <w:pPr>
              <w:pStyle w:val="TableTextDec"/>
              <w:tabs>
                <w:tab w:val="clear" w:pos="1015"/>
                <w:tab w:val="decimal" w:pos="341"/>
              </w:tabs>
              <w:spacing w:before="20" w:after="20" w:line="210" w:lineRule="exact"/>
              <w:rPr>
                <w:highlight w:val="yellow"/>
              </w:rPr>
            </w:pPr>
            <w:r w:rsidRPr="002D316B">
              <w:t>73.2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15DAC14" w14:textId="41A83BBE" w:rsidR="00FB5A2F" w:rsidRPr="004933A2" w:rsidRDefault="00FB5A2F" w:rsidP="00FB5A2F">
            <w:pPr>
              <w:pStyle w:val="TableTextDec"/>
              <w:tabs>
                <w:tab w:val="clear" w:pos="1015"/>
                <w:tab w:val="decimal" w:pos="341"/>
              </w:tabs>
              <w:spacing w:before="20" w:after="20" w:line="210" w:lineRule="exact"/>
              <w:rPr>
                <w:highlight w:val="yellow"/>
              </w:rPr>
            </w:pPr>
            <w:r w:rsidRPr="002D316B">
              <w:t>72.5</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619F6E34" w14:textId="62C83886" w:rsidR="00FB5A2F" w:rsidRPr="004933A2" w:rsidRDefault="00FB5A2F" w:rsidP="00FB5A2F">
            <w:pPr>
              <w:pStyle w:val="TableTextDec"/>
              <w:tabs>
                <w:tab w:val="clear" w:pos="1015"/>
                <w:tab w:val="decimal" w:pos="341"/>
              </w:tabs>
              <w:spacing w:before="20" w:after="20" w:line="210" w:lineRule="exact"/>
              <w:rPr>
                <w:highlight w:val="yellow"/>
              </w:rPr>
            </w:pPr>
            <w:r w:rsidRPr="002D316B">
              <w:t>60.7</w:t>
            </w:r>
          </w:p>
        </w:tc>
        <w:tc>
          <w:tcPr>
            <w:tcW w:w="2373" w:type="dxa"/>
            <w:vMerge/>
            <w:shd w:val="clear" w:color="auto" w:fill="auto"/>
            <w:noWrap/>
          </w:tcPr>
          <w:p w14:paraId="3C53B328" w14:textId="77777777" w:rsidR="00FB5A2F" w:rsidRPr="00C00335" w:rsidRDefault="00FB5A2F" w:rsidP="00FB5A2F">
            <w:pPr>
              <w:pStyle w:val="TableText"/>
              <w:spacing w:before="20" w:after="20" w:line="210" w:lineRule="exact"/>
            </w:pPr>
          </w:p>
        </w:tc>
      </w:tr>
      <w:tr w:rsidR="00FB5A2F" w:rsidRPr="00C00335" w14:paraId="20E4CC3F"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432A52C8" w14:textId="41E16A42" w:rsidR="00FB5A2F" w:rsidRPr="00E832D1" w:rsidRDefault="00FB5A2F" w:rsidP="00FB5A2F">
            <w:pPr>
              <w:pStyle w:val="TableText"/>
              <w:spacing w:before="20" w:after="20" w:line="210" w:lineRule="exact"/>
              <w:ind w:left="450"/>
            </w:pPr>
            <w:r w:rsidRPr="00E832D1">
              <w:t xml:space="preserve">        65+</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9B6A41A" w14:textId="05343C0A"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EC248B7" w14:textId="3FF000FB"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E6C9B6C" w14:textId="7562839C"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79383AF" w14:textId="020E2CF5" w:rsidR="00FB5A2F" w:rsidRPr="004933A2" w:rsidRDefault="00FB5A2F" w:rsidP="00FB5A2F">
            <w:pPr>
              <w:pStyle w:val="TableTextDec"/>
              <w:tabs>
                <w:tab w:val="clear" w:pos="1015"/>
                <w:tab w:val="decimal" w:pos="341"/>
              </w:tabs>
              <w:spacing w:before="20" w:after="20" w:line="210" w:lineRule="exact"/>
              <w:rPr>
                <w:highlight w:val="yellow"/>
              </w:rPr>
            </w:pPr>
            <w:r w:rsidRPr="002D316B">
              <w:t>53.1</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12F9761" w14:textId="3A2905D3" w:rsidR="00FB5A2F" w:rsidRPr="004933A2" w:rsidRDefault="00FB5A2F" w:rsidP="00FB5A2F">
            <w:pPr>
              <w:pStyle w:val="TableTextDec"/>
              <w:tabs>
                <w:tab w:val="clear" w:pos="1015"/>
                <w:tab w:val="decimal" w:pos="341"/>
              </w:tabs>
              <w:spacing w:before="20" w:after="20" w:line="210" w:lineRule="exact"/>
              <w:rPr>
                <w:highlight w:val="yellow"/>
              </w:rPr>
            </w:pPr>
            <w:r w:rsidRPr="002D316B">
              <w:t>57.7</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79CF5706" w14:textId="3F1D598E" w:rsidR="00FB5A2F" w:rsidRPr="004933A2" w:rsidRDefault="00FB5A2F" w:rsidP="00FB5A2F">
            <w:pPr>
              <w:pStyle w:val="TableTextDec"/>
              <w:tabs>
                <w:tab w:val="clear" w:pos="1015"/>
                <w:tab w:val="decimal" w:pos="341"/>
              </w:tabs>
              <w:spacing w:before="20" w:after="20" w:line="210" w:lineRule="exact"/>
              <w:rPr>
                <w:highlight w:val="yellow"/>
              </w:rPr>
            </w:pPr>
            <w:r w:rsidRPr="002D316B">
              <w:t>53.1</w:t>
            </w:r>
          </w:p>
        </w:tc>
        <w:tc>
          <w:tcPr>
            <w:tcW w:w="2373" w:type="dxa"/>
            <w:vMerge/>
            <w:shd w:val="clear" w:color="auto" w:fill="auto"/>
            <w:noWrap/>
          </w:tcPr>
          <w:p w14:paraId="224A8BE0" w14:textId="77777777" w:rsidR="00FB5A2F" w:rsidRPr="00C00335" w:rsidRDefault="00FB5A2F" w:rsidP="00FB5A2F">
            <w:pPr>
              <w:pStyle w:val="TableText"/>
              <w:spacing w:before="20" w:after="20" w:line="210" w:lineRule="exact"/>
            </w:pPr>
          </w:p>
        </w:tc>
      </w:tr>
      <w:tr w:rsidR="00C02ADB" w:rsidRPr="00C00335" w14:paraId="43C88C04"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2B8FB0F3" w14:textId="528C42CD" w:rsidR="00C02ADB" w:rsidRPr="00E832D1" w:rsidRDefault="00C02ADB" w:rsidP="00C02ADB">
            <w:pPr>
              <w:pStyle w:val="TableText"/>
              <w:spacing w:before="20" w:after="20" w:line="210" w:lineRule="exact"/>
              <w:ind w:left="450"/>
            </w:pPr>
            <w:r w:rsidRPr="00E832D1">
              <w:t>Low</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2842A3A" w14:textId="466A5849" w:rsidR="00C02ADB" w:rsidRPr="00E832D1" w:rsidRDefault="00C02ADB" w:rsidP="00C02ADB">
            <w:pPr>
              <w:pStyle w:val="TableTextDec"/>
              <w:tabs>
                <w:tab w:val="clear" w:pos="1015"/>
                <w:tab w:val="decimal" w:pos="341"/>
              </w:tabs>
              <w:spacing w:before="20" w:after="20" w:line="210" w:lineRule="exact"/>
              <w:jc w:val="center"/>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354C5A4" w14:textId="70EFA10C" w:rsidR="00C02ADB" w:rsidRPr="00E832D1" w:rsidRDefault="00C02ADB" w:rsidP="00C02ADB">
            <w:pPr>
              <w:pStyle w:val="TableTextDec"/>
              <w:tabs>
                <w:tab w:val="clear" w:pos="1015"/>
                <w:tab w:val="decimal" w:pos="341"/>
              </w:tabs>
              <w:spacing w:before="20" w:after="20" w:line="210" w:lineRule="exact"/>
              <w:jc w:val="center"/>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62F04DC" w14:textId="530156C5" w:rsidR="00C02ADB" w:rsidRPr="00E832D1" w:rsidRDefault="00C02ADB" w:rsidP="00C02ADB">
            <w:pPr>
              <w:pStyle w:val="TableTextDec"/>
              <w:tabs>
                <w:tab w:val="clear" w:pos="1015"/>
                <w:tab w:val="decimal" w:pos="341"/>
              </w:tabs>
              <w:spacing w:before="20" w:after="20" w:line="210" w:lineRule="exact"/>
              <w:jc w:val="center"/>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4DA556D" w14:textId="756AAFC3" w:rsidR="00C02ADB" w:rsidRPr="004933A2" w:rsidRDefault="00C02ADB" w:rsidP="00C02ADB">
            <w:pPr>
              <w:pStyle w:val="TableTextDec"/>
              <w:tabs>
                <w:tab w:val="clear" w:pos="1015"/>
                <w:tab w:val="decimal" w:pos="341"/>
              </w:tabs>
              <w:spacing w:before="20" w:after="20" w:line="210" w:lineRule="exact"/>
              <w:rPr>
                <w:highlight w:val="yellow"/>
              </w:rPr>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70BE07C" w14:textId="18E5B0C5" w:rsidR="00C02ADB" w:rsidRPr="004933A2" w:rsidRDefault="00C02ADB" w:rsidP="00C02ADB">
            <w:pPr>
              <w:pStyle w:val="TableTextDec"/>
              <w:tabs>
                <w:tab w:val="clear" w:pos="1015"/>
                <w:tab w:val="decimal" w:pos="341"/>
              </w:tabs>
              <w:spacing w:before="20" w:after="20" w:line="210" w:lineRule="exact"/>
              <w:rPr>
                <w:highlight w:val="yellow"/>
              </w:rPr>
            </w:pP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3DAFBD21" w14:textId="3EBB42D1" w:rsidR="00C02ADB" w:rsidRPr="004933A2" w:rsidRDefault="00C02ADB" w:rsidP="00C02ADB">
            <w:pPr>
              <w:pStyle w:val="TableTextDec"/>
              <w:tabs>
                <w:tab w:val="clear" w:pos="1015"/>
                <w:tab w:val="decimal" w:pos="341"/>
              </w:tabs>
              <w:spacing w:before="20" w:after="20" w:line="210" w:lineRule="exact"/>
              <w:rPr>
                <w:highlight w:val="yellow"/>
              </w:rPr>
            </w:pPr>
          </w:p>
        </w:tc>
        <w:tc>
          <w:tcPr>
            <w:tcW w:w="2373" w:type="dxa"/>
            <w:vMerge w:val="restart"/>
            <w:tcBorders>
              <w:top w:val="single" w:sz="6" w:space="0" w:color="808080" w:themeColor="background1" w:themeShade="80"/>
            </w:tcBorders>
            <w:shd w:val="clear" w:color="auto" w:fill="auto"/>
            <w:noWrap/>
          </w:tcPr>
          <w:p w14:paraId="19F76ACA" w14:textId="02EA0660" w:rsidR="00C02ADB" w:rsidRPr="00C00335" w:rsidRDefault="00C02ADB" w:rsidP="00C02ADB">
            <w:pPr>
              <w:pStyle w:val="TableText"/>
              <w:spacing w:before="20" w:after="20" w:line="210" w:lineRule="exact"/>
            </w:pPr>
            <w:r>
              <w:t>Determined by calibration</w:t>
            </w:r>
          </w:p>
        </w:tc>
      </w:tr>
      <w:tr w:rsidR="00FB5A2F" w:rsidRPr="00C00335" w14:paraId="1A84A8A0"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018E899D" w14:textId="3193B1BE" w:rsidR="00FB5A2F" w:rsidRPr="00E832D1" w:rsidRDefault="00FB5A2F" w:rsidP="00FB5A2F">
            <w:pPr>
              <w:pStyle w:val="TableText"/>
              <w:spacing w:before="20" w:after="20" w:line="210" w:lineRule="exact"/>
              <w:ind w:left="450"/>
            </w:pPr>
            <w:r w:rsidRPr="00E832D1">
              <w:t xml:space="preserve">        13-17</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441FC10" w14:textId="3EA6189D"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26FDC37" w14:textId="050B1A3A"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85FE63A" w14:textId="15F9D8B9"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20FF40C" w14:textId="31754FD2" w:rsidR="00FB5A2F" w:rsidRPr="004933A2" w:rsidRDefault="00FB5A2F" w:rsidP="00FB5A2F">
            <w:pPr>
              <w:pStyle w:val="TableTextDec"/>
              <w:tabs>
                <w:tab w:val="clear" w:pos="1015"/>
                <w:tab w:val="decimal" w:pos="341"/>
              </w:tabs>
              <w:spacing w:before="20" w:after="20" w:line="210" w:lineRule="exact"/>
              <w:rPr>
                <w:highlight w:val="yellow"/>
              </w:rPr>
            </w:pPr>
            <w:r w:rsidRPr="002A44C9">
              <w:t>11.9</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9124AF3" w14:textId="6DE2AA62" w:rsidR="00FB5A2F" w:rsidRPr="004933A2" w:rsidRDefault="00FB5A2F" w:rsidP="00FB5A2F">
            <w:pPr>
              <w:pStyle w:val="TableTextDec"/>
              <w:tabs>
                <w:tab w:val="clear" w:pos="1015"/>
                <w:tab w:val="decimal" w:pos="341"/>
              </w:tabs>
              <w:spacing w:before="20" w:after="20" w:line="210" w:lineRule="exact"/>
              <w:rPr>
                <w:highlight w:val="yellow"/>
              </w:rPr>
            </w:pPr>
            <w:r w:rsidRPr="002A44C9">
              <w:t>11.3</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3DD216E8" w14:textId="04E73B00" w:rsidR="00FB5A2F" w:rsidRPr="004933A2" w:rsidRDefault="00FB5A2F" w:rsidP="00FB5A2F">
            <w:pPr>
              <w:pStyle w:val="TableTextDec"/>
              <w:tabs>
                <w:tab w:val="clear" w:pos="1015"/>
                <w:tab w:val="decimal" w:pos="341"/>
              </w:tabs>
              <w:spacing w:before="20" w:after="20" w:line="210" w:lineRule="exact"/>
              <w:rPr>
                <w:highlight w:val="yellow"/>
              </w:rPr>
            </w:pPr>
            <w:r w:rsidRPr="002A44C9">
              <w:t>11.4</w:t>
            </w:r>
          </w:p>
        </w:tc>
        <w:tc>
          <w:tcPr>
            <w:tcW w:w="2373" w:type="dxa"/>
            <w:vMerge/>
            <w:shd w:val="clear" w:color="auto" w:fill="auto"/>
            <w:noWrap/>
          </w:tcPr>
          <w:p w14:paraId="3FC598D3" w14:textId="77777777" w:rsidR="00FB5A2F" w:rsidRPr="00C00335" w:rsidRDefault="00FB5A2F" w:rsidP="00FB5A2F">
            <w:pPr>
              <w:pStyle w:val="TableText"/>
              <w:spacing w:before="20" w:after="20" w:line="210" w:lineRule="exact"/>
            </w:pPr>
          </w:p>
        </w:tc>
      </w:tr>
      <w:tr w:rsidR="00FB5A2F" w:rsidRPr="00C00335" w14:paraId="1DD66763"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36767448" w14:textId="0A1698BF" w:rsidR="00FB5A2F" w:rsidRPr="00E832D1" w:rsidRDefault="00FB5A2F" w:rsidP="00FB5A2F">
            <w:pPr>
              <w:pStyle w:val="TableText"/>
              <w:spacing w:before="20" w:after="20" w:line="210" w:lineRule="exact"/>
              <w:ind w:left="450"/>
            </w:pPr>
            <w:r w:rsidRPr="00E832D1">
              <w:t xml:space="preserve">        18-24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7957C6DE" w14:textId="2CFBE6C8"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7753540" w14:textId="56D15BA0"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688A2CE" w14:textId="38B4E237"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2DA8868" w14:textId="668A1291" w:rsidR="00FB5A2F" w:rsidRPr="004933A2" w:rsidRDefault="00FB5A2F" w:rsidP="00FB5A2F">
            <w:pPr>
              <w:pStyle w:val="TableTextDec"/>
              <w:tabs>
                <w:tab w:val="clear" w:pos="1015"/>
                <w:tab w:val="decimal" w:pos="341"/>
              </w:tabs>
              <w:spacing w:before="20" w:after="20" w:line="210" w:lineRule="exact"/>
              <w:rPr>
                <w:highlight w:val="yellow"/>
              </w:rPr>
            </w:pPr>
            <w:r w:rsidRPr="002A44C9">
              <w:t>58.6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4AFFA3C" w14:textId="7CFDAA36" w:rsidR="00FB5A2F" w:rsidRPr="004933A2" w:rsidRDefault="00FB5A2F" w:rsidP="00FB5A2F">
            <w:pPr>
              <w:pStyle w:val="TableTextDec"/>
              <w:tabs>
                <w:tab w:val="clear" w:pos="1015"/>
                <w:tab w:val="decimal" w:pos="341"/>
              </w:tabs>
              <w:spacing w:before="20" w:after="20" w:line="210" w:lineRule="exact"/>
              <w:rPr>
                <w:highlight w:val="yellow"/>
              </w:rPr>
            </w:pPr>
            <w:r w:rsidRPr="002A44C9">
              <w:t>52.3</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1E1FC4B0" w14:textId="50C15812" w:rsidR="00FB5A2F" w:rsidRPr="004933A2" w:rsidRDefault="00FB5A2F" w:rsidP="00FB5A2F">
            <w:pPr>
              <w:pStyle w:val="TableTextDec"/>
              <w:tabs>
                <w:tab w:val="clear" w:pos="1015"/>
                <w:tab w:val="decimal" w:pos="341"/>
              </w:tabs>
              <w:spacing w:before="20" w:after="20" w:line="210" w:lineRule="exact"/>
              <w:rPr>
                <w:highlight w:val="yellow"/>
              </w:rPr>
            </w:pPr>
            <w:r w:rsidRPr="002A44C9">
              <w:t>50.5</w:t>
            </w:r>
          </w:p>
        </w:tc>
        <w:tc>
          <w:tcPr>
            <w:tcW w:w="2373" w:type="dxa"/>
            <w:vMerge/>
            <w:shd w:val="clear" w:color="auto" w:fill="auto"/>
            <w:noWrap/>
          </w:tcPr>
          <w:p w14:paraId="43C95533" w14:textId="77777777" w:rsidR="00FB5A2F" w:rsidRPr="00C00335" w:rsidRDefault="00FB5A2F" w:rsidP="00FB5A2F">
            <w:pPr>
              <w:pStyle w:val="TableText"/>
              <w:spacing w:before="20" w:after="20" w:line="210" w:lineRule="exact"/>
            </w:pPr>
          </w:p>
        </w:tc>
      </w:tr>
      <w:tr w:rsidR="00FB5A2F" w:rsidRPr="00C00335" w14:paraId="7A785AB4"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161F7CA6" w14:textId="1FEE9F3F" w:rsidR="00FB5A2F" w:rsidRPr="00E832D1" w:rsidRDefault="00FB5A2F" w:rsidP="00FB5A2F">
            <w:pPr>
              <w:pStyle w:val="TableText"/>
              <w:spacing w:before="20" w:after="20" w:line="210" w:lineRule="exact"/>
              <w:ind w:left="450"/>
            </w:pPr>
            <w:r w:rsidRPr="00E832D1">
              <w:t xml:space="preserve">        25-34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50FDAD6B" w14:textId="0E5730B3"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EF2B5CB" w14:textId="41F3F8E7"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034F102" w14:textId="47A08066"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A0E9F68" w14:textId="0CCAE95A" w:rsidR="00FB5A2F" w:rsidRPr="004933A2" w:rsidRDefault="00FB5A2F" w:rsidP="00FB5A2F">
            <w:pPr>
              <w:pStyle w:val="TableTextDec"/>
              <w:tabs>
                <w:tab w:val="clear" w:pos="1015"/>
                <w:tab w:val="decimal" w:pos="341"/>
              </w:tabs>
              <w:spacing w:before="20" w:after="20" w:line="210" w:lineRule="exact"/>
              <w:rPr>
                <w:highlight w:val="yellow"/>
              </w:rPr>
            </w:pPr>
            <w:r w:rsidRPr="002A44C9">
              <w:t>38.0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E065624" w14:textId="092C1238" w:rsidR="00FB5A2F" w:rsidRPr="004933A2" w:rsidRDefault="00FB5A2F" w:rsidP="00FB5A2F">
            <w:pPr>
              <w:pStyle w:val="TableTextDec"/>
              <w:tabs>
                <w:tab w:val="clear" w:pos="1015"/>
                <w:tab w:val="decimal" w:pos="341"/>
              </w:tabs>
              <w:spacing w:before="20" w:after="20" w:line="210" w:lineRule="exact"/>
              <w:rPr>
                <w:highlight w:val="yellow"/>
              </w:rPr>
            </w:pPr>
            <w:r w:rsidRPr="002A44C9">
              <w:t>36.2</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74235235" w14:textId="3C54FBC8" w:rsidR="00FB5A2F" w:rsidRPr="004933A2" w:rsidRDefault="00FB5A2F" w:rsidP="00FB5A2F">
            <w:pPr>
              <w:pStyle w:val="TableTextDec"/>
              <w:tabs>
                <w:tab w:val="clear" w:pos="1015"/>
                <w:tab w:val="decimal" w:pos="341"/>
              </w:tabs>
              <w:spacing w:before="20" w:after="20" w:line="210" w:lineRule="exact"/>
              <w:rPr>
                <w:highlight w:val="yellow"/>
              </w:rPr>
            </w:pPr>
            <w:r w:rsidRPr="002A44C9">
              <w:t>38.8</w:t>
            </w:r>
          </w:p>
        </w:tc>
        <w:tc>
          <w:tcPr>
            <w:tcW w:w="2373" w:type="dxa"/>
            <w:vMerge/>
            <w:shd w:val="clear" w:color="auto" w:fill="auto"/>
            <w:noWrap/>
          </w:tcPr>
          <w:p w14:paraId="0A159EC3" w14:textId="77777777" w:rsidR="00FB5A2F" w:rsidRPr="00C00335" w:rsidRDefault="00FB5A2F" w:rsidP="00FB5A2F">
            <w:pPr>
              <w:pStyle w:val="TableText"/>
              <w:spacing w:before="20" w:after="20" w:line="210" w:lineRule="exact"/>
            </w:pPr>
          </w:p>
        </w:tc>
      </w:tr>
      <w:tr w:rsidR="00FB5A2F" w:rsidRPr="00C00335" w14:paraId="05BEB5BC"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7C572D78" w14:textId="205FEEC8" w:rsidR="00FB5A2F" w:rsidRPr="00E832D1" w:rsidRDefault="00FB5A2F" w:rsidP="00FB5A2F">
            <w:pPr>
              <w:pStyle w:val="TableText"/>
              <w:spacing w:before="20" w:after="20" w:line="210" w:lineRule="exact"/>
              <w:ind w:left="450"/>
            </w:pPr>
            <w:r w:rsidRPr="00E832D1">
              <w:t xml:space="preserve">        35-44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7785A44" w14:textId="736A91A8"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F2BBE58" w14:textId="5A62DA9B"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C31EF10" w14:textId="1D6960D3"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2AD2263" w14:textId="3785E3EE" w:rsidR="00FB5A2F" w:rsidRPr="004933A2" w:rsidRDefault="00FB5A2F" w:rsidP="00FB5A2F">
            <w:pPr>
              <w:pStyle w:val="TableTextDec"/>
              <w:tabs>
                <w:tab w:val="clear" w:pos="1015"/>
                <w:tab w:val="decimal" w:pos="341"/>
              </w:tabs>
              <w:spacing w:before="20" w:after="20" w:line="210" w:lineRule="exact"/>
              <w:rPr>
                <w:highlight w:val="yellow"/>
              </w:rPr>
            </w:pPr>
            <w:r w:rsidRPr="002A44C9">
              <w:t>50.6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70D0741" w14:textId="790738AE" w:rsidR="00FB5A2F" w:rsidRPr="004933A2" w:rsidRDefault="00FB5A2F" w:rsidP="00FB5A2F">
            <w:pPr>
              <w:pStyle w:val="TableTextDec"/>
              <w:tabs>
                <w:tab w:val="clear" w:pos="1015"/>
                <w:tab w:val="decimal" w:pos="341"/>
              </w:tabs>
              <w:spacing w:before="20" w:after="20" w:line="210" w:lineRule="exact"/>
              <w:rPr>
                <w:highlight w:val="yellow"/>
              </w:rPr>
            </w:pPr>
            <w:r w:rsidRPr="002A44C9">
              <w:t>37.1</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29DC39E8" w14:textId="6976C3FE" w:rsidR="00FB5A2F" w:rsidRPr="004933A2" w:rsidRDefault="00FB5A2F" w:rsidP="00FB5A2F">
            <w:pPr>
              <w:pStyle w:val="TableTextDec"/>
              <w:tabs>
                <w:tab w:val="clear" w:pos="1015"/>
                <w:tab w:val="decimal" w:pos="341"/>
              </w:tabs>
              <w:spacing w:before="20" w:after="20" w:line="210" w:lineRule="exact"/>
              <w:rPr>
                <w:highlight w:val="yellow"/>
              </w:rPr>
            </w:pPr>
            <w:r w:rsidRPr="002A44C9">
              <w:t>42.9</w:t>
            </w:r>
          </w:p>
        </w:tc>
        <w:tc>
          <w:tcPr>
            <w:tcW w:w="2373" w:type="dxa"/>
            <w:vMerge/>
            <w:shd w:val="clear" w:color="auto" w:fill="auto"/>
            <w:noWrap/>
          </w:tcPr>
          <w:p w14:paraId="00A64556" w14:textId="77777777" w:rsidR="00FB5A2F" w:rsidRPr="00C00335" w:rsidRDefault="00FB5A2F" w:rsidP="00FB5A2F">
            <w:pPr>
              <w:pStyle w:val="TableText"/>
              <w:spacing w:before="20" w:after="20" w:line="210" w:lineRule="exact"/>
            </w:pPr>
          </w:p>
        </w:tc>
      </w:tr>
      <w:tr w:rsidR="00FB5A2F" w:rsidRPr="00C00335" w14:paraId="719D243A"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7EAF9D86" w14:textId="1B583FA8" w:rsidR="00FB5A2F" w:rsidRPr="00E832D1" w:rsidRDefault="00FB5A2F" w:rsidP="00FB5A2F">
            <w:pPr>
              <w:pStyle w:val="TableText"/>
              <w:spacing w:before="20" w:after="20" w:line="210" w:lineRule="exact"/>
              <w:ind w:left="450"/>
            </w:pPr>
            <w:r w:rsidRPr="00E832D1">
              <w:t xml:space="preserve">        45-54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323B26BA" w14:textId="6EB4436F"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2496997" w14:textId="148BEFCA"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5648C49" w14:textId="577AD29A"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D66C2D5" w14:textId="0759867E" w:rsidR="00FB5A2F" w:rsidRPr="004933A2" w:rsidRDefault="00FB5A2F" w:rsidP="00FB5A2F">
            <w:pPr>
              <w:pStyle w:val="TableTextDec"/>
              <w:tabs>
                <w:tab w:val="clear" w:pos="1015"/>
                <w:tab w:val="decimal" w:pos="341"/>
              </w:tabs>
              <w:spacing w:before="20" w:after="20" w:line="210" w:lineRule="exact"/>
              <w:rPr>
                <w:highlight w:val="yellow"/>
              </w:rPr>
            </w:pPr>
            <w:r w:rsidRPr="002A44C9">
              <w:t>27.3</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A4D3806" w14:textId="7BCEEC77" w:rsidR="00FB5A2F" w:rsidRPr="004933A2" w:rsidRDefault="00FB5A2F" w:rsidP="00FB5A2F">
            <w:pPr>
              <w:pStyle w:val="TableTextDec"/>
              <w:tabs>
                <w:tab w:val="clear" w:pos="1015"/>
                <w:tab w:val="decimal" w:pos="341"/>
              </w:tabs>
              <w:spacing w:before="20" w:after="20" w:line="210" w:lineRule="exact"/>
              <w:rPr>
                <w:highlight w:val="yellow"/>
              </w:rPr>
            </w:pPr>
            <w:r w:rsidRPr="002A44C9">
              <w:t>28.0</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5F6B256E" w14:textId="133B282F" w:rsidR="00FB5A2F" w:rsidRPr="004933A2" w:rsidRDefault="00FB5A2F" w:rsidP="00FB5A2F">
            <w:pPr>
              <w:pStyle w:val="TableTextDec"/>
              <w:tabs>
                <w:tab w:val="clear" w:pos="1015"/>
                <w:tab w:val="decimal" w:pos="341"/>
              </w:tabs>
              <w:spacing w:before="20" w:after="20" w:line="210" w:lineRule="exact"/>
              <w:rPr>
                <w:highlight w:val="yellow"/>
              </w:rPr>
            </w:pPr>
            <w:r w:rsidRPr="002A44C9">
              <w:t>27.8</w:t>
            </w:r>
          </w:p>
        </w:tc>
        <w:tc>
          <w:tcPr>
            <w:tcW w:w="2373" w:type="dxa"/>
            <w:vMerge/>
            <w:shd w:val="clear" w:color="auto" w:fill="auto"/>
            <w:noWrap/>
          </w:tcPr>
          <w:p w14:paraId="2C87D257" w14:textId="77777777" w:rsidR="00FB5A2F" w:rsidRPr="00C00335" w:rsidRDefault="00FB5A2F" w:rsidP="00FB5A2F">
            <w:pPr>
              <w:pStyle w:val="TableText"/>
              <w:spacing w:before="20" w:after="20" w:line="210" w:lineRule="exact"/>
            </w:pPr>
          </w:p>
        </w:tc>
      </w:tr>
      <w:tr w:rsidR="00FB5A2F" w:rsidRPr="00C00335" w14:paraId="0276173C"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76B3A3C9" w14:textId="238ED112" w:rsidR="00FB5A2F" w:rsidRPr="00E832D1" w:rsidRDefault="00FB5A2F" w:rsidP="00FB5A2F">
            <w:pPr>
              <w:pStyle w:val="TableText"/>
              <w:spacing w:before="20" w:after="20" w:line="210" w:lineRule="exact"/>
              <w:ind w:left="450"/>
            </w:pPr>
            <w:r w:rsidRPr="00E832D1">
              <w:t xml:space="preserve">        55-64</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649F46A3" w14:textId="1DEE3CF5"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D65B55A" w14:textId="57A542C4"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1EB2B3D" w14:textId="79FF4925"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5E6B26E" w14:textId="0092DD56" w:rsidR="00FB5A2F" w:rsidRPr="004933A2" w:rsidRDefault="00FB5A2F" w:rsidP="00FB5A2F">
            <w:pPr>
              <w:pStyle w:val="TableTextDec"/>
              <w:tabs>
                <w:tab w:val="clear" w:pos="1015"/>
                <w:tab w:val="decimal" w:pos="341"/>
              </w:tabs>
              <w:spacing w:before="20" w:after="20" w:line="210" w:lineRule="exact"/>
              <w:rPr>
                <w:highlight w:val="yellow"/>
              </w:rPr>
            </w:pPr>
            <w:r w:rsidRPr="002A44C9">
              <w:t>38.2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E57F5AF" w14:textId="0002EC1F" w:rsidR="00FB5A2F" w:rsidRPr="004933A2" w:rsidRDefault="00FB5A2F" w:rsidP="00FB5A2F">
            <w:pPr>
              <w:pStyle w:val="TableTextDec"/>
              <w:tabs>
                <w:tab w:val="clear" w:pos="1015"/>
                <w:tab w:val="decimal" w:pos="341"/>
              </w:tabs>
              <w:spacing w:before="20" w:after="20" w:line="210" w:lineRule="exact"/>
              <w:rPr>
                <w:highlight w:val="yellow"/>
              </w:rPr>
            </w:pPr>
            <w:r w:rsidRPr="002A44C9">
              <w:t>37.8</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4F791E9A" w14:textId="4042ECF6" w:rsidR="00FB5A2F" w:rsidRPr="004933A2" w:rsidRDefault="00FB5A2F" w:rsidP="00FB5A2F">
            <w:pPr>
              <w:pStyle w:val="TableTextDec"/>
              <w:tabs>
                <w:tab w:val="clear" w:pos="1015"/>
                <w:tab w:val="decimal" w:pos="341"/>
              </w:tabs>
              <w:spacing w:before="20" w:after="20" w:line="210" w:lineRule="exact"/>
              <w:rPr>
                <w:highlight w:val="yellow"/>
              </w:rPr>
            </w:pPr>
            <w:r w:rsidRPr="002A44C9">
              <w:t>31.7</w:t>
            </w:r>
          </w:p>
        </w:tc>
        <w:tc>
          <w:tcPr>
            <w:tcW w:w="2373" w:type="dxa"/>
            <w:vMerge/>
            <w:shd w:val="clear" w:color="auto" w:fill="auto"/>
            <w:noWrap/>
          </w:tcPr>
          <w:p w14:paraId="7497E697" w14:textId="77777777" w:rsidR="00FB5A2F" w:rsidRPr="00C00335" w:rsidRDefault="00FB5A2F" w:rsidP="00FB5A2F">
            <w:pPr>
              <w:pStyle w:val="TableText"/>
              <w:spacing w:before="20" w:after="20" w:line="210" w:lineRule="exact"/>
            </w:pPr>
          </w:p>
        </w:tc>
      </w:tr>
      <w:tr w:rsidR="00FB5A2F" w:rsidRPr="00C00335" w14:paraId="3764A30C"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tcPr>
          <w:p w14:paraId="26969A0A" w14:textId="38F76C7E" w:rsidR="00FB5A2F" w:rsidRPr="00E832D1" w:rsidRDefault="00FB5A2F" w:rsidP="00FB5A2F">
            <w:pPr>
              <w:pStyle w:val="TableText"/>
              <w:spacing w:before="20" w:after="20" w:line="210" w:lineRule="exact"/>
              <w:ind w:left="450"/>
            </w:pPr>
            <w:r w:rsidRPr="00E832D1">
              <w:t xml:space="preserve">        65+</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7AA0300B" w14:textId="51A5F884"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E6021F6" w14:textId="673BC554"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903BFE4" w14:textId="7B0E1E80" w:rsidR="00FB5A2F" w:rsidRPr="00E832D1" w:rsidRDefault="00FB5A2F" w:rsidP="00FB5A2F">
            <w:pPr>
              <w:pStyle w:val="TableTextDec"/>
              <w:tabs>
                <w:tab w:val="clear" w:pos="1015"/>
                <w:tab w:val="decimal" w:pos="341"/>
              </w:tabs>
              <w:spacing w:before="20" w:after="20" w:line="210" w:lineRule="exact"/>
              <w:jc w:val="center"/>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FE592D4" w14:textId="4DFC071A" w:rsidR="00FB5A2F" w:rsidRPr="004933A2" w:rsidRDefault="00FB5A2F" w:rsidP="00FB5A2F">
            <w:pPr>
              <w:pStyle w:val="TableTextDec"/>
              <w:tabs>
                <w:tab w:val="clear" w:pos="1015"/>
                <w:tab w:val="decimal" w:pos="341"/>
              </w:tabs>
              <w:spacing w:before="20" w:after="20" w:line="210" w:lineRule="exact"/>
              <w:rPr>
                <w:highlight w:val="yellow"/>
              </w:rPr>
            </w:pPr>
            <w:r w:rsidRPr="002A44C9">
              <w:t>27.8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53E9260" w14:textId="71A2038B" w:rsidR="00FB5A2F" w:rsidRPr="004933A2" w:rsidRDefault="00FB5A2F" w:rsidP="00FB5A2F">
            <w:pPr>
              <w:pStyle w:val="TableTextDec"/>
              <w:tabs>
                <w:tab w:val="clear" w:pos="1015"/>
                <w:tab w:val="decimal" w:pos="341"/>
              </w:tabs>
              <w:spacing w:before="20" w:after="20" w:line="210" w:lineRule="exact"/>
              <w:rPr>
                <w:highlight w:val="yellow"/>
              </w:rPr>
            </w:pPr>
            <w:r w:rsidRPr="002A44C9">
              <w:t>30.2</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0C825208" w14:textId="0A2D4831" w:rsidR="00FB5A2F" w:rsidRPr="004933A2" w:rsidRDefault="00FB5A2F" w:rsidP="00FB5A2F">
            <w:pPr>
              <w:pStyle w:val="TableTextDec"/>
              <w:tabs>
                <w:tab w:val="clear" w:pos="1015"/>
                <w:tab w:val="decimal" w:pos="341"/>
              </w:tabs>
              <w:spacing w:before="20" w:after="20" w:line="210" w:lineRule="exact"/>
              <w:rPr>
                <w:highlight w:val="yellow"/>
              </w:rPr>
            </w:pPr>
            <w:r w:rsidRPr="002A44C9">
              <w:t>27.7</w:t>
            </w:r>
          </w:p>
        </w:tc>
        <w:tc>
          <w:tcPr>
            <w:tcW w:w="2373" w:type="dxa"/>
            <w:vMerge/>
            <w:tcBorders>
              <w:bottom w:val="single" w:sz="6" w:space="0" w:color="808080" w:themeColor="background1" w:themeShade="80"/>
            </w:tcBorders>
            <w:shd w:val="clear" w:color="auto" w:fill="auto"/>
            <w:noWrap/>
          </w:tcPr>
          <w:p w14:paraId="7E91B89F" w14:textId="77777777" w:rsidR="00FB5A2F" w:rsidRPr="00C00335" w:rsidRDefault="00FB5A2F" w:rsidP="00FB5A2F">
            <w:pPr>
              <w:pStyle w:val="TableText"/>
              <w:spacing w:before="20" w:after="20" w:line="210" w:lineRule="exact"/>
            </w:pPr>
          </w:p>
        </w:tc>
      </w:tr>
      <w:tr w:rsidR="00C02ADB" w:rsidRPr="00C00335" w14:paraId="2C122892" w14:textId="77777777" w:rsidTr="006E5792">
        <w:trPr>
          <w:cantSplit/>
        </w:trPr>
        <w:tc>
          <w:tcPr>
            <w:tcW w:w="9448" w:type="dxa"/>
            <w:gridSpan w:val="8"/>
            <w:tcBorders>
              <w:top w:val="single" w:sz="6" w:space="0" w:color="808080" w:themeColor="background1" w:themeShade="80"/>
              <w:bottom w:val="single" w:sz="6" w:space="0" w:color="808080" w:themeColor="background1" w:themeShade="80"/>
            </w:tcBorders>
            <w:shd w:val="clear" w:color="auto" w:fill="auto"/>
            <w:noWrap/>
            <w:hideMark/>
          </w:tcPr>
          <w:p w14:paraId="7FB05DF9" w14:textId="51732EF0" w:rsidR="00C02ADB" w:rsidRPr="004933A2" w:rsidRDefault="00C02ADB" w:rsidP="00C02ADB">
            <w:pPr>
              <w:pStyle w:val="TableText"/>
              <w:spacing w:before="20" w:after="20" w:line="210" w:lineRule="exact"/>
            </w:pPr>
            <w:r w:rsidRPr="004933A2">
              <w:t>Annual number of sexual partners per HIV-uninfected person</w:t>
            </w:r>
          </w:p>
        </w:tc>
      </w:tr>
      <w:tr w:rsidR="00C02ADB" w:rsidRPr="00C00335" w14:paraId="4530354E"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4FAB407B" w14:textId="77777777" w:rsidR="00C02ADB" w:rsidRPr="004933A2" w:rsidRDefault="00C02ADB" w:rsidP="00C02ADB">
            <w:pPr>
              <w:pStyle w:val="TableText"/>
              <w:spacing w:before="20" w:after="20" w:line="210" w:lineRule="exact"/>
              <w:ind w:left="270"/>
            </w:pPr>
            <w:r w:rsidRPr="004933A2">
              <w:t>HET</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77D5878C" w14:textId="77777777" w:rsidR="00C02ADB" w:rsidRPr="004933A2" w:rsidRDefault="00C02ADB" w:rsidP="00C02ADB">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55BDF008" w14:textId="77777777" w:rsidR="00C02ADB" w:rsidRPr="004933A2" w:rsidRDefault="00C02ADB" w:rsidP="00C02ADB">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72AE4B94" w14:textId="77777777" w:rsidR="00C02ADB" w:rsidRPr="004933A2" w:rsidRDefault="00C02ADB" w:rsidP="00C02ADB">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23966374" w14:textId="77777777" w:rsidR="00C02ADB" w:rsidRPr="004933A2" w:rsidRDefault="00C02ADB" w:rsidP="00C02ADB">
            <w:pPr>
              <w:pStyle w:val="TableText"/>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5B722830" w14:textId="77777777" w:rsidR="00C02ADB" w:rsidRPr="004933A2" w:rsidRDefault="00C02ADB" w:rsidP="00C02ADB">
            <w:pPr>
              <w:pStyle w:val="TableText"/>
              <w:spacing w:before="20" w:after="20" w:line="210" w:lineRule="exact"/>
            </w:pPr>
          </w:p>
        </w:tc>
        <w:tc>
          <w:tcPr>
            <w:tcW w:w="853" w:type="dxa"/>
            <w:tcBorders>
              <w:top w:val="single" w:sz="6" w:space="0" w:color="808080" w:themeColor="background1" w:themeShade="80"/>
              <w:bottom w:val="single" w:sz="6" w:space="0" w:color="808080" w:themeColor="background1" w:themeShade="80"/>
            </w:tcBorders>
            <w:shd w:val="clear" w:color="auto" w:fill="auto"/>
            <w:noWrap/>
            <w:hideMark/>
          </w:tcPr>
          <w:p w14:paraId="457CAB7A" w14:textId="77777777" w:rsidR="00C02ADB" w:rsidRPr="004933A2" w:rsidRDefault="00C02ADB" w:rsidP="00C02ADB">
            <w:pPr>
              <w:pStyle w:val="TableText"/>
              <w:spacing w:before="20" w:after="20" w:line="210" w:lineRule="exact"/>
            </w:pP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5ACB52B1" w14:textId="77777777" w:rsidR="00C02ADB" w:rsidRPr="004933A2" w:rsidRDefault="00C02ADB" w:rsidP="00C02ADB">
            <w:pPr>
              <w:pStyle w:val="TableText"/>
              <w:spacing w:before="20" w:after="20" w:line="210" w:lineRule="exact"/>
            </w:pPr>
          </w:p>
        </w:tc>
      </w:tr>
      <w:tr w:rsidR="00C02ADB" w:rsidRPr="00C00335" w14:paraId="5D224B17"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6579C57A" w14:textId="77777777" w:rsidR="00C02ADB" w:rsidRPr="00421CB1" w:rsidRDefault="00C02ADB" w:rsidP="00C02ADB">
            <w:pPr>
              <w:pStyle w:val="TableText"/>
              <w:spacing w:before="20" w:after="20" w:line="210" w:lineRule="exact"/>
              <w:ind w:left="450"/>
            </w:pPr>
            <w:r w:rsidRPr="00421CB1">
              <w:t>High</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0B99D8DA" w14:textId="1F13BD63" w:rsidR="00C02ADB" w:rsidRPr="00421CB1" w:rsidRDefault="00D8741A" w:rsidP="00C02ADB">
            <w:pPr>
              <w:pStyle w:val="TableTextDec"/>
              <w:tabs>
                <w:tab w:val="clear" w:pos="1015"/>
                <w:tab w:val="decimal" w:pos="341"/>
              </w:tabs>
              <w:spacing w:before="20" w:after="20" w:line="210" w:lineRule="exact"/>
            </w:pPr>
            <w:r w:rsidRPr="00421CB1">
              <w:t>6.6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820DC84" w14:textId="535553EF" w:rsidR="00C02ADB" w:rsidRPr="00421CB1" w:rsidRDefault="00D8741A" w:rsidP="00C02ADB">
            <w:pPr>
              <w:pStyle w:val="TableTextDec"/>
              <w:tabs>
                <w:tab w:val="clear" w:pos="1015"/>
                <w:tab w:val="decimal" w:pos="341"/>
              </w:tabs>
              <w:spacing w:before="20" w:after="20" w:line="210" w:lineRule="exact"/>
            </w:pPr>
            <w:r w:rsidRPr="00421CB1">
              <w:t>4.9</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FB88C12" w14:textId="0B81D0EB" w:rsidR="00C02ADB" w:rsidRPr="00421CB1" w:rsidRDefault="00D8741A" w:rsidP="00C02ADB">
            <w:pPr>
              <w:pStyle w:val="TableTextDec"/>
              <w:tabs>
                <w:tab w:val="clear" w:pos="1015"/>
                <w:tab w:val="decimal" w:pos="341"/>
              </w:tabs>
              <w:spacing w:before="20" w:after="20" w:line="210" w:lineRule="exact"/>
            </w:pPr>
            <w:r w:rsidRPr="00421CB1">
              <w:t>4.0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5E25965" w14:textId="0E3879BA" w:rsidR="00C02ADB" w:rsidRPr="00421CB1" w:rsidRDefault="00D8741A" w:rsidP="00C02ADB">
            <w:pPr>
              <w:pStyle w:val="TableTextDec"/>
              <w:tabs>
                <w:tab w:val="clear" w:pos="1015"/>
                <w:tab w:val="decimal" w:pos="341"/>
              </w:tabs>
              <w:spacing w:before="20" w:after="20" w:line="210" w:lineRule="exact"/>
            </w:pPr>
            <w:r w:rsidRPr="00421CB1">
              <w:t>12.1</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78C3CC6" w14:textId="27A28A72" w:rsidR="00C02ADB" w:rsidRPr="00421CB1" w:rsidRDefault="00D8741A" w:rsidP="00C02ADB">
            <w:pPr>
              <w:pStyle w:val="TableTextDec"/>
              <w:tabs>
                <w:tab w:val="clear" w:pos="1015"/>
                <w:tab w:val="decimal" w:pos="341"/>
              </w:tabs>
              <w:spacing w:before="20" w:after="20" w:line="210" w:lineRule="exact"/>
            </w:pPr>
            <w:r w:rsidRPr="00421CB1">
              <w:t>8.2</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6A0463E6" w14:textId="21A601E5" w:rsidR="00C02ADB" w:rsidRPr="00421CB1" w:rsidRDefault="00D8741A" w:rsidP="00C02ADB">
            <w:pPr>
              <w:pStyle w:val="TableTextDec"/>
              <w:tabs>
                <w:tab w:val="clear" w:pos="1015"/>
                <w:tab w:val="decimal" w:pos="341"/>
              </w:tabs>
              <w:spacing w:before="20" w:after="20" w:line="210" w:lineRule="exact"/>
            </w:pPr>
            <w:r w:rsidRPr="00421CB1">
              <w:t>5.8</w:t>
            </w: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457964F1" w14:textId="77777777" w:rsidR="00C02ADB" w:rsidRPr="004933A2" w:rsidRDefault="00C02ADB" w:rsidP="00C02ADB">
            <w:pPr>
              <w:pStyle w:val="TableText"/>
              <w:spacing w:before="20" w:after="20" w:line="210" w:lineRule="exact"/>
            </w:pPr>
            <w:r w:rsidRPr="004933A2">
              <w:t xml:space="preserve">Calculated from CDC unpublished </w:t>
            </w:r>
            <w:proofErr w:type="spellStart"/>
            <w:r w:rsidRPr="004933A2">
              <w:t>data</w:t>
            </w:r>
            <w:r w:rsidRPr="004933A2">
              <w:rPr>
                <w:vertAlign w:val="superscript"/>
              </w:rPr>
              <w:t>b</w:t>
            </w:r>
            <w:proofErr w:type="spellEnd"/>
          </w:p>
        </w:tc>
      </w:tr>
      <w:tr w:rsidR="00C02ADB" w:rsidRPr="00C00335" w14:paraId="017D529B"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07A78D85" w14:textId="77777777" w:rsidR="00C02ADB" w:rsidRPr="00421CB1" w:rsidRDefault="00C02ADB" w:rsidP="00C02ADB">
            <w:pPr>
              <w:pStyle w:val="TableText"/>
              <w:spacing w:before="20" w:after="20" w:line="210" w:lineRule="exact"/>
              <w:ind w:left="450"/>
            </w:pPr>
            <w:r w:rsidRPr="00421CB1">
              <w:t>Low</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41ECEAD4" w14:textId="78A376CB" w:rsidR="00C02ADB" w:rsidRPr="00421CB1" w:rsidRDefault="00C02ADB" w:rsidP="00C02ADB">
            <w:pPr>
              <w:pStyle w:val="TableTextDec"/>
              <w:tabs>
                <w:tab w:val="clear" w:pos="1015"/>
                <w:tab w:val="decimal" w:pos="341"/>
              </w:tabs>
              <w:spacing w:before="20" w:after="20" w:line="210" w:lineRule="exact"/>
            </w:pPr>
            <w:r w:rsidRPr="00421CB1">
              <w:t>0.</w:t>
            </w:r>
            <w:r w:rsidR="00D8741A" w:rsidRPr="00421CB1">
              <w:t>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8F993BE" w14:textId="3BA5A49D" w:rsidR="00C02ADB" w:rsidRPr="00421CB1" w:rsidRDefault="00C02ADB" w:rsidP="00C02ADB">
            <w:pPr>
              <w:pStyle w:val="TableTextDec"/>
              <w:tabs>
                <w:tab w:val="clear" w:pos="1015"/>
                <w:tab w:val="decimal" w:pos="341"/>
              </w:tabs>
              <w:spacing w:before="20" w:after="20" w:line="210" w:lineRule="exact"/>
            </w:pPr>
            <w:r w:rsidRPr="00421CB1">
              <w:t>0.7</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9A5B9DC" w14:textId="5CA8F001" w:rsidR="00C02ADB" w:rsidRPr="00421CB1" w:rsidRDefault="00C02ADB" w:rsidP="00C02ADB">
            <w:pPr>
              <w:pStyle w:val="TableTextDec"/>
              <w:tabs>
                <w:tab w:val="clear" w:pos="1015"/>
                <w:tab w:val="decimal" w:pos="341"/>
              </w:tabs>
              <w:spacing w:before="20" w:after="20" w:line="210" w:lineRule="exact"/>
            </w:pPr>
            <w:r w:rsidRPr="00421CB1">
              <w:t>0.7</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5D824F5" w14:textId="580C2F74" w:rsidR="00C02ADB" w:rsidRPr="00421CB1" w:rsidRDefault="00C02ADB" w:rsidP="00C02ADB">
            <w:pPr>
              <w:pStyle w:val="TableTextDec"/>
              <w:tabs>
                <w:tab w:val="clear" w:pos="1015"/>
                <w:tab w:val="decimal" w:pos="341"/>
              </w:tabs>
              <w:spacing w:before="20" w:after="20" w:line="210" w:lineRule="exact"/>
            </w:pPr>
            <w:r w:rsidRPr="00421CB1">
              <w:t>1.2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00EA466" w14:textId="66854DDB" w:rsidR="00C02ADB" w:rsidRPr="00421CB1" w:rsidRDefault="00C02ADB" w:rsidP="00C02ADB">
            <w:pPr>
              <w:pStyle w:val="TableTextDec"/>
              <w:tabs>
                <w:tab w:val="clear" w:pos="1015"/>
                <w:tab w:val="decimal" w:pos="341"/>
              </w:tabs>
              <w:spacing w:before="20" w:after="20" w:line="210" w:lineRule="exact"/>
            </w:pPr>
            <w:r w:rsidRPr="00421CB1">
              <w:t>0.9</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1CC584EB" w14:textId="2308A6CC" w:rsidR="00C02ADB" w:rsidRPr="00421CB1" w:rsidRDefault="00C02ADB" w:rsidP="00C02ADB">
            <w:pPr>
              <w:pStyle w:val="TableTextDec"/>
              <w:tabs>
                <w:tab w:val="clear" w:pos="1015"/>
                <w:tab w:val="decimal" w:pos="341"/>
              </w:tabs>
              <w:spacing w:before="20" w:after="20" w:line="210" w:lineRule="exact"/>
            </w:pPr>
            <w:r w:rsidRPr="00421CB1">
              <w:t>0.7</w:t>
            </w: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6088F71F" w14:textId="77777777" w:rsidR="00C02ADB" w:rsidRPr="004933A2" w:rsidRDefault="00C02ADB" w:rsidP="00C02ADB">
            <w:pPr>
              <w:pStyle w:val="TableText"/>
              <w:spacing w:before="20" w:after="20" w:line="210" w:lineRule="exact"/>
            </w:pPr>
            <w:r w:rsidRPr="004933A2">
              <w:t xml:space="preserve">Calculated from CDC unpublished </w:t>
            </w:r>
            <w:proofErr w:type="spellStart"/>
            <w:r w:rsidRPr="004933A2">
              <w:t>data</w:t>
            </w:r>
            <w:r w:rsidRPr="004933A2">
              <w:rPr>
                <w:vertAlign w:val="superscript"/>
              </w:rPr>
              <w:t>b</w:t>
            </w:r>
            <w:proofErr w:type="spellEnd"/>
          </w:p>
        </w:tc>
      </w:tr>
      <w:tr w:rsidR="00C02ADB" w:rsidRPr="00C00335" w14:paraId="0322CADF"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3FD6BED4" w14:textId="5D21F5E7" w:rsidR="00C02ADB" w:rsidRPr="00C00335" w:rsidRDefault="00C02ADB" w:rsidP="00C02ADB">
            <w:pPr>
              <w:pStyle w:val="TableText"/>
              <w:spacing w:before="20" w:after="20" w:line="210" w:lineRule="exact"/>
              <w:ind w:left="270"/>
            </w:pPr>
            <w:r w:rsidRPr="00C00335">
              <w:t>PWID</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2C639F8A" w14:textId="77777777" w:rsidR="00C02ADB" w:rsidRPr="00C00335" w:rsidRDefault="00C02ADB" w:rsidP="00C02ADB">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04EC2BE1" w14:textId="77777777" w:rsidR="00C02ADB" w:rsidRPr="00C00335" w:rsidRDefault="00C02ADB" w:rsidP="00C02ADB">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735C19CC" w14:textId="77777777" w:rsidR="00C02ADB" w:rsidRPr="00C00335" w:rsidRDefault="00C02ADB" w:rsidP="00C02ADB">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2F5696C1" w14:textId="77777777" w:rsidR="00C02ADB" w:rsidRPr="00C00335" w:rsidRDefault="00C02ADB" w:rsidP="00C02ADB">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27E23678" w14:textId="77777777" w:rsidR="00C02ADB" w:rsidRPr="00C00335" w:rsidRDefault="00C02ADB" w:rsidP="00C02ADB">
            <w:pPr>
              <w:pStyle w:val="TableTextDec"/>
              <w:tabs>
                <w:tab w:val="clear" w:pos="1015"/>
                <w:tab w:val="decimal" w:pos="341"/>
              </w:tabs>
              <w:spacing w:before="20" w:after="20" w:line="210" w:lineRule="exact"/>
            </w:pPr>
          </w:p>
        </w:tc>
        <w:tc>
          <w:tcPr>
            <w:tcW w:w="853" w:type="dxa"/>
            <w:tcBorders>
              <w:top w:val="single" w:sz="6" w:space="0" w:color="808080" w:themeColor="background1" w:themeShade="80"/>
              <w:bottom w:val="single" w:sz="6" w:space="0" w:color="808080" w:themeColor="background1" w:themeShade="80"/>
            </w:tcBorders>
            <w:shd w:val="clear" w:color="auto" w:fill="auto"/>
            <w:noWrap/>
            <w:hideMark/>
          </w:tcPr>
          <w:p w14:paraId="2C505098" w14:textId="77777777" w:rsidR="00C02ADB" w:rsidRPr="00C00335" w:rsidRDefault="00C02ADB" w:rsidP="00C02ADB">
            <w:pPr>
              <w:pStyle w:val="TableTextDec"/>
              <w:tabs>
                <w:tab w:val="clear" w:pos="1015"/>
                <w:tab w:val="decimal" w:pos="341"/>
              </w:tabs>
              <w:spacing w:before="20" w:after="20" w:line="210" w:lineRule="exact"/>
            </w:pP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20309723" w14:textId="77777777" w:rsidR="00C02ADB" w:rsidRPr="00C00335" w:rsidRDefault="00C02ADB" w:rsidP="00C02ADB">
            <w:pPr>
              <w:pStyle w:val="TableText"/>
              <w:spacing w:before="20" w:after="20" w:line="210" w:lineRule="exact"/>
            </w:pPr>
          </w:p>
        </w:tc>
      </w:tr>
      <w:tr w:rsidR="00C02ADB" w:rsidRPr="00C00335" w14:paraId="41114A48"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68CD867B" w14:textId="77777777" w:rsidR="00C02ADB" w:rsidRPr="00C00335" w:rsidRDefault="00C02ADB" w:rsidP="00C02ADB">
            <w:pPr>
              <w:pStyle w:val="TableText"/>
              <w:spacing w:before="20" w:after="20" w:line="210" w:lineRule="exact"/>
              <w:ind w:left="450"/>
            </w:pPr>
            <w:r w:rsidRPr="00C00335">
              <w:t>High</w:t>
            </w:r>
          </w:p>
        </w:tc>
        <w:tc>
          <w:tcPr>
            <w:tcW w:w="846" w:type="dxa"/>
            <w:tcBorders>
              <w:top w:val="single" w:sz="6" w:space="0" w:color="808080" w:themeColor="background1" w:themeShade="80"/>
              <w:bottom w:val="single" w:sz="6" w:space="0" w:color="808080" w:themeColor="background1" w:themeShade="80"/>
            </w:tcBorders>
            <w:shd w:val="clear" w:color="auto" w:fill="auto"/>
            <w:noWrap/>
          </w:tcPr>
          <w:p w14:paraId="2FAD02BD" w14:textId="77777777" w:rsidR="00C02ADB" w:rsidRPr="00C00335" w:rsidRDefault="00C02ADB" w:rsidP="00C02ADB">
            <w:pPr>
              <w:pStyle w:val="TableTextDec"/>
              <w:tabs>
                <w:tab w:val="clear" w:pos="1015"/>
                <w:tab w:val="decimal" w:pos="341"/>
              </w:tabs>
              <w:spacing w:before="20" w:after="20" w:line="210" w:lineRule="exact"/>
            </w:pPr>
            <w:r w:rsidRPr="00C00335">
              <w:t>10.2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B4EE647" w14:textId="77777777" w:rsidR="00C02ADB" w:rsidRPr="00C00335" w:rsidRDefault="00C02ADB" w:rsidP="00C02ADB">
            <w:pPr>
              <w:pStyle w:val="TableTextDec"/>
              <w:tabs>
                <w:tab w:val="clear" w:pos="1015"/>
                <w:tab w:val="decimal" w:pos="341"/>
              </w:tabs>
              <w:spacing w:before="20" w:after="20" w:line="210" w:lineRule="exact"/>
            </w:pPr>
            <w:r w:rsidRPr="00C00335">
              <w:t>43.6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CE4EE8F" w14:textId="77777777" w:rsidR="00C02ADB" w:rsidRPr="00C00335" w:rsidRDefault="00C02ADB" w:rsidP="00C02ADB">
            <w:pPr>
              <w:pStyle w:val="TableTextDec"/>
              <w:tabs>
                <w:tab w:val="clear" w:pos="1015"/>
                <w:tab w:val="decimal" w:pos="341"/>
              </w:tabs>
              <w:spacing w:before="20" w:after="20" w:line="210" w:lineRule="exact"/>
            </w:pPr>
            <w:r w:rsidRPr="00C00335">
              <w:t>18.4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5A0C9B4" w14:textId="77777777" w:rsidR="00C02ADB" w:rsidRPr="00C00335" w:rsidRDefault="00C02ADB" w:rsidP="00C02ADB">
            <w:pPr>
              <w:pStyle w:val="TableTextDec"/>
              <w:tabs>
                <w:tab w:val="clear" w:pos="1015"/>
                <w:tab w:val="decimal" w:pos="341"/>
              </w:tabs>
              <w:spacing w:before="20" w:after="20" w:line="210" w:lineRule="exact"/>
            </w:pPr>
            <w:r w:rsidRPr="00C00335">
              <w:t>6.9</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466CB7D" w14:textId="77777777" w:rsidR="00C02ADB" w:rsidRPr="00C00335" w:rsidRDefault="00C02ADB" w:rsidP="00C02ADB">
            <w:pPr>
              <w:pStyle w:val="TableTextDec"/>
              <w:tabs>
                <w:tab w:val="clear" w:pos="1015"/>
                <w:tab w:val="decimal" w:pos="341"/>
              </w:tabs>
              <w:spacing w:before="20" w:after="20" w:line="210" w:lineRule="exact"/>
            </w:pPr>
            <w:r w:rsidRPr="00C00335">
              <w:t>5.4</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26997718" w14:textId="77777777" w:rsidR="00C02ADB" w:rsidRPr="00C00335" w:rsidRDefault="00C02ADB" w:rsidP="00C02ADB">
            <w:pPr>
              <w:pStyle w:val="TableTextDec"/>
              <w:tabs>
                <w:tab w:val="clear" w:pos="1015"/>
                <w:tab w:val="decimal" w:pos="341"/>
              </w:tabs>
              <w:spacing w:before="20" w:after="20" w:line="210" w:lineRule="exact"/>
            </w:pPr>
            <w:r w:rsidRPr="00C00335">
              <w:t>5.7</w:t>
            </w: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687A90C8" w14:textId="77777777" w:rsidR="00C02ADB" w:rsidRPr="00C00335" w:rsidRDefault="00C02ADB" w:rsidP="00C02ADB">
            <w:pPr>
              <w:pStyle w:val="TableText"/>
              <w:spacing w:before="20" w:after="20" w:line="210" w:lineRule="exact"/>
            </w:pPr>
            <w:r w:rsidRPr="00C00335">
              <w:t>CDC unpublished data based on 2009 NHBS IDU cycle 2</w:t>
            </w:r>
          </w:p>
        </w:tc>
      </w:tr>
      <w:tr w:rsidR="00C02ADB" w:rsidRPr="00C00335" w14:paraId="2295B522"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4F5B8F23" w14:textId="77777777" w:rsidR="00C02ADB" w:rsidRPr="00C00335" w:rsidRDefault="00C02ADB" w:rsidP="00C02ADB">
            <w:pPr>
              <w:pStyle w:val="TableText"/>
              <w:spacing w:before="20" w:after="20" w:line="210" w:lineRule="exact"/>
              <w:ind w:left="270"/>
            </w:pPr>
            <w:r w:rsidRPr="00C00335">
              <w:t>MSM</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068F0989" w14:textId="77777777" w:rsidR="00C02ADB" w:rsidRPr="00C00335" w:rsidRDefault="00C02ADB" w:rsidP="00C02ADB">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386D7BC0" w14:textId="77777777" w:rsidR="00C02ADB" w:rsidRPr="00C00335" w:rsidRDefault="00C02ADB" w:rsidP="00C02ADB">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5B314A51" w14:textId="77777777" w:rsidR="00C02ADB" w:rsidRPr="00C00335" w:rsidRDefault="00C02ADB" w:rsidP="00C02ADB">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0CFCEFE7" w14:textId="77777777" w:rsidR="00C02ADB" w:rsidRPr="00C00335" w:rsidRDefault="00C02ADB" w:rsidP="00C02ADB">
            <w:pPr>
              <w:pStyle w:val="TableTextDec"/>
              <w:tabs>
                <w:tab w:val="clear" w:pos="1015"/>
                <w:tab w:val="decimal" w:pos="341"/>
              </w:tabs>
              <w:spacing w:before="20" w:after="20" w:line="210" w:lineRule="exact"/>
            </w:pP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5E8C28AA" w14:textId="77777777" w:rsidR="00C02ADB" w:rsidRPr="00C00335" w:rsidRDefault="00C02ADB" w:rsidP="00C02ADB">
            <w:pPr>
              <w:pStyle w:val="TableTextDec"/>
              <w:tabs>
                <w:tab w:val="clear" w:pos="1015"/>
                <w:tab w:val="decimal" w:pos="341"/>
              </w:tabs>
              <w:spacing w:before="20" w:after="20" w:line="210" w:lineRule="exact"/>
            </w:pPr>
          </w:p>
        </w:tc>
        <w:tc>
          <w:tcPr>
            <w:tcW w:w="853" w:type="dxa"/>
            <w:tcBorders>
              <w:top w:val="single" w:sz="6" w:space="0" w:color="808080" w:themeColor="background1" w:themeShade="80"/>
              <w:bottom w:val="single" w:sz="6" w:space="0" w:color="808080" w:themeColor="background1" w:themeShade="80"/>
            </w:tcBorders>
            <w:shd w:val="clear" w:color="auto" w:fill="auto"/>
            <w:noWrap/>
            <w:hideMark/>
          </w:tcPr>
          <w:p w14:paraId="4200E0FE" w14:textId="77777777" w:rsidR="00C02ADB" w:rsidRPr="00C00335" w:rsidRDefault="00C02ADB" w:rsidP="00C02ADB">
            <w:pPr>
              <w:pStyle w:val="TableTextDec"/>
              <w:tabs>
                <w:tab w:val="clear" w:pos="1015"/>
                <w:tab w:val="decimal" w:pos="341"/>
              </w:tabs>
              <w:spacing w:before="20" w:after="20" w:line="210" w:lineRule="exact"/>
            </w:pPr>
          </w:p>
        </w:tc>
        <w:tc>
          <w:tcPr>
            <w:tcW w:w="2373" w:type="dxa"/>
            <w:tcBorders>
              <w:top w:val="single" w:sz="6" w:space="0" w:color="808080" w:themeColor="background1" w:themeShade="80"/>
              <w:bottom w:val="single" w:sz="6" w:space="0" w:color="808080" w:themeColor="background1" w:themeShade="80"/>
            </w:tcBorders>
            <w:shd w:val="clear" w:color="auto" w:fill="auto"/>
            <w:noWrap/>
            <w:hideMark/>
          </w:tcPr>
          <w:p w14:paraId="36C444F1" w14:textId="77777777" w:rsidR="00C02ADB" w:rsidRPr="00C00335" w:rsidRDefault="00C02ADB" w:rsidP="00C02ADB">
            <w:pPr>
              <w:pStyle w:val="TableText"/>
              <w:spacing w:before="20" w:after="20" w:line="210" w:lineRule="exact"/>
            </w:pPr>
          </w:p>
        </w:tc>
      </w:tr>
      <w:tr w:rsidR="00C02ADB" w:rsidRPr="00C00335" w14:paraId="3F26A433" w14:textId="77777777" w:rsidTr="006E5792">
        <w:trPr>
          <w:cantSplit/>
        </w:trPr>
        <w:tc>
          <w:tcPr>
            <w:tcW w:w="1996" w:type="dxa"/>
            <w:tcBorders>
              <w:top w:val="single" w:sz="6" w:space="0" w:color="808080" w:themeColor="background1" w:themeShade="80"/>
              <w:bottom w:val="single" w:sz="6" w:space="0" w:color="808080" w:themeColor="background1" w:themeShade="80"/>
            </w:tcBorders>
            <w:shd w:val="clear" w:color="auto" w:fill="auto"/>
            <w:noWrap/>
            <w:hideMark/>
          </w:tcPr>
          <w:p w14:paraId="64529C30" w14:textId="77777777" w:rsidR="00C02ADB" w:rsidRPr="00C00335" w:rsidRDefault="00C02ADB" w:rsidP="00C02ADB">
            <w:pPr>
              <w:pStyle w:val="TableText"/>
              <w:spacing w:before="20" w:after="20" w:line="210" w:lineRule="exact"/>
              <w:ind w:left="450"/>
            </w:pPr>
            <w:r w:rsidRPr="00C00335">
              <w:t>High</w:t>
            </w:r>
          </w:p>
        </w:tc>
        <w:tc>
          <w:tcPr>
            <w:tcW w:w="846" w:type="dxa"/>
            <w:tcBorders>
              <w:top w:val="single" w:sz="6" w:space="0" w:color="808080" w:themeColor="background1" w:themeShade="80"/>
              <w:bottom w:val="single" w:sz="6" w:space="0" w:color="808080" w:themeColor="background1" w:themeShade="80"/>
            </w:tcBorders>
            <w:shd w:val="clear" w:color="auto" w:fill="auto"/>
            <w:noWrap/>
            <w:hideMark/>
          </w:tcPr>
          <w:p w14:paraId="503EB82D" w14:textId="11EE0054"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112C6EEB" w14:textId="3B646927"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hideMark/>
          </w:tcPr>
          <w:p w14:paraId="70A7D54E" w14:textId="650CED6F"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1AF0A6B" w14:textId="77777777" w:rsidR="00C02ADB" w:rsidRPr="00C00335" w:rsidRDefault="00C02ADB" w:rsidP="00C02ADB">
            <w:pPr>
              <w:pStyle w:val="TableTextDec"/>
              <w:tabs>
                <w:tab w:val="clear" w:pos="1015"/>
                <w:tab w:val="decimal" w:pos="341"/>
              </w:tabs>
              <w:spacing w:before="20" w:after="20" w:line="210" w:lineRule="exact"/>
            </w:pPr>
            <w:r w:rsidRPr="00C00335">
              <w:t>8.3</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32F9917" w14:textId="77777777" w:rsidR="00C02ADB" w:rsidRPr="00C00335" w:rsidRDefault="00C02ADB" w:rsidP="00C02ADB">
            <w:pPr>
              <w:pStyle w:val="TableTextDec"/>
              <w:tabs>
                <w:tab w:val="clear" w:pos="1015"/>
                <w:tab w:val="decimal" w:pos="341"/>
              </w:tabs>
              <w:spacing w:before="20" w:after="20" w:line="210" w:lineRule="exact"/>
            </w:pPr>
            <w:r w:rsidRPr="00C00335">
              <w:t>7.0</w:t>
            </w:r>
          </w:p>
        </w:tc>
        <w:tc>
          <w:tcPr>
            <w:tcW w:w="853" w:type="dxa"/>
            <w:tcBorders>
              <w:top w:val="single" w:sz="6" w:space="0" w:color="808080" w:themeColor="background1" w:themeShade="80"/>
              <w:bottom w:val="single" w:sz="6" w:space="0" w:color="808080" w:themeColor="background1" w:themeShade="80"/>
            </w:tcBorders>
            <w:shd w:val="clear" w:color="auto" w:fill="auto"/>
            <w:noWrap/>
          </w:tcPr>
          <w:p w14:paraId="3410E8B0" w14:textId="77777777" w:rsidR="00C02ADB" w:rsidRPr="00C00335" w:rsidRDefault="00C02ADB" w:rsidP="00C02ADB">
            <w:pPr>
              <w:pStyle w:val="TableTextDec"/>
              <w:tabs>
                <w:tab w:val="clear" w:pos="1015"/>
                <w:tab w:val="decimal" w:pos="341"/>
              </w:tabs>
              <w:spacing w:before="20" w:after="20" w:line="210" w:lineRule="exact"/>
            </w:pPr>
            <w:r w:rsidRPr="00C00335">
              <w:t>8.0</w:t>
            </w:r>
          </w:p>
        </w:tc>
        <w:tc>
          <w:tcPr>
            <w:tcW w:w="2373" w:type="dxa"/>
            <w:vMerge w:val="restart"/>
            <w:tcBorders>
              <w:top w:val="single" w:sz="6" w:space="0" w:color="808080" w:themeColor="background1" w:themeShade="80"/>
              <w:bottom w:val="single" w:sz="6" w:space="0" w:color="808080" w:themeColor="background1" w:themeShade="80"/>
            </w:tcBorders>
            <w:shd w:val="clear" w:color="auto" w:fill="auto"/>
            <w:noWrap/>
            <w:hideMark/>
          </w:tcPr>
          <w:p w14:paraId="07BB7FE8" w14:textId="77777777" w:rsidR="00C02ADB" w:rsidRPr="00C00335" w:rsidRDefault="00C02ADB" w:rsidP="00C02ADB">
            <w:pPr>
              <w:pStyle w:val="TableText"/>
              <w:spacing w:before="20" w:after="20" w:line="210" w:lineRule="exact"/>
            </w:pPr>
            <w:r w:rsidRPr="00C00335">
              <w:t>CDC unpublished data based on 2008 NHBS MSM cycle 2</w:t>
            </w:r>
          </w:p>
        </w:tc>
      </w:tr>
      <w:tr w:rsidR="00C02ADB" w:rsidRPr="00C00335" w14:paraId="09E8660D" w14:textId="77777777" w:rsidTr="006E5792">
        <w:trPr>
          <w:cantSplit/>
        </w:trPr>
        <w:tc>
          <w:tcPr>
            <w:tcW w:w="1996" w:type="dxa"/>
            <w:tcBorders>
              <w:top w:val="single" w:sz="6" w:space="0" w:color="808080" w:themeColor="background1" w:themeShade="80"/>
              <w:bottom w:val="single" w:sz="4" w:space="0" w:color="808080" w:themeColor="background1" w:themeShade="80"/>
            </w:tcBorders>
            <w:shd w:val="clear" w:color="auto" w:fill="auto"/>
            <w:noWrap/>
            <w:hideMark/>
          </w:tcPr>
          <w:p w14:paraId="487605DA" w14:textId="77777777" w:rsidR="00C02ADB" w:rsidRPr="00C00335" w:rsidRDefault="00C02ADB" w:rsidP="00C02ADB">
            <w:pPr>
              <w:pStyle w:val="TableText"/>
              <w:spacing w:before="20" w:after="20" w:line="210" w:lineRule="exact"/>
              <w:ind w:left="450"/>
            </w:pPr>
            <w:r w:rsidRPr="00C00335">
              <w:t>Low</w:t>
            </w:r>
          </w:p>
        </w:tc>
        <w:tc>
          <w:tcPr>
            <w:tcW w:w="846" w:type="dxa"/>
            <w:tcBorders>
              <w:top w:val="single" w:sz="6" w:space="0" w:color="808080" w:themeColor="background1" w:themeShade="80"/>
              <w:bottom w:val="single" w:sz="4" w:space="0" w:color="808080" w:themeColor="background1" w:themeShade="80"/>
            </w:tcBorders>
            <w:shd w:val="clear" w:color="auto" w:fill="auto"/>
            <w:noWrap/>
            <w:hideMark/>
          </w:tcPr>
          <w:p w14:paraId="72CB676A" w14:textId="073EB115"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5" w:type="dxa"/>
            <w:tcBorders>
              <w:top w:val="single" w:sz="6" w:space="0" w:color="808080" w:themeColor="background1" w:themeShade="80"/>
              <w:bottom w:val="single" w:sz="4" w:space="0" w:color="808080" w:themeColor="background1" w:themeShade="80"/>
            </w:tcBorders>
            <w:shd w:val="clear" w:color="auto" w:fill="auto"/>
            <w:noWrap/>
            <w:hideMark/>
          </w:tcPr>
          <w:p w14:paraId="004B4AF1" w14:textId="39098D48"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5" w:type="dxa"/>
            <w:tcBorders>
              <w:top w:val="single" w:sz="6" w:space="0" w:color="808080" w:themeColor="background1" w:themeShade="80"/>
              <w:bottom w:val="single" w:sz="4" w:space="0" w:color="808080" w:themeColor="background1" w:themeShade="80"/>
            </w:tcBorders>
            <w:shd w:val="clear" w:color="auto" w:fill="auto"/>
            <w:noWrap/>
            <w:hideMark/>
          </w:tcPr>
          <w:p w14:paraId="6386B5B9" w14:textId="7742C8A5" w:rsidR="00C02ADB" w:rsidRPr="00C00335" w:rsidRDefault="00C02ADB" w:rsidP="00C02ADB">
            <w:pPr>
              <w:pStyle w:val="TableTextDec"/>
              <w:tabs>
                <w:tab w:val="clear" w:pos="1015"/>
                <w:tab w:val="decimal" w:pos="341"/>
              </w:tabs>
              <w:spacing w:before="20" w:after="20" w:line="210" w:lineRule="exact"/>
              <w:jc w:val="center"/>
            </w:pPr>
            <w:r w:rsidRPr="00C00335">
              <w:t>N/A</w:t>
            </w:r>
            <w:r w:rsidRPr="00C00335">
              <w:rPr>
                <w:vertAlign w:val="superscript"/>
              </w:rPr>
              <w:t>d</w:t>
            </w:r>
          </w:p>
        </w:tc>
        <w:tc>
          <w:tcPr>
            <w:tcW w:w="845" w:type="dxa"/>
            <w:tcBorders>
              <w:top w:val="single" w:sz="6" w:space="0" w:color="808080" w:themeColor="background1" w:themeShade="80"/>
              <w:bottom w:val="single" w:sz="4" w:space="0" w:color="808080" w:themeColor="background1" w:themeShade="80"/>
            </w:tcBorders>
            <w:shd w:val="clear" w:color="auto" w:fill="auto"/>
            <w:noWrap/>
          </w:tcPr>
          <w:p w14:paraId="41F66090" w14:textId="77777777" w:rsidR="00C02ADB" w:rsidRPr="00C00335" w:rsidRDefault="00C02ADB" w:rsidP="00C02ADB">
            <w:pPr>
              <w:pStyle w:val="TableTextDec"/>
              <w:tabs>
                <w:tab w:val="clear" w:pos="1015"/>
                <w:tab w:val="decimal" w:pos="341"/>
              </w:tabs>
              <w:spacing w:before="20" w:after="20" w:line="210" w:lineRule="exact"/>
            </w:pPr>
            <w:r w:rsidRPr="00C00335">
              <w:t>2.2</w:t>
            </w:r>
          </w:p>
        </w:tc>
        <w:tc>
          <w:tcPr>
            <w:tcW w:w="845" w:type="dxa"/>
            <w:tcBorders>
              <w:top w:val="single" w:sz="6" w:space="0" w:color="808080" w:themeColor="background1" w:themeShade="80"/>
              <w:bottom w:val="single" w:sz="4" w:space="0" w:color="808080" w:themeColor="background1" w:themeShade="80"/>
            </w:tcBorders>
            <w:shd w:val="clear" w:color="auto" w:fill="auto"/>
            <w:noWrap/>
          </w:tcPr>
          <w:p w14:paraId="23E33AD2" w14:textId="77777777" w:rsidR="00C02ADB" w:rsidRPr="00C00335" w:rsidRDefault="00C02ADB" w:rsidP="00C02ADB">
            <w:pPr>
              <w:pStyle w:val="TableTextDec"/>
              <w:tabs>
                <w:tab w:val="clear" w:pos="1015"/>
                <w:tab w:val="decimal" w:pos="341"/>
              </w:tabs>
              <w:spacing w:before="20" w:after="20" w:line="210" w:lineRule="exact"/>
            </w:pPr>
            <w:r w:rsidRPr="00C00335">
              <w:t>2.3</w:t>
            </w:r>
          </w:p>
        </w:tc>
        <w:tc>
          <w:tcPr>
            <w:tcW w:w="853" w:type="dxa"/>
            <w:tcBorders>
              <w:top w:val="single" w:sz="6" w:space="0" w:color="808080" w:themeColor="background1" w:themeShade="80"/>
              <w:bottom w:val="single" w:sz="4" w:space="0" w:color="808080" w:themeColor="background1" w:themeShade="80"/>
            </w:tcBorders>
            <w:shd w:val="clear" w:color="auto" w:fill="auto"/>
            <w:noWrap/>
          </w:tcPr>
          <w:p w14:paraId="5F546134" w14:textId="77777777" w:rsidR="00C02ADB" w:rsidRPr="00C00335" w:rsidRDefault="00C02ADB" w:rsidP="00C02ADB">
            <w:pPr>
              <w:pStyle w:val="TableTextDec"/>
              <w:tabs>
                <w:tab w:val="clear" w:pos="1015"/>
                <w:tab w:val="decimal" w:pos="341"/>
              </w:tabs>
              <w:spacing w:before="20" w:after="20" w:line="210" w:lineRule="exact"/>
            </w:pPr>
            <w:r w:rsidRPr="00C00335">
              <w:t>2.0</w:t>
            </w:r>
          </w:p>
        </w:tc>
        <w:tc>
          <w:tcPr>
            <w:tcW w:w="2373" w:type="dxa"/>
            <w:vMerge/>
            <w:tcBorders>
              <w:top w:val="single" w:sz="6" w:space="0" w:color="808080" w:themeColor="background1" w:themeShade="80"/>
              <w:bottom w:val="single" w:sz="4" w:space="0" w:color="808080" w:themeColor="background1" w:themeShade="80"/>
            </w:tcBorders>
            <w:shd w:val="clear" w:color="auto" w:fill="auto"/>
            <w:noWrap/>
            <w:hideMark/>
          </w:tcPr>
          <w:p w14:paraId="4321FCB4" w14:textId="77777777" w:rsidR="00C02ADB" w:rsidRPr="00C00335" w:rsidRDefault="00C02ADB" w:rsidP="00C02ADB">
            <w:pPr>
              <w:pStyle w:val="TableText"/>
              <w:spacing w:before="20" w:after="20" w:line="210" w:lineRule="exact"/>
            </w:pPr>
          </w:p>
        </w:tc>
      </w:tr>
    </w:tbl>
    <w:p w14:paraId="3598F379" w14:textId="77777777" w:rsidR="002B54F6" w:rsidRPr="00C00335" w:rsidRDefault="002B54F6" w:rsidP="002B54F6">
      <w:pPr>
        <w:pStyle w:val="Tablecont"/>
      </w:pPr>
      <w:r w:rsidRPr="00C00335">
        <w:t>(continued)</w:t>
      </w:r>
    </w:p>
    <w:p w14:paraId="47C12786" w14:textId="696A2498" w:rsidR="002B54F6" w:rsidRPr="00E058F0" w:rsidRDefault="002B54F6" w:rsidP="00E058F0">
      <w:pPr>
        <w:pStyle w:val="TableTitlecont"/>
      </w:pPr>
      <w:r w:rsidRPr="00E058F0">
        <w:t>Table 6.</w:t>
      </w:r>
      <w:r w:rsidR="00C55FA1" w:rsidRPr="00E058F0">
        <w:t>10</w:t>
      </w:r>
      <w:r w:rsidRPr="00E058F0">
        <w:t>.</w:t>
      </w:r>
      <w:r w:rsidRPr="00E058F0">
        <w:tab/>
        <w:t xml:space="preserve">Sexual Partners and Sex </w:t>
      </w:r>
      <w:r w:rsidR="00782B9B" w:rsidRPr="00E058F0">
        <w:t>A</w:t>
      </w:r>
      <w:r w:rsidRPr="00E058F0">
        <w:t>cts (continued)</w:t>
      </w:r>
    </w:p>
    <w:tbl>
      <w:tblPr>
        <w:tblW w:w="5047"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994"/>
        <w:gridCol w:w="845"/>
        <w:gridCol w:w="845"/>
        <w:gridCol w:w="845"/>
        <w:gridCol w:w="845"/>
        <w:gridCol w:w="845"/>
        <w:gridCol w:w="854"/>
        <w:gridCol w:w="2354"/>
        <w:gridCol w:w="21"/>
      </w:tblGrid>
      <w:tr w:rsidR="002B54F6" w:rsidRPr="0023643C" w14:paraId="799579EB" w14:textId="77777777" w:rsidTr="006E5792">
        <w:trPr>
          <w:gridAfter w:val="1"/>
          <w:wAfter w:w="21" w:type="dxa"/>
          <w:cantSplit/>
          <w:tblHeader/>
        </w:trPr>
        <w:tc>
          <w:tcPr>
            <w:tcW w:w="1994" w:type="dxa"/>
            <w:vMerge w:val="restart"/>
            <w:tcBorders>
              <w:top w:val="single" w:sz="12" w:space="0" w:color="000000"/>
              <w:bottom w:val="single" w:sz="6" w:space="0" w:color="auto"/>
            </w:tcBorders>
            <w:shd w:val="clear" w:color="auto" w:fill="auto"/>
            <w:noWrap/>
            <w:vAlign w:val="bottom"/>
            <w:hideMark/>
          </w:tcPr>
          <w:p w14:paraId="58160CDB" w14:textId="77777777" w:rsidR="002B54F6" w:rsidRPr="00E832D1" w:rsidRDefault="002B54F6" w:rsidP="00871E69">
            <w:pPr>
              <w:pStyle w:val="TableHeaders"/>
              <w:keepNext/>
              <w:spacing w:before="20" w:after="20"/>
            </w:pPr>
          </w:p>
        </w:tc>
        <w:tc>
          <w:tcPr>
            <w:tcW w:w="2535" w:type="dxa"/>
            <w:gridSpan w:val="3"/>
            <w:tcBorders>
              <w:top w:val="single" w:sz="12" w:space="0" w:color="000000"/>
              <w:bottom w:val="single" w:sz="6" w:space="0" w:color="auto"/>
            </w:tcBorders>
            <w:shd w:val="clear" w:color="auto" w:fill="auto"/>
            <w:noWrap/>
            <w:vAlign w:val="bottom"/>
            <w:hideMark/>
          </w:tcPr>
          <w:p w14:paraId="60F80AD8" w14:textId="77777777" w:rsidR="002B54F6" w:rsidRPr="00E832D1" w:rsidRDefault="002B54F6" w:rsidP="00871E69">
            <w:pPr>
              <w:pStyle w:val="TableHeaders"/>
              <w:keepNext/>
              <w:spacing w:before="20" w:after="20"/>
            </w:pPr>
            <w:r w:rsidRPr="00E832D1">
              <w:t>Female</w:t>
            </w:r>
          </w:p>
        </w:tc>
        <w:tc>
          <w:tcPr>
            <w:tcW w:w="2544" w:type="dxa"/>
            <w:gridSpan w:val="3"/>
            <w:tcBorders>
              <w:top w:val="single" w:sz="12" w:space="0" w:color="000000"/>
              <w:bottom w:val="single" w:sz="6" w:space="0" w:color="auto"/>
            </w:tcBorders>
            <w:shd w:val="clear" w:color="auto" w:fill="auto"/>
            <w:noWrap/>
            <w:vAlign w:val="bottom"/>
            <w:hideMark/>
          </w:tcPr>
          <w:p w14:paraId="26C4DFC8" w14:textId="77777777" w:rsidR="002B54F6" w:rsidRPr="00E832D1" w:rsidRDefault="002B54F6" w:rsidP="00871E69">
            <w:pPr>
              <w:pStyle w:val="TableHeaders"/>
              <w:keepNext/>
              <w:spacing w:before="20" w:after="20"/>
            </w:pPr>
            <w:r w:rsidRPr="00E832D1">
              <w:t>Male</w:t>
            </w:r>
          </w:p>
        </w:tc>
        <w:tc>
          <w:tcPr>
            <w:tcW w:w="2354" w:type="dxa"/>
            <w:vMerge w:val="restart"/>
            <w:tcBorders>
              <w:top w:val="single" w:sz="12" w:space="0" w:color="000000"/>
              <w:bottom w:val="single" w:sz="6" w:space="0" w:color="auto"/>
            </w:tcBorders>
            <w:shd w:val="clear" w:color="auto" w:fill="auto"/>
            <w:noWrap/>
            <w:vAlign w:val="bottom"/>
            <w:hideMark/>
          </w:tcPr>
          <w:p w14:paraId="69C9B0EE" w14:textId="77777777" w:rsidR="002B54F6" w:rsidRPr="00E832D1" w:rsidRDefault="002B54F6" w:rsidP="00871E69">
            <w:pPr>
              <w:pStyle w:val="TableHeaders"/>
              <w:keepNext/>
              <w:spacing w:before="20" w:after="20"/>
            </w:pPr>
            <w:r w:rsidRPr="00E832D1">
              <w:t>Source</w:t>
            </w:r>
          </w:p>
        </w:tc>
      </w:tr>
      <w:tr w:rsidR="002B54F6" w:rsidRPr="0023643C" w14:paraId="6EBE2B01" w14:textId="77777777" w:rsidTr="006E5792">
        <w:trPr>
          <w:gridAfter w:val="1"/>
          <w:wAfter w:w="21" w:type="dxa"/>
          <w:cantSplit/>
          <w:tblHeader/>
        </w:trPr>
        <w:tc>
          <w:tcPr>
            <w:tcW w:w="1994" w:type="dxa"/>
            <w:vMerge/>
            <w:tcBorders>
              <w:top w:val="single" w:sz="6" w:space="0" w:color="000000"/>
              <w:bottom w:val="single" w:sz="6" w:space="0" w:color="auto"/>
            </w:tcBorders>
            <w:shd w:val="clear" w:color="auto" w:fill="auto"/>
            <w:noWrap/>
            <w:vAlign w:val="bottom"/>
            <w:hideMark/>
          </w:tcPr>
          <w:p w14:paraId="767315F1" w14:textId="77777777" w:rsidR="002B54F6" w:rsidRPr="00E832D1" w:rsidRDefault="002B54F6" w:rsidP="00871E69">
            <w:pPr>
              <w:pStyle w:val="TableHeaders"/>
              <w:keepNext/>
              <w:spacing w:before="20" w:after="20"/>
            </w:pPr>
          </w:p>
        </w:tc>
        <w:tc>
          <w:tcPr>
            <w:tcW w:w="845" w:type="dxa"/>
            <w:tcBorders>
              <w:top w:val="single" w:sz="6" w:space="0" w:color="auto"/>
              <w:bottom w:val="single" w:sz="6" w:space="0" w:color="auto"/>
            </w:tcBorders>
            <w:shd w:val="clear" w:color="auto" w:fill="auto"/>
            <w:noWrap/>
            <w:vAlign w:val="bottom"/>
            <w:hideMark/>
          </w:tcPr>
          <w:p w14:paraId="381DBC35" w14:textId="77777777" w:rsidR="002B54F6" w:rsidRPr="00E832D1" w:rsidRDefault="002B54F6" w:rsidP="00871E69">
            <w:pPr>
              <w:pStyle w:val="TableHeaders"/>
              <w:keepNext/>
              <w:spacing w:before="20" w:after="20"/>
            </w:pPr>
            <w:r w:rsidRPr="00E832D1">
              <w:t>Black</w:t>
            </w:r>
          </w:p>
        </w:tc>
        <w:tc>
          <w:tcPr>
            <w:tcW w:w="845" w:type="dxa"/>
            <w:tcBorders>
              <w:top w:val="single" w:sz="6" w:space="0" w:color="auto"/>
              <w:bottom w:val="single" w:sz="6" w:space="0" w:color="auto"/>
            </w:tcBorders>
            <w:shd w:val="clear" w:color="auto" w:fill="auto"/>
            <w:noWrap/>
            <w:vAlign w:val="bottom"/>
            <w:hideMark/>
          </w:tcPr>
          <w:p w14:paraId="67CA0841" w14:textId="77777777" w:rsidR="002B54F6" w:rsidRPr="00E832D1" w:rsidRDefault="002B54F6" w:rsidP="00871E69">
            <w:pPr>
              <w:pStyle w:val="TableHeaders"/>
              <w:keepNext/>
              <w:spacing w:before="20" w:after="20"/>
            </w:pPr>
            <w:r w:rsidRPr="00E832D1">
              <w:t>Hispanic</w:t>
            </w:r>
          </w:p>
        </w:tc>
        <w:tc>
          <w:tcPr>
            <w:tcW w:w="845" w:type="dxa"/>
            <w:tcBorders>
              <w:top w:val="single" w:sz="6" w:space="0" w:color="auto"/>
              <w:bottom w:val="single" w:sz="6" w:space="0" w:color="auto"/>
            </w:tcBorders>
            <w:shd w:val="clear" w:color="auto" w:fill="auto"/>
            <w:noWrap/>
            <w:vAlign w:val="bottom"/>
            <w:hideMark/>
          </w:tcPr>
          <w:p w14:paraId="4CAB9EFF" w14:textId="402C76F7" w:rsidR="002B54F6" w:rsidRPr="00E832D1" w:rsidRDefault="00896735" w:rsidP="00871E69">
            <w:pPr>
              <w:pStyle w:val="TableHeaders"/>
              <w:keepNext/>
              <w:spacing w:before="20" w:after="20"/>
            </w:pPr>
            <w:r w:rsidRPr="00E832D1">
              <w:t>White/</w:t>
            </w:r>
            <w:r w:rsidR="000E77C1" w:rsidRPr="00E832D1">
              <w:t xml:space="preserve"> O</w:t>
            </w:r>
            <w:r w:rsidRPr="00E832D1">
              <w:t>ther</w:t>
            </w:r>
          </w:p>
        </w:tc>
        <w:tc>
          <w:tcPr>
            <w:tcW w:w="845" w:type="dxa"/>
            <w:tcBorders>
              <w:top w:val="single" w:sz="6" w:space="0" w:color="auto"/>
              <w:bottom w:val="single" w:sz="6" w:space="0" w:color="auto"/>
            </w:tcBorders>
            <w:shd w:val="clear" w:color="auto" w:fill="auto"/>
            <w:noWrap/>
            <w:vAlign w:val="bottom"/>
            <w:hideMark/>
          </w:tcPr>
          <w:p w14:paraId="6EFF805D" w14:textId="77777777" w:rsidR="002B54F6" w:rsidRPr="00E832D1" w:rsidRDefault="002B54F6" w:rsidP="00871E69">
            <w:pPr>
              <w:pStyle w:val="TableHeaders"/>
              <w:keepNext/>
              <w:spacing w:before="20" w:after="20"/>
            </w:pPr>
            <w:r w:rsidRPr="00E832D1">
              <w:t>Black</w:t>
            </w:r>
          </w:p>
        </w:tc>
        <w:tc>
          <w:tcPr>
            <w:tcW w:w="845" w:type="dxa"/>
            <w:tcBorders>
              <w:top w:val="single" w:sz="6" w:space="0" w:color="auto"/>
              <w:bottom w:val="single" w:sz="6" w:space="0" w:color="auto"/>
            </w:tcBorders>
            <w:shd w:val="clear" w:color="auto" w:fill="auto"/>
            <w:noWrap/>
            <w:vAlign w:val="bottom"/>
            <w:hideMark/>
          </w:tcPr>
          <w:p w14:paraId="5AEC66EB" w14:textId="77777777" w:rsidR="002B54F6" w:rsidRPr="00E832D1" w:rsidRDefault="002B54F6" w:rsidP="00871E69">
            <w:pPr>
              <w:pStyle w:val="TableHeaders"/>
              <w:keepNext/>
              <w:spacing w:before="20" w:after="20"/>
            </w:pPr>
            <w:r w:rsidRPr="00E832D1">
              <w:t>Hispanic</w:t>
            </w:r>
          </w:p>
        </w:tc>
        <w:tc>
          <w:tcPr>
            <w:tcW w:w="854" w:type="dxa"/>
            <w:tcBorders>
              <w:top w:val="single" w:sz="6" w:space="0" w:color="auto"/>
              <w:bottom w:val="single" w:sz="6" w:space="0" w:color="auto"/>
            </w:tcBorders>
            <w:shd w:val="clear" w:color="auto" w:fill="auto"/>
            <w:noWrap/>
            <w:vAlign w:val="bottom"/>
            <w:hideMark/>
          </w:tcPr>
          <w:p w14:paraId="3A353E3B" w14:textId="1FCD477A" w:rsidR="002B54F6" w:rsidRPr="00E832D1" w:rsidRDefault="00896735" w:rsidP="00871E69">
            <w:pPr>
              <w:pStyle w:val="TableHeaders"/>
              <w:keepNext/>
              <w:spacing w:before="20" w:after="20"/>
            </w:pPr>
            <w:r w:rsidRPr="00E832D1">
              <w:t>White/</w:t>
            </w:r>
            <w:r w:rsidR="000E77C1" w:rsidRPr="00E832D1">
              <w:t xml:space="preserve"> O</w:t>
            </w:r>
            <w:r w:rsidRPr="00E832D1">
              <w:t>ther</w:t>
            </w:r>
          </w:p>
        </w:tc>
        <w:tc>
          <w:tcPr>
            <w:tcW w:w="2354" w:type="dxa"/>
            <w:vMerge/>
            <w:tcBorders>
              <w:top w:val="single" w:sz="6" w:space="0" w:color="000000"/>
              <w:bottom w:val="single" w:sz="6" w:space="0" w:color="auto"/>
            </w:tcBorders>
            <w:shd w:val="clear" w:color="auto" w:fill="auto"/>
            <w:noWrap/>
            <w:vAlign w:val="bottom"/>
            <w:hideMark/>
          </w:tcPr>
          <w:p w14:paraId="27A136C0" w14:textId="77777777" w:rsidR="002B54F6" w:rsidRPr="00E832D1" w:rsidRDefault="002B54F6" w:rsidP="00871E69">
            <w:pPr>
              <w:pStyle w:val="TableHeaders"/>
              <w:keepNext/>
              <w:spacing w:before="20" w:after="20"/>
            </w:pPr>
          </w:p>
        </w:tc>
      </w:tr>
      <w:tr w:rsidR="006E5792" w:rsidRPr="00C00335" w14:paraId="3AFCD61A" w14:textId="77777777" w:rsidTr="006E5792">
        <w:trPr>
          <w:cantSplit/>
        </w:trPr>
        <w:tc>
          <w:tcPr>
            <w:tcW w:w="9448" w:type="dxa"/>
            <w:gridSpan w:val="9"/>
            <w:tcBorders>
              <w:top w:val="nil"/>
              <w:bottom w:val="single" w:sz="6" w:space="0" w:color="808080" w:themeColor="background1" w:themeShade="80"/>
            </w:tcBorders>
            <w:shd w:val="clear" w:color="auto" w:fill="auto"/>
            <w:noWrap/>
            <w:hideMark/>
          </w:tcPr>
          <w:p w14:paraId="1E0EDB39" w14:textId="77777777" w:rsidR="006E5792" w:rsidRPr="00C00335" w:rsidRDefault="006E5792" w:rsidP="00BA30F7">
            <w:pPr>
              <w:pStyle w:val="TableText"/>
              <w:keepNext/>
              <w:spacing w:before="20" w:after="20" w:line="210" w:lineRule="exact"/>
            </w:pPr>
            <w:r w:rsidRPr="00C00335">
              <w:t>Annual number of sex acts with all partners per HIV-uninfected person</w:t>
            </w:r>
          </w:p>
        </w:tc>
      </w:tr>
      <w:tr w:rsidR="006E5792" w:rsidRPr="00C00335" w14:paraId="3969D7FB" w14:textId="77777777" w:rsidTr="006E5792">
        <w:trPr>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10AE665C" w14:textId="77777777" w:rsidR="006E5792" w:rsidRPr="00C00335" w:rsidRDefault="006E5792" w:rsidP="00BA30F7">
            <w:pPr>
              <w:pStyle w:val="TableText"/>
              <w:keepNext/>
              <w:spacing w:before="20" w:after="20" w:line="210" w:lineRule="exact"/>
              <w:ind w:left="270"/>
            </w:pPr>
            <w:r w:rsidRPr="00C00335">
              <w:t>HET</w:t>
            </w:r>
          </w:p>
        </w:tc>
        <w:tc>
          <w:tcPr>
            <w:tcW w:w="5079" w:type="dxa"/>
            <w:gridSpan w:val="6"/>
            <w:tcBorders>
              <w:top w:val="single" w:sz="6" w:space="0" w:color="808080" w:themeColor="background1" w:themeShade="80"/>
              <w:bottom w:val="single" w:sz="6" w:space="0" w:color="808080" w:themeColor="background1" w:themeShade="80"/>
            </w:tcBorders>
            <w:shd w:val="clear" w:color="auto" w:fill="auto"/>
            <w:noWrap/>
          </w:tcPr>
          <w:p w14:paraId="0D9992C5" w14:textId="77777777" w:rsidR="006E5792" w:rsidRPr="00C00335" w:rsidRDefault="006E5792" w:rsidP="00BA30F7">
            <w:pPr>
              <w:pStyle w:val="TableText"/>
              <w:keepNext/>
              <w:spacing w:before="20" w:after="20" w:line="210" w:lineRule="exact"/>
            </w:pPr>
          </w:p>
        </w:tc>
        <w:tc>
          <w:tcPr>
            <w:tcW w:w="2375" w:type="dxa"/>
            <w:gridSpan w:val="2"/>
            <w:tcBorders>
              <w:top w:val="single" w:sz="6" w:space="0" w:color="808080" w:themeColor="background1" w:themeShade="80"/>
              <w:bottom w:val="single" w:sz="6" w:space="0" w:color="808080" w:themeColor="background1" w:themeShade="80"/>
            </w:tcBorders>
            <w:shd w:val="clear" w:color="auto" w:fill="auto"/>
            <w:noWrap/>
          </w:tcPr>
          <w:p w14:paraId="57A03DA5" w14:textId="77777777" w:rsidR="006E5792" w:rsidRPr="00C00335" w:rsidRDefault="006E5792" w:rsidP="00BA30F7">
            <w:pPr>
              <w:pStyle w:val="TableText"/>
              <w:keepNext/>
              <w:spacing w:before="20" w:after="20" w:line="210" w:lineRule="exact"/>
            </w:pPr>
          </w:p>
        </w:tc>
      </w:tr>
      <w:tr w:rsidR="006E5792" w:rsidRPr="001C5EE3" w14:paraId="2DAD48ED" w14:textId="77777777" w:rsidTr="006E5792">
        <w:trPr>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2C8F8762" w14:textId="77777777" w:rsidR="006E5792" w:rsidRPr="00421CB1" w:rsidRDefault="006E5792" w:rsidP="00BA30F7">
            <w:pPr>
              <w:pStyle w:val="TableText"/>
              <w:spacing w:before="20" w:after="20" w:line="210" w:lineRule="exact"/>
              <w:ind w:left="450"/>
            </w:pPr>
            <w:r w:rsidRPr="00421CB1">
              <w:t>High-risk</w:t>
            </w:r>
          </w:p>
        </w:tc>
        <w:tc>
          <w:tcPr>
            <w:tcW w:w="5079" w:type="dxa"/>
            <w:gridSpan w:val="6"/>
            <w:tcBorders>
              <w:top w:val="single" w:sz="6" w:space="0" w:color="808080" w:themeColor="background1" w:themeShade="80"/>
              <w:bottom w:val="single" w:sz="6" w:space="0" w:color="808080" w:themeColor="background1" w:themeShade="80"/>
            </w:tcBorders>
            <w:shd w:val="clear" w:color="auto" w:fill="auto"/>
            <w:noWrap/>
          </w:tcPr>
          <w:p w14:paraId="19499438" w14:textId="19043069" w:rsidR="006E5792" w:rsidRPr="00421CB1" w:rsidRDefault="006E5792" w:rsidP="00BA30F7">
            <w:pPr>
              <w:pStyle w:val="TableText"/>
              <w:keepNext/>
              <w:spacing w:before="20" w:after="20" w:line="210" w:lineRule="exact"/>
            </w:pPr>
            <w:r w:rsidRPr="00421CB1">
              <w:t>---------------------------205---------------------------</w:t>
            </w:r>
            <w:r>
              <w:t>-</w:t>
            </w:r>
          </w:p>
        </w:tc>
        <w:tc>
          <w:tcPr>
            <w:tcW w:w="2375" w:type="dxa"/>
            <w:gridSpan w:val="2"/>
            <w:vMerge w:val="restart"/>
            <w:tcBorders>
              <w:top w:val="single" w:sz="6" w:space="0" w:color="808080" w:themeColor="background1" w:themeShade="80"/>
            </w:tcBorders>
            <w:shd w:val="clear" w:color="auto" w:fill="auto"/>
            <w:noWrap/>
          </w:tcPr>
          <w:p w14:paraId="36C7E51D" w14:textId="77777777" w:rsidR="006E5792" w:rsidRPr="00421CB1" w:rsidRDefault="006E5792" w:rsidP="00BA30F7">
            <w:pPr>
              <w:pStyle w:val="TableText"/>
              <w:keepNext/>
              <w:spacing w:before="20" w:after="20" w:line="210" w:lineRule="exact"/>
            </w:pPr>
            <w:r w:rsidRPr="00421CB1">
              <w:t xml:space="preserve">Calculated from </w:t>
            </w:r>
            <w:proofErr w:type="spellStart"/>
            <w:r w:rsidRPr="00421CB1">
              <w:t>Leichliter</w:t>
            </w:r>
            <w:proofErr w:type="spellEnd"/>
            <w:r w:rsidRPr="00421CB1">
              <w:t xml:space="preserve"> et al., (2010)</w:t>
            </w:r>
            <w:r w:rsidRPr="00421CB1">
              <w:rPr>
                <w:vertAlign w:val="superscript"/>
              </w:rPr>
              <w:t>e</w:t>
            </w:r>
          </w:p>
        </w:tc>
      </w:tr>
      <w:tr w:rsidR="006E5792" w:rsidRPr="001C5EE3" w14:paraId="261516D2" w14:textId="77777777" w:rsidTr="006E5792">
        <w:trPr>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6BD37932" w14:textId="77777777" w:rsidR="006E5792" w:rsidRPr="00421CB1" w:rsidRDefault="006E5792" w:rsidP="00BA30F7">
            <w:pPr>
              <w:pStyle w:val="TableText"/>
              <w:spacing w:before="20" w:after="20" w:line="210" w:lineRule="exact"/>
              <w:ind w:left="450"/>
            </w:pPr>
            <w:r w:rsidRPr="00421CB1">
              <w:t>Low-risk</w:t>
            </w:r>
          </w:p>
        </w:tc>
        <w:tc>
          <w:tcPr>
            <w:tcW w:w="5079" w:type="dxa"/>
            <w:gridSpan w:val="6"/>
            <w:tcBorders>
              <w:top w:val="single" w:sz="6" w:space="0" w:color="808080" w:themeColor="background1" w:themeShade="80"/>
              <w:bottom w:val="single" w:sz="6" w:space="0" w:color="808080" w:themeColor="background1" w:themeShade="80"/>
            </w:tcBorders>
            <w:shd w:val="clear" w:color="auto" w:fill="auto"/>
            <w:noWrap/>
          </w:tcPr>
          <w:p w14:paraId="2ADD6FD9" w14:textId="151AA631" w:rsidR="006E5792" w:rsidRPr="00421CB1" w:rsidRDefault="006E5792" w:rsidP="00BA30F7">
            <w:pPr>
              <w:pStyle w:val="TableText"/>
              <w:keepNext/>
              <w:spacing w:before="20" w:after="20" w:line="210" w:lineRule="exact"/>
            </w:pPr>
            <w:r w:rsidRPr="00421CB1">
              <w:t>----------------------------34----------------------------</w:t>
            </w:r>
          </w:p>
        </w:tc>
        <w:tc>
          <w:tcPr>
            <w:tcW w:w="2375" w:type="dxa"/>
            <w:gridSpan w:val="2"/>
            <w:vMerge/>
            <w:tcBorders>
              <w:bottom w:val="single" w:sz="6" w:space="0" w:color="808080" w:themeColor="background1" w:themeShade="80"/>
            </w:tcBorders>
            <w:shd w:val="clear" w:color="auto" w:fill="auto"/>
            <w:noWrap/>
          </w:tcPr>
          <w:p w14:paraId="0C1894E7" w14:textId="77777777" w:rsidR="006E5792" w:rsidRPr="00421CB1" w:rsidRDefault="006E5792" w:rsidP="00BA30F7">
            <w:pPr>
              <w:pStyle w:val="TableText"/>
              <w:keepNext/>
              <w:spacing w:before="20" w:after="20" w:line="210" w:lineRule="exact"/>
            </w:pPr>
          </w:p>
        </w:tc>
      </w:tr>
      <w:tr w:rsidR="006E5792" w:rsidRPr="00C00335" w14:paraId="0836653F" w14:textId="77777777" w:rsidTr="006E5792">
        <w:trPr>
          <w:cantSplit/>
        </w:trPr>
        <w:tc>
          <w:tcPr>
            <w:tcW w:w="1994" w:type="dxa"/>
            <w:tcBorders>
              <w:top w:val="single" w:sz="6" w:space="0" w:color="808080" w:themeColor="background1" w:themeShade="80"/>
              <w:bottom w:val="single" w:sz="6" w:space="0" w:color="808080" w:themeColor="background1" w:themeShade="80"/>
            </w:tcBorders>
            <w:shd w:val="clear" w:color="auto" w:fill="auto"/>
            <w:noWrap/>
            <w:hideMark/>
          </w:tcPr>
          <w:p w14:paraId="121932E9" w14:textId="77777777" w:rsidR="006E5792" w:rsidRPr="00421CB1" w:rsidRDefault="006E5792" w:rsidP="00BA30F7">
            <w:pPr>
              <w:pStyle w:val="TableText"/>
              <w:spacing w:before="20" w:after="20" w:line="210" w:lineRule="exact"/>
              <w:ind w:left="274"/>
            </w:pPr>
            <w:r w:rsidRPr="00421CB1">
              <w:lastRenderedPageBreak/>
              <w:t xml:space="preserve">PWID </w:t>
            </w:r>
          </w:p>
        </w:tc>
        <w:tc>
          <w:tcPr>
            <w:tcW w:w="5079" w:type="dxa"/>
            <w:gridSpan w:val="6"/>
            <w:tcBorders>
              <w:top w:val="single" w:sz="6" w:space="0" w:color="808080" w:themeColor="background1" w:themeShade="80"/>
              <w:bottom w:val="single" w:sz="6" w:space="0" w:color="808080" w:themeColor="background1" w:themeShade="80"/>
            </w:tcBorders>
            <w:shd w:val="clear" w:color="auto" w:fill="auto"/>
            <w:noWrap/>
            <w:hideMark/>
          </w:tcPr>
          <w:p w14:paraId="6BC2C618" w14:textId="2715DF78" w:rsidR="006E5792" w:rsidRPr="00421CB1" w:rsidRDefault="006E5792" w:rsidP="00BA30F7">
            <w:pPr>
              <w:pStyle w:val="TableText"/>
              <w:keepNext/>
              <w:spacing w:before="20" w:after="20" w:line="210" w:lineRule="exact"/>
            </w:pPr>
            <w:r w:rsidRPr="00421CB1">
              <w:t>----------------------------68----------------------------</w:t>
            </w:r>
          </w:p>
        </w:tc>
        <w:tc>
          <w:tcPr>
            <w:tcW w:w="2375" w:type="dxa"/>
            <w:gridSpan w:val="2"/>
            <w:tcBorders>
              <w:top w:val="single" w:sz="6" w:space="0" w:color="808080" w:themeColor="background1" w:themeShade="80"/>
              <w:bottom w:val="single" w:sz="6" w:space="0" w:color="808080" w:themeColor="background1" w:themeShade="80"/>
            </w:tcBorders>
            <w:shd w:val="clear" w:color="auto" w:fill="auto"/>
            <w:noWrap/>
            <w:hideMark/>
          </w:tcPr>
          <w:p w14:paraId="2A36826D" w14:textId="77777777" w:rsidR="006E5792" w:rsidRPr="00421CB1" w:rsidRDefault="006E5792" w:rsidP="00BA30F7">
            <w:pPr>
              <w:pStyle w:val="TableText"/>
              <w:keepNext/>
              <w:spacing w:before="20" w:after="20" w:line="210" w:lineRule="exact"/>
            </w:pPr>
            <w:r w:rsidRPr="00421CB1">
              <w:t>Calculated from Reece et al. (2010a); Herbenick et al. (2010). Further detail on the calculation is available from the corresponding author.</w:t>
            </w:r>
          </w:p>
        </w:tc>
      </w:tr>
      <w:tr w:rsidR="00CA6F00" w:rsidRPr="00261303" w14:paraId="730D6AE3"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3EB6E3D3" w14:textId="772ED575" w:rsidR="00CA6F00" w:rsidRPr="00E832D1" w:rsidRDefault="00CA6F00" w:rsidP="00261303">
            <w:pPr>
              <w:pStyle w:val="TableText"/>
              <w:spacing w:before="20" w:after="20"/>
              <w:ind w:left="274"/>
            </w:pPr>
            <w:r w:rsidRPr="00E832D1">
              <w:t>MSM, overall</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94EE1B5" w14:textId="77777777" w:rsidR="00CA6F00" w:rsidRPr="00E832D1" w:rsidRDefault="00CA6F00" w:rsidP="00261303">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2359E3E" w14:textId="77777777" w:rsidR="00CA6F00" w:rsidRPr="00E832D1" w:rsidRDefault="00CA6F00" w:rsidP="00261303">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E0480EC" w14:textId="77777777" w:rsidR="00CA6F00" w:rsidRPr="00E832D1" w:rsidRDefault="00CA6F00" w:rsidP="00261303">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DD2B3C1" w14:textId="77777777" w:rsidR="00CA6F00" w:rsidRPr="00E832D1" w:rsidRDefault="00CA6F00" w:rsidP="00261303">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746BAAC" w14:textId="77777777" w:rsidR="00CA6F00" w:rsidRPr="00E832D1" w:rsidRDefault="00CA6F00" w:rsidP="00261303">
            <w:pPr>
              <w:pStyle w:val="TableTextDec"/>
              <w:tabs>
                <w:tab w:val="clear" w:pos="1015"/>
                <w:tab w:val="decimal" w:pos="341"/>
              </w:tabs>
              <w:spacing w:before="20" w:after="20"/>
            </w:pP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2F741DDF" w14:textId="77777777" w:rsidR="00CA6F00" w:rsidRPr="00E832D1" w:rsidRDefault="00CA6F00" w:rsidP="00261303">
            <w:pPr>
              <w:pStyle w:val="TableTextDec"/>
              <w:tabs>
                <w:tab w:val="clear" w:pos="1015"/>
                <w:tab w:val="decimal" w:pos="341"/>
              </w:tabs>
              <w:spacing w:before="20" w:after="20"/>
            </w:pP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14AAAF22" w14:textId="77777777" w:rsidR="00CA6F00" w:rsidRPr="00E832D1" w:rsidRDefault="00CA6F00" w:rsidP="00261303">
            <w:pPr>
              <w:pStyle w:val="TableText"/>
              <w:spacing w:before="20" w:after="20"/>
            </w:pPr>
          </w:p>
        </w:tc>
      </w:tr>
      <w:tr w:rsidR="00CA6F00" w:rsidRPr="00261303" w14:paraId="0A5AC7A9"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64CA87DD" w14:textId="77777777" w:rsidR="00CA6F00" w:rsidRPr="00E832D1" w:rsidRDefault="00CA6F00" w:rsidP="00CA6F00">
            <w:pPr>
              <w:pStyle w:val="TableText"/>
              <w:spacing w:before="20" w:after="20"/>
              <w:ind w:left="446"/>
            </w:pPr>
            <w:r w:rsidRPr="00E832D1">
              <w:t>13-17</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8CB1DCC" w14:textId="77777777" w:rsidR="00CA6F00" w:rsidRPr="00E832D1" w:rsidRDefault="00CA6F00" w:rsidP="00CA6F00">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3430642" w14:textId="77777777" w:rsidR="00CA6F00" w:rsidRPr="00E832D1" w:rsidRDefault="00CA6F00" w:rsidP="00CA6F00">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D53E214" w14:textId="77777777" w:rsidR="00CA6F00" w:rsidRPr="00E832D1" w:rsidRDefault="00CA6F00" w:rsidP="00CA6F00">
            <w:pPr>
              <w:pStyle w:val="TableTextDec"/>
              <w:tabs>
                <w:tab w:val="clear" w:pos="1015"/>
                <w:tab w:val="decimal" w:pos="341"/>
              </w:tabs>
              <w:spacing w:before="20" w:after="20"/>
            </w:pPr>
            <w:r w:rsidRPr="00E832D1">
              <w:t>N/A</w:t>
            </w:r>
            <w:r w:rsidRPr="00E832D1">
              <w:rPr>
                <w:vertAlign w:val="superscript"/>
              </w:rPr>
              <w:t>d</w:t>
            </w:r>
          </w:p>
        </w:tc>
        <w:tc>
          <w:tcPr>
            <w:tcW w:w="2544" w:type="dxa"/>
            <w:gridSpan w:val="3"/>
            <w:tcBorders>
              <w:top w:val="single" w:sz="6" w:space="0" w:color="808080" w:themeColor="background1" w:themeShade="80"/>
              <w:bottom w:val="single" w:sz="6" w:space="0" w:color="808080" w:themeColor="background1" w:themeShade="80"/>
            </w:tcBorders>
            <w:shd w:val="clear" w:color="auto" w:fill="auto"/>
            <w:noWrap/>
          </w:tcPr>
          <w:p w14:paraId="458E6453" w14:textId="006D58D6" w:rsidR="00CA6F00" w:rsidRPr="00E832D1" w:rsidRDefault="00CA6F00" w:rsidP="00CA6F00">
            <w:pPr>
              <w:pStyle w:val="TableTextDec"/>
              <w:tabs>
                <w:tab w:val="clear" w:pos="1015"/>
                <w:tab w:val="decimal" w:pos="341"/>
              </w:tabs>
              <w:spacing w:before="20" w:after="20"/>
            </w:pPr>
            <w:r w:rsidRPr="00E832D1">
              <w:t>-----------30--------------</w:t>
            </w:r>
          </w:p>
        </w:tc>
        <w:tc>
          <w:tcPr>
            <w:tcW w:w="2354" w:type="dxa"/>
            <w:vMerge w:val="restart"/>
            <w:tcBorders>
              <w:top w:val="single" w:sz="6" w:space="0" w:color="808080" w:themeColor="background1" w:themeShade="80"/>
            </w:tcBorders>
            <w:shd w:val="clear" w:color="auto" w:fill="auto"/>
            <w:noWrap/>
          </w:tcPr>
          <w:p w14:paraId="208CAD6B" w14:textId="77777777" w:rsidR="00F956F1" w:rsidRPr="00E832D1" w:rsidRDefault="00F956F1" w:rsidP="00CA6F00">
            <w:pPr>
              <w:pStyle w:val="TableText"/>
              <w:spacing w:before="20" w:after="20"/>
            </w:pPr>
            <w:r w:rsidRPr="00E832D1">
              <w:t>Ages 13–17: Herbenick et al. (2010)</w:t>
            </w:r>
          </w:p>
          <w:p w14:paraId="02AB8D5D" w14:textId="27BACC6A" w:rsidR="00CA6F00" w:rsidRPr="00E832D1" w:rsidRDefault="00F956F1" w:rsidP="00CA6F00">
            <w:pPr>
              <w:pStyle w:val="TableText"/>
              <w:spacing w:before="20" w:after="20"/>
            </w:pPr>
            <w:r w:rsidRPr="00E832D1">
              <w:t xml:space="preserve">Ages 18 and over: Wall et al. (2013) </w:t>
            </w:r>
          </w:p>
        </w:tc>
      </w:tr>
      <w:tr w:rsidR="00CA6F00" w:rsidRPr="00261303" w14:paraId="5A8AA472"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57AA4B94" w14:textId="77777777" w:rsidR="00CA6F00" w:rsidRPr="00E832D1" w:rsidRDefault="00CA6F00" w:rsidP="00261303">
            <w:pPr>
              <w:pStyle w:val="TableText"/>
              <w:spacing w:before="20" w:after="20"/>
              <w:ind w:left="446"/>
            </w:pPr>
            <w:r w:rsidRPr="00E832D1">
              <w:t>18-24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B224B8B"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DB8D56F"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6E0D72C"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2544" w:type="dxa"/>
            <w:gridSpan w:val="3"/>
            <w:tcBorders>
              <w:top w:val="single" w:sz="6" w:space="0" w:color="808080" w:themeColor="background1" w:themeShade="80"/>
              <w:bottom w:val="single" w:sz="6" w:space="0" w:color="808080" w:themeColor="background1" w:themeShade="80"/>
            </w:tcBorders>
            <w:shd w:val="clear" w:color="auto" w:fill="auto"/>
            <w:noWrap/>
          </w:tcPr>
          <w:p w14:paraId="7F1F4D32" w14:textId="72F52D92" w:rsidR="00CA6F00" w:rsidRPr="00E832D1" w:rsidRDefault="00CA6F00" w:rsidP="00261303">
            <w:pPr>
              <w:pStyle w:val="TableTextDec"/>
              <w:tabs>
                <w:tab w:val="clear" w:pos="1015"/>
                <w:tab w:val="decimal" w:pos="341"/>
              </w:tabs>
              <w:spacing w:before="20" w:after="20"/>
            </w:pPr>
            <w:r w:rsidRPr="00E832D1">
              <w:t>-----------89--------------</w:t>
            </w:r>
          </w:p>
        </w:tc>
        <w:tc>
          <w:tcPr>
            <w:tcW w:w="2354" w:type="dxa"/>
            <w:vMerge/>
            <w:shd w:val="clear" w:color="auto" w:fill="auto"/>
            <w:noWrap/>
          </w:tcPr>
          <w:p w14:paraId="6EE17677" w14:textId="77777777" w:rsidR="00CA6F00" w:rsidRPr="00E832D1" w:rsidRDefault="00CA6F00" w:rsidP="00261303">
            <w:pPr>
              <w:pStyle w:val="TableText"/>
              <w:spacing w:before="20" w:after="20"/>
            </w:pPr>
          </w:p>
        </w:tc>
      </w:tr>
      <w:tr w:rsidR="00CA6F00" w:rsidRPr="00261303" w14:paraId="530C1798"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13D394F0" w14:textId="77777777" w:rsidR="00CA6F00" w:rsidRPr="00E832D1" w:rsidRDefault="00CA6F00" w:rsidP="00261303">
            <w:pPr>
              <w:pStyle w:val="TableText"/>
              <w:spacing w:before="20" w:after="20"/>
              <w:ind w:left="446"/>
            </w:pPr>
            <w:r w:rsidRPr="00E832D1">
              <w:t>25-34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70587C4"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A36361A"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CC683B9"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2544" w:type="dxa"/>
            <w:gridSpan w:val="3"/>
            <w:tcBorders>
              <w:top w:val="single" w:sz="6" w:space="0" w:color="808080" w:themeColor="background1" w:themeShade="80"/>
              <w:bottom w:val="single" w:sz="6" w:space="0" w:color="808080" w:themeColor="background1" w:themeShade="80"/>
            </w:tcBorders>
            <w:shd w:val="clear" w:color="auto" w:fill="auto"/>
            <w:noWrap/>
          </w:tcPr>
          <w:p w14:paraId="6A05CE0B" w14:textId="573C8E6F" w:rsidR="00CA6F00" w:rsidRPr="00E832D1" w:rsidRDefault="00CA6F00" w:rsidP="00261303">
            <w:pPr>
              <w:pStyle w:val="TableTextDec"/>
              <w:tabs>
                <w:tab w:val="clear" w:pos="1015"/>
                <w:tab w:val="decimal" w:pos="341"/>
              </w:tabs>
              <w:spacing w:before="20" w:after="20"/>
            </w:pPr>
            <w:r w:rsidRPr="00E832D1">
              <w:t>-----------88--------------</w:t>
            </w:r>
          </w:p>
        </w:tc>
        <w:tc>
          <w:tcPr>
            <w:tcW w:w="2354" w:type="dxa"/>
            <w:vMerge/>
            <w:shd w:val="clear" w:color="auto" w:fill="auto"/>
            <w:noWrap/>
          </w:tcPr>
          <w:p w14:paraId="7BBE6A97" w14:textId="77777777" w:rsidR="00CA6F00" w:rsidRPr="00E832D1" w:rsidRDefault="00CA6F00" w:rsidP="00261303">
            <w:pPr>
              <w:pStyle w:val="TableText"/>
              <w:spacing w:before="20" w:after="20"/>
            </w:pPr>
          </w:p>
        </w:tc>
      </w:tr>
      <w:tr w:rsidR="00CA6F00" w:rsidRPr="00261303" w14:paraId="561DF1DB"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11F1FC10" w14:textId="77777777" w:rsidR="00CA6F00" w:rsidRPr="00E832D1" w:rsidRDefault="00CA6F00" w:rsidP="00261303">
            <w:pPr>
              <w:pStyle w:val="TableText"/>
              <w:spacing w:before="20" w:after="20"/>
              <w:ind w:left="446"/>
            </w:pPr>
            <w:r w:rsidRPr="00E832D1">
              <w:t>35-44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B5F9D20"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E1B87A6"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12FDFE5"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2544" w:type="dxa"/>
            <w:gridSpan w:val="3"/>
            <w:tcBorders>
              <w:top w:val="single" w:sz="6" w:space="0" w:color="808080" w:themeColor="background1" w:themeShade="80"/>
              <w:bottom w:val="single" w:sz="6" w:space="0" w:color="808080" w:themeColor="background1" w:themeShade="80"/>
            </w:tcBorders>
            <w:shd w:val="clear" w:color="auto" w:fill="auto"/>
            <w:noWrap/>
          </w:tcPr>
          <w:p w14:paraId="710BD5B5" w14:textId="7A6A68BD" w:rsidR="00CA6F00" w:rsidRPr="00E832D1" w:rsidRDefault="00CA6F00" w:rsidP="00261303">
            <w:pPr>
              <w:pStyle w:val="TableTextDec"/>
              <w:tabs>
                <w:tab w:val="clear" w:pos="1015"/>
                <w:tab w:val="decimal" w:pos="341"/>
              </w:tabs>
              <w:spacing w:before="20" w:after="20"/>
            </w:pPr>
            <w:r w:rsidRPr="00E832D1">
              <w:t>-----------71--------------</w:t>
            </w:r>
          </w:p>
        </w:tc>
        <w:tc>
          <w:tcPr>
            <w:tcW w:w="2354" w:type="dxa"/>
            <w:vMerge/>
            <w:shd w:val="clear" w:color="auto" w:fill="auto"/>
            <w:noWrap/>
          </w:tcPr>
          <w:p w14:paraId="6E127BA2" w14:textId="77777777" w:rsidR="00CA6F00" w:rsidRPr="00E832D1" w:rsidRDefault="00CA6F00" w:rsidP="00261303">
            <w:pPr>
              <w:pStyle w:val="TableText"/>
              <w:spacing w:before="20" w:after="20"/>
            </w:pPr>
          </w:p>
        </w:tc>
      </w:tr>
      <w:tr w:rsidR="00CA6F00" w:rsidRPr="00261303" w14:paraId="0039F4B1"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55D45013" w14:textId="77777777" w:rsidR="00CA6F00" w:rsidRPr="00E832D1" w:rsidRDefault="00CA6F00" w:rsidP="00261303">
            <w:pPr>
              <w:pStyle w:val="TableText"/>
              <w:spacing w:before="20" w:after="20"/>
              <w:ind w:left="446"/>
            </w:pPr>
            <w:r w:rsidRPr="00E832D1">
              <w:t>45-54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D10C9DC"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81CD869"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5A705AB"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2544" w:type="dxa"/>
            <w:gridSpan w:val="3"/>
            <w:tcBorders>
              <w:top w:val="single" w:sz="6" w:space="0" w:color="808080" w:themeColor="background1" w:themeShade="80"/>
              <w:bottom w:val="single" w:sz="6" w:space="0" w:color="808080" w:themeColor="background1" w:themeShade="80"/>
            </w:tcBorders>
            <w:shd w:val="clear" w:color="auto" w:fill="auto"/>
            <w:noWrap/>
          </w:tcPr>
          <w:p w14:paraId="7DFA9B03" w14:textId="0D2A21B2" w:rsidR="00CA6F00" w:rsidRPr="00E832D1" w:rsidRDefault="00CA6F00" w:rsidP="00261303">
            <w:pPr>
              <w:pStyle w:val="TableTextDec"/>
              <w:tabs>
                <w:tab w:val="clear" w:pos="1015"/>
                <w:tab w:val="decimal" w:pos="341"/>
              </w:tabs>
              <w:spacing w:before="20" w:after="20"/>
            </w:pPr>
            <w:r w:rsidRPr="00E832D1">
              <w:t>-----------57--------------</w:t>
            </w:r>
          </w:p>
        </w:tc>
        <w:tc>
          <w:tcPr>
            <w:tcW w:w="2354" w:type="dxa"/>
            <w:vMerge/>
            <w:shd w:val="clear" w:color="auto" w:fill="auto"/>
            <w:noWrap/>
          </w:tcPr>
          <w:p w14:paraId="1219BB7A" w14:textId="77777777" w:rsidR="00CA6F00" w:rsidRPr="00E832D1" w:rsidRDefault="00CA6F00" w:rsidP="00261303">
            <w:pPr>
              <w:pStyle w:val="TableText"/>
              <w:spacing w:before="20" w:after="20"/>
            </w:pPr>
          </w:p>
        </w:tc>
      </w:tr>
      <w:tr w:rsidR="00CA6F00" w:rsidRPr="00261303" w14:paraId="1678A6C6"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4A6CD4B6" w14:textId="77777777" w:rsidR="00CA6F00" w:rsidRPr="00E832D1" w:rsidRDefault="00CA6F00" w:rsidP="00261303">
            <w:pPr>
              <w:pStyle w:val="TableText"/>
              <w:spacing w:before="20" w:after="20"/>
              <w:ind w:left="446"/>
            </w:pPr>
            <w:r w:rsidRPr="00E832D1">
              <w:t>55-64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C291C9D"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03B9ABC"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9AC071F"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2544" w:type="dxa"/>
            <w:gridSpan w:val="3"/>
            <w:tcBorders>
              <w:top w:val="single" w:sz="6" w:space="0" w:color="808080" w:themeColor="background1" w:themeShade="80"/>
              <w:bottom w:val="single" w:sz="6" w:space="0" w:color="808080" w:themeColor="background1" w:themeShade="80"/>
            </w:tcBorders>
            <w:shd w:val="clear" w:color="auto" w:fill="auto"/>
            <w:noWrap/>
          </w:tcPr>
          <w:p w14:paraId="7CDC14D5" w14:textId="605BBC63" w:rsidR="00CA6F00" w:rsidRPr="00E832D1" w:rsidRDefault="00CA6F00" w:rsidP="00261303">
            <w:pPr>
              <w:pStyle w:val="TableTextDec"/>
              <w:tabs>
                <w:tab w:val="clear" w:pos="1015"/>
                <w:tab w:val="decimal" w:pos="341"/>
              </w:tabs>
              <w:spacing w:before="20" w:after="20"/>
            </w:pPr>
            <w:r w:rsidRPr="00E832D1">
              <w:t>-----------55--------------</w:t>
            </w:r>
          </w:p>
        </w:tc>
        <w:tc>
          <w:tcPr>
            <w:tcW w:w="2354" w:type="dxa"/>
            <w:vMerge/>
            <w:shd w:val="clear" w:color="auto" w:fill="auto"/>
            <w:noWrap/>
          </w:tcPr>
          <w:p w14:paraId="22183A13" w14:textId="77777777" w:rsidR="00CA6F00" w:rsidRPr="00E832D1" w:rsidRDefault="00CA6F00" w:rsidP="00261303">
            <w:pPr>
              <w:pStyle w:val="TableText"/>
              <w:spacing w:before="20" w:after="20"/>
            </w:pPr>
          </w:p>
        </w:tc>
      </w:tr>
      <w:tr w:rsidR="00CA6F00" w:rsidRPr="0023643C" w14:paraId="2BBA57C4"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2DA2B26D" w14:textId="77777777" w:rsidR="00CA6F00" w:rsidRPr="00E832D1" w:rsidRDefault="00CA6F00" w:rsidP="00261303">
            <w:pPr>
              <w:pStyle w:val="TableText"/>
              <w:spacing w:before="20" w:after="20"/>
              <w:ind w:left="446"/>
            </w:pPr>
            <w:r w:rsidRPr="00E832D1">
              <w:t>65+</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5A3D7CA"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99A3235"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B84DC37" w14:textId="77777777" w:rsidR="00CA6F00" w:rsidRPr="00E832D1" w:rsidRDefault="00CA6F00" w:rsidP="00261303">
            <w:pPr>
              <w:pStyle w:val="TableTextDec"/>
              <w:tabs>
                <w:tab w:val="clear" w:pos="1015"/>
                <w:tab w:val="decimal" w:pos="341"/>
              </w:tabs>
              <w:spacing w:before="20" w:after="20"/>
            </w:pPr>
            <w:r w:rsidRPr="00E832D1">
              <w:t>N/A</w:t>
            </w:r>
            <w:r w:rsidRPr="00E832D1">
              <w:rPr>
                <w:vertAlign w:val="superscript"/>
              </w:rPr>
              <w:t>d</w:t>
            </w:r>
          </w:p>
        </w:tc>
        <w:tc>
          <w:tcPr>
            <w:tcW w:w="2544" w:type="dxa"/>
            <w:gridSpan w:val="3"/>
            <w:tcBorders>
              <w:top w:val="single" w:sz="6" w:space="0" w:color="808080" w:themeColor="background1" w:themeShade="80"/>
              <w:bottom w:val="single" w:sz="6" w:space="0" w:color="808080" w:themeColor="background1" w:themeShade="80"/>
            </w:tcBorders>
            <w:shd w:val="clear" w:color="auto" w:fill="auto"/>
            <w:noWrap/>
          </w:tcPr>
          <w:p w14:paraId="7B16817D" w14:textId="37265293" w:rsidR="00CA6F00" w:rsidRPr="00E832D1" w:rsidRDefault="00CA6F00" w:rsidP="00261303">
            <w:pPr>
              <w:pStyle w:val="TableTextDec"/>
              <w:tabs>
                <w:tab w:val="clear" w:pos="1015"/>
                <w:tab w:val="decimal" w:pos="341"/>
              </w:tabs>
              <w:spacing w:before="20" w:after="20"/>
            </w:pPr>
            <w:r w:rsidRPr="00E832D1">
              <w:t>-----------46--------------</w:t>
            </w:r>
          </w:p>
        </w:tc>
        <w:tc>
          <w:tcPr>
            <w:tcW w:w="2354" w:type="dxa"/>
            <w:vMerge/>
            <w:tcBorders>
              <w:bottom w:val="single" w:sz="6" w:space="0" w:color="808080" w:themeColor="background1" w:themeShade="80"/>
            </w:tcBorders>
            <w:shd w:val="clear" w:color="auto" w:fill="auto"/>
            <w:noWrap/>
          </w:tcPr>
          <w:p w14:paraId="29729491" w14:textId="77777777" w:rsidR="00CA6F00" w:rsidRPr="00E832D1" w:rsidRDefault="00CA6F00" w:rsidP="00261303">
            <w:pPr>
              <w:pStyle w:val="TableText"/>
              <w:spacing w:before="20" w:after="20"/>
            </w:pPr>
          </w:p>
        </w:tc>
      </w:tr>
      <w:tr w:rsidR="004C5294" w:rsidRPr="0023643C" w14:paraId="184B60F2"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3F20AAE2" w14:textId="7CDB4C9C" w:rsidR="004C5294" w:rsidRPr="0023643C" w:rsidRDefault="004C5294" w:rsidP="004B71BF">
            <w:pPr>
              <w:pStyle w:val="TableText"/>
              <w:spacing w:before="20" w:after="20"/>
              <w:ind w:left="274"/>
            </w:pPr>
            <w:r w:rsidRPr="0023643C">
              <w:t>MSM, low-risk</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3487B4A" w14:textId="77777777" w:rsidR="004C5294" w:rsidRPr="00E832D1" w:rsidRDefault="004C5294" w:rsidP="004C5294">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EAEA1E4" w14:textId="77777777" w:rsidR="004C5294" w:rsidRPr="00E832D1" w:rsidRDefault="004C5294" w:rsidP="004C5294">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C85AA21" w14:textId="77777777" w:rsidR="004C5294" w:rsidRPr="00E832D1" w:rsidRDefault="004C5294" w:rsidP="004C5294">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EDC8908" w14:textId="77777777" w:rsidR="004C5294" w:rsidRPr="00E832D1" w:rsidRDefault="004C5294" w:rsidP="004C5294">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D81D7F7" w14:textId="77777777" w:rsidR="004C5294" w:rsidRPr="00E832D1" w:rsidRDefault="004C5294" w:rsidP="004C5294">
            <w:pPr>
              <w:pStyle w:val="TableTextDec"/>
              <w:tabs>
                <w:tab w:val="clear" w:pos="1015"/>
                <w:tab w:val="decimal" w:pos="341"/>
              </w:tabs>
              <w:spacing w:before="20" w:after="20"/>
            </w:pP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1946F37A" w14:textId="77777777" w:rsidR="004C5294" w:rsidRPr="00E832D1" w:rsidRDefault="004C5294" w:rsidP="004C5294">
            <w:pPr>
              <w:pStyle w:val="TableTextDec"/>
              <w:tabs>
                <w:tab w:val="clear" w:pos="1015"/>
                <w:tab w:val="decimal" w:pos="341"/>
              </w:tabs>
              <w:spacing w:before="20" w:after="20"/>
            </w:pP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51F75381" w14:textId="77777777" w:rsidR="004C5294" w:rsidRPr="00E832D1" w:rsidRDefault="004C5294" w:rsidP="004C5294">
            <w:pPr>
              <w:pStyle w:val="TableText"/>
              <w:spacing w:before="20" w:after="20"/>
            </w:pPr>
          </w:p>
        </w:tc>
      </w:tr>
      <w:tr w:rsidR="00FB5A2F" w:rsidRPr="0023643C" w14:paraId="433FC68B"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6815442A" w14:textId="171F4BE4" w:rsidR="00FB5A2F" w:rsidRPr="0023643C" w:rsidRDefault="00FB5A2F" w:rsidP="00FB5A2F">
            <w:pPr>
              <w:pStyle w:val="TableText"/>
              <w:spacing w:before="20" w:after="20"/>
              <w:ind w:left="446"/>
            </w:pPr>
            <w:r w:rsidRPr="0023643C">
              <w:t>13-17</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2E4F067" w14:textId="3A0432B4" w:rsidR="00FB5A2F" w:rsidRPr="00E832D1" w:rsidRDefault="00FB5A2F" w:rsidP="00FB5A2F">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3E75D88" w14:textId="545CC5E4" w:rsidR="00FB5A2F" w:rsidRPr="00E832D1" w:rsidRDefault="00FB5A2F" w:rsidP="00FB5A2F">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DFC1A81" w14:textId="2D8A56BB" w:rsidR="00FB5A2F" w:rsidRPr="00E832D1" w:rsidRDefault="00FB5A2F" w:rsidP="00FB5A2F">
            <w:pPr>
              <w:pStyle w:val="TableTextDec"/>
              <w:tabs>
                <w:tab w:val="clear" w:pos="1015"/>
                <w:tab w:val="decimal" w:pos="341"/>
              </w:tabs>
              <w:spacing w:before="20" w:after="20"/>
            </w:pPr>
            <w:r w:rsidRPr="00E832D1">
              <w:t>N/A</w:t>
            </w:r>
            <w:r w:rsidRPr="00E832D1">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B917027" w14:textId="27222ED7" w:rsidR="00FB5A2F" w:rsidRPr="00E832D1" w:rsidRDefault="00FB5A2F" w:rsidP="00FB5A2F">
            <w:pPr>
              <w:pStyle w:val="TableTextDec"/>
              <w:tabs>
                <w:tab w:val="clear" w:pos="1015"/>
                <w:tab w:val="decimal" w:pos="341"/>
              </w:tabs>
              <w:spacing w:before="20" w:after="20"/>
            </w:pPr>
            <w:r w:rsidRPr="002B612E">
              <w:t>5.4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5883EDE" w14:textId="7297A3F2" w:rsidR="00FB5A2F" w:rsidRPr="00E832D1" w:rsidRDefault="00FB5A2F" w:rsidP="00FB5A2F">
            <w:pPr>
              <w:pStyle w:val="TableTextDec"/>
              <w:tabs>
                <w:tab w:val="clear" w:pos="1015"/>
                <w:tab w:val="decimal" w:pos="341"/>
              </w:tabs>
              <w:spacing w:before="20" w:after="20"/>
            </w:pPr>
            <w:r w:rsidRPr="002B612E">
              <w:t>4.9</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46E0950D" w14:textId="54330E21" w:rsidR="00FB5A2F" w:rsidRPr="00E832D1" w:rsidRDefault="00FB5A2F" w:rsidP="00FB5A2F">
            <w:pPr>
              <w:pStyle w:val="TableTextDec"/>
              <w:tabs>
                <w:tab w:val="clear" w:pos="1015"/>
                <w:tab w:val="decimal" w:pos="341"/>
              </w:tabs>
              <w:spacing w:before="20" w:after="20"/>
            </w:pPr>
            <w:r w:rsidRPr="002B612E">
              <w:t>5.6</w:t>
            </w:r>
          </w:p>
        </w:tc>
        <w:tc>
          <w:tcPr>
            <w:tcW w:w="2354" w:type="dxa"/>
            <w:vMerge w:val="restart"/>
            <w:tcBorders>
              <w:top w:val="single" w:sz="6" w:space="0" w:color="808080" w:themeColor="background1" w:themeShade="80"/>
            </w:tcBorders>
            <w:shd w:val="clear" w:color="auto" w:fill="auto"/>
            <w:noWrap/>
          </w:tcPr>
          <w:p w14:paraId="30C2FBB9" w14:textId="0B28E968" w:rsidR="00FB5A2F" w:rsidRPr="00E832D1" w:rsidRDefault="00FB5A2F" w:rsidP="00FB5A2F">
            <w:pPr>
              <w:pStyle w:val="TableText"/>
              <w:spacing w:before="20" w:after="20"/>
            </w:pPr>
            <w:proofErr w:type="spellStart"/>
            <w:r w:rsidRPr="00E832D1">
              <w:t>Calculated</w:t>
            </w:r>
            <w:r w:rsidRPr="00E832D1">
              <w:rPr>
                <w:vertAlign w:val="superscript"/>
              </w:rPr>
              <w:t>f</w:t>
            </w:r>
            <w:proofErr w:type="spellEnd"/>
          </w:p>
        </w:tc>
      </w:tr>
      <w:tr w:rsidR="00FB5A2F" w:rsidRPr="0023643C" w14:paraId="579E5BD3"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12222067" w14:textId="26AF14C4" w:rsidR="00FB5A2F" w:rsidRPr="0023643C" w:rsidRDefault="00FB5A2F" w:rsidP="00FB5A2F">
            <w:pPr>
              <w:pStyle w:val="TableText"/>
              <w:spacing w:before="20" w:after="20"/>
              <w:ind w:left="446"/>
            </w:pPr>
            <w:r w:rsidRPr="0023643C">
              <w:t>18-24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241B76E" w14:textId="155EBBF1"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E26D0A6" w14:textId="7B58CF02"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21F5A67" w14:textId="4198ADB1"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7DC030C" w14:textId="5559665E" w:rsidR="00FB5A2F" w:rsidRPr="0023643C" w:rsidRDefault="00FB5A2F" w:rsidP="00FB5A2F">
            <w:pPr>
              <w:pStyle w:val="TableTextDec"/>
              <w:tabs>
                <w:tab w:val="clear" w:pos="1015"/>
                <w:tab w:val="decimal" w:pos="341"/>
              </w:tabs>
              <w:spacing w:before="20" w:after="20"/>
            </w:pPr>
            <w:r w:rsidRPr="002B612E">
              <w:t>26.8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E6DD732" w14:textId="108489A1" w:rsidR="00FB5A2F" w:rsidRPr="0023643C" w:rsidRDefault="00FB5A2F" w:rsidP="00FB5A2F">
            <w:pPr>
              <w:pStyle w:val="TableTextDec"/>
              <w:tabs>
                <w:tab w:val="clear" w:pos="1015"/>
                <w:tab w:val="decimal" w:pos="341"/>
              </w:tabs>
              <w:spacing w:before="20" w:after="20"/>
            </w:pPr>
            <w:r w:rsidRPr="002B612E">
              <w:t>22.8</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56E59252" w14:textId="781EA1A1" w:rsidR="00FB5A2F" w:rsidRPr="0023643C" w:rsidRDefault="00FB5A2F" w:rsidP="00FB5A2F">
            <w:pPr>
              <w:pStyle w:val="TableTextDec"/>
              <w:tabs>
                <w:tab w:val="clear" w:pos="1015"/>
                <w:tab w:val="decimal" w:pos="341"/>
              </w:tabs>
              <w:spacing w:before="20" w:after="20"/>
            </w:pPr>
            <w:r w:rsidRPr="002B612E">
              <w:t>24.7</w:t>
            </w:r>
          </w:p>
        </w:tc>
        <w:tc>
          <w:tcPr>
            <w:tcW w:w="2354" w:type="dxa"/>
            <w:vMerge/>
            <w:shd w:val="clear" w:color="auto" w:fill="auto"/>
            <w:noWrap/>
          </w:tcPr>
          <w:p w14:paraId="402B490D" w14:textId="77777777" w:rsidR="00FB5A2F" w:rsidRPr="0023643C" w:rsidRDefault="00FB5A2F" w:rsidP="00FB5A2F">
            <w:pPr>
              <w:pStyle w:val="TableText"/>
              <w:spacing w:before="20" w:after="20"/>
            </w:pPr>
          </w:p>
        </w:tc>
      </w:tr>
      <w:tr w:rsidR="00FB5A2F" w:rsidRPr="0023643C" w14:paraId="1DDE9EEE"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2C9DF8E3" w14:textId="25BC59C1" w:rsidR="00FB5A2F" w:rsidRPr="0023643C" w:rsidRDefault="00FB5A2F" w:rsidP="00FB5A2F">
            <w:pPr>
              <w:pStyle w:val="TableText"/>
              <w:spacing w:before="20" w:after="20"/>
              <w:ind w:left="446"/>
            </w:pPr>
            <w:r w:rsidRPr="0023643C">
              <w:t>25-34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361F70E" w14:textId="5E8036D8"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04F9EB7" w14:textId="58AE6038"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988A906" w14:textId="18836ED5"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AC91D26" w14:textId="0786B2E1" w:rsidR="00FB5A2F" w:rsidRPr="0023643C" w:rsidRDefault="00FB5A2F" w:rsidP="00FB5A2F">
            <w:pPr>
              <w:pStyle w:val="TableTextDec"/>
              <w:tabs>
                <w:tab w:val="clear" w:pos="1015"/>
                <w:tab w:val="decimal" w:pos="341"/>
              </w:tabs>
              <w:spacing w:before="20" w:after="20"/>
            </w:pPr>
            <w:r w:rsidRPr="002B612E">
              <w:t>17.4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0703012" w14:textId="089ABE2A" w:rsidR="00FB5A2F" w:rsidRPr="0023643C" w:rsidRDefault="00FB5A2F" w:rsidP="00FB5A2F">
            <w:pPr>
              <w:pStyle w:val="TableTextDec"/>
              <w:tabs>
                <w:tab w:val="clear" w:pos="1015"/>
                <w:tab w:val="decimal" w:pos="341"/>
              </w:tabs>
              <w:spacing w:before="20" w:after="20"/>
            </w:pPr>
            <w:r w:rsidRPr="002B612E">
              <w:t>15.8</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3AF0E05B" w14:textId="02636AAD" w:rsidR="00FB5A2F" w:rsidRPr="0023643C" w:rsidRDefault="00FB5A2F" w:rsidP="00FB5A2F">
            <w:pPr>
              <w:pStyle w:val="TableTextDec"/>
              <w:tabs>
                <w:tab w:val="clear" w:pos="1015"/>
                <w:tab w:val="decimal" w:pos="341"/>
              </w:tabs>
              <w:spacing w:before="20" w:after="20"/>
            </w:pPr>
            <w:r w:rsidRPr="002B612E">
              <w:t>19.0</w:t>
            </w:r>
          </w:p>
        </w:tc>
        <w:tc>
          <w:tcPr>
            <w:tcW w:w="2354" w:type="dxa"/>
            <w:vMerge/>
            <w:shd w:val="clear" w:color="auto" w:fill="auto"/>
            <w:noWrap/>
          </w:tcPr>
          <w:p w14:paraId="45DBD747" w14:textId="77777777" w:rsidR="00FB5A2F" w:rsidRPr="0023643C" w:rsidRDefault="00FB5A2F" w:rsidP="00FB5A2F">
            <w:pPr>
              <w:pStyle w:val="TableText"/>
              <w:spacing w:before="20" w:after="20"/>
            </w:pPr>
          </w:p>
        </w:tc>
      </w:tr>
      <w:tr w:rsidR="00FB5A2F" w:rsidRPr="0023643C" w14:paraId="23E9B521"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4FE89F9D" w14:textId="45CBFD95" w:rsidR="00FB5A2F" w:rsidRPr="0023643C" w:rsidRDefault="00FB5A2F" w:rsidP="00FB5A2F">
            <w:pPr>
              <w:pStyle w:val="TableText"/>
              <w:spacing w:before="20" w:after="20"/>
              <w:ind w:left="446"/>
            </w:pPr>
            <w:r w:rsidRPr="0023643C">
              <w:t>35-44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A4034A9" w14:textId="75CDC9BE"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C30FD13" w14:textId="012EAA30"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E69BF41" w14:textId="1BC0782F"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9DB1C78" w14:textId="0C5A5C8D" w:rsidR="00FB5A2F" w:rsidRPr="0023643C" w:rsidRDefault="00FB5A2F" w:rsidP="00FB5A2F">
            <w:pPr>
              <w:pStyle w:val="TableTextDec"/>
              <w:tabs>
                <w:tab w:val="clear" w:pos="1015"/>
                <w:tab w:val="decimal" w:pos="341"/>
              </w:tabs>
              <w:spacing w:before="20" w:after="20"/>
            </w:pPr>
            <w:r w:rsidRPr="002B612E">
              <w:t>23.1</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5E00B2D" w14:textId="076EF439" w:rsidR="00FB5A2F" w:rsidRPr="0023643C" w:rsidRDefault="00FB5A2F" w:rsidP="00FB5A2F">
            <w:pPr>
              <w:pStyle w:val="TableTextDec"/>
              <w:tabs>
                <w:tab w:val="clear" w:pos="1015"/>
                <w:tab w:val="decimal" w:pos="341"/>
              </w:tabs>
              <w:spacing w:before="20" w:after="20"/>
            </w:pPr>
            <w:r w:rsidRPr="002B612E">
              <w:t>16.2</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1F198030" w14:textId="648ECA44" w:rsidR="00FB5A2F" w:rsidRPr="0023643C" w:rsidRDefault="00FB5A2F" w:rsidP="00FB5A2F">
            <w:pPr>
              <w:pStyle w:val="TableTextDec"/>
              <w:tabs>
                <w:tab w:val="clear" w:pos="1015"/>
                <w:tab w:val="decimal" w:pos="341"/>
              </w:tabs>
              <w:spacing w:before="20" w:after="20"/>
            </w:pPr>
            <w:r w:rsidRPr="002B612E">
              <w:t>21.0</w:t>
            </w:r>
          </w:p>
        </w:tc>
        <w:tc>
          <w:tcPr>
            <w:tcW w:w="2354" w:type="dxa"/>
            <w:vMerge/>
            <w:shd w:val="clear" w:color="auto" w:fill="auto"/>
            <w:noWrap/>
          </w:tcPr>
          <w:p w14:paraId="305765D0" w14:textId="77777777" w:rsidR="00FB5A2F" w:rsidRPr="0023643C" w:rsidRDefault="00FB5A2F" w:rsidP="00FB5A2F">
            <w:pPr>
              <w:pStyle w:val="TableText"/>
              <w:spacing w:before="20" w:after="20"/>
            </w:pPr>
          </w:p>
        </w:tc>
      </w:tr>
      <w:tr w:rsidR="00FB5A2F" w:rsidRPr="0023643C" w14:paraId="4EB60228"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286A5480" w14:textId="3DCC0702" w:rsidR="00FB5A2F" w:rsidRPr="0023643C" w:rsidRDefault="00FB5A2F" w:rsidP="00FB5A2F">
            <w:pPr>
              <w:pStyle w:val="TableText"/>
              <w:spacing w:before="20" w:after="20"/>
              <w:ind w:left="446"/>
            </w:pPr>
            <w:r w:rsidRPr="0023643C">
              <w:t>45-54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23887D9" w14:textId="68FBE678"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DC03F0A" w14:textId="0A5361B0"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33F26BD" w14:textId="4FAA735E"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8BE2522" w14:textId="7366003A" w:rsidR="00FB5A2F" w:rsidRPr="0023643C" w:rsidRDefault="00FB5A2F" w:rsidP="00FB5A2F">
            <w:pPr>
              <w:pStyle w:val="TableTextDec"/>
              <w:tabs>
                <w:tab w:val="clear" w:pos="1015"/>
                <w:tab w:val="decimal" w:pos="341"/>
              </w:tabs>
              <w:spacing w:before="20" w:after="20"/>
            </w:pPr>
            <w:r w:rsidRPr="002B612E">
              <w:t>12.5</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1A36897" w14:textId="0FBFA55C" w:rsidR="00FB5A2F" w:rsidRPr="0023643C" w:rsidRDefault="00FB5A2F" w:rsidP="00FB5A2F">
            <w:pPr>
              <w:pStyle w:val="TableTextDec"/>
              <w:tabs>
                <w:tab w:val="clear" w:pos="1015"/>
                <w:tab w:val="decimal" w:pos="341"/>
              </w:tabs>
              <w:spacing w:before="20" w:after="20"/>
            </w:pPr>
            <w:r w:rsidRPr="002B612E">
              <w:t>12.2</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44F01729" w14:textId="58F87149" w:rsidR="00FB5A2F" w:rsidRPr="0023643C" w:rsidRDefault="00FB5A2F" w:rsidP="00FB5A2F">
            <w:pPr>
              <w:pStyle w:val="TableTextDec"/>
              <w:tabs>
                <w:tab w:val="clear" w:pos="1015"/>
                <w:tab w:val="decimal" w:pos="341"/>
              </w:tabs>
              <w:spacing w:before="20" w:after="20"/>
            </w:pPr>
            <w:r w:rsidRPr="002B612E">
              <w:t>13.6</w:t>
            </w:r>
          </w:p>
        </w:tc>
        <w:tc>
          <w:tcPr>
            <w:tcW w:w="2354" w:type="dxa"/>
            <w:vMerge/>
            <w:shd w:val="clear" w:color="auto" w:fill="auto"/>
            <w:noWrap/>
          </w:tcPr>
          <w:p w14:paraId="49B56379" w14:textId="77777777" w:rsidR="00FB5A2F" w:rsidRPr="0023643C" w:rsidRDefault="00FB5A2F" w:rsidP="00FB5A2F">
            <w:pPr>
              <w:pStyle w:val="TableText"/>
              <w:spacing w:before="20" w:after="20"/>
            </w:pPr>
          </w:p>
        </w:tc>
      </w:tr>
      <w:tr w:rsidR="00FB5A2F" w:rsidRPr="0023643C" w14:paraId="6DF92C0F"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3442A6B0" w14:textId="5735B550" w:rsidR="00FB5A2F" w:rsidRPr="0023643C" w:rsidRDefault="00FB5A2F" w:rsidP="00FB5A2F">
            <w:pPr>
              <w:pStyle w:val="TableText"/>
              <w:spacing w:before="20" w:after="20"/>
              <w:ind w:left="446"/>
            </w:pPr>
            <w:r w:rsidRPr="0023643C">
              <w:t>55-64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C0177AA" w14:textId="0F068882"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F58AAC5" w14:textId="52BC8E7E"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79C24B3" w14:textId="4B2EA499"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C38DEC3" w14:textId="0FBD1BA8" w:rsidR="00FB5A2F" w:rsidRPr="0023643C" w:rsidRDefault="00FB5A2F" w:rsidP="00FB5A2F">
            <w:pPr>
              <w:pStyle w:val="TableTextDec"/>
              <w:tabs>
                <w:tab w:val="clear" w:pos="1015"/>
                <w:tab w:val="decimal" w:pos="341"/>
              </w:tabs>
              <w:spacing w:before="20" w:after="20"/>
            </w:pPr>
            <w:r w:rsidRPr="002B612E">
              <w:t>17.4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CC6C2B8" w14:textId="3809D7AE" w:rsidR="00FB5A2F" w:rsidRPr="0023643C" w:rsidRDefault="00FB5A2F" w:rsidP="00FB5A2F">
            <w:pPr>
              <w:pStyle w:val="TableTextDec"/>
              <w:tabs>
                <w:tab w:val="clear" w:pos="1015"/>
                <w:tab w:val="decimal" w:pos="341"/>
              </w:tabs>
              <w:spacing w:before="20" w:after="20"/>
            </w:pPr>
            <w:r w:rsidRPr="002B612E">
              <w:t>16.5</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5028EBA1" w14:textId="696BA833" w:rsidR="00FB5A2F" w:rsidRPr="0023643C" w:rsidRDefault="00FB5A2F" w:rsidP="00FB5A2F">
            <w:pPr>
              <w:pStyle w:val="TableTextDec"/>
              <w:tabs>
                <w:tab w:val="clear" w:pos="1015"/>
                <w:tab w:val="decimal" w:pos="341"/>
              </w:tabs>
              <w:spacing w:before="20" w:after="20"/>
            </w:pPr>
            <w:r w:rsidRPr="002B612E">
              <w:t>15.5</w:t>
            </w:r>
          </w:p>
        </w:tc>
        <w:tc>
          <w:tcPr>
            <w:tcW w:w="2354" w:type="dxa"/>
            <w:vMerge/>
            <w:shd w:val="clear" w:color="auto" w:fill="auto"/>
            <w:noWrap/>
          </w:tcPr>
          <w:p w14:paraId="4CE450B6" w14:textId="77777777" w:rsidR="00FB5A2F" w:rsidRPr="0023643C" w:rsidRDefault="00FB5A2F" w:rsidP="00FB5A2F">
            <w:pPr>
              <w:pStyle w:val="TableText"/>
              <w:spacing w:before="20" w:after="20"/>
            </w:pPr>
          </w:p>
        </w:tc>
      </w:tr>
      <w:tr w:rsidR="00FB5A2F" w:rsidRPr="0023643C" w14:paraId="2B8F68AC"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41AA224B" w14:textId="427992E2" w:rsidR="00FB5A2F" w:rsidRPr="0023643C" w:rsidRDefault="00FB5A2F" w:rsidP="00FB5A2F">
            <w:pPr>
              <w:pStyle w:val="TableText"/>
              <w:spacing w:before="20" w:after="20"/>
              <w:ind w:left="446"/>
            </w:pPr>
            <w:r w:rsidRPr="0023643C">
              <w:t>65+</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6F26FAA" w14:textId="1C27AF94"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DB28D20" w14:textId="1D46B767"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5DCB93A" w14:textId="60023E99"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FBAAD2D" w14:textId="154E1022" w:rsidR="00FB5A2F" w:rsidRPr="0023643C" w:rsidRDefault="00FB5A2F" w:rsidP="00FB5A2F">
            <w:pPr>
              <w:pStyle w:val="TableTextDec"/>
              <w:tabs>
                <w:tab w:val="clear" w:pos="1015"/>
                <w:tab w:val="decimal" w:pos="341"/>
              </w:tabs>
              <w:spacing w:before="20" w:after="20"/>
            </w:pPr>
            <w:r w:rsidRPr="002B612E">
              <w:t>12.7</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7927FA6" w14:textId="6261145B" w:rsidR="00FB5A2F" w:rsidRPr="0023643C" w:rsidRDefault="00FB5A2F" w:rsidP="00FB5A2F">
            <w:pPr>
              <w:pStyle w:val="TableTextDec"/>
              <w:tabs>
                <w:tab w:val="clear" w:pos="1015"/>
                <w:tab w:val="decimal" w:pos="341"/>
              </w:tabs>
              <w:spacing w:before="20" w:after="20"/>
            </w:pPr>
            <w:r w:rsidRPr="002B612E">
              <w:t>13.1</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5A37D726" w14:textId="3B9CE1E9" w:rsidR="00FB5A2F" w:rsidRPr="0023643C" w:rsidRDefault="00FB5A2F" w:rsidP="00FB5A2F">
            <w:pPr>
              <w:pStyle w:val="TableTextDec"/>
              <w:tabs>
                <w:tab w:val="clear" w:pos="1015"/>
                <w:tab w:val="decimal" w:pos="341"/>
              </w:tabs>
              <w:spacing w:before="20" w:after="20"/>
            </w:pPr>
            <w:r w:rsidRPr="002B612E">
              <w:t>13.6</w:t>
            </w:r>
          </w:p>
        </w:tc>
        <w:tc>
          <w:tcPr>
            <w:tcW w:w="2354" w:type="dxa"/>
            <w:vMerge/>
            <w:tcBorders>
              <w:bottom w:val="single" w:sz="6" w:space="0" w:color="808080" w:themeColor="background1" w:themeShade="80"/>
            </w:tcBorders>
            <w:shd w:val="clear" w:color="auto" w:fill="auto"/>
            <w:noWrap/>
          </w:tcPr>
          <w:p w14:paraId="2B45B076" w14:textId="77777777" w:rsidR="00FB5A2F" w:rsidRPr="0023643C" w:rsidRDefault="00FB5A2F" w:rsidP="00FB5A2F">
            <w:pPr>
              <w:pStyle w:val="TableText"/>
              <w:spacing w:before="20" w:after="20"/>
            </w:pPr>
          </w:p>
        </w:tc>
      </w:tr>
      <w:tr w:rsidR="00501A1D" w:rsidRPr="0023643C" w14:paraId="2F0E107C"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374502EE" w14:textId="380EBC45" w:rsidR="00501A1D" w:rsidRPr="0023643C" w:rsidRDefault="00501A1D" w:rsidP="004B71BF">
            <w:pPr>
              <w:pStyle w:val="TableText"/>
              <w:spacing w:before="20" w:after="20"/>
              <w:ind w:left="274"/>
            </w:pPr>
            <w:r w:rsidRPr="0023643C">
              <w:t>MSM, high-risk</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D8E487D" w14:textId="77777777" w:rsidR="00501A1D" w:rsidRPr="0023643C" w:rsidRDefault="00501A1D" w:rsidP="00501A1D">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67FD00F" w14:textId="77777777" w:rsidR="00501A1D" w:rsidRPr="0023643C" w:rsidRDefault="00501A1D" w:rsidP="00501A1D">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05D919C" w14:textId="77777777" w:rsidR="00501A1D" w:rsidRPr="0023643C" w:rsidRDefault="00501A1D" w:rsidP="00501A1D">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0A7F66C" w14:textId="77777777" w:rsidR="00501A1D" w:rsidRPr="0023643C" w:rsidRDefault="00501A1D" w:rsidP="00501A1D">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6A564AD" w14:textId="77777777" w:rsidR="00501A1D" w:rsidRPr="0023643C" w:rsidRDefault="00501A1D" w:rsidP="00501A1D">
            <w:pPr>
              <w:pStyle w:val="TableTextDec"/>
              <w:tabs>
                <w:tab w:val="clear" w:pos="1015"/>
                <w:tab w:val="decimal" w:pos="341"/>
              </w:tabs>
              <w:spacing w:before="20" w:after="20"/>
            </w:pP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221419B7" w14:textId="77777777" w:rsidR="00501A1D" w:rsidRPr="0023643C" w:rsidRDefault="00501A1D" w:rsidP="00501A1D">
            <w:pPr>
              <w:pStyle w:val="TableTextDec"/>
              <w:tabs>
                <w:tab w:val="clear" w:pos="1015"/>
                <w:tab w:val="decimal" w:pos="341"/>
              </w:tabs>
              <w:spacing w:before="20" w:after="20"/>
            </w:pP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782B454A" w14:textId="77777777" w:rsidR="00501A1D" w:rsidRPr="0023643C" w:rsidRDefault="00501A1D" w:rsidP="00501A1D">
            <w:pPr>
              <w:pStyle w:val="TableText"/>
              <w:spacing w:before="20" w:after="20"/>
            </w:pPr>
          </w:p>
        </w:tc>
      </w:tr>
      <w:tr w:rsidR="00FB5A2F" w:rsidRPr="0023643C" w14:paraId="0AB27782"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1FD25DAA" w14:textId="277284F3" w:rsidR="00FB5A2F" w:rsidRPr="0023643C" w:rsidRDefault="00FB5A2F" w:rsidP="00FB5A2F">
            <w:pPr>
              <w:pStyle w:val="TableText"/>
              <w:spacing w:before="20" w:after="20"/>
              <w:ind w:left="446"/>
            </w:pPr>
            <w:r w:rsidRPr="0023643C">
              <w:t>13-17</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46018EC" w14:textId="3C29C5AA"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5A91197" w14:textId="384DBFDB"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214B15C" w14:textId="5D6B3900"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EE4F8A6" w14:textId="5634F0D9" w:rsidR="00FB5A2F" w:rsidRPr="0023643C" w:rsidRDefault="00FB5A2F" w:rsidP="00FB5A2F">
            <w:pPr>
              <w:pStyle w:val="TableTextDec"/>
              <w:tabs>
                <w:tab w:val="clear" w:pos="1015"/>
                <w:tab w:val="decimal" w:pos="341"/>
              </w:tabs>
              <w:spacing w:before="20" w:after="20"/>
            </w:pPr>
            <w:r w:rsidRPr="00667C9B">
              <w:t>4.8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123FD87" w14:textId="0C02A666" w:rsidR="00FB5A2F" w:rsidRPr="0023643C" w:rsidRDefault="00FB5A2F" w:rsidP="00FB5A2F">
            <w:pPr>
              <w:pStyle w:val="TableTextDec"/>
              <w:tabs>
                <w:tab w:val="clear" w:pos="1015"/>
                <w:tab w:val="decimal" w:pos="341"/>
              </w:tabs>
              <w:spacing w:before="20" w:after="20"/>
            </w:pPr>
            <w:r w:rsidRPr="00667C9B">
              <w:t>5.4</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4CC1FC62" w14:textId="5B753120" w:rsidR="00FB5A2F" w:rsidRPr="0023643C" w:rsidRDefault="00FB5A2F" w:rsidP="00FB5A2F">
            <w:pPr>
              <w:pStyle w:val="TableTextDec"/>
              <w:tabs>
                <w:tab w:val="clear" w:pos="1015"/>
                <w:tab w:val="decimal" w:pos="341"/>
              </w:tabs>
              <w:spacing w:before="20" w:after="20"/>
            </w:pPr>
            <w:r w:rsidRPr="00667C9B">
              <w:t>4.8</w:t>
            </w:r>
          </w:p>
        </w:tc>
        <w:tc>
          <w:tcPr>
            <w:tcW w:w="2354" w:type="dxa"/>
            <w:vMerge w:val="restart"/>
            <w:tcBorders>
              <w:top w:val="single" w:sz="6" w:space="0" w:color="808080" w:themeColor="background1" w:themeShade="80"/>
            </w:tcBorders>
            <w:shd w:val="clear" w:color="auto" w:fill="auto"/>
            <w:noWrap/>
          </w:tcPr>
          <w:p w14:paraId="48FC1B5C" w14:textId="0F259060" w:rsidR="00FB5A2F" w:rsidRPr="0023643C" w:rsidRDefault="00FB5A2F" w:rsidP="00FB5A2F">
            <w:pPr>
              <w:pStyle w:val="TableText"/>
              <w:spacing w:before="20" w:after="20"/>
            </w:pPr>
            <w:bookmarkStart w:id="75" w:name="_Hlk525808968"/>
            <w:r w:rsidRPr="0023643C">
              <w:t>Determined by calibration</w:t>
            </w:r>
            <w:bookmarkEnd w:id="75"/>
          </w:p>
        </w:tc>
      </w:tr>
      <w:tr w:rsidR="00FB5A2F" w:rsidRPr="0023643C" w14:paraId="546B67FA"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2A6790D3" w14:textId="6F63326B" w:rsidR="00FB5A2F" w:rsidRPr="0023643C" w:rsidRDefault="00FB5A2F" w:rsidP="00FB5A2F">
            <w:pPr>
              <w:pStyle w:val="TableText"/>
              <w:spacing w:before="20" w:after="20"/>
              <w:ind w:left="446"/>
            </w:pPr>
            <w:r w:rsidRPr="0023643C">
              <w:t>18-24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22BC4AB" w14:textId="6549269D"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424CD8B" w14:textId="420D776C"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2EE2191" w14:textId="5AB59AB1"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48A89E0" w14:textId="72EE089F" w:rsidR="00FB5A2F" w:rsidRPr="0023643C" w:rsidRDefault="00FB5A2F" w:rsidP="00FB5A2F">
            <w:pPr>
              <w:pStyle w:val="TableTextDec"/>
              <w:tabs>
                <w:tab w:val="clear" w:pos="1015"/>
                <w:tab w:val="decimal" w:pos="341"/>
              </w:tabs>
              <w:spacing w:before="20" w:after="20"/>
            </w:pPr>
            <w:r w:rsidRPr="00667C9B">
              <w:t>14.4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1D813D2" w14:textId="60577CFA" w:rsidR="00FB5A2F" w:rsidRPr="0023643C" w:rsidRDefault="00FB5A2F" w:rsidP="00FB5A2F">
            <w:pPr>
              <w:pStyle w:val="TableTextDec"/>
              <w:tabs>
                <w:tab w:val="clear" w:pos="1015"/>
                <w:tab w:val="decimal" w:pos="341"/>
              </w:tabs>
              <w:spacing w:before="20" w:after="20"/>
            </w:pPr>
            <w:r w:rsidRPr="00667C9B">
              <w:t>15.2</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797D10AA" w14:textId="33307514" w:rsidR="00FB5A2F" w:rsidRPr="0023643C" w:rsidRDefault="00FB5A2F" w:rsidP="00FB5A2F">
            <w:pPr>
              <w:pStyle w:val="TableTextDec"/>
              <w:tabs>
                <w:tab w:val="clear" w:pos="1015"/>
                <w:tab w:val="decimal" w:pos="341"/>
              </w:tabs>
              <w:spacing w:before="20" w:after="20"/>
            </w:pPr>
            <w:r w:rsidRPr="00667C9B">
              <w:t>12.9</w:t>
            </w:r>
          </w:p>
        </w:tc>
        <w:tc>
          <w:tcPr>
            <w:tcW w:w="2354" w:type="dxa"/>
            <w:vMerge/>
            <w:shd w:val="clear" w:color="auto" w:fill="auto"/>
            <w:noWrap/>
          </w:tcPr>
          <w:p w14:paraId="4DF53E7F" w14:textId="77777777" w:rsidR="00FB5A2F" w:rsidRPr="0023643C" w:rsidRDefault="00FB5A2F" w:rsidP="00FB5A2F">
            <w:pPr>
              <w:pStyle w:val="TableText"/>
              <w:spacing w:before="20" w:after="20"/>
            </w:pPr>
          </w:p>
        </w:tc>
      </w:tr>
      <w:tr w:rsidR="00FB5A2F" w:rsidRPr="0023643C" w14:paraId="3AF74DAE"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498A89D2" w14:textId="4B923266" w:rsidR="00FB5A2F" w:rsidRPr="0023643C" w:rsidRDefault="00FB5A2F" w:rsidP="00FB5A2F">
            <w:pPr>
              <w:pStyle w:val="TableText"/>
              <w:spacing w:before="20" w:after="20"/>
              <w:ind w:left="446"/>
            </w:pPr>
            <w:r w:rsidRPr="0023643C">
              <w:t>25-34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2D61E3F" w14:textId="064ECE0F"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B533260" w14:textId="7ACDC5C9"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1C05E65" w14:textId="2F54E3BC"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BF23A82" w14:textId="088A5C9E" w:rsidR="00FB5A2F" w:rsidRPr="0023643C" w:rsidRDefault="00FB5A2F" w:rsidP="00FB5A2F">
            <w:pPr>
              <w:pStyle w:val="TableTextDec"/>
              <w:tabs>
                <w:tab w:val="clear" w:pos="1015"/>
                <w:tab w:val="decimal" w:pos="341"/>
              </w:tabs>
              <w:spacing w:before="20" w:after="20"/>
            </w:pPr>
            <w:r w:rsidRPr="00667C9B">
              <w:t>13.1</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6BB63B1" w14:textId="5EF3BF5C" w:rsidR="00FB5A2F" w:rsidRPr="0023643C" w:rsidRDefault="00FB5A2F" w:rsidP="00FB5A2F">
            <w:pPr>
              <w:pStyle w:val="TableTextDec"/>
              <w:tabs>
                <w:tab w:val="clear" w:pos="1015"/>
                <w:tab w:val="decimal" w:pos="341"/>
              </w:tabs>
              <w:spacing w:before="20" w:after="20"/>
            </w:pPr>
            <w:r w:rsidRPr="00667C9B">
              <w:t>14.8</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0DEC6EAC" w14:textId="6E33FDA7" w:rsidR="00FB5A2F" w:rsidRPr="0023643C" w:rsidRDefault="00FB5A2F" w:rsidP="00FB5A2F">
            <w:pPr>
              <w:pStyle w:val="TableTextDec"/>
              <w:tabs>
                <w:tab w:val="clear" w:pos="1015"/>
                <w:tab w:val="decimal" w:pos="341"/>
              </w:tabs>
              <w:spacing w:before="20" w:after="20"/>
            </w:pPr>
            <w:r w:rsidRPr="00667C9B">
              <w:t>13.9</w:t>
            </w:r>
          </w:p>
        </w:tc>
        <w:tc>
          <w:tcPr>
            <w:tcW w:w="2354" w:type="dxa"/>
            <w:vMerge/>
            <w:shd w:val="clear" w:color="auto" w:fill="auto"/>
            <w:noWrap/>
          </w:tcPr>
          <w:p w14:paraId="425E6937" w14:textId="77777777" w:rsidR="00FB5A2F" w:rsidRPr="0023643C" w:rsidRDefault="00FB5A2F" w:rsidP="00FB5A2F">
            <w:pPr>
              <w:pStyle w:val="TableText"/>
              <w:spacing w:before="20" w:after="20"/>
            </w:pPr>
          </w:p>
        </w:tc>
      </w:tr>
      <w:tr w:rsidR="00FB5A2F" w:rsidRPr="0023643C" w14:paraId="06587689"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45AB4E21" w14:textId="42A452E3" w:rsidR="00FB5A2F" w:rsidRPr="0023643C" w:rsidRDefault="00FB5A2F" w:rsidP="00FB5A2F">
            <w:pPr>
              <w:pStyle w:val="TableText"/>
              <w:spacing w:before="20" w:after="20"/>
              <w:ind w:left="446"/>
            </w:pPr>
            <w:r w:rsidRPr="0023643C">
              <w:t>35-44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7E1171D" w14:textId="3F433A1B"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140862E" w14:textId="06D5C1FD"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36879F6" w14:textId="2B4C6314"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A1BB7E5" w14:textId="438F2875" w:rsidR="00FB5A2F" w:rsidRPr="0023643C" w:rsidRDefault="00FB5A2F" w:rsidP="00FB5A2F">
            <w:pPr>
              <w:pStyle w:val="TableTextDec"/>
              <w:tabs>
                <w:tab w:val="clear" w:pos="1015"/>
                <w:tab w:val="decimal" w:pos="341"/>
              </w:tabs>
              <w:spacing w:before="20" w:after="20"/>
            </w:pPr>
            <w:r w:rsidRPr="00667C9B">
              <w:t>11.9</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46AAAC0" w14:textId="0C7599F2" w:rsidR="00FB5A2F" w:rsidRPr="0023643C" w:rsidRDefault="00FB5A2F" w:rsidP="00FB5A2F">
            <w:pPr>
              <w:pStyle w:val="TableTextDec"/>
              <w:tabs>
                <w:tab w:val="clear" w:pos="1015"/>
                <w:tab w:val="decimal" w:pos="341"/>
              </w:tabs>
              <w:spacing w:before="20" w:after="20"/>
            </w:pPr>
            <w:r w:rsidRPr="00667C9B">
              <w:t>10.4</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4B256A6E" w14:textId="01750E88" w:rsidR="00FB5A2F" w:rsidRPr="0023643C" w:rsidRDefault="00FB5A2F" w:rsidP="00FB5A2F">
            <w:pPr>
              <w:pStyle w:val="TableTextDec"/>
              <w:tabs>
                <w:tab w:val="clear" w:pos="1015"/>
                <w:tab w:val="decimal" w:pos="341"/>
              </w:tabs>
              <w:spacing w:before="20" w:after="20"/>
            </w:pPr>
            <w:r w:rsidRPr="00667C9B">
              <w:t>10.5</w:t>
            </w:r>
          </w:p>
        </w:tc>
        <w:tc>
          <w:tcPr>
            <w:tcW w:w="2354" w:type="dxa"/>
            <w:vMerge/>
            <w:shd w:val="clear" w:color="auto" w:fill="auto"/>
            <w:noWrap/>
          </w:tcPr>
          <w:p w14:paraId="7570E044" w14:textId="77777777" w:rsidR="00FB5A2F" w:rsidRPr="0023643C" w:rsidRDefault="00FB5A2F" w:rsidP="00FB5A2F">
            <w:pPr>
              <w:pStyle w:val="TableText"/>
              <w:spacing w:before="20" w:after="20"/>
            </w:pPr>
          </w:p>
        </w:tc>
      </w:tr>
      <w:tr w:rsidR="00FB5A2F" w:rsidRPr="0023643C" w14:paraId="0452102C"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37857448" w14:textId="350CB485" w:rsidR="00FB5A2F" w:rsidRPr="0023643C" w:rsidRDefault="00FB5A2F" w:rsidP="00FB5A2F">
            <w:pPr>
              <w:pStyle w:val="TableText"/>
              <w:spacing w:before="20" w:after="20"/>
              <w:ind w:left="446"/>
            </w:pPr>
            <w:r w:rsidRPr="0023643C">
              <w:t>45-54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5CAC633" w14:textId="0A1F58BC"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F22566A" w14:textId="4A9D227D"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359E9B7" w14:textId="18F99504"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B67D6B7" w14:textId="5FF62275" w:rsidR="00FB5A2F" w:rsidRPr="0023643C" w:rsidRDefault="00FB5A2F" w:rsidP="00FB5A2F">
            <w:pPr>
              <w:pStyle w:val="TableTextDec"/>
              <w:tabs>
                <w:tab w:val="clear" w:pos="1015"/>
                <w:tab w:val="decimal" w:pos="341"/>
              </w:tabs>
              <w:spacing w:before="20" w:after="20"/>
            </w:pPr>
            <w:r w:rsidRPr="00667C9B">
              <w:t>8.3</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9A4FE06" w14:textId="65E05D0A" w:rsidR="00FB5A2F" w:rsidRPr="0023643C" w:rsidRDefault="00FB5A2F" w:rsidP="00FB5A2F">
            <w:pPr>
              <w:pStyle w:val="TableTextDec"/>
              <w:tabs>
                <w:tab w:val="clear" w:pos="1015"/>
                <w:tab w:val="decimal" w:pos="341"/>
              </w:tabs>
              <w:spacing w:before="20" w:after="20"/>
            </w:pPr>
            <w:r w:rsidRPr="00667C9B">
              <w:t>10.1</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59B21A53" w14:textId="17294467" w:rsidR="00FB5A2F" w:rsidRPr="0023643C" w:rsidRDefault="00FB5A2F" w:rsidP="00FB5A2F">
            <w:pPr>
              <w:pStyle w:val="TableTextDec"/>
              <w:tabs>
                <w:tab w:val="clear" w:pos="1015"/>
                <w:tab w:val="decimal" w:pos="341"/>
              </w:tabs>
              <w:spacing w:before="20" w:after="20"/>
            </w:pPr>
            <w:r w:rsidRPr="00667C9B">
              <w:t>8.8</w:t>
            </w:r>
          </w:p>
        </w:tc>
        <w:tc>
          <w:tcPr>
            <w:tcW w:w="2354" w:type="dxa"/>
            <w:vMerge/>
            <w:shd w:val="clear" w:color="auto" w:fill="auto"/>
            <w:noWrap/>
          </w:tcPr>
          <w:p w14:paraId="20A8BC71" w14:textId="77777777" w:rsidR="00FB5A2F" w:rsidRPr="0023643C" w:rsidRDefault="00FB5A2F" w:rsidP="00FB5A2F">
            <w:pPr>
              <w:pStyle w:val="TableText"/>
              <w:spacing w:before="20" w:after="20"/>
            </w:pPr>
          </w:p>
        </w:tc>
      </w:tr>
      <w:tr w:rsidR="00FB5A2F" w:rsidRPr="0023643C" w14:paraId="3170448B"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0B9AE642" w14:textId="437614EE" w:rsidR="00FB5A2F" w:rsidRPr="0023643C" w:rsidRDefault="00FB5A2F" w:rsidP="00FB5A2F">
            <w:pPr>
              <w:pStyle w:val="TableText"/>
              <w:spacing w:before="20" w:after="20"/>
              <w:ind w:left="446"/>
            </w:pPr>
            <w:r w:rsidRPr="0023643C">
              <w:t>55-64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0803855" w14:textId="71472083"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1FE0438" w14:textId="1E2DBF7C"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8F4D566" w14:textId="127DEC78"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3AB89F7" w14:textId="0777B98D" w:rsidR="00FB5A2F" w:rsidRPr="0023643C" w:rsidRDefault="00FB5A2F" w:rsidP="00FB5A2F">
            <w:pPr>
              <w:pStyle w:val="TableTextDec"/>
              <w:tabs>
                <w:tab w:val="clear" w:pos="1015"/>
                <w:tab w:val="decimal" w:pos="341"/>
              </w:tabs>
              <w:spacing w:before="20" w:after="20"/>
            </w:pPr>
            <w:r w:rsidRPr="00667C9B">
              <w:t>8.8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6D88F64" w14:textId="456793B7" w:rsidR="00FB5A2F" w:rsidRPr="0023643C" w:rsidRDefault="00FB5A2F" w:rsidP="00FB5A2F">
            <w:pPr>
              <w:pStyle w:val="TableTextDec"/>
              <w:tabs>
                <w:tab w:val="clear" w:pos="1015"/>
                <w:tab w:val="decimal" w:pos="341"/>
              </w:tabs>
              <w:spacing w:before="20" w:after="20"/>
            </w:pPr>
            <w:r w:rsidRPr="00667C9B">
              <w:t>10.4</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2D01ADD2" w14:textId="14658692" w:rsidR="00FB5A2F" w:rsidRPr="0023643C" w:rsidRDefault="00FB5A2F" w:rsidP="00FB5A2F">
            <w:pPr>
              <w:pStyle w:val="TableTextDec"/>
              <w:tabs>
                <w:tab w:val="clear" w:pos="1015"/>
                <w:tab w:val="decimal" w:pos="341"/>
              </w:tabs>
              <w:spacing w:before="20" w:after="20"/>
            </w:pPr>
            <w:r w:rsidRPr="00667C9B">
              <w:t>7.6</w:t>
            </w:r>
          </w:p>
        </w:tc>
        <w:tc>
          <w:tcPr>
            <w:tcW w:w="2354" w:type="dxa"/>
            <w:vMerge/>
            <w:shd w:val="clear" w:color="auto" w:fill="auto"/>
            <w:noWrap/>
          </w:tcPr>
          <w:p w14:paraId="3476177F" w14:textId="77777777" w:rsidR="00FB5A2F" w:rsidRPr="0023643C" w:rsidRDefault="00FB5A2F" w:rsidP="00FB5A2F">
            <w:pPr>
              <w:pStyle w:val="TableText"/>
              <w:spacing w:before="20" w:after="20"/>
            </w:pPr>
          </w:p>
        </w:tc>
      </w:tr>
      <w:tr w:rsidR="00FB5A2F" w:rsidRPr="0023643C" w14:paraId="027B5826" w14:textId="77777777" w:rsidTr="006E5792">
        <w:trPr>
          <w:gridAfter w:val="1"/>
          <w:wAfter w:w="21" w:type="dxa"/>
          <w:cantSplit/>
        </w:trPr>
        <w:tc>
          <w:tcPr>
            <w:tcW w:w="1994" w:type="dxa"/>
            <w:tcBorders>
              <w:top w:val="single" w:sz="6" w:space="0" w:color="808080" w:themeColor="background1" w:themeShade="80"/>
              <w:bottom w:val="single" w:sz="6" w:space="0" w:color="808080" w:themeColor="background1" w:themeShade="80"/>
            </w:tcBorders>
            <w:shd w:val="clear" w:color="auto" w:fill="auto"/>
            <w:noWrap/>
          </w:tcPr>
          <w:p w14:paraId="201636C4" w14:textId="240DB44C" w:rsidR="00FB5A2F" w:rsidRPr="0023643C" w:rsidRDefault="00FB5A2F" w:rsidP="00FB5A2F">
            <w:pPr>
              <w:pStyle w:val="TableText"/>
              <w:spacing w:before="20" w:after="20"/>
              <w:ind w:left="446"/>
            </w:pPr>
            <w:r w:rsidRPr="0023643C">
              <w:t>65+</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F3FB900" w14:textId="12B10A11"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AA8E688" w14:textId="0E57C835"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CA0A55A" w14:textId="4E7172A0" w:rsidR="00FB5A2F" w:rsidRPr="0023643C" w:rsidRDefault="00FB5A2F" w:rsidP="00FB5A2F">
            <w:pPr>
              <w:pStyle w:val="TableTextDec"/>
              <w:tabs>
                <w:tab w:val="clear" w:pos="1015"/>
                <w:tab w:val="decimal" w:pos="341"/>
              </w:tabs>
              <w:spacing w:before="20" w:after="20"/>
            </w:pPr>
            <w:r w:rsidRPr="0023643C">
              <w:t>N/A</w:t>
            </w:r>
            <w:r w:rsidRPr="0023643C">
              <w:rPr>
                <w:vertAlign w:val="superscript"/>
              </w:rPr>
              <w:t>d</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9F46582" w14:textId="0A74D1D1" w:rsidR="00FB5A2F" w:rsidRPr="0023643C" w:rsidRDefault="00FB5A2F" w:rsidP="00FB5A2F">
            <w:pPr>
              <w:pStyle w:val="TableTextDec"/>
              <w:tabs>
                <w:tab w:val="clear" w:pos="1015"/>
                <w:tab w:val="decimal" w:pos="341"/>
              </w:tabs>
              <w:spacing w:before="20" w:after="20"/>
            </w:pPr>
            <w:r w:rsidRPr="00667C9B">
              <w:t>6.4</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FE6F0B6" w14:textId="68A60B04" w:rsidR="00FB5A2F" w:rsidRPr="0023643C" w:rsidRDefault="00FB5A2F" w:rsidP="00FB5A2F">
            <w:pPr>
              <w:pStyle w:val="TableTextDec"/>
              <w:tabs>
                <w:tab w:val="clear" w:pos="1015"/>
                <w:tab w:val="decimal" w:pos="341"/>
              </w:tabs>
              <w:spacing w:before="20" w:after="20"/>
            </w:pPr>
            <w:r w:rsidRPr="00667C9B">
              <w:t>8.3</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69AD50B4" w14:textId="658A21E5" w:rsidR="00FB5A2F" w:rsidRPr="0023643C" w:rsidRDefault="00FB5A2F" w:rsidP="00FB5A2F">
            <w:pPr>
              <w:pStyle w:val="TableTextDec"/>
              <w:tabs>
                <w:tab w:val="clear" w:pos="1015"/>
                <w:tab w:val="decimal" w:pos="341"/>
              </w:tabs>
              <w:spacing w:before="20" w:after="20"/>
            </w:pPr>
            <w:r w:rsidRPr="00667C9B">
              <w:t>6.6</w:t>
            </w:r>
          </w:p>
        </w:tc>
        <w:tc>
          <w:tcPr>
            <w:tcW w:w="2354" w:type="dxa"/>
            <w:vMerge/>
            <w:tcBorders>
              <w:bottom w:val="single" w:sz="6" w:space="0" w:color="808080" w:themeColor="background1" w:themeShade="80"/>
            </w:tcBorders>
            <w:shd w:val="clear" w:color="auto" w:fill="auto"/>
            <w:noWrap/>
          </w:tcPr>
          <w:p w14:paraId="38FDFA62" w14:textId="77777777" w:rsidR="00FB5A2F" w:rsidRPr="0023643C" w:rsidRDefault="00FB5A2F" w:rsidP="00FB5A2F">
            <w:pPr>
              <w:pStyle w:val="TableText"/>
              <w:spacing w:before="20" w:after="20"/>
            </w:pPr>
          </w:p>
        </w:tc>
      </w:tr>
    </w:tbl>
    <w:p w14:paraId="598725A1" w14:textId="16EC8138" w:rsidR="003D2506" w:rsidRPr="007759E8" w:rsidRDefault="003D2506" w:rsidP="004B71BF">
      <w:pPr>
        <w:pStyle w:val="table-continued"/>
      </w:pPr>
      <w:r w:rsidRPr="00733831">
        <w:t>(continued)</w:t>
      </w:r>
    </w:p>
    <w:p w14:paraId="495F08BA" w14:textId="58308C67" w:rsidR="003D2506" w:rsidRPr="00C00335" w:rsidRDefault="003D2506" w:rsidP="00471841">
      <w:pPr>
        <w:pStyle w:val="TableTitlecont"/>
        <w:pageBreakBefore/>
      </w:pPr>
      <w:r w:rsidRPr="00C00335">
        <w:lastRenderedPageBreak/>
        <w:t>Table 6.</w:t>
      </w:r>
      <w:r>
        <w:t>10</w:t>
      </w:r>
      <w:r w:rsidRPr="00C00335">
        <w:t>.</w:t>
      </w:r>
      <w:r w:rsidRPr="00C00335">
        <w:tab/>
        <w:t>Sexual Partners and Sex Acts (continued)</w:t>
      </w:r>
    </w:p>
    <w:tbl>
      <w:tblPr>
        <w:tblW w:w="5036"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983"/>
        <w:gridCol w:w="9"/>
        <w:gridCol w:w="834"/>
        <w:gridCol w:w="10"/>
        <w:gridCol w:w="834"/>
        <w:gridCol w:w="10"/>
        <w:gridCol w:w="835"/>
        <w:gridCol w:w="10"/>
        <w:gridCol w:w="845"/>
        <w:gridCol w:w="851"/>
        <w:gridCol w:w="854"/>
        <w:gridCol w:w="2352"/>
      </w:tblGrid>
      <w:tr w:rsidR="00946B28" w:rsidRPr="0023643C" w14:paraId="17E76461" w14:textId="77777777" w:rsidTr="006E5792">
        <w:trPr>
          <w:cantSplit/>
          <w:tblHeader/>
        </w:trPr>
        <w:tc>
          <w:tcPr>
            <w:tcW w:w="1985" w:type="dxa"/>
            <w:vMerge w:val="restart"/>
            <w:tcBorders>
              <w:top w:val="single" w:sz="12" w:space="0" w:color="000000"/>
              <w:bottom w:val="single" w:sz="6" w:space="0" w:color="auto"/>
            </w:tcBorders>
            <w:shd w:val="clear" w:color="auto" w:fill="auto"/>
            <w:noWrap/>
            <w:vAlign w:val="bottom"/>
            <w:hideMark/>
          </w:tcPr>
          <w:p w14:paraId="5DDE9BB7" w14:textId="77777777" w:rsidR="003D2506" w:rsidRPr="00C00335" w:rsidRDefault="003D2506" w:rsidP="00946B28">
            <w:pPr>
              <w:pStyle w:val="TableHeaders"/>
              <w:keepNext/>
              <w:spacing w:before="20" w:after="20"/>
            </w:pPr>
          </w:p>
        </w:tc>
        <w:tc>
          <w:tcPr>
            <w:tcW w:w="2534" w:type="dxa"/>
            <w:gridSpan w:val="6"/>
            <w:tcBorders>
              <w:top w:val="single" w:sz="12" w:space="0" w:color="000000"/>
              <w:bottom w:val="single" w:sz="6" w:space="0" w:color="auto"/>
            </w:tcBorders>
            <w:shd w:val="clear" w:color="auto" w:fill="auto"/>
            <w:noWrap/>
            <w:vAlign w:val="bottom"/>
            <w:hideMark/>
          </w:tcPr>
          <w:p w14:paraId="400894A5" w14:textId="77777777" w:rsidR="003D2506" w:rsidRPr="0023643C" w:rsidRDefault="003D2506" w:rsidP="00946B28">
            <w:pPr>
              <w:pStyle w:val="TableHeaders"/>
              <w:keepNext/>
              <w:spacing w:before="20" w:after="20"/>
            </w:pPr>
            <w:r w:rsidRPr="0023643C">
              <w:t>Female</w:t>
            </w:r>
          </w:p>
        </w:tc>
        <w:tc>
          <w:tcPr>
            <w:tcW w:w="2554" w:type="dxa"/>
            <w:gridSpan w:val="4"/>
            <w:tcBorders>
              <w:top w:val="single" w:sz="12" w:space="0" w:color="000000"/>
              <w:bottom w:val="single" w:sz="6" w:space="0" w:color="auto"/>
            </w:tcBorders>
            <w:shd w:val="clear" w:color="auto" w:fill="auto"/>
            <w:noWrap/>
            <w:vAlign w:val="bottom"/>
            <w:hideMark/>
          </w:tcPr>
          <w:p w14:paraId="243B5DA0" w14:textId="77777777" w:rsidR="003D2506" w:rsidRPr="0023643C" w:rsidRDefault="003D2506" w:rsidP="00946B28">
            <w:pPr>
              <w:pStyle w:val="TableHeaders"/>
              <w:keepNext/>
              <w:spacing w:before="20" w:after="20"/>
            </w:pPr>
            <w:r w:rsidRPr="0023643C">
              <w:t>Male</w:t>
            </w:r>
          </w:p>
        </w:tc>
        <w:tc>
          <w:tcPr>
            <w:tcW w:w="2354" w:type="dxa"/>
            <w:vMerge w:val="restart"/>
            <w:tcBorders>
              <w:top w:val="single" w:sz="12" w:space="0" w:color="000000"/>
              <w:bottom w:val="single" w:sz="6" w:space="0" w:color="auto"/>
            </w:tcBorders>
            <w:shd w:val="clear" w:color="auto" w:fill="auto"/>
            <w:noWrap/>
            <w:vAlign w:val="bottom"/>
            <w:hideMark/>
          </w:tcPr>
          <w:p w14:paraId="14839B3E" w14:textId="77777777" w:rsidR="003D2506" w:rsidRPr="0023643C" w:rsidRDefault="003D2506" w:rsidP="00946B28">
            <w:pPr>
              <w:pStyle w:val="TableHeaders"/>
              <w:keepNext/>
              <w:spacing w:before="20" w:after="20"/>
            </w:pPr>
            <w:r w:rsidRPr="0023643C">
              <w:t>Source</w:t>
            </w:r>
          </w:p>
        </w:tc>
      </w:tr>
      <w:tr w:rsidR="00946B28" w:rsidRPr="0023643C" w14:paraId="55D8AD06" w14:textId="77777777" w:rsidTr="006E5792">
        <w:trPr>
          <w:cantSplit/>
          <w:tblHeader/>
        </w:trPr>
        <w:tc>
          <w:tcPr>
            <w:tcW w:w="1985" w:type="dxa"/>
            <w:vMerge/>
            <w:tcBorders>
              <w:top w:val="single" w:sz="6" w:space="0" w:color="000000"/>
              <w:bottom w:val="single" w:sz="6" w:space="0" w:color="auto"/>
            </w:tcBorders>
            <w:shd w:val="clear" w:color="auto" w:fill="auto"/>
            <w:noWrap/>
            <w:vAlign w:val="bottom"/>
            <w:hideMark/>
          </w:tcPr>
          <w:p w14:paraId="2302A253" w14:textId="77777777" w:rsidR="003D2506" w:rsidRPr="0023643C" w:rsidRDefault="003D2506" w:rsidP="00946B28">
            <w:pPr>
              <w:pStyle w:val="TableHeaders"/>
              <w:keepNext/>
              <w:spacing w:before="20" w:after="20"/>
            </w:pPr>
          </w:p>
        </w:tc>
        <w:tc>
          <w:tcPr>
            <w:tcW w:w="844" w:type="dxa"/>
            <w:gridSpan w:val="2"/>
            <w:tcBorders>
              <w:top w:val="single" w:sz="6" w:space="0" w:color="auto"/>
              <w:bottom w:val="single" w:sz="6" w:space="0" w:color="auto"/>
            </w:tcBorders>
            <w:shd w:val="clear" w:color="auto" w:fill="auto"/>
            <w:noWrap/>
            <w:vAlign w:val="bottom"/>
            <w:hideMark/>
          </w:tcPr>
          <w:p w14:paraId="371A0FC3" w14:textId="77777777" w:rsidR="003D2506" w:rsidRPr="0023643C" w:rsidRDefault="003D2506" w:rsidP="00946B28">
            <w:pPr>
              <w:pStyle w:val="TableHeaders"/>
              <w:keepNext/>
              <w:spacing w:before="20" w:after="20"/>
            </w:pPr>
            <w:r w:rsidRPr="0023643C">
              <w:t>Black</w:t>
            </w:r>
          </w:p>
        </w:tc>
        <w:tc>
          <w:tcPr>
            <w:tcW w:w="845" w:type="dxa"/>
            <w:gridSpan w:val="2"/>
            <w:tcBorders>
              <w:top w:val="single" w:sz="6" w:space="0" w:color="auto"/>
              <w:bottom w:val="single" w:sz="6" w:space="0" w:color="auto"/>
            </w:tcBorders>
            <w:shd w:val="clear" w:color="auto" w:fill="auto"/>
            <w:noWrap/>
            <w:vAlign w:val="bottom"/>
            <w:hideMark/>
          </w:tcPr>
          <w:p w14:paraId="7DDB7BDC" w14:textId="77777777" w:rsidR="003D2506" w:rsidRPr="0023643C" w:rsidRDefault="003D2506" w:rsidP="00946B28">
            <w:pPr>
              <w:pStyle w:val="TableHeaders"/>
              <w:keepNext/>
              <w:spacing w:before="20" w:after="20"/>
            </w:pPr>
            <w:r w:rsidRPr="0023643C">
              <w:t>Hispanic</w:t>
            </w:r>
          </w:p>
        </w:tc>
        <w:tc>
          <w:tcPr>
            <w:tcW w:w="845" w:type="dxa"/>
            <w:gridSpan w:val="2"/>
            <w:tcBorders>
              <w:top w:val="single" w:sz="6" w:space="0" w:color="auto"/>
              <w:bottom w:val="single" w:sz="6" w:space="0" w:color="auto"/>
            </w:tcBorders>
            <w:shd w:val="clear" w:color="auto" w:fill="auto"/>
            <w:noWrap/>
            <w:vAlign w:val="bottom"/>
            <w:hideMark/>
          </w:tcPr>
          <w:p w14:paraId="682BA6D3" w14:textId="43CB8726" w:rsidR="003D2506" w:rsidRPr="0023643C" w:rsidRDefault="00896735" w:rsidP="00946B28">
            <w:pPr>
              <w:pStyle w:val="TableHeaders"/>
              <w:keepNext/>
              <w:spacing w:before="20" w:after="20"/>
            </w:pPr>
            <w:r w:rsidRPr="0023643C">
              <w:t>White/</w:t>
            </w:r>
            <w:r w:rsidR="000E77C1" w:rsidRPr="0023643C">
              <w:t xml:space="preserve"> O</w:t>
            </w:r>
            <w:r w:rsidRPr="0023643C">
              <w:t>ther</w:t>
            </w:r>
          </w:p>
        </w:tc>
        <w:tc>
          <w:tcPr>
            <w:tcW w:w="851" w:type="dxa"/>
            <w:gridSpan w:val="2"/>
            <w:tcBorders>
              <w:top w:val="single" w:sz="6" w:space="0" w:color="auto"/>
              <w:bottom w:val="single" w:sz="6" w:space="0" w:color="auto"/>
            </w:tcBorders>
            <w:shd w:val="clear" w:color="auto" w:fill="auto"/>
            <w:noWrap/>
            <w:vAlign w:val="bottom"/>
            <w:hideMark/>
          </w:tcPr>
          <w:p w14:paraId="6DABC8E3" w14:textId="77777777" w:rsidR="003D2506" w:rsidRPr="0023643C" w:rsidRDefault="003D2506" w:rsidP="00946B28">
            <w:pPr>
              <w:pStyle w:val="TableHeaders"/>
              <w:keepNext/>
              <w:spacing w:before="20" w:after="20"/>
            </w:pPr>
            <w:r w:rsidRPr="0023643C">
              <w:t>Black</w:t>
            </w:r>
          </w:p>
        </w:tc>
        <w:tc>
          <w:tcPr>
            <w:tcW w:w="851" w:type="dxa"/>
            <w:tcBorders>
              <w:top w:val="single" w:sz="6" w:space="0" w:color="auto"/>
              <w:bottom w:val="single" w:sz="6" w:space="0" w:color="auto"/>
            </w:tcBorders>
            <w:shd w:val="clear" w:color="auto" w:fill="auto"/>
            <w:noWrap/>
            <w:vAlign w:val="bottom"/>
            <w:hideMark/>
          </w:tcPr>
          <w:p w14:paraId="72469D4E" w14:textId="77777777" w:rsidR="003D2506" w:rsidRPr="0023643C" w:rsidRDefault="003D2506" w:rsidP="00946B28">
            <w:pPr>
              <w:pStyle w:val="TableHeaders"/>
              <w:keepNext/>
              <w:spacing w:before="20" w:after="20"/>
            </w:pPr>
            <w:r w:rsidRPr="0023643C">
              <w:t>Hispanic</w:t>
            </w:r>
          </w:p>
        </w:tc>
        <w:tc>
          <w:tcPr>
            <w:tcW w:w="852" w:type="dxa"/>
            <w:tcBorders>
              <w:top w:val="single" w:sz="6" w:space="0" w:color="auto"/>
              <w:bottom w:val="single" w:sz="6" w:space="0" w:color="auto"/>
            </w:tcBorders>
            <w:shd w:val="clear" w:color="auto" w:fill="auto"/>
            <w:noWrap/>
            <w:vAlign w:val="bottom"/>
            <w:hideMark/>
          </w:tcPr>
          <w:p w14:paraId="1A0DA875" w14:textId="64F6CC66" w:rsidR="003D2506" w:rsidRPr="0023643C" w:rsidRDefault="00896735" w:rsidP="00946B28">
            <w:pPr>
              <w:pStyle w:val="TableHeaders"/>
              <w:keepNext/>
              <w:spacing w:before="20" w:after="20"/>
            </w:pPr>
            <w:r w:rsidRPr="0023643C">
              <w:t>White/</w:t>
            </w:r>
            <w:r w:rsidR="000E77C1" w:rsidRPr="0023643C">
              <w:t xml:space="preserve"> O</w:t>
            </w:r>
            <w:r w:rsidRPr="0023643C">
              <w:t>ther</w:t>
            </w:r>
          </w:p>
        </w:tc>
        <w:tc>
          <w:tcPr>
            <w:tcW w:w="2354" w:type="dxa"/>
            <w:vMerge/>
            <w:tcBorders>
              <w:top w:val="single" w:sz="6" w:space="0" w:color="000000"/>
              <w:bottom w:val="single" w:sz="6" w:space="0" w:color="auto"/>
            </w:tcBorders>
            <w:shd w:val="clear" w:color="auto" w:fill="auto"/>
            <w:noWrap/>
            <w:vAlign w:val="bottom"/>
            <w:hideMark/>
          </w:tcPr>
          <w:p w14:paraId="1904525E" w14:textId="77777777" w:rsidR="003D2506" w:rsidRPr="0023643C" w:rsidRDefault="003D2506" w:rsidP="00946B28">
            <w:pPr>
              <w:pStyle w:val="TableHeaders"/>
              <w:keepNext/>
              <w:spacing w:before="20" w:after="20"/>
            </w:pPr>
          </w:p>
        </w:tc>
      </w:tr>
      <w:tr w:rsidR="006E5792" w:rsidRPr="0023643C" w14:paraId="0FE6B637" w14:textId="77777777" w:rsidTr="006E5792">
        <w:trPr>
          <w:cantSplit/>
        </w:trPr>
        <w:tc>
          <w:tcPr>
            <w:tcW w:w="7073" w:type="dxa"/>
            <w:gridSpan w:val="11"/>
            <w:tcBorders>
              <w:top w:val="single" w:sz="6" w:space="0" w:color="808080" w:themeColor="background1" w:themeShade="80"/>
              <w:bottom w:val="single" w:sz="6" w:space="0" w:color="808080" w:themeColor="background1" w:themeShade="80"/>
            </w:tcBorders>
            <w:shd w:val="clear" w:color="auto" w:fill="auto"/>
            <w:noWrap/>
          </w:tcPr>
          <w:p w14:paraId="4C882B9D" w14:textId="77777777" w:rsidR="006E5792" w:rsidRPr="0023643C" w:rsidRDefault="006E5792" w:rsidP="00BA30F7">
            <w:pPr>
              <w:pStyle w:val="TableTextDec"/>
              <w:tabs>
                <w:tab w:val="clear" w:pos="1015"/>
                <w:tab w:val="decimal" w:pos="341"/>
              </w:tabs>
              <w:spacing w:before="20" w:after="20"/>
            </w:pPr>
            <w:r w:rsidRPr="0023643C">
              <w:t>Percentage of uninfected individuals’ vaginal sex acts with infected partners that are protected with a condom when partners are undiagnosed</w:t>
            </w: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1EFDF683" w14:textId="77777777" w:rsidR="006E5792" w:rsidRPr="0023643C" w:rsidRDefault="006E5792" w:rsidP="00BA30F7">
            <w:pPr>
              <w:pStyle w:val="TableText"/>
              <w:spacing w:before="20" w:after="20"/>
            </w:pPr>
          </w:p>
        </w:tc>
      </w:tr>
      <w:tr w:rsidR="006E5792" w:rsidRPr="0023643C" w14:paraId="15A627C3" w14:textId="77777777" w:rsidTr="006E5792">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20E91F6B" w14:textId="77777777" w:rsidR="006E5792" w:rsidRPr="0023643C" w:rsidRDefault="006E5792" w:rsidP="00BA30F7">
            <w:pPr>
              <w:pStyle w:val="TableText"/>
              <w:spacing w:before="20" w:after="20"/>
              <w:ind w:left="274"/>
            </w:pPr>
            <w:r w:rsidRPr="0023643C">
              <w:t>HET/PWID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A6711A2" w14:textId="77777777" w:rsidR="006E5792" w:rsidRPr="0023643C" w:rsidRDefault="006E5792" w:rsidP="00BA30F7">
            <w:pPr>
              <w:pStyle w:val="TableTextDec"/>
              <w:tabs>
                <w:tab w:val="clear" w:pos="1015"/>
                <w:tab w:val="decimal" w:pos="341"/>
              </w:tabs>
              <w:spacing w:before="20" w:after="20"/>
            </w:pP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F1C2B73" w14:textId="77777777" w:rsidR="006E5792" w:rsidRPr="0023643C" w:rsidRDefault="006E5792" w:rsidP="00BA30F7">
            <w:pPr>
              <w:pStyle w:val="TableTextDec"/>
              <w:tabs>
                <w:tab w:val="clear" w:pos="1015"/>
                <w:tab w:val="decimal" w:pos="341"/>
              </w:tabs>
              <w:spacing w:before="20" w:after="20"/>
            </w:pP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6BBAC14" w14:textId="77777777" w:rsidR="006E5792" w:rsidRPr="0023643C" w:rsidRDefault="006E5792" w:rsidP="00BA30F7">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8C531D0" w14:textId="77777777" w:rsidR="006E5792" w:rsidRPr="0023643C" w:rsidRDefault="006E5792" w:rsidP="00BA30F7">
            <w:pPr>
              <w:pStyle w:val="TableTextDec"/>
              <w:tabs>
                <w:tab w:val="clear" w:pos="1015"/>
                <w:tab w:val="decimal" w:pos="341"/>
              </w:tabs>
              <w:spacing w:before="20" w:after="20"/>
            </w:pP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7014DB64" w14:textId="77777777" w:rsidR="006E5792" w:rsidRPr="0023643C" w:rsidRDefault="006E5792" w:rsidP="00BA30F7">
            <w:pPr>
              <w:pStyle w:val="TableTextDec"/>
              <w:tabs>
                <w:tab w:val="clear" w:pos="1015"/>
                <w:tab w:val="decimal" w:pos="341"/>
              </w:tabs>
              <w:spacing w:before="20" w:after="20"/>
            </w:pP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6B317B92" w14:textId="77777777" w:rsidR="006E5792" w:rsidRPr="0023643C" w:rsidRDefault="006E5792" w:rsidP="00BA30F7">
            <w:pPr>
              <w:pStyle w:val="TableTextDec"/>
              <w:tabs>
                <w:tab w:val="clear" w:pos="1015"/>
                <w:tab w:val="decimal" w:pos="341"/>
              </w:tabs>
              <w:spacing w:before="20" w:after="20"/>
            </w:pP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645E6DC6" w14:textId="77777777" w:rsidR="006E5792" w:rsidRPr="0023643C" w:rsidRDefault="006E5792" w:rsidP="00BA30F7">
            <w:pPr>
              <w:pStyle w:val="TableText"/>
              <w:spacing w:before="20" w:after="20"/>
            </w:pPr>
          </w:p>
        </w:tc>
      </w:tr>
      <w:tr w:rsidR="006E5792" w:rsidRPr="0023643C" w14:paraId="7B5D8C10" w14:textId="77777777" w:rsidTr="006E5792">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22502DB9" w14:textId="77777777" w:rsidR="006E5792" w:rsidRPr="0023643C" w:rsidRDefault="006E5792" w:rsidP="00BA30F7">
            <w:pPr>
              <w:pStyle w:val="TableText"/>
              <w:spacing w:before="20" w:after="20"/>
              <w:ind w:left="446"/>
            </w:pPr>
            <w:r w:rsidRPr="0023643C">
              <w:t>13-17</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8F6C96D" w14:textId="77777777" w:rsidR="006E5792" w:rsidRPr="0023643C" w:rsidRDefault="006E5792" w:rsidP="00BA30F7">
            <w:pPr>
              <w:pStyle w:val="TableTextDec"/>
              <w:tabs>
                <w:tab w:val="clear" w:pos="1015"/>
                <w:tab w:val="decimal" w:pos="341"/>
              </w:tabs>
              <w:spacing w:before="20" w:after="20"/>
            </w:pPr>
            <w:r w:rsidRPr="0023643C">
              <w:t>83.5%</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E9A55C8" w14:textId="77777777" w:rsidR="006E5792" w:rsidRPr="0023643C" w:rsidRDefault="006E5792" w:rsidP="00BA30F7">
            <w:pPr>
              <w:pStyle w:val="TableTextDec"/>
              <w:tabs>
                <w:tab w:val="clear" w:pos="1015"/>
                <w:tab w:val="decimal" w:pos="341"/>
              </w:tabs>
              <w:spacing w:before="20" w:after="20"/>
            </w:pPr>
            <w:r w:rsidRPr="0023643C">
              <w:t>68.6%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1D9A4CE" w14:textId="77777777" w:rsidR="006E5792" w:rsidRPr="0023643C" w:rsidRDefault="006E5792" w:rsidP="00BA30F7">
            <w:pPr>
              <w:pStyle w:val="TableTextDec"/>
              <w:tabs>
                <w:tab w:val="clear" w:pos="1015"/>
                <w:tab w:val="decimal" w:pos="341"/>
              </w:tabs>
              <w:spacing w:before="20" w:after="20"/>
            </w:pPr>
            <w:r w:rsidRPr="0023643C">
              <w:t>46.2%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5947A28" w14:textId="77777777" w:rsidR="006E5792" w:rsidRPr="0023643C" w:rsidRDefault="006E5792" w:rsidP="00BA30F7">
            <w:pPr>
              <w:pStyle w:val="TableTextDec"/>
              <w:tabs>
                <w:tab w:val="clear" w:pos="1015"/>
                <w:tab w:val="decimal" w:pos="341"/>
              </w:tabs>
              <w:spacing w:before="20" w:after="20"/>
            </w:pPr>
            <w:r w:rsidRPr="0023643C">
              <w:t>83.5%</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C1F2C2B" w14:textId="77777777" w:rsidR="006E5792" w:rsidRPr="0023643C" w:rsidRDefault="006E5792" w:rsidP="00BA30F7">
            <w:pPr>
              <w:pStyle w:val="TableTextDec"/>
              <w:tabs>
                <w:tab w:val="clear" w:pos="1015"/>
                <w:tab w:val="decimal" w:pos="341"/>
              </w:tabs>
              <w:spacing w:before="20" w:after="20"/>
            </w:pPr>
            <w:r w:rsidRPr="0023643C">
              <w:t>68.6%</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02EE4D15" w14:textId="77777777" w:rsidR="006E5792" w:rsidRPr="0023643C" w:rsidRDefault="006E5792" w:rsidP="00BA30F7">
            <w:pPr>
              <w:pStyle w:val="TableTextDec"/>
              <w:tabs>
                <w:tab w:val="clear" w:pos="1015"/>
                <w:tab w:val="decimal" w:pos="341"/>
              </w:tabs>
              <w:spacing w:before="20" w:after="20"/>
            </w:pPr>
            <w:r w:rsidRPr="0023643C">
              <w:t>46.2%</w:t>
            </w:r>
          </w:p>
        </w:tc>
        <w:tc>
          <w:tcPr>
            <w:tcW w:w="2354" w:type="dxa"/>
            <w:vMerge w:val="restart"/>
            <w:tcBorders>
              <w:top w:val="single" w:sz="6" w:space="0" w:color="808080" w:themeColor="background1" w:themeShade="80"/>
            </w:tcBorders>
            <w:shd w:val="clear" w:color="auto" w:fill="auto"/>
            <w:noWrap/>
          </w:tcPr>
          <w:p w14:paraId="0B0FE1FE" w14:textId="77777777" w:rsidR="006E5792" w:rsidRPr="0023643C" w:rsidRDefault="006E5792" w:rsidP="00BA30F7">
            <w:pPr>
              <w:pStyle w:val="TableText"/>
              <w:spacing w:before="20" w:after="20"/>
            </w:pPr>
            <w:r w:rsidRPr="0023643C">
              <w:t>Reece et al. (2010b)</w:t>
            </w:r>
            <w:r w:rsidRPr="0023643C">
              <w:rPr>
                <w:vertAlign w:val="superscript"/>
              </w:rPr>
              <w:t>g</w:t>
            </w:r>
          </w:p>
        </w:tc>
      </w:tr>
      <w:tr w:rsidR="006E5792" w:rsidRPr="0023643C" w14:paraId="2C733E6C" w14:textId="77777777" w:rsidTr="006E5792">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4ED33AE3" w14:textId="77777777" w:rsidR="006E5792" w:rsidRPr="0023643C" w:rsidRDefault="006E5792" w:rsidP="00BA30F7">
            <w:pPr>
              <w:pStyle w:val="TableText"/>
              <w:spacing w:before="20" w:after="20"/>
              <w:ind w:left="446"/>
            </w:pPr>
            <w:r w:rsidRPr="0023643C">
              <w:t>18-24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886F58D" w14:textId="77777777" w:rsidR="006E5792" w:rsidRPr="0023643C" w:rsidRDefault="006E5792" w:rsidP="00BA30F7">
            <w:pPr>
              <w:pStyle w:val="TableTextDec"/>
              <w:tabs>
                <w:tab w:val="clear" w:pos="1015"/>
                <w:tab w:val="decimal" w:pos="341"/>
              </w:tabs>
              <w:spacing w:before="20" w:after="20"/>
            </w:pPr>
            <w:r w:rsidRPr="0023643C">
              <w:t>50.9%</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C86E8F5" w14:textId="77777777" w:rsidR="006E5792" w:rsidRPr="0023643C" w:rsidRDefault="006E5792" w:rsidP="00BA30F7">
            <w:pPr>
              <w:pStyle w:val="TableTextDec"/>
              <w:tabs>
                <w:tab w:val="clear" w:pos="1015"/>
                <w:tab w:val="decimal" w:pos="341"/>
              </w:tabs>
              <w:spacing w:before="20" w:after="20"/>
            </w:pPr>
            <w:r w:rsidRPr="0023643C">
              <w:t>41.8%</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EA3C477" w14:textId="77777777" w:rsidR="006E5792" w:rsidRPr="0023643C" w:rsidRDefault="006E5792" w:rsidP="00BA30F7">
            <w:pPr>
              <w:pStyle w:val="TableTextDec"/>
              <w:tabs>
                <w:tab w:val="clear" w:pos="1015"/>
                <w:tab w:val="decimal" w:pos="341"/>
              </w:tabs>
              <w:spacing w:before="20" w:after="20"/>
            </w:pPr>
            <w:r w:rsidRPr="0023643C">
              <w:t>28.1%</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BB4CB51" w14:textId="77777777" w:rsidR="006E5792" w:rsidRPr="0023643C" w:rsidRDefault="006E5792" w:rsidP="00BA30F7">
            <w:pPr>
              <w:pStyle w:val="TableTextDec"/>
              <w:tabs>
                <w:tab w:val="clear" w:pos="1015"/>
                <w:tab w:val="decimal" w:pos="341"/>
              </w:tabs>
              <w:spacing w:before="20" w:after="20"/>
            </w:pPr>
            <w:r w:rsidRPr="0023643C">
              <w:t>50.9%</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41E8C435" w14:textId="77777777" w:rsidR="006E5792" w:rsidRPr="0023643C" w:rsidRDefault="006E5792" w:rsidP="00BA30F7">
            <w:pPr>
              <w:pStyle w:val="TableTextDec"/>
              <w:tabs>
                <w:tab w:val="clear" w:pos="1015"/>
                <w:tab w:val="decimal" w:pos="341"/>
              </w:tabs>
              <w:spacing w:before="20" w:after="20"/>
            </w:pPr>
            <w:r w:rsidRPr="0023643C">
              <w:t>41.8%</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19BC00AB" w14:textId="77777777" w:rsidR="006E5792" w:rsidRPr="0023643C" w:rsidRDefault="006E5792" w:rsidP="00BA30F7">
            <w:pPr>
              <w:pStyle w:val="TableTextDec"/>
              <w:tabs>
                <w:tab w:val="clear" w:pos="1015"/>
                <w:tab w:val="decimal" w:pos="341"/>
              </w:tabs>
              <w:spacing w:before="20" w:after="20"/>
            </w:pPr>
            <w:r w:rsidRPr="0023643C">
              <w:t>28.1%</w:t>
            </w:r>
          </w:p>
        </w:tc>
        <w:tc>
          <w:tcPr>
            <w:tcW w:w="2354" w:type="dxa"/>
            <w:vMerge/>
            <w:shd w:val="clear" w:color="auto" w:fill="auto"/>
            <w:noWrap/>
          </w:tcPr>
          <w:p w14:paraId="5C726AAC" w14:textId="77777777" w:rsidR="006E5792" w:rsidRPr="0023643C" w:rsidRDefault="006E5792" w:rsidP="00BA30F7">
            <w:pPr>
              <w:pStyle w:val="TableText"/>
              <w:spacing w:before="20" w:after="20"/>
            </w:pPr>
          </w:p>
        </w:tc>
      </w:tr>
      <w:tr w:rsidR="006E5792" w:rsidRPr="0023643C" w14:paraId="71F3788E" w14:textId="77777777" w:rsidTr="006E5792">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5C2E8B53" w14:textId="77777777" w:rsidR="006E5792" w:rsidRPr="0023643C" w:rsidRDefault="006E5792" w:rsidP="00BA30F7">
            <w:pPr>
              <w:pStyle w:val="TableText"/>
              <w:spacing w:before="20" w:after="20"/>
              <w:ind w:left="446"/>
            </w:pPr>
            <w:r w:rsidRPr="0023643C">
              <w:t>25-34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0A3E40B" w14:textId="77777777" w:rsidR="006E5792" w:rsidRPr="0023643C" w:rsidRDefault="006E5792" w:rsidP="00BA30F7">
            <w:pPr>
              <w:pStyle w:val="TableTextDec"/>
              <w:tabs>
                <w:tab w:val="clear" w:pos="1015"/>
                <w:tab w:val="decimal" w:pos="341"/>
              </w:tabs>
              <w:spacing w:before="20" w:after="20"/>
            </w:pPr>
            <w:r w:rsidRPr="0023643C">
              <w:t>30.0%</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A703B43" w14:textId="77777777" w:rsidR="006E5792" w:rsidRPr="0023643C" w:rsidRDefault="006E5792" w:rsidP="00BA30F7">
            <w:pPr>
              <w:pStyle w:val="TableTextDec"/>
              <w:tabs>
                <w:tab w:val="clear" w:pos="1015"/>
                <w:tab w:val="decimal" w:pos="341"/>
              </w:tabs>
              <w:spacing w:before="20" w:after="20"/>
            </w:pPr>
            <w:r w:rsidRPr="0023643C">
              <w:t>24.7%</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E9E34D6" w14:textId="77777777" w:rsidR="006E5792" w:rsidRPr="0023643C" w:rsidRDefault="006E5792" w:rsidP="00BA30F7">
            <w:pPr>
              <w:pStyle w:val="TableTextDec"/>
              <w:tabs>
                <w:tab w:val="clear" w:pos="1015"/>
                <w:tab w:val="decimal" w:pos="341"/>
              </w:tabs>
              <w:spacing w:before="20" w:after="20"/>
            </w:pPr>
            <w:r w:rsidRPr="0023643C">
              <w:t>16.6%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65DBD44" w14:textId="77777777" w:rsidR="006E5792" w:rsidRPr="0023643C" w:rsidRDefault="006E5792" w:rsidP="00BA30F7">
            <w:pPr>
              <w:pStyle w:val="TableTextDec"/>
              <w:tabs>
                <w:tab w:val="clear" w:pos="1015"/>
                <w:tab w:val="decimal" w:pos="341"/>
              </w:tabs>
              <w:spacing w:before="20" w:after="20"/>
            </w:pPr>
            <w:r w:rsidRPr="0023643C">
              <w:t>30.0%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5532886C" w14:textId="77777777" w:rsidR="006E5792" w:rsidRPr="0023643C" w:rsidRDefault="006E5792" w:rsidP="00BA30F7">
            <w:pPr>
              <w:pStyle w:val="TableTextDec"/>
              <w:tabs>
                <w:tab w:val="clear" w:pos="1015"/>
                <w:tab w:val="decimal" w:pos="341"/>
              </w:tabs>
              <w:spacing w:before="20" w:after="20"/>
            </w:pPr>
            <w:r w:rsidRPr="0023643C">
              <w:t>24.7%</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0EA86799" w14:textId="77777777" w:rsidR="006E5792" w:rsidRPr="0023643C" w:rsidRDefault="006E5792" w:rsidP="00BA30F7">
            <w:pPr>
              <w:pStyle w:val="TableTextDec"/>
              <w:tabs>
                <w:tab w:val="clear" w:pos="1015"/>
                <w:tab w:val="decimal" w:pos="341"/>
              </w:tabs>
              <w:spacing w:before="20" w:after="20"/>
            </w:pPr>
            <w:r w:rsidRPr="0023643C">
              <w:t>16.6%</w:t>
            </w:r>
          </w:p>
        </w:tc>
        <w:tc>
          <w:tcPr>
            <w:tcW w:w="2354" w:type="dxa"/>
            <w:vMerge/>
            <w:shd w:val="clear" w:color="auto" w:fill="auto"/>
            <w:noWrap/>
          </w:tcPr>
          <w:p w14:paraId="6D9B17F8" w14:textId="77777777" w:rsidR="006E5792" w:rsidRPr="0023643C" w:rsidRDefault="006E5792" w:rsidP="00BA30F7">
            <w:pPr>
              <w:pStyle w:val="TableText"/>
              <w:spacing w:before="20" w:after="20"/>
            </w:pPr>
          </w:p>
        </w:tc>
      </w:tr>
      <w:tr w:rsidR="006E5792" w:rsidRPr="0023643C" w14:paraId="22872C0F" w14:textId="77777777" w:rsidTr="006E5792">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2464DC58" w14:textId="77777777" w:rsidR="006E5792" w:rsidRPr="0023643C" w:rsidRDefault="006E5792" w:rsidP="00BA30F7">
            <w:pPr>
              <w:pStyle w:val="TableText"/>
              <w:spacing w:before="20" w:after="20"/>
              <w:ind w:left="446"/>
            </w:pPr>
            <w:r w:rsidRPr="0023643C">
              <w:t>35-44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C65E014" w14:textId="77777777" w:rsidR="006E5792" w:rsidRPr="0023643C" w:rsidRDefault="006E5792" w:rsidP="00BA30F7">
            <w:pPr>
              <w:pStyle w:val="TableTextDec"/>
              <w:tabs>
                <w:tab w:val="clear" w:pos="1015"/>
                <w:tab w:val="decimal" w:pos="341"/>
              </w:tabs>
              <w:spacing w:before="20" w:after="20"/>
            </w:pPr>
            <w:r w:rsidRPr="0023643C">
              <w:t>23.8%</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B523D5F" w14:textId="77777777" w:rsidR="006E5792" w:rsidRPr="0023643C" w:rsidRDefault="006E5792" w:rsidP="00BA30F7">
            <w:pPr>
              <w:pStyle w:val="TableTextDec"/>
              <w:tabs>
                <w:tab w:val="clear" w:pos="1015"/>
                <w:tab w:val="decimal" w:pos="341"/>
              </w:tabs>
              <w:spacing w:before="20" w:after="20"/>
            </w:pPr>
            <w:r w:rsidRPr="0023643C">
              <w:t>19.6%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D096B1C" w14:textId="77777777" w:rsidR="006E5792" w:rsidRPr="0023643C" w:rsidRDefault="006E5792" w:rsidP="00BA30F7">
            <w:pPr>
              <w:pStyle w:val="TableTextDec"/>
              <w:tabs>
                <w:tab w:val="clear" w:pos="1015"/>
                <w:tab w:val="decimal" w:pos="341"/>
              </w:tabs>
              <w:spacing w:before="20" w:after="20"/>
            </w:pPr>
            <w:r w:rsidRPr="0023643C">
              <w:t>13.2%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D5EE5EB" w14:textId="77777777" w:rsidR="006E5792" w:rsidRPr="0023643C" w:rsidRDefault="006E5792" w:rsidP="00BA30F7">
            <w:pPr>
              <w:pStyle w:val="TableTextDec"/>
              <w:tabs>
                <w:tab w:val="clear" w:pos="1015"/>
                <w:tab w:val="decimal" w:pos="341"/>
              </w:tabs>
              <w:spacing w:before="20" w:after="20"/>
            </w:pPr>
            <w:r w:rsidRPr="0023643C">
              <w:t>23.8%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0CA72C8F" w14:textId="77777777" w:rsidR="006E5792" w:rsidRPr="0023643C" w:rsidRDefault="006E5792" w:rsidP="00BA30F7">
            <w:pPr>
              <w:pStyle w:val="TableTextDec"/>
              <w:tabs>
                <w:tab w:val="clear" w:pos="1015"/>
                <w:tab w:val="decimal" w:pos="341"/>
              </w:tabs>
              <w:spacing w:before="20" w:after="20"/>
            </w:pPr>
            <w:r w:rsidRPr="0023643C">
              <w:t>19.6%</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046528AB" w14:textId="77777777" w:rsidR="006E5792" w:rsidRPr="0023643C" w:rsidRDefault="006E5792" w:rsidP="00BA30F7">
            <w:pPr>
              <w:pStyle w:val="TableTextDec"/>
              <w:tabs>
                <w:tab w:val="clear" w:pos="1015"/>
                <w:tab w:val="decimal" w:pos="341"/>
              </w:tabs>
              <w:spacing w:before="20" w:after="20"/>
            </w:pPr>
            <w:r w:rsidRPr="0023643C">
              <w:t>13.2%</w:t>
            </w:r>
          </w:p>
        </w:tc>
        <w:tc>
          <w:tcPr>
            <w:tcW w:w="2354" w:type="dxa"/>
            <w:vMerge/>
            <w:shd w:val="clear" w:color="auto" w:fill="auto"/>
            <w:noWrap/>
          </w:tcPr>
          <w:p w14:paraId="37D5DCDF" w14:textId="77777777" w:rsidR="006E5792" w:rsidRPr="0023643C" w:rsidRDefault="006E5792" w:rsidP="00BA30F7">
            <w:pPr>
              <w:pStyle w:val="TableText"/>
              <w:spacing w:before="20" w:after="20"/>
            </w:pPr>
          </w:p>
        </w:tc>
      </w:tr>
      <w:tr w:rsidR="006E5792" w:rsidRPr="0023643C" w14:paraId="1F0D80C6" w14:textId="77777777" w:rsidTr="006E5792">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36B1F525" w14:textId="77777777" w:rsidR="006E5792" w:rsidRPr="0023643C" w:rsidRDefault="006E5792" w:rsidP="00BA30F7">
            <w:pPr>
              <w:pStyle w:val="TableText"/>
              <w:spacing w:before="20" w:after="20"/>
              <w:ind w:left="446"/>
            </w:pPr>
            <w:r w:rsidRPr="0023643C">
              <w:t>45-54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4166109" w14:textId="77777777" w:rsidR="006E5792" w:rsidRPr="0023643C" w:rsidRDefault="006E5792" w:rsidP="00BA30F7">
            <w:pPr>
              <w:pStyle w:val="TableTextDec"/>
              <w:tabs>
                <w:tab w:val="clear" w:pos="1015"/>
                <w:tab w:val="decimal" w:pos="341"/>
              </w:tabs>
              <w:spacing w:before="20" w:after="20"/>
            </w:pPr>
            <w:r w:rsidRPr="0023643C">
              <w:t>16.6%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99572E1" w14:textId="77777777" w:rsidR="006E5792" w:rsidRPr="0023643C" w:rsidRDefault="006E5792" w:rsidP="00BA30F7">
            <w:pPr>
              <w:pStyle w:val="TableTextDec"/>
              <w:tabs>
                <w:tab w:val="clear" w:pos="1015"/>
                <w:tab w:val="decimal" w:pos="341"/>
              </w:tabs>
              <w:spacing w:before="20" w:after="20"/>
            </w:pPr>
            <w:r w:rsidRPr="0023643C">
              <w:t>13.6%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5650F10" w14:textId="77777777" w:rsidR="006E5792" w:rsidRPr="0023643C" w:rsidRDefault="006E5792" w:rsidP="00BA30F7">
            <w:pPr>
              <w:pStyle w:val="TableTextDec"/>
              <w:tabs>
                <w:tab w:val="clear" w:pos="1015"/>
                <w:tab w:val="decimal" w:pos="341"/>
              </w:tabs>
              <w:spacing w:before="20" w:after="20"/>
            </w:pPr>
            <w:r w:rsidRPr="0023643C">
              <w:t>9.2%</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10FF8CD1" w14:textId="77777777" w:rsidR="006E5792" w:rsidRPr="0023643C" w:rsidRDefault="006E5792" w:rsidP="00BA30F7">
            <w:pPr>
              <w:pStyle w:val="TableTextDec"/>
              <w:tabs>
                <w:tab w:val="clear" w:pos="1015"/>
                <w:tab w:val="decimal" w:pos="341"/>
              </w:tabs>
              <w:spacing w:before="20" w:after="20"/>
            </w:pPr>
            <w:r w:rsidRPr="0023643C">
              <w:t>16.6%</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6C9E3A6" w14:textId="77777777" w:rsidR="006E5792" w:rsidRPr="0023643C" w:rsidRDefault="006E5792" w:rsidP="00BA30F7">
            <w:pPr>
              <w:pStyle w:val="TableTextDec"/>
              <w:tabs>
                <w:tab w:val="clear" w:pos="1015"/>
                <w:tab w:val="decimal" w:pos="341"/>
              </w:tabs>
              <w:spacing w:before="20" w:after="20"/>
            </w:pPr>
            <w:r w:rsidRPr="0023643C">
              <w:t>13.6%</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7A2F3A35" w14:textId="77777777" w:rsidR="006E5792" w:rsidRPr="0023643C" w:rsidRDefault="006E5792" w:rsidP="00BA30F7">
            <w:pPr>
              <w:pStyle w:val="TableTextDec"/>
              <w:tabs>
                <w:tab w:val="clear" w:pos="1015"/>
                <w:tab w:val="decimal" w:pos="341"/>
              </w:tabs>
              <w:spacing w:before="20" w:after="20"/>
            </w:pPr>
            <w:r w:rsidRPr="0023643C">
              <w:t>9.2%</w:t>
            </w:r>
          </w:p>
        </w:tc>
        <w:tc>
          <w:tcPr>
            <w:tcW w:w="2354" w:type="dxa"/>
            <w:vMerge/>
            <w:shd w:val="clear" w:color="auto" w:fill="auto"/>
            <w:noWrap/>
          </w:tcPr>
          <w:p w14:paraId="00D8FA78" w14:textId="77777777" w:rsidR="006E5792" w:rsidRPr="0023643C" w:rsidRDefault="006E5792" w:rsidP="00BA30F7">
            <w:pPr>
              <w:pStyle w:val="TableText"/>
              <w:spacing w:before="20" w:after="20"/>
            </w:pPr>
          </w:p>
        </w:tc>
      </w:tr>
      <w:tr w:rsidR="006E5792" w:rsidRPr="0023643C" w14:paraId="27A06857" w14:textId="77777777" w:rsidTr="006E5792">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6411E1BA" w14:textId="77777777" w:rsidR="006E5792" w:rsidRPr="0023643C" w:rsidRDefault="006E5792" w:rsidP="00BA30F7">
            <w:pPr>
              <w:pStyle w:val="TableText"/>
              <w:spacing w:before="20" w:after="20"/>
              <w:ind w:left="446"/>
            </w:pPr>
            <w:r w:rsidRPr="0023643C">
              <w:t>55-64</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D0D91F3" w14:textId="77777777" w:rsidR="006E5792" w:rsidRPr="0023643C" w:rsidRDefault="006E5792" w:rsidP="00BA30F7">
            <w:pPr>
              <w:pStyle w:val="TableTextDec"/>
              <w:tabs>
                <w:tab w:val="clear" w:pos="1015"/>
                <w:tab w:val="decimal" w:pos="341"/>
              </w:tabs>
              <w:spacing w:before="20" w:after="20"/>
            </w:pPr>
            <w:r w:rsidRPr="0023643C">
              <w:t>10.8%</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CA4CC54" w14:textId="77777777" w:rsidR="006E5792" w:rsidRPr="0023643C" w:rsidRDefault="006E5792" w:rsidP="00BA30F7">
            <w:pPr>
              <w:pStyle w:val="TableTextDec"/>
              <w:tabs>
                <w:tab w:val="clear" w:pos="1015"/>
                <w:tab w:val="decimal" w:pos="341"/>
              </w:tabs>
              <w:spacing w:before="20" w:after="20"/>
            </w:pPr>
            <w:r w:rsidRPr="0023643C">
              <w:t>8.9%</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493F7D12" w14:textId="77777777" w:rsidR="006E5792" w:rsidRPr="0023643C" w:rsidRDefault="006E5792" w:rsidP="00BA30F7">
            <w:pPr>
              <w:pStyle w:val="TableTextDec"/>
              <w:tabs>
                <w:tab w:val="clear" w:pos="1015"/>
                <w:tab w:val="decimal" w:pos="341"/>
              </w:tabs>
              <w:spacing w:before="20" w:after="20"/>
            </w:pPr>
            <w:r w:rsidRPr="0023643C">
              <w:t>6.0%</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23ADEB1D" w14:textId="77777777" w:rsidR="006E5792" w:rsidRPr="0023643C" w:rsidRDefault="006E5792" w:rsidP="00BA30F7">
            <w:pPr>
              <w:pStyle w:val="TableTextDec"/>
              <w:tabs>
                <w:tab w:val="clear" w:pos="1015"/>
                <w:tab w:val="decimal" w:pos="341"/>
              </w:tabs>
              <w:spacing w:before="20" w:after="20"/>
            </w:pPr>
            <w:r w:rsidRPr="0023643C">
              <w:t>10.8%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2218DA0" w14:textId="77777777" w:rsidR="006E5792" w:rsidRPr="0023643C" w:rsidRDefault="006E5792" w:rsidP="00BA30F7">
            <w:pPr>
              <w:pStyle w:val="TableTextDec"/>
              <w:tabs>
                <w:tab w:val="clear" w:pos="1015"/>
                <w:tab w:val="decimal" w:pos="341"/>
              </w:tabs>
              <w:spacing w:before="20" w:after="20"/>
            </w:pPr>
            <w:r w:rsidRPr="0023643C">
              <w:t>8.9%</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3C432804" w14:textId="77777777" w:rsidR="006E5792" w:rsidRPr="0023643C" w:rsidRDefault="006E5792" w:rsidP="00BA30F7">
            <w:pPr>
              <w:pStyle w:val="TableTextDec"/>
              <w:tabs>
                <w:tab w:val="clear" w:pos="1015"/>
                <w:tab w:val="decimal" w:pos="341"/>
              </w:tabs>
              <w:spacing w:before="20" w:after="20"/>
            </w:pPr>
            <w:r w:rsidRPr="0023643C">
              <w:t>6.0%</w:t>
            </w:r>
          </w:p>
        </w:tc>
        <w:tc>
          <w:tcPr>
            <w:tcW w:w="2354" w:type="dxa"/>
            <w:vMerge/>
            <w:shd w:val="clear" w:color="auto" w:fill="auto"/>
            <w:noWrap/>
          </w:tcPr>
          <w:p w14:paraId="7762E2B6" w14:textId="77777777" w:rsidR="006E5792" w:rsidRPr="0023643C" w:rsidRDefault="006E5792" w:rsidP="00BA30F7">
            <w:pPr>
              <w:pStyle w:val="TableText"/>
              <w:spacing w:before="20" w:after="20"/>
            </w:pPr>
          </w:p>
        </w:tc>
      </w:tr>
      <w:tr w:rsidR="006E5792" w:rsidRPr="00C00335" w14:paraId="6DC922F5" w14:textId="77777777" w:rsidTr="006E5792">
        <w:trPr>
          <w:cantSplit/>
        </w:trPr>
        <w:tc>
          <w:tcPr>
            <w:tcW w:w="1994" w:type="dxa"/>
            <w:gridSpan w:val="2"/>
            <w:tcBorders>
              <w:top w:val="single" w:sz="6" w:space="0" w:color="808080" w:themeColor="background1" w:themeShade="80"/>
              <w:bottom w:val="single" w:sz="6" w:space="0" w:color="808080" w:themeColor="background1" w:themeShade="80"/>
            </w:tcBorders>
            <w:shd w:val="clear" w:color="auto" w:fill="auto"/>
            <w:noWrap/>
          </w:tcPr>
          <w:p w14:paraId="4FCF8DC6" w14:textId="77777777" w:rsidR="006E5792" w:rsidRPr="0023643C" w:rsidRDefault="006E5792" w:rsidP="00BA30F7">
            <w:pPr>
              <w:pStyle w:val="TableText"/>
              <w:spacing w:before="20" w:after="20"/>
              <w:ind w:left="446"/>
            </w:pPr>
            <w:r w:rsidRPr="0023643C">
              <w:t>65+</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87EB94C" w14:textId="77777777" w:rsidR="006E5792" w:rsidRPr="0023643C" w:rsidRDefault="006E5792" w:rsidP="00BA30F7">
            <w:pPr>
              <w:pStyle w:val="TableTextDec"/>
              <w:tabs>
                <w:tab w:val="clear" w:pos="1015"/>
                <w:tab w:val="decimal" w:pos="341"/>
              </w:tabs>
              <w:spacing w:before="20" w:after="20"/>
            </w:pPr>
            <w:r w:rsidRPr="0023643C">
              <w:t>6.8%</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09786AD" w14:textId="77777777" w:rsidR="006E5792" w:rsidRPr="0023643C" w:rsidRDefault="006E5792" w:rsidP="00BA30F7">
            <w:pPr>
              <w:pStyle w:val="TableTextDec"/>
              <w:tabs>
                <w:tab w:val="clear" w:pos="1015"/>
                <w:tab w:val="decimal" w:pos="341"/>
              </w:tabs>
              <w:spacing w:before="20" w:after="20"/>
            </w:pPr>
            <w:r w:rsidRPr="0023643C">
              <w:t>5.6%</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30169488" w14:textId="77777777" w:rsidR="006E5792" w:rsidRPr="0023643C" w:rsidRDefault="006E5792" w:rsidP="00BA30F7">
            <w:pPr>
              <w:pStyle w:val="TableTextDec"/>
              <w:tabs>
                <w:tab w:val="clear" w:pos="1015"/>
                <w:tab w:val="decimal" w:pos="341"/>
              </w:tabs>
              <w:spacing w:before="20" w:after="20"/>
            </w:pPr>
            <w:r w:rsidRPr="0023643C">
              <w:t>3.8%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6D4CFEA5" w14:textId="77777777" w:rsidR="006E5792" w:rsidRPr="0023643C" w:rsidRDefault="006E5792" w:rsidP="00BA30F7">
            <w:pPr>
              <w:pStyle w:val="TableTextDec"/>
              <w:tabs>
                <w:tab w:val="clear" w:pos="1015"/>
                <w:tab w:val="decimal" w:pos="341"/>
              </w:tabs>
              <w:spacing w:before="20" w:after="20"/>
            </w:pPr>
            <w:r w:rsidRPr="0023643C">
              <w:t>6.8%</w:t>
            </w:r>
          </w:p>
        </w:tc>
        <w:tc>
          <w:tcPr>
            <w:tcW w:w="845" w:type="dxa"/>
            <w:tcBorders>
              <w:top w:val="single" w:sz="6" w:space="0" w:color="808080" w:themeColor="background1" w:themeShade="80"/>
              <w:bottom w:val="single" w:sz="6" w:space="0" w:color="808080" w:themeColor="background1" w:themeShade="80"/>
            </w:tcBorders>
            <w:shd w:val="clear" w:color="auto" w:fill="auto"/>
            <w:noWrap/>
          </w:tcPr>
          <w:p w14:paraId="3DD1E698" w14:textId="77777777" w:rsidR="006E5792" w:rsidRPr="0023643C" w:rsidRDefault="006E5792" w:rsidP="00BA30F7">
            <w:pPr>
              <w:pStyle w:val="TableTextDec"/>
              <w:tabs>
                <w:tab w:val="clear" w:pos="1015"/>
                <w:tab w:val="decimal" w:pos="341"/>
              </w:tabs>
              <w:spacing w:before="20" w:after="20"/>
            </w:pPr>
            <w:r w:rsidRPr="0023643C">
              <w:t>5.6%</w:t>
            </w:r>
          </w:p>
        </w:tc>
        <w:tc>
          <w:tcPr>
            <w:tcW w:w="854" w:type="dxa"/>
            <w:tcBorders>
              <w:top w:val="single" w:sz="6" w:space="0" w:color="808080" w:themeColor="background1" w:themeShade="80"/>
              <w:bottom w:val="single" w:sz="6" w:space="0" w:color="808080" w:themeColor="background1" w:themeShade="80"/>
            </w:tcBorders>
            <w:shd w:val="clear" w:color="auto" w:fill="auto"/>
            <w:noWrap/>
          </w:tcPr>
          <w:p w14:paraId="3888295D" w14:textId="77777777" w:rsidR="006E5792" w:rsidRPr="0023643C" w:rsidRDefault="006E5792" w:rsidP="00BA30F7">
            <w:pPr>
              <w:pStyle w:val="TableTextDec"/>
              <w:tabs>
                <w:tab w:val="clear" w:pos="1015"/>
                <w:tab w:val="decimal" w:pos="341"/>
              </w:tabs>
              <w:spacing w:before="20" w:after="20"/>
            </w:pPr>
            <w:r w:rsidRPr="0023643C">
              <w:t>3.8%</w:t>
            </w:r>
          </w:p>
        </w:tc>
        <w:tc>
          <w:tcPr>
            <w:tcW w:w="2354" w:type="dxa"/>
            <w:vMerge/>
            <w:tcBorders>
              <w:bottom w:val="single" w:sz="6" w:space="0" w:color="808080" w:themeColor="background1" w:themeShade="80"/>
            </w:tcBorders>
            <w:shd w:val="clear" w:color="auto" w:fill="auto"/>
            <w:noWrap/>
          </w:tcPr>
          <w:p w14:paraId="5AA7ADF3" w14:textId="77777777" w:rsidR="006E5792" w:rsidRPr="00C00335" w:rsidRDefault="006E5792" w:rsidP="00BA30F7">
            <w:pPr>
              <w:pStyle w:val="TableText"/>
              <w:spacing w:before="20" w:after="20"/>
            </w:pPr>
          </w:p>
        </w:tc>
      </w:tr>
      <w:tr w:rsidR="00D81E67" w:rsidRPr="0023643C" w14:paraId="7A80B87B"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75BDCBD7" w14:textId="45D4FA97" w:rsidR="00D81E67" w:rsidRPr="0023643C" w:rsidRDefault="00D81E67" w:rsidP="00D81E67">
            <w:pPr>
              <w:pStyle w:val="TableText"/>
              <w:spacing w:before="20" w:after="20"/>
              <w:ind w:left="274"/>
            </w:pPr>
            <w:r w:rsidRPr="0023643C">
              <w:t>MSM</w:t>
            </w:r>
          </w:p>
        </w:tc>
        <w:tc>
          <w:tcPr>
            <w:tcW w:w="2534" w:type="dxa"/>
            <w:gridSpan w:val="6"/>
            <w:tcBorders>
              <w:top w:val="single" w:sz="6" w:space="0" w:color="808080" w:themeColor="background1" w:themeShade="80"/>
              <w:bottom w:val="single" w:sz="6" w:space="0" w:color="808080" w:themeColor="background1" w:themeShade="80"/>
            </w:tcBorders>
            <w:shd w:val="clear" w:color="auto" w:fill="auto"/>
            <w:noWrap/>
          </w:tcPr>
          <w:p w14:paraId="0D41EDDF" w14:textId="77777777" w:rsidR="00D81E67" w:rsidRPr="0023643C" w:rsidRDefault="00D81E67" w:rsidP="00D81E67">
            <w:pPr>
              <w:pStyle w:val="TableText"/>
              <w:spacing w:before="20" w:after="20"/>
            </w:pPr>
          </w:p>
        </w:tc>
        <w:tc>
          <w:tcPr>
            <w:tcW w:w="2554" w:type="dxa"/>
            <w:gridSpan w:val="4"/>
            <w:tcBorders>
              <w:top w:val="single" w:sz="6" w:space="0" w:color="808080" w:themeColor="background1" w:themeShade="80"/>
              <w:bottom w:val="single" w:sz="6" w:space="0" w:color="808080" w:themeColor="background1" w:themeShade="80"/>
            </w:tcBorders>
            <w:shd w:val="clear" w:color="auto" w:fill="auto"/>
            <w:noWrap/>
          </w:tcPr>
          <w:p w14:paraId="354F33BE" w14:textId="77777777" w:rsidR="00D81E67" w:rsidRPr="0023643C" w:rsidRDefault="00D81E67" w:rsidP="00D81E67">
            <w:pPr>
              <w:pStyle w:val="TableText"/>
              <w:spacing w:before="20" w:after="20"/>
            </w:pP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3A80CE8D" w14:textId="77777777" w:rsidR="00D81E67" w:rsidRPr="0023643C" w:rsidRDefault="00D81E67" w:rsidP="00D81E67">
            <w:pPr>
              <w:pStyle w:val="TableText"/>
              <w:spacing w:before="20" w:after="20"/>
            </w:pPr>
          </w:p>
        </w:tc>
      </w:tr>
      <w:tr w:rsidR="00501A1D" w:rsidRPr="0023643C" w14:paraId="61641084"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2C5B384C" w14:textId="6B0C60E9" w:rsidR="00501A1D" w:rsidRPr="0023643C" w:rsidRDefault="00501A1D" w:rsidP="00501A1D">
            <w:pPr>
              <w:pStyle w:val="TableText"/>
              <w:spacing w:before="20" w:after="20"/>
              <w:ind w:left="446"/>
            </w:pPr>
            <w:r w:rsidRPr="0023643C">
              <w:t>13–17</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428B9526" w14:textId="105112A6"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7FE5AEF7" w14:textId="22975EB6"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2976239B" w14:textId="75677EA9" w:rsidR="00501A1D" w:rsidRPr="0023643C" w:rsidRDefault="00501A1D" w:rsidP="00501A1D">
            <w:pPr>
              <w:pStyle w:val="TableText"/>
              <w:spacing w:before="20" w:after="20"/>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3440BE1C" w14:textId="4CCD7F43" w:rsidR="00501A1D" w:rsidRPr="0023643C" w:rsidRDefault="00501A1D" w:rsidP="00501A1D">
            <w:pPr>
              <w:pStyle w:val="TableText"/>
              <w:spacing w:before="20" w:after="20"/>
            </w:pPr>
            <w:r w:rsidRPr="0023643C">
              <w:t>96.2%</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32CA18FB" w14:textId="45294622" w:rsidR="00501A1D" w:rsidRPr="0023643C" w:rsidRDefault="00501A1D" w:rsidP="00501A1D">
            <w:pPr>
              <w:pStyle w:val="TableText"/>
              <w:spacing w:before="20" w:after="20"/>
            </w:pPr>
            <w:r w:rsidRPr="0023643C">
              <w:t>79.1%</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0E2D22BD" w14:textId="235D209B" w:rsidR="00501A1D" w:rsidRPr="0023643C" w:rsidRDefault="00501A1D" w:rsidP="00501A1D">
            <w:pPr>
              <w:pStyle w:val="TableText"/>
              <w:spacing w:before="20" w:after="20"/>
            </w:pPr>
            <w:r w:rsidRPr="0023643C">
              <w:t>53.3%</w:t>
            </w:r>
          </w:p>
        </w:tc>
        <w:tc>
          <w:tcPr>
            <w:tcW w:w="2354" w:type="dxa"/>
            <w:vMerge w:val="restart"/>
            <w:tcBorders>
              <w:top w:val="single" w:sz="6" w:space="0" w:color="808080" w:themeColor="background1" w:themeShade="80"/>
            </w:tcBorders>
            <w:shd w:val="clear" w:color="auto" w:fill="auto"/>
            <w:noWrap/>
          </w:tcPr>
          <w:p w14:paraId="749A600F" w14:textId="4C66BFB1" w:rsidR="00501A1D" w:rsidRPr="0023643C" w:rsidRDefault="00501A1D" w:rsidP="00501A1D">
            <w:pPr>
              <w:pStyle w:val="TableText"/>
              <w:spacing w:before="20" w:after="20"/>
            </w:pPr>
            <w:r w:rsidRPr="0023643C">
              <w:t>Reece et al. (2010b); assumed to be same as male HETs</w:t>
            </w:r>
          </w:p>
        </w:tc>
      </w:tr>
      <w:tr w:rsidR="00501A1D" w:rsidRPr="0023643C" w14:paraId="04E69BF0"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270D1C43" w14:textId="54EEAE26" w:rsidR="00501A1D" w:rsidRPr="0023643C" w:rsidRDefault="00501A1D" w:rsidP="00501A1D">
            <w:pPr>
              <w:pStyle w:val="TableText"/>
              <w:spacing w:before="20" w:after="20"/>
              <w:ind w:left="446"/>
            </w:pPr>
            <w:r w:rsidRPr="0023643C">
              <w:t>18–24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3D01FE0C" w14:textId="3F006778"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107BE5AF" w14:textId="25AF4F79"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7C271D72" w14:textId="7F372CDD" w:rsidR="00501A1D" w:rsidRPr="0023643C" w:rsidRDefault="00501A1D" w:rsidP="00501A1D">
            <w:pPr>
              <w:pStyle w:val="TableText"/>
              <w:spacing w:before="20" w:after="20"/>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03A1AB6F" w14:textId="0297F9FF" w:rsidR="00501A1D" w:rsidRPr="0023643C" w:rsidRDefault="00501A1D" w:rsidP="00501A1D">
            <w:pPr>
              <w:pStyle w:val="TableText"/>
              <w:spacing w:before="20" w:after="20"/>
            </w:pPr>
            <w:r w:rsidRPr="0023643C">
              <w:t>54.6%</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6C3A6F1A" w14:textId="5B747060" w:rsidR="00501A1D" w:rsidRPr="0023643C" w:rsidRDefault="00501A1D" w:rsidP="00501A1D">
            <w:pPr>
              <w:pStyle w:val="TableText"/>
              <w:spacing w:before="20" w:after="20"/>
            </w:pPr>
            <w:r w:rsidRPr="0023643C">
              <w:t>44.9%</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18C537FA" w14:textId="46B8B220" w:rsidR="00501A1D" w:rsidRPr="0023643C" w:rsidRDefault="00501A1D" w:rsidP="00501A1D">
            <w:pPr>
              <w:pStyle w:val="TableText"/>
              <w:spacing w:before="20" w:after="20"/>
            </w:pPr>
            <w:r w:rsidRPr="0023643C">
              <w:t>30.2%</w:t>
            </w:r>
          </w:p>
        </w:tc>
        <w:tc>
          <w:tcPr>
            <w:tcW w:w="2354" w:type="dxa"/>
            <w:vMerge/>
            <w:shd w:val="clear" w:color="auto" w:fill="auto"/>
            <w:noWrap/>
          </w:tcPr>
          <w:p w14:paraId="61012B4A" w14:textId="77777777" w:rsidR="00501A1D" w:rsidRPr="0023643C" w:rsidRDefault="00501A1D" w:rsidP="00501A1D">
            <w:pPr>
              <w:pStyle w:val="TableText"/>
              <w:spacing w:before="20" w:after="20"/>
            </w:pPr>
          </w:p>
        </w:tc>
      </w:tr>
      <w:tr w:rsidR="00501A1D" w:rsidRPr="0023643C" w14:paraId="241AEB29"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7E3902FA" w14:textId="639BCA09" w:rsidR="00501A1D" w:rsidRPr="0023643C" w:rsidRDefault="00501A1D" w:rsidP="00501A1D">
            <w:pPr>
              <w:pStyle w:val="TableText"/>
              <w:spacing w:before="20" w:after="20"/>
              <w:ind w:left="446"/>
            </w:pPr>
            <w:r w:rsidRPr="0023643C">
              <w:t>25–34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6C342495" w14:textId="41CC45A4"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276C5A65" w14:textId="7AAF469A"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02D4AEAF" w14:textId="449A52C3" w:rsidR="00501A1D" w:rsidRPr="0023643C" w:rsidRDefault="00501A1D" w:rsidP="00501A1D">
            <w:pPr>
              <w:pStyle w:val="TableText"/>
              <w:spacing w:before="20" w:after="20"/>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343E28D2" w14:textId="1B5E5826" w:rsidR="00501A1D" w:rsidRPr="0023643C" w:rsidRDefault="00501A1D" w:rsidP="00501A1D">
            <w:pPr>
              <w:pStyle w:val="TableText"/>
              <w:spacing w:before="20" w:after="20"/>
            </w:pPr>
            <w:r w:rsidRPr="0023643C">
              <w:t>33.1%</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4FB0D170" w14:textId="1D07ED8A" w:rsidR="00501A1D" w:rsidRPr="0023643C" w:rsidRDefault="00501A1D" w:rsidP="00501A1D">
            <w:pPr>
              <w:pStyle w:val="TableText"/>
              <w:spacing w:before="20" w:after="20"/>
            </w:pPr>
            <w:r w:rsidRPr="0023643C">
              <w:t>27.2%</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4D5F9BAA" w14:textId="36964AF8" w:rsidR="00501A1D" w:rsidRPr="0023643C" w:rsidRDefault="00501A1D" w:rsidP="00501A1D">
            <w:pPr>
              <w:pStyle w:val="TableText"/>
              <w:spacing w:before="20" w:after="20"/>
            </w:pPr>
            <w:r w:rsidRPr="0023643C">
              <w:t>18.3%</w:t>
            </w:r>
          </w:p>
        </w:tc>
        <w:tc>
          <w:tcPr>
            <w:tcW w:w="2354" w:type="dxa"/>
            <w:vMerge/>
            <w:shd w:val="clear" w:color="auto" w:fill="auto"/>
            <w:noWrap/>
          </w:tcPr>
          <w:p w14:paraId="67E3AAC3" w14:textId="77777777" w:rsidR="00501A1D" w:rsidRPr="0023643C" w:rsidRDefault="00501A1D" w:rsidP="00501A1D">
            <w:pPr>
              <w:pStyle w:val="TableText"/>
              <w:spacing w:before="20" w:after="20"/>
            </w:pPr>
          </w:p>
        </w:tc>
      </w:tr>
      <w:tr w:rsidR="00501A1D" w:rsidRPr="0023643C" w14:paraId="2143E220"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6E4C0B31" w14:textId="6AA29A20" w:rsidR="00501A1D" w:rsidRPr="0023643C" w:rsidRDefault="00501A1D" w:rsidP="00501A1D">
            <w:pPr>
              <w:pStyle w:val="TableText"/>
              <w:spacing w:before="20" w:after="20"/>
              <w:ind w:left="446"/>
            </w:pPr>
            <w:r w:rsidRPr="0023643C">
              <w:t>35–44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7656410C" w14:textId="30967EFB"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660A5913" w14:textId="3B8134C5"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36082783" w14:textId="28BEDD7E" w:rsidR="00501A1D" w:rsidRPr="0023643C" w:rsidRDefault="00501A1D" w:rsidP="00501A1D">
            <w:pPr>
              <w:pStyle w:val="TableText"/>
              <w:spacing w:before="20" w:after="20"/>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71E09EDC" w14:textId="0D68593D" w:rsidR="00501A1D" w:rsidRPr="0023643C" w:rsidRDefault="00501A1D" w:rsidP="00501A1D">
            <w:pPr>
              <w:pStyle w:val="TableText"/>
              <w:spacing w:before="20" w:after="20"/>
            </w:pPr>
            <w:r w:rsidRPr="0023643C">
              <w:t>28.5%</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513B48B2" w14:textId="543098BB" w:rsidR="00501A1D" w:rsidRPr="0023643C" w:rsidRDefault="00501A1D" w:rsidP="00501A1D">
            <w:pPr>
              <w:pStyle w:val="TableText"/>
              <w:spacing w:before="20" w:after="20"/>
            </w:pPr>
            <w:r w:rsidRPr="0023643C">
              <w:t>23.5%</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6A60A85B" w14:textId="3EC6E1AA" w:rsidR="00501A1D" w:rsidRPr="0023643C" w:rsidRDefault="00501A1D" w:rsidP="00501A1D">
            <w:pPr>
              <w:pStyle w:val="TableText"/>
              <w:spacing w:before="20" w:after="20"/>
            </w:pPr>
            <w:r w:rsidRPr="0023643C">
              <w:t>15.8%</w:t>
            </w:r>
          </w:p>
        </w:tc>
        <w:tc>
          <w:tcPr>
            <w:tcW w:w="2354" w:type="dxa"/>
            <w:vMerge/>
            <w:shd w:val="clear" w:color="auto" w:fill="auto"/>
            <w:noWrap/>
          </w:tcPr>
          <w:p w14:paraId="1927A724" w14:textId="77777777" w:rsidR="00501A1D" w:rsidRPr="0023643C" w:rsidRDefault="00501A1D" w:rsidP="00501A1D">
            <w:pPr>
              <w:pStyle w:val="TableText"/>
              <w:spacing w:before="20" w:after="20"/>
            </w:pPr>
          </w:p>
        </w:tc>
      </w:tr>
      <w:tr w:rsidR="00501A1D" w:rsidRPr="0023643C" w14:paraId="19A90C56"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07CA64A3" w14:textId="7AFFBC2D" w:rsidR="00501A1D" w:rsidRPr="0023643C" w:rsidRDefault="00501A1D" w:rsidP="00501A1D">
            <w:pPr>
              <w:pStyle w:val="TableText"/>
              <w:spacing w:before="20" w:after="20"/>
              <w:ind w:left="446"/>
            </w:pPr>
            <w:r w:rsidRPr="0023643C">
              <w:t>45–54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7A836960" w14:textId="741E9BF7"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1E6E6F81" w14:textId="505602D0"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0DB8636F" w14:textId="17911949" w:rsidR="00501A1D" w:rsidRPr="0023643C" w:rsidRDefault="00501A1D" w:rsidP="00501A1D">
            <w:pPr>
              <w:pStyle w:val="TableText"/>
              <w:spacing w:before="20" w:after="20"/>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75CB5C4F" w14:textId="773442D0" w:rsidR="00501A1D" w:rsidRPr="0023643C" w:rsidRDefault="00501A1D" w:rsidP="00501A1D">
            <w:pPr>
              <w:pStyle w:val="TableText"/>
              <w:spacing w:before="20" w:after="20"/>
            </w:pPr>
            <w:r w:rsidRPr="0023643C">
              <w:t>18.5%</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15A12B61" w14:textId="6760105A" w:rsidR="00501A1D" w:rsidRPr="0023643C" w:rsidRDefault="00501A1D" w:rsidP="00501A1D">
            <w:pPr>
              <w:pStyle w:val="TableText"/>
              <w:spacing w:before="20" w:after="20"/>
            </w:pPr>
            <w:r w:rsidRPr="0023643C">
              <w:t>15.2%</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6309D245" w14:textId="6ECBFADD" w:rsidR="00501A1D" w:rsidRPr="0023643C" w:rsidRDefault="00501A1D" w:rsidP="00501A1D">
            <w:pPr>
              <w:pStyle w:val="TableText"/>
              <w:spacing w:before="20" w:after="20"/>
            </w:pPr>
            <w:r w:rsidRPr="0023643C">
              <w:t>10.2%</w:t>
            </w:r>
          </w:p>
        </w:tc>
        <w:tc>
          <w:tcPr>
            <w:tcW w:w="2354" w:type="dxa"/>
            <w:vMerge/>
            <w:shd w:val="clear" w:color="auto" w:fill="auto"/>
            <w:noWrap/>
          </w:tcPr>
          <w:p w14:paraId="0AD49D73" w14:textId="77777777" w:rsidR="00501A1D" w:rsidRPr="0023643C" w:rsidRDefault="00501A1D" w:rsidP="00501A1D">
            <w:pPr>
              <w:pStyle w:val="TableText"/>
              <w:spacing w:before="20" w:after="20"/>
            </w:pPr>
          </w:p>
        </w:tc>
      </w:tr>
      <w:tr w:rsidR="00501A1D" w:rsidRPr="0023643C" w14:paraId="5B97C8C9"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472FD00C" w14:textId="3FE30288" w:rsidR="00501A1D" w:rsidRPr="0023643C" w:rsidRDefault="00501A1D" w:rsidP="00501A1D">
            <w:pPr>
              <w:pStyle w:val="TableText"/>
              <w:spacing w:before="20" w:after="20"/>
              <w:ind w:left="446"/>
            </w:pPr>
            <w:r w:rsidRPr="0023643C">
              <w:t>55–64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104D35AE" w14:textId="3ED823BA"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7D110C1B" w14:textId="0C554D65"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120A54FB" w14:textId="33C33F67" w:rsidR="00501A1D" w:rsidRPr="0023643C" w:rsidRDefault="00501A1D" w:rsidP="00501A1D">
            <w:pPr>
              <w:pStyle w:val="TableText"/>
              <w:spacing w:before="20" w:after="20"/>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316AEDB0" w14:textId="2AF4149C" w:rsidR="00501A1D" w:rsidRPr="0023643C" w:rsidRDefault="00501A1D" w:rsidP="00501A1D">
            <w:pPr>
              <w:pStyle w:val="TableText"/>
              <w:spacing w:before="20" w:after="20"/>
            </w:pPr>
            <w:r w:rsidRPr="0023643C">
              <w:t>9.5%</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6E2D3DDE" w14:textId="6B604567" w:rsidR="00501A1D" w:rsidRPr="0023643C" w:rsidRDefault="00501A1D" w:rsidP="00501A1D">
            <w:pPr>
              <w:pStyle w:val="TableText"/>
              <w:spacing w:before="20" w:after="20"/>
            </w:pPr>
            <w:r w:rsidRPr="0023643C">
              <w:t>7.9%</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58AB720C" w14:textId="2263F4C3" w:rsidR="00501A1D" w:rsidRPr="0023643C" w:rsidRDefault="00501A1D" w:rsidP="00501A1D">
            <w:pPr>
              <w:pStyle w:val="TableText"/>
              <w:spacing w:before="20" w:after="20"/>
            </w:pPr>
            <w:r w:rsidRPr="0023643C">
              <w:t>5.3%</w:t>
            </w:r>
          </w:p>
        </w:tc>
        <w:tc>
          <w:tcPr>
            <w:tcW w:w="2354" w:type="dxa"/>
            <w:vMerge/>
            <w:shd w:val="clear" w:color="auto" w:fill="auto"/>
            <w:noWrap/>
          </w:tcPr>
          <w:p w14:paraId="44430EB3" w14:textId="77777777" w:rsidR="00501A1D" w:rsidRPr="0023643C" w:rsidRDefault="00501A1D" w:rsidP="00501A1D">
            <w:pPr>
              <w:pStyle w:val="TableText"/>
              <w:spacing w:before="20" w:after="20"/>
            </w:pPr>
          </w:p>
        </w:tc>
      </w:tr>
      <w:tr w:rsidR="00501A1D" w:rsidRPr="0023643C" w14:paraId="21539F56"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79C6EA09" w14:textId="488779E8" w:rsidR="00501A1D" w:rsidRPr="0023643C" w:rsidRDefault="00501A1D" w:rsidP="004B71BF">
            <w:pPr>
              <w:pStyle w:val="TableText"/>
              <w:spacing w:before="20" w:after="20"/>
              <w:ind w:left="446"/>
            </w:pPr>
            <w:r w:rsidRPr="0023643C">
              <w:t>65+</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1945561C" w14:textId="71DD5354"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140532F0" w14:textId="763B9640" w:rsidR="00501A1D" w:rsidRPr="0023643C" w:rsidRDefault="00501A1D" w:rsidP="00501A1D">
            <w:pPr>
              <w:pStyle w:val="TableText"/>
              <w:spacing w:before="20" w:after="20"/>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tcPr>
          <w:p w14:paraId="5F0D52C7" w14:textId="0844007A" w:rsidR="00501A1D" w:rsidRPr="0023643C" w:rsidRDefault="00501A1D" w:rsidP="00501A1D">
            <w:pPr>
              <w:pStyle w:val="TableText"/>
              <w:spacing w:before="20" w:after="20"/>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2F1182F8" w14:textId="70C75FA3" w:rsidR="00501A1D" w:rsidRPr="0023643C" w:rsidRDefault="00501A1D" w:rsidP="00501A1D">
            <w:pPr>
              <w:pStyle w:val="TableText"/>
              <w:spacing w:before="20" w:after="20"/>
            </w:pPr>
            <w:r w:rsidRPr="0023643C">
              <w:t>6.8%</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4DDA2056" w14:textId="67537228" w:rsidR="00501A1D" w:rsidRPr="0023643C" w:rsidRDefault="00501A1D" w:rsidP="00501A1D">
            <w:pPr>
              <w:pStyle w:val="TableText"/>
              <w:spacing w:before="20" w:after="20"/>
            </w:pPr>
            <w:r w:rsidRPr="0023643C">
              <w:t>5.6%</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1D2D91B5" w14:textId="6FB195B5" w:rsidR="00501A1D" w:rsidRPr="0023643C" w:rsidRDefault="00501A1D" w:rsidP="00501A1D">
            <w:pPr>
              <w:pStyle w:val="TableText"/>
              <w:spacing w:before="20" w:after="20"/>
            </w:pPr>
            <w:r w:rsidRPr="0023643C">
              <w:t>3.8%</w:t>
            </w:r>
          </w:p>
        </w:tc>
        <w:tc>
          <w:tcPr>
            <w:tcW w:w="2354" w:type="dxa"/>
            <w:vMerge/>
            <w:tcBorders>
              <w:bottom w:val="single" w:sz="6" w:space="0" w:color="808080" w:themeColor="background1" w:themeShade="80"/>
            </w:tcBorders>
            <w:shd w:val="clear" w:color="auto" w:fill="auto"/>
            <w:noWrap/>
          </w:tcPr>
          <w:p w14:paraId="783B986E" w14:textId="77777777" w:rsidR="00501A1D" w:rsidRPr="0023643C" w:rsidRDefault="00501A1D" w:rsidP="00501A1D">
            <w:pPr>
              <w:pStyle w:val="TableText"/>
              <w:spacing w:before="20" w:after="20"/>
            </w:pPr>
          </w:p>
        </w:tc>
      </w:tr>
      <w:tr w:rsidR="00D81E67" w:rsidRPr="0023643C" w14:paraId="02668465" w14:textId="77777777" w:rsidTr="006E5792">
        <w:trPr>
          <w:cantSplit/>
        </w:trPr>
        <w:tc>
          <w:tcPr>
            <w:tcW w:w="7073" w:type="dxa"/>
            <w:gridSpan w:val="11"/>
            <w:tcBorders>
              <w:top w:val="single" w:sz="6" w:space="0" w:color="808080" w:themeColor="background1" w:themeShade="80"/>
              <w:bottom w:val="single" w:sz="6" w:space="0" w:color="808080" w:themeColor="background1" w:themeShade="80"/>
            </w:tcBorders>
            <w:shd w:val="clear" w:color="auto" w:fill="auto"/>
            <w:noWrap/>
          </w:tcPr>
          <w:p w14:paraId="613E182F" w14:textId="6CADA2E6" w:rsidR="00D81E67" w:rsidRPr="0023643C" w:rsidRDefault="00D81E67" w:rsidP="00D81E67">
            <w:pPr>
              <w:pStyle w:val="TableText"/>
              <w:spacing w:before="20" w:after="20"/>
            </w:pPr>
            <w:r w:rsidRPr="0023643C">
              <w:t xml:space="preserve">Percentage of uninfected individuals’ anal sex acts with infected partners are protected with a condom when partners are undiagnosed </w:t>
            </w: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2632B56B" w14:textId="77777777" w:rsidR="00D81E67" w:rsidRPr="0023643C" w:rsidRDefault="00D81E67" w:rsidP="00D81E67">
            <w:pPr>
              <w:pStyle w:val="TableText"/>
              <w:spacing w:before="20" w:after="20"/>
            </w:pPr>
          </w:p>
        </w:tc>
      </w:tr>
      <w:tr w:rsidR="00D81E67" w:rsidRPr="0023643C" w14:paraId="62CB61E0"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31D1522F" w14:textId="77777777" w:rsidR="00D81E67" w:rsidRPr="0023643C" w:rsidRDefault="00D81E67" w:rsidP="004B71BF">
            <w:pPr>
              <w:pStyle w:val="TableText"/>
              <w:spacing w:before="20" w:after="20"/>
              <w:ind w:left="274"/>
            </w:pPr>
            <w:r w:rsidRPr="0023643C">
              <w:t>With male partners</w:t>
            </w:r>
          </w:p>
        </w:tc>
        <w:tc>
          <w:tcPr>
            <w:tcW w:w="2534" w:type="dxa"/>
            <w:gridSpan w:val="6"/>
            <w:tcBorders>
              <w:top w:val="single" w:sz="6" w:space="0" w:color="808080" w:themeColor="background1" w:themeShade="80"/>
              <w:bottom w:val="single" w:sz="6" w:space="0" w:color="808080" w:themeColor="background1" w:themeShade="80"/>
            </w:tcBorders>
            <w:shd w:val="clear" w:color="auto" w:fill="auto"/>
            <w:noWrap/>
          </w:tcPr>
          <w:p w14:paraId="464AA180" w14:textId="4D6271D7" w:rsidR="00D81E67" w:rsidRPr="0023643C" w:rsidRDefault="00D81E67" w:rsidP="00D81E67">
            <w:pPr>
              <w:pStyle w:val="TableText"/>
              <w:spacing w:before="20" w:after="20"/>
            </w:pPr>
          </w:p>
        </w:tc>
        <w:tc>
          <w:tcPr>
            <w:tcW w:w="2554" w:type="dxa"/>
            <w:gridSpan w:val="4"/>
            <w:tcBorders>
              <w:top w:val="single" w:sz="6" w:space="0" w:color="808080" w:themeColor="background1" w:themeShade="80"/>
              <w:bottom w:val="single" w:sz="6" w:space="0" w:color="808080" w:themeColor="background1" w:themeShade="80"/>
            </w:tcBorders>
            <w:shd w:val="clear" w:color="auto" w:fill="auto"/>
            <w:noWrap/>
          </w:tcPr>
          <w:p w14:paraId="38228FD4" w14:textId="7B3578A6" w:rsidR="00D81E67" w:rsidRPr="0023643C" w:rsidRDefault="00D81E67" w:rsidP="00D81E67">
            <w:pPr>
              <w:pStyle w:val="TableText"/>
              <w:spacing w:before="20" w:after="20"/>
            </w:pP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20F49A2D" w14:textId="5C105FBB" w:rsidR="00D81E67" w:rsidRPr="0023643C" w:rsidRDefault="00D81E67" w:rsidP="00D81E67">
            <w:pPr>
              <w:pStyle w:val="TableText"/>
              <w:spacing w:before="20" w:after="20"/>
            </w:pPr>
          </w:p>
        </w:tc>
      </w:tr>
      <w:tr w:rsidR="00FB5A2F" w:rsidRPr="0023643C" w14:paraId="0D98F327"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12F16D07" w14:textId="02E502BD" w:rsidR="00FB5A2F" w:rsidRPr="0023643C" w:rsidRDefault="00FB5A2F" w:rsidP="00FB5A2F">
            <w:pPr>
              <w:pStyle w:val="TableText"/>
              <w:spacing w:before="20" w:after="20"/>
              <w:ind w:left="446"/>
            </w:pPr>
            <w:r w:rsidRPr="0023643C">
              <w:t>13–17</w:t>
            </w:r>
          </w:p>
        </w:tc>
        <w:tc>
          <w:tcPr>
            <w:tcW w:w="2534" w:type="dxa"/>
            <w:gridSpan w:val="6"/>
            <w:vMerge w:val="restart"/>
            <w:tcBorders>
              <w:top w:val="single" w:sz="6" w:space="0" w:color="808080" w:themeColor="background1" w:themeShade="80"/>
            </w:tcBorders>
            <w:shd w:val="clear" w:color="auto" w:fill="auto"/>
            <w:noWrap/>
            <w:vAlign w:val="center"/>
          </w:tcPr>
          <w:p w14:paraId="5FFF3A0D" w14:textId="6B326AE6" w:rsidR="00FB5A2F" w:rsidRPr="0023643C" w:rsidRDefault="00FB5A2F" w:rsidP="00FB5A2F">
            <w:pPr>
              <w:pStyle w:val="TableText"/>
              <w:spacing w:before="20" w:after="20"/>
              <w:jc w:val="center"/>
            </w:pPr>
            <w:r w:rsidRPr="0023643C">
              <w:t>--------13.2%------------</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1847DD96" w14:textId="251CA15C" w:rsidR="00FB5A2F" w:rsidRPr="0023643C" w:rsidRDefault="00FB5A2F" w:rsidP="00FB5A2F">
            <w:pPr>
              <w:pStyle w:val="TableText"/>
              <w:spacing w:before="20" w:after="20"/>
            </w:pPr>
            <w:r w:rsidRPr="00D07641">
              <w:t>56.1%</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180C8090" w14:textId="49AD05C9" w:rsidR="00FB5A2F" w:rsidRPr="0023643C" w:rsidRDefault="00FB5A2F" w:rsidP="00FB5A2F">
            <w:pPr>
              <w:pStyle w:val="TableText"/>
              <w:spacing w:before="20" w:after="20"/>
            </w:pPr>
            <w:r w:rsidRPr="00D07641">
              <w:t>56.1%</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5D62F0EB" w14:textId="2955036B" w:rsidR="00FB5A2F" w:rsidRPr="0023643C" w:rsidRDefault="00FB5A2F" w:rsidP="00FB5A2F">
            <w:pPr>
              <w:pStyle w:val="TableText"/>
              <w:spacing w:before="20" w:after="20"/>
            </w:pPr>
            <w:r w:rsidRPr="00D07641">
              <w:t>56.1%</w:t>
            </w:r>
          </w:p>
        </w:tc>
        <w:tc>
          <w:tcPr>
            <w:tcW w:w="2354" w:type="dxa"/>
            <w:vMerge w:val="restart"/>
            <w:tcBorders>
              <w:top w:val="single" w:sz="6" w:space="0" w:color="808080" w:themeColor="background1" w:themeShade="80"/>
            </w:tcBorders>
            <w:shd w:val="clear" w:color="auto" w:fill="auto"/>
            <w:noWrap/>
          </w:tcPr>
          <w:p w14:paraId="29AFFF99" w14:textId="77777777" w:rsidR="00FB5A2F" w:rsidRPr="0023643C" w:rsidRDefault="00FB5A2F" w:rsidP="00FB5A2F">
            <w:pPr>
              <w:pStyle w:val="TableText"/>
              <w:spacing w:before="20" w:after="20"/>
            </w:pPr>
            <w:r w:rsidRPr="0023643C">
              <w:t xml:space="preserve">Female-male partnerships: from Reece et al. (2010b). </w:t>
            </w:r>
          </w:p>
          <w:p w14:paraId="37C14C4D" w14:textId="63C083F4" w:rsidR="00FB5A2F" w:rsidRPr="0023643C" w:rsidRDefault="00FB5A2F" w:rsidP="00FB5A2F">
            <w:pPr>
              <w:pStyle w:val="TableText"/>
              <w:spacing w:before="20" w:after="20"/>
            </w:pPr>
            <w:r w:rsidRPr="0023643C">
              <w:t>Male-male partnerships: Determined by calibration</w:t>
            </w:r>
          </w:p>
        </w:tc>
      </w:tr>
      <w:tr w:rsidR="00FB5A2F" w:rsidRPr="0023643C" w14:paraId="5E682391"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65FD8D63" w14:textId="26A6AC48" w:rsidR="00FB5A2F" w:rsidRPr="0023643C" w:rsidRDefault="00FB5A2F" w:rsidP="00FB5A2F">
            <w:pPr>
              <w:pStyle w:val="TableText"/>
              <w:spacing w:before="20" w:after="20"/>
              <w:ind w:left="446"/>
            </w:pPr>
            <w:r w:rsidRPr="0023643C">
              <w:t>18–24</w:t>
            </w:r>
          </w:p>
        </w:tc>
        <w:tc>
          <w:tcPr>
            <w:tcW w:w="2534" w:type="dxa"/>
            <w:gridSpan w:val="6"/>
            <w:vMerge/>
            <w:shd w:val="clear" w:color="auto" w:fill="auto"/>
            <w:noWrap/>
          </w:tcPr>
          <w:p w14:paraId="3C4B2C9A" w14:textId="1D6B7F9B" w:rsidR="00FB5A2F" w:rsidRPr="0023643C" w:rsidRDefault="00FB5A2F" w:rsidP="00FB5A2F">
            <w:pPr>
              <w:pStyle w:val="TableText"/>
              <w:spacing w:before="20" w:after="20"/>
              <w:jc w:val="center"/>
            </w:pP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10EF8927" w14:textId="2E099C41" w:rsidR="00FB5A2F" w:rsidRPr="0023643C" w:rsidRDefault="00FB5A2F" w:rsidP="00FB5A2F">
            <w:pPr>
              <w:pStyle w:val="TableText"/>
              <w:spacing w:before="20" w:after="20"/>
            </w:pPr>
            <w:r w:rsidRPr="00D07641">
              <w:t>56.1%</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506D62B3" w14:textId="6B1351BD" w:rsidR="00FB5A2F" w:rsidRPr="0023643C" w:rsidRDefault="00FB5A2F" w:rsidP="00FB5A2F">
            <w:pPr>
              <w:pStyle w:val="TableText"/>
              <w:spacing w:before="20" w:after="20"/>
            </w:pPr>
            <w:r w:rsidRPr="00D07641">
              <w:t>56.1%</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2AFAF2C7" w14:textId="5B6EDFD5" w:rsidR="00FB5A2F" w:rsidRPr="0023643C" w:rsidRDefault="00FB5A2F" w:rsidP="00FB5A2F">
            <w:pPr>
              <w:pStyle w:val="TableText"/>
              <w:spacing w:before="20" w:after="20"/>
            </w:pPr>
            <w:r w:rsidRPr="00D07641">
              <w:t>56.1%</w:t>
            </w:r>
          </w:p>
        </w:tc>
        <w:tc>
          <w:tcPr>
            <w:tcW w:w="2354" w:type="dxa"/>
            <w:vMerge/>
            <w:shd w:val="clear" w:color="auto" w:fill="auto"/>
            <w:noWrap/>
          </w:tcPr>
          <w:p w14:paraId="7840862B" w14:textId="77777777" w:rsidR="00FB5A2F" w:rsidRPr="0023643C" w:rsidRDefault="00FB5A2F" w:rsidP="00FB5A2F">
            <w:pPr>
              <w:pStyle w:val="TableText"/>
              <w:spacing w:before="20" w:after="20"/>
            </w:pPr>
          </w:p>
        </w:tc>
      </w:tr>
      <w:tr w:rsidR="00FB5A2F" w:rsidRPr="0023643C" w14:paraId="2AC9086C"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1294BC0A" w14:textId="632C12A9" w:rsidR="00FB5A2F" w:rsidRPr="0023643C" w:rsidRDefault="00FB5A2F" w:rsidP="00FB5A2F">
            <w:pPr>
              <w:pStyle w:val="TableText"/>
              <w:spacing w:before="20" w:after="20"/>
              <w:ind w:left="446"/>
            </w:pPr>
            <w:r w:rsidRPr="0023643C">
              <w:t>25–34</w:t>
            </w:r>
          </w:p>
        </w:tc>
        <w:tc>
          <w:tcPr>
            <w:tcW w:w="2534" w:type="dxa"/>
            <w:gridSpan w:val="6"/>
            <w:vMerge/>
            <w:shd w:val="clear" w:color="auto" w:fill="auto"/>
            <w:noWrap/>
          </w:tcPr>
          <w:p w14:paraId="663FA1B6" w14:textId="13992A2D" w:rsidR="00FB5A2F" w:rsidRPr="0023643C" w:rsidRDefault="00FB5A2F" w:rsidP="00FB5A2F">
            <w:pPr>
              <w:pStyle w:val="TableText"/>
              <w:spacing w:before="20" w:after="20"/>
              <w:jc w:val="center"/>
            </w:pP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4E3DE44D" w14:textId="26CAEC8F" w:rsidR="00FB5A2F" w:rsidRPr="0023643C" w:rsidRDefault="00FB5A2F" w:rsidP="00FB5A2F">
            <w:pPr>
              <w:pStyle w:val="TableText"/>
              <w:spacing w:before="20" w:after="20"/>
            </w:pPr>
            <w:r w:rsidRPr="00D07641">
              <w:t>49.0%</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376C3E68" w14:textId="63C43011" w:rsidR="00FB5A2F" w:rsidRPr="0023643C" w:rsidRDefault="00FB5A2F" w:rsidP="00FB5A2F">
            <w:pPr>
              <w:pStyle w:val="TableText"/>
              <w:spacing w:before="20" w:after="20"/>
            </w:pPr>
            <w:r w:rsidRPr="00D07641">
              <w:t>49.0%</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322BB2C3" w14:textId="36A4B938" w:rsidR="00FB5A2F" w:rsidRPr="0023643C" w:rsidRDefault="00FB5A2F" w:rsidP="00FB5A2F">
            <w:pPr>
              <w:pStyle w:val="TableText"/>
              <w:spacing w:before="20" w:after="20"/>
            </w:pPr>
            <w:r w:rsidRPr="00D07641">
              <w:t>49.0%</w:t>
            </w:r>
          </w:p>
        </w:tc>
        <w:tc>
          <w:tcPr>
            <w:tcW w:w="2354" w:type="dxa"/>
            <w:vMerge/>
            <w:shd w:val="clear" w:color="auto" w:fill="auto"/>
            <w:noWrap/>
          </w:tcPr>
          <w:p w14:paraId="5175AF0B" w14:textId="77777777" w:rsidR="00FB5A2F" w:rsidRPr="0023643C" w:rsidRDefault="00FB5A2F" w:rsidP="00FB5A2F">
            <w:pPr>
              <w:pStyle w:val="TableText"/>
              <w:spacing w:before="20" w:after="20"/>
            </w:pPr>
          </w:p>
        </w:tc>
      </w:tr>
      <w:tr w:rsidR="00FB5A2F" w:rsidRPr="0023643C" w14:paraId="0DCCB6EC"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1FACC80A" w14:textId="2CD4B955" w:rsidR="00FB5A2F" w:rsidRPr="0023643C" w:rsidRDefault="00FB5A2F" w:rsidP="00FB5A2F">
            <w:pPr>
              <w:pStyle w:val="TableText"/>
              <w:spacing w:before="20" w:after="20"/>
              <w:ind w:left="446"/>
            </w:pPr>
            <w:r w:rsidRPr="0023643C">
              <w:t>35–44</w:t>
            </w:r>
          </w:p>
        </w:tc>
        <w:tc>
          <w:tcPr>
            <w:tcW w:w="2534" w:type="dxa"/>
            <w:gridSpan w:val="6"/>
            <w:vMerge/>
            <w:shd w:val="clear" w:color="auto" w:fill="auto"/>
            <w:noWrap/>
          </w:tcPr>
          <w:p w14:paraId="19B9FAC5" w14:textId="249DDC4C" w:rsidR="00FB5A2F" w:rsidRPr="0023643C" w:rsidRDefault="00FB5A2F" w:rsidP="00FB5A2F">
            <w:pPr>
              <w:pStyle w:val="TableText"/>
              <w:spacing w:before="20" w:after="20"/>
              <w:jc w:val="center"/>
            </w:pP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2571FAD9" w14:textId="22A1F27E" w:rsidR="00FB5A2F" w:rsidRPr="0023643C" w:rsidRDefault="00FB5A2F" w:rsidP="00FB5A2F">
            <w:pPr>
              <w:pStyle w:val="TableText"/>
              <w:spacing w:before="20" w:after="20"/>
            </w:pPr>
            <w:r w:rsidRPr="00D07641">
              <w:t>45.5%</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20B12296" w14:textId="75D77C66" w:rsidR="00FB5A2F" w:rsidRPr="0023643C" w:rsidRDefault="00FB5A2F" w:rsidP="00FB5A2F">
            <w:pPr>
              <w:pStyle w:val="TableText"/>
              <w:spacing w:before="20" w:after="20"/>
            </w:pPr>
            <w:r w:rsidRPr="00D07641">
              <w:t>45.5%</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0ED60E31" w14:textId="487F5042" w:rsidR="00FB5A2F" w:rsidRPr="0023643C" w:rsidRDefault="00FB5A2F" w:rsidP="00FB5A2F">
            <w:pPr>
              <w:pStyle w:val="TableText"/>
              <w:spacing w:before="20" w:after="20"/>
            </w:pPr>
            <w:r w:rsidRPr="00D07641">
              <w:t>45.5%</w:t>
            </w:r>
          </w:p>
        </w:tc>
        <w:tc>
          <w:tcPr>
            <w:tcW w:w="2354" w:type="dxa"/>
            <w:vMerge/>
            <w:shd w:val="clear" w:color="auto" w:fill="auto"/>
            <w:noWrap/>
          </w:tcPr>
          <w:p w14:paraId="44EB313C" w14:textId="77777777" w:rsidR="00FB5A2F" w:rsidRPr="0023643C" w:rsidRDefault="00FB5A2F" w:rsidP="00FB5A2F">
            <w:pPr>
              <w:pStyle w:val="TableText"/>
              <w:spacing w:before="20" w:after="20"/>
            </w:pPr>
          </w:p>
        </w:tc>
      </w:tr>
      <w:tr w:rsidR="00FB5A2F" w:rsidRPr="0023643C" w14:paraId="0E65A3BF"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5D1E0EED" w14:textId="77D6C6D8" w:rsidR="00FB5A2F" w:rsidRPr="0023643C" w:rsidRDefault="00FB5A2F" w:rsidP="00FB5A2F">
            <w:pPr>
              <w:pStyle w:val="TableText"/>
              <w:spacing w:before="20" w:after="20"/>
              <w:ind w:left="446"/>
            </w:pPr>
            <w:r w:rsidRPr="0023643C">
              <w:t>45–54</w:t>
            </w:r>
          </w:p>
        </w:tc>
        <w:tc>
          <w:tcPr>
            <w:tcW w:w="2534" w:type="dxa"/>
            <w:gridSpan w:val="6"/>
            <w:vMerge/>
            <w:shd w:val="clear" w:color="auto" w:fill="auto"/>
            <w:noWrap/>
          </w:tcPr>
          <w:p w14:paraId="13E2CA0F" w14:textId="77777777" w:rsidR="00FB5A2F" w:rsidRPr="0023643C" w:rsidRDefault="00FB5A2F" w:rsidP="00FB5A2F">
            <w:pPr>
              <w:pStyle w:val="TableText"/>
              <w:spacing w:before="20" w:after="20"/>
              <w:jc w:val="center"/>
            </w:pP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03B3338A" w14:textId="6B5A89EA" w:rsidR="00FB5A2F" w:rsidRPr="0023643C" w:rsidRDefault="00FB5A2F" w:rsidP="00FB5A2F">
            <w:pPr>
              <w:pStyle w:val="TableText"/>
              <w:spacing w:before="20" w:after="20"/>
            </w:pPr>
            <w:r w:rsidRPr="00D07641">
              <w:t>42.9%</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0CCCE65D" w14:textId="769943F2" w:rsidR="00FB5A2F" w:rsidRPr="0023643C" w:rsidRDefault="00FB5A2F" w:rsidP="00FB5A2F">
            <w:pPr>
              <w:pStyle w:val="TableText"/>
              <w:spacing w:before="20" w:after="20"/>
            </w:pPr>
            <w:r w:rsidRPr="00D07641">
              <w:t>42.9%</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7E6E6B1A" w14:textId="0AB3E410" w:rsidR="00FB5A2F" w:rsidRPr="0023643C" w:rsidRDefault="00FB5A2F" w:rsidP="00FB5A2F">
            <w:pPr>
              <w:pStyle w:val="TableText"/>
              <w:spacing w:before="20" w:after="20"/>
            </w:pPr>
            <w:r w:rsidRPr="00D07641">
              <w:t>42.9%</w:t>
            </w:r>
          </w:p>
        </w:tc>
        <w:tc>
          <w:tcPr>
            <w:tcW w:w="2354" w:type="dxa"/>
            <w:vMerge/>
            <w:shd w:val="clear" w:color="auto" w:fill="auto"/>
            <w:noWrap/>
          </w:tcPr>
          <w:p w14:paraId="6D0FB37D" w14:textId="77777777" w:rsidR="00FB5A2F" w:rsidRPr="0023643C" w:rsidRDefault="00FB5A2F" w:rsidP="00FB5A2F">
            <w:pPr>
              <w:pStyle w:val="TableText"/>
              <w:spacing w:before="20" w:after="20"/>
            </w:pPr>
          </w:p>
        </w:tc>
      </w:tr>
      <w:tr w:rsidR="00FB5A2F" w:rsidRPr="0023643C" w14:paraId="56F4662A"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6AEEEB5B" w14:textId="05974BED" w:rsidR="00FB5A2F" w:rsidRPr="0023643C" w:rsidRDefault="00FB5A2F" w:rsidP="00FB5A2F">
            <w:pPr>
              <w:pStyle w:val="TableText"/>
              <w:spacing w:before="20" w:after="20"/>
              <w:ind w:left="446"/>
            </w:pPr>
            <w:r w:rsidRPr="0023643C">
              <w:t>55–64</w:t>
            </w:r>
          </w:p>
        </w:tc>
        <w:tc>
          <w:tcPr>
            <w:tcW w:w="2534" w:type="dxa"/>
            <w:gridSpan w:val="6"/>
            <w:vMerge/>
            <w:shd w:val="clear" w:color="auto" w:fill="auto"/>
            <w:noWrap/>
          </w:tcPr>
          <w:p w14:paraId="18C437B7" w14:textId="77777777" w:rsidR="00FB5A2F" w:rsidRPr="0023643C" w:rsidRDefault="00FB5A2F" w:rsidP="00FB5A2F">
            <w:pPr>
              <w:pStyle w:val="TableText"/>
              <w:spacing w:before="20" w:after="20"/>
              <w:jc w:val="center"/>
            </w:pP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48365EC8" w14:textId="02F55DDD" w:rsidR="00FB5A2F" w:rsidRPr="0023643C" w:rsidRDefault="00FB5A2F" w:rsidP="00FB5A2F">
            <w:pPr>
              <w:pStyle w:val="TableText"/>
              <w:spacing w:before="20" w:after="20"/>
            </w:pPr>
            <w:r w:rsidRPr="00D07641">
              <w:t>41.3%</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68DEF413" w14:textId="25182603" w:rsidR="00FB5A2F" w:rsidRPr="0023643C" w:rsidRDefault="00FB5A2F" w:rsidP="00FB5A2F">
            <w:pPr>
              <w:pStyle w:val="TableText"/>
              <w:spacing w:before="20" w:after="20"/>
            </w:pPr>
            <w:r w:rsidRPr="00D07641">
              <w:t>41.3%</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3A9A25F9" w14:textId="35B894FD" w:rsidR="00FB5A2F" w:rsidRPr="0023643C" w:rsidRDefault="00FB5A2F" w:rsidP="00FB5A2F">
            <w:pPr>
              <w:pStyle w:val="TableText"/>
              <w:spacing w:before="20" w:after="20"/>
            </w:pPr>
            <w:r w:rsidRPr="00D07641">
              <w:t>41.3%</w:t>
            </w:r>
          </w:p>
        </w:tc>
        <w:tc>
          <w:tcPr>
            <w:tcW w:w="2354" w:type="dxa"/>
            <w:vMerge/>
            <w:shd w:val="clear" w:color="auto" w:fill="auto"/>
            <w:noWrap/>
          </w:tcPr>
          <w:p w14:paraId="46AF87AA" w14:textId="77777777" w:rsidR="00FB5A2F" w:rsidRPr="0023643C" w:rsidRDefault="00FB5A2F" w:rsidP="00FB5A2F">
            <w:pPr>
              <w:pStyle w:val="TableText"/>
              <w:spacing w:before="20" w:after="20"/>
            </w:pPr>
          </w:p>
        </w:tc>
      </w:tr>
      <w:tr w:rsidR="00FB5A2F" w:rsidRPr="0023643C" w14:paraId="26D25786"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53263EB6" w14:textId="079202BD" w:rsidR="00FB5A2F" w:rsidRPr="0023643C" w:rsidRDefault="00FB5A2F" w:rsidP="00FB5A2F">
            <w:pPr>
              <w:pStyle w:val="TableText"/>
              <w:spacing w:before="20" w:after="20"/>
              <w:ind w:left="446"/>
            </w:pPr>
            <w:r w:rsidRPr="0023643C">
              <w:t>65+</w:t>
            </w:r>
          </w:p>
        </w:tc>
        <w:tc>
          <w:tcPr>
            <w:tcW w:w="2534" w:type="dxa"/>
            <w:gridSpan w:val="6"/>
            <w:vMerge/>
            <w:tcBorders>
              <w:bottom w:val="single" w:sz="6" w:space="0" w:color="808080" w:themeColor="background1" w:themeShade="80"/>
            </w:tcBorders>
            <w:shd w:val="clear" w:color="auto" w:fill="auto"/>
            <w:noWrap/>
          </w:tcPr>
          <w:p w14:paraId="4789D85D" w14:textId="77777777" w:rsidR="00FB5A2F" w:rsidRPr="0023643C" w:rsidRDefault="00FB5A2F" w:rsidP="00FB5A2F">
            <w:pPr>
              <w:pStyle w:val="TableText"/>
              <w:spacing w:before="20" w:after="20"/>
              <w:jc w:val="center"/>
            </w:pP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367A2502" w14:textId="62E81780" w:rsidR="00FB5A2F" w:rsidRPr="0023643C" w:rsidRDefault="00FB5A2F" w:rsidP="00FB5A2F">
            <w:pPr>
              <w:pStyle w:val="TableText"/>
              <w:spacing w:before="20" w:after="20"/>
            </w:pPr>
            <w:r w:rsidRPr="00D07641">
              <w:t>40.3%</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06EA903A" w14:textId="63FED14C" w:rsidR="00FB5A2F" w:rsidRPr="0023643C" w:rsidRDefault="00FB5A2F" w:rsidP="00FB5A2F">
            <w:pPr>
              <w:pStyle w:val="TableText"/>
              <w:spacing w:before="20" w:after="20"/>
            </w:pPr>
            <w:r w:rsidRPr="00D07641">
              <w:t>40.3%</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0E3E50B0" w14:textId="21C8E7E1" w:rsidR="00FB5A2F" w:rsidRPr="0023643C" w:rsidRDefault="00FB5A2F" w:rsidP="00FB5A2F">
            <w:pPr>
              <w:pStyle w:val="TableText"/>
              <w:spacing w:before="20" w:after="20"/>
            </w:pPr>
            <w:r w:rsidRPr="00D07641">
              <w:t>40.3%</w:t>
            </w:r>
          </w:p>
        </w:tc>
        <w:tc>
          <w:tcPr>
            <w:tcW w:w="2354" w:type="dxa"/>
            <w:vMerge/>
            <w:tcBorders>
              <w:bottom w:val="single" w:sz="6" w:space="0" w:color="808080" w:themeColor="background1" w:themeShade="80"/>
            </w:tcBorders>
            <w:shd w:val="clear" w:color="auto" w:fill="auto"/>
            <w:noWrap/>
          </w:tcPr>
          <w:p w14:paraId="07AA2ECE" w14:textId="77777777" w:rsidR="00FB5A2F" w:rsidRPr="0023643C" w:rsidRDefault="00FB5A2F" w:rsidP="00FB5A2F">
            <w:pPr>
              <w:pStyle w:val="TableText"/>
              <w:spacing w:before="20" w:after="20"/>
            </w:pPr>
          </w:p>
        </w:tc>
      </w:tr>
      <w:tr w:rsidR="00501A1D" w:rsidRPr="0023643C" w14:paraId="4234F503"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2F76AAB0" w14:textId="77777777" w:rsidR="00501A1D" w:rsidRPr="0023643C" w:rsidRDefault="00501A1D" w:rsidP="004B71BF">
            <w:pPr>
              <w:pStyle w:val="TableText"/>
              <w:spacing w:before="20" w:after="20"/>
              <w:ind w:left="274"/>
            </w:pPr>
            <w:r w:rsidRPr="0023643C">
              <w:t>With female partners</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767EF362" w14:textId="7ECC72DC" w:rsidR="003831F2" w:rsidRPr="0023643C" w:rsidRDefault="003831F2" w:rsidP="003831F2">
            <w:pPr>
              <w:pStyle w:val="TableText"/>
              <w:spacing w:before="20" w:after="20"/>
              <w:jc w:val="center"/>
              <w:rPr>
                <w:iCs/>
              </w:rPr>
            </w:pPr>
            <w:r w:rsidRPr="0023643C">
              <w:rPr>
                <w:iCs/>
              </w:rPr>
              <w:t>N/A</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F4BE172" w14:textId="1DA7744C" w:rsidR="00501A1D" w:rsidRPr="0023643C" w:rsidRDefault="003831F2" w:rsidP="00501A1D">
            <w:pPr>
              <w:pStyle w:val="TableText"/>
              <w:spacing w:before="20" w:after="20"/>
              <w:jc w:val="center"/>
              <w:rPr>
                <w:iCs/>
              </w:rPr>
            </w:pPr>
            <w:r w:rsidRPr="0023643C">
              <w:rPr>
                <w:iCs/>
              </w:rPr>
              <w:t>N/A</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1D14D385" w14:textId="68463AD4" w:rsidR="00501A1D" w:rsidRPr="0023643C" w:rsidRDefault="003831F2" w:rsidP="00501A1D">
            <w:pPr>
              <w:pStyle w:val="TableText"/>
              <w:spacing w:before="20" w:after="20"/>
              <w:jc w:val="center"/>
              <w:rPr>
                <w:iCs/>
              </w:rPr>
            </w:pPr>
            <w:r w:rsidRPr="0023643C">
              <w:rPr>
                <w:iCs/>
              </w:rPr>
              <w:t>N/A</w:t>
            </w:r>
          </w:p>
        </w:tc>
        <w:tc>
          <w:tcPr>
            <w:tcW w:w="2554" w:type="dxa"/>
            <w:gridSpan w:val="4"/>
            <w:tcBorders>
              <w:top w:val="single" w:sz="6" w:space="0" w:color="808080" w:themeColor="background1" w:themeShade="80"/>
              <w:bottom w:val="single" w:sz="6" w:space="0" w:color="808080" w:themeColor="background1" w:themeShade="80"/>
            </w:tcBorders>
            <w:shd w:val="clear" w:color="auto" w:fill="auto"/>
            <w:noWrap/>
          </w:tcPr>
          <w:p w14:paraId="43034798" w14:textId="202D5DA8" w:rsidR="00501A1D" w:rsidRPr="0023643C" w:rsidRDefault="00501A1D" w:rsidP="00501A1D">
            <w:pPr>
              <w:pStyle w:val="TableText"/>
              <w:spacing w:before="20" w:after="20"/>
            </w:pPr>
            <w:r w:rsidRPr="0023643C">
              <w:t>------</w:t>
            </w:r>
            <w:r w:rsidR="00024B80">
              <w:t>-</w:t>
            </w:r>
            <w:r w:rsidRPr="0023643C">
              <w:t>---17.8%-----------</w:t>
            </w: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6FDE677C" w14:textId="3FB74C51" w:rsidR="00501A1D" w:rsidRPr="0023643C" w:rsidRDefault="00501A1D" w:rsidP="00501A1D">
            <w:pPr>
              <w:pStyle w:val="TableText"/>
              <w:spacing w:before="20" w:after="20"/>
              <w:rPr>
                <w:vertAlign w:val="superscript"/>
              </w:rPr>
            </w:pPr>
            <w:r w:rsidRPr="0023643C">
              <w:t>Calculated from Reece et al. (2010b)</w:t>
            </w:r>
            <w:r w:rsidRPr="0023643C">
              <w:rPr>
                <w:vertAlign w:val="superscript"/>
              </w:rPr>
              <w:t>h</w:t>
            </w:r>
          </w:p>
        </w:tc>
      </w:tr>
      <w:tr w:rsidR="00501A1D" w:rsidRPr="0023643C" w14:paraId="1C5F4909" w14:textId="77777777" w:rsidTr="006E5792">
        <w:trPr>
          <w:cantSplit/>
        </w:trPr>
        <w:tc>
          <w:tcPr>
            <w:tcW w:w="7073" w:type="dxa"/>
            <w:gridSpan w:val="11"/>
            <w:tcBorders>
              <w:top w:val="single" w:sz="6" w:space="0" w:color="808080" w:themeColor="background1" w:themeShade="80"/>
              <w:bottom w:val="single" w:sz="6" w:space="0" w:color="808080" w:themeColor="background1" w:themeShade="80"/>
            </w:tcBorders>
            <w:shd w:val="clear" w:color="auto" w:fill="auto"/>
            <w:noWrap/>
          </w:tcPr>
          <w:p w14:paraId="056C6012" w14:textId="737256C2" w:rsidR="00501A1D" w:rsidRPr="0023643C" w:rsidRDefault="00501A1D" w:rsidP="00501A1D">
            <w:pPr>
              <w:pStyle w:val="TableText"/>
              <w:spacing w:before="20" w:after="20"/>
            </w:pPr>
            <w:r w:rsidRPr="0023643C">
              <w:t xml:space="preserve">Percentage of uninfected MSM’s sex acts with other MSM that are </w:t>
            </w:r>
            <w:proofErr w:type="spellStart"/>
            <w:r w:rsidRPr="0023643C">
              <w:t>insertive</w:t>
            </w:r>
            <w:proofErr w:type="spellEnd"/>
            <w:r w:rsidRPr="0023643C">
              <w:t xml:space="preserve"> (vs. receptive), by age group</w:t>
            </w:r>
          </w:p>
        </w:tc>
        <w:tc>
          <w:tcPr>
            <w:tcW w:w="2354" w:type="dxa"/>
            <w:tcBorders>
              <w:top w:val="single" w:sz="6" w:space="0" w:color="808080" w:themeColor="background1" w:themeShade="80"/>
              <w:bottom w:val="single" w:sz="6" w:space="0" w:color="808080" w:themeColor="background1" w:themeShade="80"/>
            </w:tcBorders>
            <w:shd w:val="clear" w:color="auto" w:fill="auto"/>
            <w:noWrap/>
          </w:tcPr>
          <w:p w14:paraId="29AE3CCD" w14:textId="77777777" w:rsidR="00501A1D" w:rsidRPr="0023643C" w:rsidRDefault="00501A1D" w:rsidP="00501A1D">
            <w:pPr>
              <w:pStyle w:val="TableText"/>
              <w:spacing w:before="20" w:after="20"/>
            </w:pPr>
          </w:p>
        </w:tc>
      </w:tr>
      <w:tr w:rsidR="00FB5A2F" w:rsidRPr="0023643C" w14:paraId="7EB60FB2"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7E9C4927" w14:textId="18487587" w:rsidR="00FB5A2F" w:rsidRPr="0023643C" w:rsidRDefault="00FB5A2F" w:rsidP="00FB5A2F">
            <w:pPr>
              <w:pStyle w:val="TableText"/>
              <w:spacing w:before="20" w:after="20"/>
              <w:ind w:left="274"/>
            </w:pPr>
            <w:r w:rsidRPr="0023643C">
              <w:t>13–17</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4CAF51AE" w14:textId="7F471E12"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CDD6B6E" w14:textId="1631639A"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56F5864" w14:textId="0AC575E5" w:rsidR="00FB5A2F" w:rsidRPr="0023643C" w:rsidRDefault="00FB5A2F" w:rsidP="00FB5A2F">
            <w:pPr>
              <w:pStyle w:val="TableText"/>
              <w:spacing w:before="20" w:after="20"/>
              <w:jc w:val="center"/>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681A2DAE" w14:textId="0F28D6B7" w:rsidR="00FB5A2F" w:rsidRPr="0023643C" w:rsidRDefault="00FB5A2F" w:rsidP="00FB5A2F">
            <w:pPr>
              <w:pStyle w:val="TableText"/>
              <w:spacing w:before="20" w:after="20"/>
            </w:pPr>
            <w:r w:rsidRPr="00284530">
              <w:t>30.5%</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4F5755EF" w14:textId="281027C7" w:rsidR="00FB5A2F" w:rsidRPr="0023643C" w:rsidRDefault="00FB5A2F" w:rsidP="00FB5A2F">
            <w:pPr>
              <w:pStyle w:val="TableText"/>
              <w:spacing w:before="20" w:after="20"/>
            </w:pPr>
            <w:r w:rsidRPr="00284530">
              <w:t>64.8%</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2B9ED0DE" w14:textId="44E27B15" w:rsidR="00FB5A2F" w:rsidRPr="0023643C" w:rsidRDefault="00FB5A2F" w:rsidP="00FB5A2F">
            <w:pPr>
              <w:pStyle w:val="TableText"/>
              <w:spacing w:before="20" w:after="20"/>
            </w:pPr>
            <w:r w:rsidRPr="00284530">
              <w:t>61.1%</w:t>
            </w:r>
          </w:p>
        </w:tc>
        <w:tc>
          <w:tcPr>
            <w:tcW w:w="2354" w:type="dxa"/>
            <w:vMerge w:val="restart"/>
            <w:tcBorders>
              <w:top w:val="single" w:sz="6" w:space="0" w:color="808080" w:themeColor="background1" w:themeShade="80"/>
            </w:tcBorders>
            <w:shd w:val="clear" w:color="auto" w:fill="auto"/>
            <w:noWrap/>
          </w:tcPr>
          <w:p w14:paraId="06BF94A4" w14:textId="23331C8A" w:rsidR="00FB5A2F" w:rsidRPr="0023643C" w:rsidRDefault="00FB5A2F" w:rsidP="00FB5A2F">
            <w:pPr>
              <w:pStyle w:val="TableText"/>
              <w:spacing w:before="20" w:after="20"/>
            </w:pPr>
            <w:r w:rsidRPr="0023643C">
              <w:t>Determined by calibration</w:t>
            </w:r>
          </w:p>
        </w:tc>
      </w:tr>
      <w:tr w:rsidR="00FB5A2F" w:rsidRPr="0023643C" w14:paraId="1CF85CEA"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1FD079AF" w14:textId="2ED178E3" w:rsidR="00FB5A2F" w:rsidRPr="0023643C" w:rsidRDefault="00FB5A2F" w:rsidP="00FB5A2F">
            <w:pPr>
              <w:pStyle w:val="TableText"/>
              <w:spacing w:before="20" w:after="20"/>
              <w:ind w:left="274"/>
            </w:pPr>
            <w:r w:rsidRPr="0023643C">
              <w:t>18–24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1BD8F935" w14:textId="7ED4F06D"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6DDD166E" w14:textId="284AECCF"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5B2724B" w14:textId="02E2CEEC" w:rsidR="00FB5A2F" w:rsidRPr="0023643C" w:rsidRDefault="00FB5A2F" w:rsidP="00FB5A2F">
            <w:pPr>
              <w:pStyle w:val="TableText"/>
              <w:spacing w:before="20" w:after="20"/>
              <w:jc w:val="center"/>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02339044" w14:textId="5EC90A82" w:rsidR="00FB5A2F" w:rsidRPr="0023643C" w:rsidRDefault="00FB5A2F" w:rsidP="00FB5A2F">
            <w:pPr>
              <w:pStyle w:val="TableText"/>
              <w:spacing w:before="20" w:after="20"/>
            </w:pPr>
            <w:r w:rsidRPr="00284530">
              <w:t>24.2%</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0F322EA3" w14:textId="10ACD898" w:rsidR="00FB5A2F" w:rsidRPr="0023643C" w:rsidRDefault="00FB5A2F" w:rsidP="00FB5A2F">
            <w:pPr>
              <w:pStyle w:val="TableText"/>
              <w:spacing w:before="20" w:after="20"/>
            </w:pPr>
            <w:r w:rsidRPr="00284530">
              <w:t>28.2%</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39D79CA9" w14:textId="1506F757" w:rsidR="00FB5A2F" w:rsidRPr="0023643C" w:rsidRDefault="00FB5A2F" w:rsidP="00FB5A2F">
            <w:pPr>
              <w:pStyle w:val="TableText"/>
              <w:spacing w:before="20" w:after="20"/>
            </w:pPr>
            <w:r w:rsidRPr="00284530">
              <w:t>62.3%</w:t>
            </w:r>
          </w:p>
        </w:tc>
        <w:tc>
          <w:tcPr>
            <w:tcW w:w="2354" w:type="dxa"/>
            <w:vMerge/>
            <w:shd w:val="clear" w:color="auto" w:fill="auto"/>
            <w:noWrap/>
          </w:tcPr>
          <w:p w14:paraId="1FA1CB13" w14:textId="77777777" w:rsidR="00FB5A2F" w:rsidRPr="0023643C" w:rsidRDefault="00FB5A2F" w:rsidP="00FB5A2F">
            <w:pPr>
              <w:pStyle w:val="TableText"/>
              <w:spacing w:before="20" w:after="20"/>
            </w:pPr>
          </w:p>
        </w:tc>
      </w:tr>
      <w:tr w:rsidR="00FB5A2F" w:rsidRPr="0023643C" w14:paraId="3858D6AC"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360912AF" w14:textId="351762D3" w:rsidR="00FB5A2F" w:rsidRPr="0023643C" w:rsidRDefault="00FB5A2F" w:rsidP="00FB5A2F">
            <w:pPr>
              <w:pStyle w:val="TableText"/>
              <w:spacing w:before="20" w:after="20"/>
              <w:ind w:left="274"/>
            </w:pPr>
            <w:r w:rsidRPr="0023643C">
              <w:t>25–34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151E9DCA" w14:textId="06F5ABE4"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2981C88" w14:textId="58F0C521"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308B788E" w14:textId="2A34D52B" w:rsidR="00FB5A2F" w:rsidRPr="0023643C" w:rsidRDefault="00FB5A2F" w:rsidP="00FB5A2F">
            <w:pPr>
              <w:pStyle w:val="TableText"/>
              <w:spacing w:before="20" w:after="20"/>
              <w:jc w:val="center"/>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14E83BAB" w14:textId="37DFB18E" w:rsidR="00FB5A2F" w:rsidRPr="0023643C" w:rsidRDefault="00FB5A2F" w:rsidP="00FB5A2F">
            <w:pPr>
              <w:pStyle w:val="TableText"/>
              <w:spacing w:before="20" w:after="20"/>
            </w:pPr>
            <w:r w:rsidRPr="00284530">
              <w:t>26.1%</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2C45C718" w14:textId="1C560AA6" w:rsidR="00FB5A2F" w:rsidRPr="0023643C" w:rsidRDefault="00FB5A2F" w:rsidP="00FB5A2F">
            <w:pPr>
              <w:pStyle w:val="TableText"/>
              <w:spacing w:before="20" w:after="20"/>
            </w:pPr>
            <w:r w:rsidRPr="00284530">
              <w:t>46.9%</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719CAFAE" w14:textId="498FA8ED" w:rsidR="00FB5A2F" w:rsidRPr="0023643C" w:rsidRDefault="00FB5A2F" w:rsidP="00FB5A2F">
            <w:pPr>
              <w:pStyle w:val="TableText"/>
              <w:spacing w:before="20" w:after="20"/>
            </w:pPr>
            <w:r w:rsidRPr="00284530">
              <w:t>67.2%</w:t>
            </w:r>
          </w:p>
        </w:tc>
        <w:tc>
          <w:tcPr>
            <w:tcW w:w="2354" w:type="dxa"/>
            <w:vMerge/>
            <w:shd w:val="clear" w:color="auto" w:fill="auto"/>
            <w:noWrap/>
          </w:tcPr>
          <w:p w14:paraId="230CAD15" w14:textId="77777777" w:rsidR="00FB5A2F" w:rsidRPr="0023643C" w:rsidRDefault="00FB5A2F" w:rsidP="00FB5A2F">
            <w:pPr>
              <w:pStyle w:val="TableText"/>
              <w:spacing w:before="20" w:after="20"/>
            </w:pPr>
          </w:p>
        </w:tc>
      </w:tr>
      <w:tr w:rsidR="00FB5A2F" w:rsidRPr="0023643C" w14:paraId="4E4129B0"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4E8EC118" w14:textId="5D3701A2" w:rsidR="00FB5A2F" w:rsidRPr="0023643C" w:rsidRDefault="00FB5A2F" w:rsidP="00FB5A2F">
            <w:pPr>
              <w:pStyle w:val="TableText"/>
              <w:spacing w:before="20" w:after="20"/>
              <w:ind w:left="274"/>
            </w:pPr>
            <w:r w:rsidRPr="0023643C">
              <w:t>35–44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55929CBF" w14:textId="5941F31D"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4941BDB" w14:textId="11CC9457"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70FDA3E8" w14:textId="367DFBBB" w:rsidR="00FB5A2F" w:rsidRPr="0023643C" w:rsidRDefault="00FB5A2F" w:rsidP="00FB5A2F">
            <w:pPr>
              <w:pStyle w:val="TableText"/>
              <w:spacing w:before="20" w:after="20"/>
              <w:jc w:val="center"/>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0B196275" w14:textId="54C4DE71" w:rsidR="00FB5A2F" w:rsidRPr="0023643C" w:rsidRDefault="00FB5A2F" w:rsidP="00FB5A2F">
            <w:pPr>
              <w:pStyle w:val="TableText"/>
              <w:spacing w:before="20" w:after="20"/>
            </w:pPr>
            <w:r w:rsidRPr="00284530">
              <w:t>43.3%</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67E2E257" w14:textId="6A652446" w:rsidR="00FB5A2F" w:rsidRPr="0023643C" w:rsidRDefault="00FB5A2F" w:rsidP="00FB5A2F">
            <w:pPr>
              <w:pStyle w:val="TableText"/>
              <w:spacing w:before="20" w:after="20"/>
            </w:pPr>
            <w:r w:rsidRPr="00284530">
              <w:t>62.5%</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4D85E528" w14:textId="7B75FC5B" w:rsidR="00FB5A2F" w:rsidRPr="0023643C" w:rsidRDefault="00FB5A2F" w:rsidP="00FB5A2F">
            <w:pPr>
              <w:pStyle w:val="TableText"/>
              <w:spacing w:before="20" w:after="20"/>
            </w:pPr>
            <w:r w:rsidRPr="00284530">
              <w:t>56.9%</w:t>
            </w:r>
          </w:p>
        </w:tc>
        <w:tc>
          <w:tcPr>
            <w:tcW w:w="2354" w:type="dxa"/>
            <w:vMerge/>
            <w:shd w:val="clear" w:color="auto" w:fill="auto"/>
            <w:noWrap/>
          </w:tcPr>
          <w:p w14:paraId="24B4FC56" w14:textId="77777777" w:rsidR="00FB5A2F" w:rsidRPr="0023643C" w:rsidRDefault="00FB5A2F" w:rsidP="00FB5A2F">
            <w:pPr>
              <w:pStyle w:val="TableText"/>
              <w:spacing w:before="20" w:after="20"/>
            </w:pPr>
          </w:p>
        </w:tc>
      </w:tr>
      <w:tr w:rsidR="00FB5A2F" w:rsidRPr="0023643C" w14:paraId="1A2F2A48"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7AFCF08C" w14:textId="22467A8C" w:rsidR="00FB5A2F" w:rsidRPr="0023643C" w:rsidRDefault="00FB5A2F" w:rsidP="00FB5A2F">
            <w:pPr>
              <w:pStyle w:val="TableText"/>
              <w:spacing w:before="20" w:after="20"/>
              <w:ind w:left="274"/>
            </w:pPr>
            <w:r w:rsidRPr="0023643C">
              <w:t>45–54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54A52CB6" w14:textId="17E9AF8A"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5FB113B6" w14:textId="497189AB"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74E25E7" w14:textId="64119684" w:rsidR="00FB5A2F" w:rsidRPr="0023643C" w:rsidRDefault="00FB5A2F" w:rsidP="00FB5A2F">
            <w:pPr>
              <w:pStyle w:val="TableText"/>
              <w:spacing w:before="20" w:after="20"/>
              <w:jc w:val="center"/>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10E32123" w14:textId="73F8CDDD" w:rsidR="00FB5A2F" w:rsidRPr="0023643C" w:rsidRDefault="00FB5A2F" w:rsidP="00FB5A2F">
            <w:pPr>
              <w:pStyle w:val="TableText"/>
              <w:spacing w:before="20" w:after="20"/>
            </w:pPr>
            <w:r w:rsidRPr="00284530">
              <w:t>62.7%</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747AF495" w14:textId="0285397E" w:rsidR="00FB5A2F" w:rsidRPr="0023643C" w:rsidRDefault="00FB5A2F" w:rsidP="00FB5A2F">
            <w:pPr>
              <w:pStyle w:val="TableText"/>
              <w:spacing w:before="20" w:after="20"/>
            </w:pPr>
            <w:r w:rsidRPr="00284530">
              <w:t>60.0%</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7C10E143" w14:textId="7FDB47C3" w:rsidR="00FB5A2F" w:rsidRPr="0023643C" w:rsidRDefault="00FB5A2F" w:rsidP="00FB5A2F">
            <w:pPr>
              <w:pStyle w:val="TableText"/>
              <w:spacing w:before="20" w:after="20"/>
            </w:pPr>
            <w:r w:rsidRPr="00284530">
              <w:t>71.7%</w:t>
            </w:r>
          </w:p>
        </w:tc>
        <w:tc>
          <w:tcPr>
            <w:tcW w:w="2354" w:type="dxa"/>
            <w:vMerge/>
            <w:shd w:val="clear" w:color="auto" w:fill="auto"/>
            <w:noWrap/>
          </w:tcPr>
          <w:p w14:paraId="2E9EB915" w14:textId="77777777" w:rsidR="00FB5A2F" w:rsidRPr="0023643C" w:rsidRDefault="00FB5A2F" w:rsidP="00FB5A2F">
            <w:pPr>
              <w:pStyle w:val="TableText"/>
              <w:spacing w:before="20" w:after="20"/>
            </w:pPr>
          </w:p>
        </w:tc>
      </w:tr>
      <w:tr w:rsidR="00FB5A2F" w:rsidRPr="0023643C" w14:paraId="01CD0943"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65ACE944" w14:textId="04D80669" w:rsidR="00FB5A2F" w:rsidRPr="0023643C" w:rsidRDefault="00FB5A2F" w:rsidP="00FB5A2F">
            <w:pPr>
              <w:pStyle w:val="TableText"/>
              <w:spacing w:before="20" w:after="20"/>
              <w:ind w:left="274"/>
            </w:pPr>
            <w:r w:rsidRPr="0023643C">
              <w:t>55–64</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357DBE4E" w14:textId="49219642"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33FA7FB1" w14:textId="736B94AA"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2C017C79" w14:textId="242DAB84" w:rsidR="00FB5A2F" w:rsidRPr="0023643C" w:rsidRDefault="00FB5A2F" w:rsidP="00FB5A2F">
            <w:pPr>
              <w:pStyle w:val="TableText"/>
              <w:spacing w:before="20" w:after="20"/>
              <w:jc w:val="center"/>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4645C1D2" w14:textId="7AD04A00" w:rsidR="00FB5A2F" w:rsidRPr="0023643C" w:rsidRDefault="00FB5A2F" w:rsidP="00FB5A2F">
            <w:pPr>
              <w:pStyle w:val="TableText"/>
              <w:spacing w:before="20" w:after="20"/>
            </w:pPr>
            <w:r w:rsidRPr="00284530">
              <w:t>63.2%</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7D2973D8" w14:textId="48BD0242" w:rsidR="00FB5A2F" w:rsidRPr="0023643C" w:rsidRDefault="00FB5A2F" w:rsidP="00FB5A2F">
            <w:pPr>
              <w:pStyle w:val="TableText"/>
              <w:spacing w:before="20" w:after="20"/>
            </w:pPr>
            <w:r w:rsidRPr="00284530">
              <w:t>56.4%</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5010F942" w14:textId="78127672" w:rsidR="00FB5A2F" w:rsidRPr="0023643C" w:rsidRDefault="00FB5A2F" w:rsidP="00FB5A2F">
            <w:pPr>
              <w:pStyle w:val="TableText"/>
              <w:spacing w:before="20" w:after="20"/>
            </w:pPr>
            <w:r w:rsidRPr="00284530">
              <w:t>69.3%</w:t>
            </w:r>
          </w:p>
        </w:tc>
        <w:tc>
          <w:tcPr>
            <w:tcW w:w="2354" w:type="dxa"/>
            <w:vMerge/>
            <w:shd w:val="clear" w:color="auto" w:fill="auto"/>
            <w:noWrap/>
          </w:tcPr>
          <w:p w14:paraId="363747DF" w14:textId="77777777" w:rsidR="00FB5A2F" w:rsidRPr="0023643C" w:rsidRDefault="00FB5A2F" w:rsidP="00FB5A2F">
            <w:pPr>
              <w:pStyle w:val="TableText"/>
              <w:spacing w:before="20" w:after="20"/>
            </w:pPr>
          </w:p>
        </w:tc>
      </w:tr>
      <w:tr w:rsidR="00FB5A2F" w:rsidRPr="00C00335" w14:paraId="0C0EF007" w14:textId="77777777" w:rsidTr="006E5792">
        <w:trPr>
          <w:cantSplit/>
        </w:trPr>
        <w:tc>
          <w:tcPr>
            <w:tcW w:w="1985" w:type="dxa"/>
            <w:tcBorders>
              <w:top w:val="single" w:sz="6" w:space="0" w:color="808080" w:themeColor="background1" w:themeShade="80"/>
              <w:bottom w:val="single" w:sz="6" w:space="0" w:color="808080" w:themeColor="background1" w:themeShade="80"/>
            </w:tcBorders>
            <w:shd w:val="clear" w:color="auto" w:fill="auto"/>
            <w:noWrap/>
          </w:tcPr>
          <w:p w14:paraId="44259556" w14:textId="00F100FD" w:rsidR="00FB5A2F" w:rsidRPr="0023643C" w:rsidRDefault="00FB5A2F" w:rsidP="00FB5A2F">
            <w:pPr>
              <w:pStyle w:val="TableText"/>
              <w:spacing w:before="20" w:after="20"/>
              <w:ind w:left="274"/>
            </w:pPr>
            <w:r w:rsidRPr="0023643C">
              <w:t>65+</w:t>
            </w:r>
          </w:p>
        </w:tc>
        <w:tc>
          <w:tcPr>
            <w:tcW w:w="844" w:type="dxa"/>
            <w:gridSpan w:val="2"/>
            <w:tcBorders>
              <w:top w:val="single" w:sz="6" w:space="0" w:color="808080" w:themeColor="background1" w:themeShade="80"/>
              <w:bottom w:val="single" w:sz="6" w:space="0" w:color="808080" w:themeColor="background1" w:themeShade="80"/>
            </w:tcBorders>
            <w:shd w:val="clear" w:color="auto" w:fill="auto"/>
            <w:noWrap/>
          </w:tcPr>
          <w:p w14:paraId="70DEEA97" w14:textId="7DE71861"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32DAA7B4" w14:textId="686F1B67" w:rsidR="00FB5A2F" w:rsidRPr="0023643C" w:rsidRDefault="00FB5A2F" w:rsidP="00FB5A2F">
            <w:pPr>
              <w:pStyle w:val="TableText"/>
              <w:spacing w:before="20" w:after="20"/>
              <w:jc w:val="center"/>
            </w:pPr>
            <w:r w:rsidRPr="0023643C">
              <w:t>N/A</w:t>
            </w:r>
            <w:r w:rsidRPr="0023643C">
              <w:rPr>
                <w:vertAlign w:val="superscript"/>
              </w:rPr>
              <w:t>d</w:t>
            </w:r>
          </w:p>
        </w:tc>
        <w:tc>
          <w:tcPr>
            <w:tcW w:w="845" w:type="dxa"/>
            <w:gridSpan w:val="2"/>
            <w:tcBorders>
              <w:top w:val="single" w:sz="6" w:space="0" w:color="808080" w:themeColor="background1" w:themeShade="80"/>
              <w:bottom w:val="single" w:sz="6" w:space="0" w:color="808080" w:themeColor="background1" w:themeShade="80"/>
            </w:tcBorders>
            <w:shd w:val="clear" w:color="auto" w:fill="auto"/>
            <w:noWrap/>
          </w:tcPr>
          <w:p w14:paraId="0960802E" w14:textId="54BCF25C" w:rsidR="00FB5A2F" w:rsidRPr="0023643C" w:rsidRDefault="00FB5A2F" w:rsidP="00FB5A2F">
            <w:pPr>
              <w:pStyle w:val="TableText"/>
              <w:spacing w:before="20" w:after="20"/>
              <w:jc w:val="center"/>
            </w:pPr>
            <w:r w:rsidRPr="0023643C">
              <w:t>N/A</w:t>
            </w:r>
            <w:r w:rsidRPr="0023643C">
              <w:rPr>
                <w:vertAlign w:val="superscript"/>
              </w:rPr>
              <w:t>d</w:t>
            </w:r>
          </w:p>
        </w:tc>
        <w:tc>
          <w:tcPr>
            <w:tcW w:w="851" w:type="dxa"/>
            <w:gridSpan w:val="2"/>
            <w:tcBorders>
              <w:top w:val="single" w:sz="6" w:space="0" w:color="808080" w:themeColor="background1" w:themeShade="80"/>
              <w:bottom w:val="single" w:sz="6" w:space="0" w:color="808080" w:themeColor="background1" w:themeShade="80"/>
            </w:tcBorders>
            <w:shd w:val="clear" w:color="auto" w:fill="auto"/>
            <w:noWrap/>
          </w:tcPr>
          <w:p w14:paraId="680AD391" w14:textId="5F119774" w:rsidR="00FB5A2F" w:rsidRPr="0023643C" w:rsidRDefault="00FB5A2F" w:rsidP="00FB5A2F">
            <w:pPr>
              <w:pStyle w:val="TableText"/>
              <w:spacing w:before="20" w:after="20"/>
            </w:pPr>
            <w:r w:rsidRPr="00284530">
              <w:t>62.4%</w:t>
            </w:r>
          </w:p>
        </w:tc>
        <w:tc>
          <w:tcPr>
            <w:tcW w:w="851" w:type="dxa"/>
            <w:tcBorders>
              <w:top w:val="single" w:sz="6" w:space="0" w:color="808080" w:themeColor="background1" w:themeShade="80"/>
              <w:bottom w:val="single" w:sz="6" w:space="0" w:color="808080" w:themeColor="background1" w:themeShade="80"/>
            </w:tcBorders>
            <w:shd w:val="clear" w:color="auto" w:fill="auto"/>
          </w:tcPr>
          <w:p w14:paraId="02634B2E" w14:textId="411FB478" w:rsidR="00FB5A2F" w:rsidRPr="0023643C" w:rsidRDefault="00FB5A2F" w:rsidP="00FB5A2F">
            <w:pPr>
              <w:pStyle w:val="TableText"/>
              <w:spacing w:before="20" w:after="20"/>
            </w:pPr>
            <w:r w:rsidRPr="00284530">
              <w:t>56.3%</w:t>
            </w:r>
          </w:p>
        </w:tc>
        <w:tc>
          <w:tcPr>
            <w:tcW w:w="852" w:type="dxa"/>
            <w:tcBorders>
              <w:top w:val="single" w:sz="6" w:space="0" w:color="808080" w:themeColor="background1" w:themeShade="80"/>
              <w:bottom w:val="single" w:sz="6" w:space="0" w:color="808080" w:themeColor="background1" w:themeShade="80"/>
            </w:tcBorders>
            <w:shd w:val="clear" w:color="auto" w:fill="auto"/>
          </w:tcPr>
          <w:p w14:paraId="56222BBE" w14:textId="5F975EE8" w:rsidR="00FB5A2F" w:rsidRPr="0023643C" w:rsidRDefault="00FB5A2F" w:rsidP="00FB5A2F">
            <w:pPr>
              <w:pStyle w:val="TableText"/>
              <w:spacing w:before="20" w:after="20"/>
            </w:pPr>
            <w:r w:rsidRPr="00284530">
              <w:t>69.8%</w:t>
            </w:r>
          </w:p>
        </w:tc>
        <w:tc>
          <w:tcPr>
            <w:tcW w:w="2354" w:type="dxa"/>
            <w:vMerge/>
            <w:tcBorders>
              <w:bottom w:val="single" w:sz="12" w:space="0" w:color="000000"/>
            </w:tcBorders>
            <w:shd w:val="clear" w:color="auto" w:fill="auto"/>
            <w:noWrap/>
          </w:tcPr>
          <w:p w14:paraId="77F4F95A" w14:textId="77777777" w:rsidR="00FB5A2F" w:rsidRPr="00C00335" w:rsidRDefault="00FB5A2F" w:rsidP="00FB5A2F">
            <w:pPr>
              <w:pStyle w:val="TableText"/>
              <w:spacing w:before="20" w:after="20"/>
            </w:pPr>
          </w:p>
        </w:tc>
      </w:tr>
    </w:tbl>
    <w:p w14:paraId="15EAD8A4" w14:textId="77777777" w:rsidR="00296F77" w:rsidRPr="00C00335" w:rsidRDefault="00296F77" w:rsidP="00296F77">
      <w:pPr>
        <w:pStyle w:val="TableTitlecont"/>
        <w:pageBreakBefore/>
      </w:pPr>
      <w:r w:rsidRPr="00C00335">
        <w:lastRenderedPageBreak/>
        <w:t>Table 6.</w:t>
      </w:r>
      <w:r>
        <w:t>10</w:t>
      </w:r>
      <w:r w:rsidRPr="00C00335">
        <w:t>.</w:t>
      </w:r>
      <w:r w:rsidRPr="00C00335">
        <w:tab/>
        <w:t>Sexual Partners and Sex Acts (continued)</w:t>
      </w:r>
    </w:p>
    <w:p w14:paraId="2B54C771" w14:textId="3B6AFA2B" w:rsidR="00296F77" w:rsidRDefault="00296F77"/>
    <w:tbl>
      <w:tblPr>
        <w:tblW w:w="5036" w:type="pct"/>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1755"/>
        <w:gridCol w:w="49"/>
        <w:gridCol w:w="214"/>
        <w:gridCol w:w="37"/>
        <w:gridCol w:w="822"/>
        <w:gridCol w:w="14"/>
        <w:gridCol w:w="838"/>
        <w:gridCol w:w="836"/>
        <w:gridCol w:w="20"/>
        <w:gridCol w:w="823"/>
        <w:gridCol w:w="29"/>
        <w:gridCol w:w="814"/>
        <w:gridCol w:w="37"/>
        <w:gridCol w:w="815"/>
        <w:gridCol w:w="34"/>
        <w:gridCol w:w="2290"/>
      </w:tblGrid>
      <w:tr w:rsidR="00296F77" w:rsidRPr="0023643C" w14:paraId="6DE52837" w14:textId="77777777" w:rsidTr="00F349DD">
        <w:trPr>
          <w:cantSplit/>
          <w:tblHeader/>
        </w:trPr>
        <w:tc>
          <w:tcPr>
            <w:tcW w:w="2830" w:type="dxa"/>
            <w:gridSpan w:val="4"/>
            <w:vMerge w:val="restart"/>
            <w:tcBorders>
              <w:top w:val="single" w:sz="12" w:space="0" w:color="000000"/>
              <w:bottom w:val="single" w:sz="6" w:space="0" w:color="auto"/>
            </w:tcBorders>
            <w:shd w:val="clear" w:color="auto" w:fill="auto"/>
            <w:noWrap/>
            <w:vAlign w:val="bottom"/>
            <w:hideMark/>
          </w:tcPr>
          <w:p w14:paraId="7E73D80C" w14:textId="77777777" w:rsidR="00296F77" w:rsidRPr="00C00335" w:rsidRDefault="00296F77" w:rsidP="00BA30F7">
            <w:pPr>
              <w:pStyle w:val="TableHeaders"/>
              <w:keepNext/>
              <w:spacing w:before="20" w:after="20"/>
            </w:pPr>
          </w:p>
        </w:tc>
        <w:tc>
          <w:tcPr>
            <w:tcW w:w="3407" w:type="dxa"/>
            <w:gridSpan w:val="4"/>
            <w:tcBorders>
              <w:top w:val="single" w:sz="12" w:space="0" w:color="000000"/>
              <w:bottom w:val="single" w:sz="6" w:space="0" w:color="auto"/>
            </w:tcBorders>
            <w:shd w:val="clear" w:color="auto" w:fill="auto"/>
            <w:noWrap/>
            <w:vAlign w:val="bottom"/>
            <w:hideMark/>
          </w:tcPr>
          <w:p w14:paraId="3D342F0F" w14:textId="77777777" w:rsidR="00296F77" w:rsidRPr="0023643C" w:rsidRDefault="00296F77" w:rsidP="00BA30F7">
            <w:pPr>
              <w:pStyle w:val="TableHeaders"/>
              <w:keepNext/>
              <w:spacing w:before="20" w:after="20"/>
            </w:pPr>
            <w:r w:rsidRPr="0023643C">
              <w:t>Female</w:t>
            </w:r>
          </w:p>
        </w:tc>
        <w:tc>
          <w:tcPr>
            <w:tcW w:w="3436" w:type="dxa"/>
            <w:gridSpan w:val="6"/>
            <w:tcBorders>
              <w:top w:val="single" w:sz="12" w:space="0" w:color="000000"/>
              <w:bottom w:val="single" w:sz="6" w:space="0" w:color="auto"/>
            </w:tcBorders>
            <w:shd w:val="clear" w:color="auto" w:fill="auto"/>
            <w:noWrap/>
            <w:vAlign w:val="bottom"/>
            <w:hideMark/>
          </w:tcPr>
          <w:p w14:paraId="15FE1F1B" w14:textId="77777777" w:rsidR="00296F77" w:rsidRPr="0023643C" w:rsidRDefault="00296F77" w:rsidP="00BA30F7">
            <w:pPr>
              <w:pStyle w:val="TableHeaders"/>
              <w:keepNext/>
              <w:spacing w:before="20" w:after="20"/>
            </w:pPr>
            <w:r w:rsidRPr="0023643C">
              <w:t>Male</w:t>
            </w:r>
          </w:p>
        </w:tc>
        <w:tc>
          <w:tcPr>
            <w:tcW w:w="3380" w:type="dxa"/>
            <w:gridSpan w:val="2"/>
            <w:vMerge w:val="restart"/>
            <w:tcBorders>
              <w:top w:val="single" w:sz="12" w:space="0" w:color="000000"/>
              <w:bottom w:val="single" w:sz="6" w:space="0" w:color="auto"/>
            </w:tcBorders>
            <w:shd w:val="clear" w:color="auto" w:fill="auto"/>
            <w:noWrap/>
            <w:vAlign w:val="bottom"/>
            <w:hideMark/>
          </w:tcPr>
          <w:p w14:paraId="50FBFB51" w14:textId="77777777" w:rsidR="00296F77" w:rsidRPr="0023643C" w:rsidRDefault="00296F77" w:rsidP="00BA30F7">
            <w:pPr>
              <w:pStyle w:val="TableHeaders"/>
              <w:keepNext/>
              <w:spacing w:before="20" w:after="20"/>
            </w:pPr>
            <w:r w:rsidRPr="0023643C">
              <w:t>Source</w:t>
            </w:r>
          </w:p>
        </w:tc>
      </w:tr>
      <w:tr w:rsidR="00296F77" w:rsidRPr="0023643C" w14:paraId="7E5EC106" w14:textId="77777777" w:rsidTr="00F349DD">
        <w:trPr>
          <w:cantSplit/>
          <w:tblHeader/>
        </w:trPr>
        <w:tc>
          <w:tcPr>
            <w:tcW w:w="2830" w:type="dxa"/>
            <w:gridSpan w:val="4"/>
            <w:vMerge/>
            <w:tcBorders>
              <w:top w:val="single" w:sz="6" w:space="0" w:color="000000"/>
              <w:bottom w:val="single" w:sz="6" w:space="0" w:color="auto"/>
            </w:tcBorders>
            <w:shd w:val="clear" w:color="auto" w:fill="auto"/>
            <w:noWrap/>
            <w:vAlign w:val="bottom"/>
            <w:hideMark/>
          </w:tcPr>
          <w:p w14:paraId="0B44C55D" w14:textId="77777777" w:rsidR="00296F77" w:rsidRPr="0023643C" w:rsidRDefault="00296F77" w:rsidP="00BA30F7">
            <w:pPr>
              <w:pStyle w:val="TableHeaders"/>
              <w:keepNext/>
              <w:spacing w:before="20" w:after="20"/>
            </w:pPr>
          </w:p>
        </w:tc>
        <w:tc>
          <w:tcPr>
            <w:tcW w:w="1134" w:type="dxa"/>
            <w:gridSpan w:val="2"/>
            <w:tcBorders>
              <w:top w:val="single" w:sz="6" w:space="0" w:color="auto"/>
              <w:bottom w:val="single" w:sz="6" w:space="0" w:color="auto"/>
            </w:tcBorders>
            <w:shd w:val="clear" w:color="auto" w:fill="auto"/>
            <w:noWrap/>
            <w:vAlign w:val="bottom"/>
            <w:hideMark/>
          </w:tcPr>
          <w:p w14:paraId="68542C2B" w14:textId="77777777" w:rsidR="00296F77" w:rsidRPr="0023643C" w:rsidRDefault="00296F77" w:rsidP="00BA30F7">
            <w:pPr>
              <w:pStyle w:val="TableHeaders"/>
              <w:keepNext/>
              <w:spacing w:before="20" w:after="20"/>
            </w:pPr>
            <w:r w:rsidRPr="0023643C">
              <w:t>Black</w:t>
            </w:r>
          </w:p>
        </w:tc>
        <w:tc>
          <w:tcPr>
            <w:tcW w:w="1138" w:type="dxa"/>
            <w:tcBorders>
              <w:top w:val="single" w:sz="6" w:space="0" w:color="auto"/>
              <w:bottom w:val="single" w:sz="6" w:space="0" w:color="auto"/>
            </w:tcBorders>
            <w:shd w:val="clear" w:color="auto" w:fill="auto"/>
            <w:noWrap/>
            <w:vAlign w:val="bottom"/>
            <w:hideMark/>
          </w:tcPr>
          <w:p w14:paraId="002F4DFC" w14:textId="77777777" w:rsidR="00296F77" w:rsidRPr="0023643C" w:rsidRDefault="00296F77" w:rsidP="00BA30F7">
            <w:pPr>
              <w:pStyle w:val="TableHeaders"/>
              <w:keepNext/>
              <w:spacing w:before="20" w:after="20"/>
            </w:pPr>
            <w:r w:rsidRPr="0023643C">
              <w:t>Hispanic</w:t>
            </w:r>
          </w:p>
        </w:tc>
        <w:tc>
          <w:tcPr>
            <w:tcW w:w="1135" w:type="dxa"/>
            <w:tcBorders>
              <w:top w:val="single" w:sz="6" w:space="0" w:color="auto"/>
              <w:bottom w:val="single" w:sz="6" w:space="0" w:color="auto"/>
            </w:tcBorders>
            <w:shd w:val="clear" w:color="auto" w:fill="auto"/>
            <w:noWrap/>
            <w:vAlign w:val="bottom"/>
            <w:hideMark/>
          </w:tcPr>
          <w:p w14:paraId="31CF604A" w14:textId="77777777" w:rsidR="00296F77" w:rsidRPr="0023643C" w:rsidRDefault="00296F77" w:rsidP="00BA30F7">
            <w:pPr>
              <w:pStyle w:val="TableHeaders"/>
              <w:keepNext/>
              <w:spacing w:before="20" w:after="20"/>
            </w:pPr>
            <w:r w:rsidRPr="0023643C">
              <w:t>White/ Other</w:t>
            </w:r>
          </w:p>
        </w:tc>
        <w:tc>
          <w:tcPr>
            <w:tcW w:w="1145" w:type="dxa"/>
            <w:gridSpan w:val="2"/>
            <w:tcBorders>
              <w:top w:val="single" w:sz="6" w:space="0" w:color="auto"/>
              <w:bottom w:val="single" w:sz="6" w:space="0" w:color="auto"/>
            </w:tcBorders>
            <w:shd w:val="clear" w:color="auto" w:fill="auto"/>
            <w:noWrap/>
            <w:vAlign w:val="bottom"/>
            <w:hideMark/>
          </w:tcPr>
          <w:p w14:paraId="7BADC302" w14:textId="77777777" w:rsidR="00296F77" w:rsidRPr="0023643C" w:rsidRDefault="00296F77" w:rsidP="00BA30F7">
            <w:pPr>
              <w:pStyle w:val="TableHeaders"/>
              <w:keepNext/>
              <w:spacing w:before="20" w:after="20"/>
            </w:pPr>
            <w:r w:rsidRPr="0023643C">
              <w:t>Black</w:t>
            </w:r>
          </w:p>
        </w:tc>
        <w:tc>
          <w:tcPr>
            <w:tcW w:w="1145" w:type="dxa"/>
            <w:gridSpan w:val="2"/>
            <w:tcBorders>
              <w:top w:val="single" w:sz="6" w:space="0" w:color="auto"/>
              <w:bottom w:val="single" w:sz="6" w:space="0" w:color="auto"/>
            </w:tcBorders>
            <w:shd w:val="clear" w:color="auto" w:fill="auto"/>
            <w:noWrap/>
            <w:vAlign w:val="bottom"/>
            <w:hideMark/>
          </w:tcPr>
          <w:p w14:paraId="541F20EE" w14:textId="77777777" w:rsidR="00296F77" w:rsidRPr="0023643C" w:rsidRDefault="00296F77" w:rsidP="00BA30F7">
            <w:pPr>
              <w:pStyle w:val="TableHeaders"/>
              <w:keepNext/>
              <w:spacing w:before="20" w:after="20"/>
            </w:pPr>
            <w:r w:rsidRPr="0023643C">
              <w:t>Hispanic</w:t>
            </w:r>
          </w:p>
        </w:tc>
        <w:tc>
          <w:tcPr>
            <w:tcW w:w="1146" w:type="dxa"/>
            <w:gridSpan w:val="2"/>
            <w:tcBorders>
              <w:top w:val="single" w:sz="6" w:space="0" w:color="auto"/>
              <w:bottom w:val="single" w:sz="6" w:space="0" w:color="auto"/>
            </w:tcBorders>
            <w:shd w:val="clear" w:color="auto" w:fill="auto"/>
            <w:noWrap/>
            <w:vAlign w:val="bottom"/>
            <w:hideMark/>
          </w:tcPr>
          <w:p w14:paraId="493F3861" w14:textId="77777777" w:rsidR="00296F77" w:rsidRPr="0023643C" w:rsidRDefault="00296F77" w:rsidP="00BA30F7">
            <w:pPr>
              <w:pStyle w:val="TableHeaders"/>
              <w:keepNext/>
              <w:spacing w:before="20" w:after="20"/>
            </w:pPr>
            <w:r w:rsidRPr="0023643C">
              <w:t>White/ Other</w:t>
            </w:r>
          </w:p>
        </w:tc>
        <w:tc>
          <w:tcPr>
            <w:tcW w:w="3380" w:type="dxa"/>
            <w:gridSpan w:val="2"/>
            <w:vMerge/>
            <w:tcBorders>
              <w:top w:val="single" w:sz="6" w:space="0" w:color="000000"/>
              <w:bottom w:val="single" w:sz="6" w:space="0" w:color="auto"/>
            </w:tcBorders>
            <w:shd w:val="clear" w:color="auto" w:fill="auto"/>
            <w:noWrap/>
            <w:vAlign w:val="bottom"/>
            <w:hideMark/>
          </w:tcPr>
          <w:p w14:paraId="1962CCFD" w14:textId="77777777" w:rsidR="00296F77" w:rsidRPr="0023643C" w:rsidRDefault="00296F77" w:rsidP="00BA30F7">
            <w:pPr>
              <w:pStyle w:val="TableHeaders"/>
              <w:keepNext/>
              <w:spacing w:before="20" w:after="20"/>
            </w:pPr>
          </w:p>
        </w:tc>
      </w:tr>
      <w:tr w:rsidR="00E71F06" w:rsidRPr="00C00335" w14:paraId="55D33ABF" w14:textId="77777777" w:rsidTr="00BA30F7">
        <w:trPr>
          <w:cantSplit/>
        </w:trPr>
        <w:tc>
          <w:tcPr>
            <w:tcW w:w="13053" w:type="dxa"/>
            <w:gridSpan w:val="16"/>
            <w:tcBorders>
              <w:top w:val="single" w:sz="6" w:space="0" w:color="808080" w:themeColor="background1" w:themeShade="80"/>
              <w:bottom w:val="single" w:sz="6" w:space="0" w:color="808080" w:themeColor="background1" w:themeShade="80"/>
            </w:tcBorders>
            <w:shd w:val="clear" w:color="auto" w:fill="auto"/>
            <w:noWrap/>
          </w:tcPr>
          <w:p w14:paraId="6AD70477" w14:textId="342E8F20" w:rsidR="00E71F06" w:rsidRPr="00C00335" w:rsidRDefault="00E71F06" w:rsidP="00296F77">
            <w:pPr>
              <w:pStyle w:val="TableText"/>
              <w:spacing w:before="20" w:after="20"/>
            </w:pPr>
            <w:r w:rsidRPr="0058458C">
              <w:t>If participating in AI, percentage of male–female sexual partnerships that include AI</w:t>
            </w:r>
          </w:p>
        </w:tc>
      </w:tr>
      <w:tr w:rsidR="00E71F06" w:rsidRPr="00C00335" w14:paraId="3A629F3C" w14:textId="77777777" w:rsidTr="00F349DD">
        <w:trPr>
          <w:cantSplit/>
        </w:trPr>
        <w:tc>
          <w:tcPr>
            <w:tcW w:w="2578" w:type="dxa"/>
            <w:gridSpan w:val="2"/>
            <w:tcBorders>
              <w:top w:val="single" w:sz="6" w:space="0" w:color="808080" w:themeColor="background1" w:themeShade="80"/>
              <w:bottom w:val="single" w:sz="6" w:space="0" w:color="808080" w:themeColor="background1" w:themeShade="80"/>
            </w:tcBorders>
            <w:shd w:val="clear" w:color="auto" w:fill="auto"/>
            <w:noWrap/>
          </w:tcPr>
          <w:p w14:paraId="06085A30" w14:textId="77777777" w:rsidR="00E71F06" w:rsidRPr="0058458C" w:rsidRDefault="00E71F06" w:rsidP="00E71F06">
            <w:pPr>
              <w:pStyle w:val="TableText"/>
              <w:spacing w:before="20" w:after="20"/>
              <w:ind w:left="246"/>
            </w:pPr>
            <w:r w:rsidRPr="0023643C">
              <w:t>13–17</w:t>
            </w:r>
          </w:p>
        </w:tc>
        <w:tc>
          <w:tcPr>
            <w:tcW w:w="252" w:type="dxa"/>
            <w:gridSpan w:val="2"/>
            <w:tcBorders>
              <w:top w:val="single" w:sz="6" w:space="0" w:color="808080" w:themeColor="background1" w:themeShade="80"/>
              <w:bottom w:val="single" w:sz="6" w:space="0" w:color="808080" w:themeColor="background1" w:themeShade="80"/>
            </w:tcBorders>
            <w:shd w:val="clear" w:color="auto" w:fill="auto"/>
            <w:noWrap/>
          </w:tcPr>
          <w:p w14:paraId="0978987E" w14:textId="77777777" w:rsidR="00E71F06" w:rsidRPr="0023643C" w:rsidRDefault="00E71F06" w:rsidP="00E71F06">
            <w:pPr>
              <w:pStyle w:val="TableText"/>
              <w:spacing w:before="20" w:after="20"/>
              <w:jc w:val="center"/>
            </w:pPr>
          </w:p>
        </w:tc>
        <w:tc>
          <w:tcPr>
            <w:tcW w:w="6892" w:type="dxa"/>
            <w:gridSpan w:val="11"/>
            <w:tcBorders>
              <w:top w:val="single" w:sz="6" w:space="0" w:color="808080" w:themeColor="background1" w:themeShade="80"/>
              <w:bottom w:val="single" w:sz="6" w:space="0" w:color="808080" w:themeColor="background1" w:themeShade="80"/>
            </w:tcBorders>
            <w:shd w:val="clear" w:color="auto" w:fill="auto"/>
            <w:noWrap/>
          </w:tcPr>
          <w:p w14:paraId="7ACFEB74" w14:textId="64A7398B" w:rsidR="00E71F06" w:rsidRPr="00284530" w:rsidRDefault="00095359" w:rsidP="00095359">
            <w:pPr>
              <w:pStyle w:val="TableText"/>
              <w:spacing w:before="20" w:after="20"/>
              <w:jc w:val="center"/>
            </w:pPr>
            <w:r w:rsidRPr="0023643C">
              <w:t>---------------------------</w:t>
            </w:r>
            <w:r w:rsidR="00E71F06" w:rsidRPr="004B4B3A">
              <w:t>80.2%</w:t>
            </w:r>
            <w:r w:rsidRPr="0023643C">
              <w:t>------------------------</w:t>
            </w:r>
          </w:p>
        </w:tc>
        <w:tc>
          <w:tcPr>
            <w:tcW w:w="3331" w:type="dxa"/>
            <w:shd w:val="clear" w:color="auto" w:fill="auto"/>
            <w:noWrap/>
          </w:tcPr>
          <w:p w14:paraId="1588C10C" w14:textId="1FD4A4ED" w:rsidR="00E71F06" w:rsidRPr="00C00335" w:rsidRDefault="00095359" w:rsidP="00E71F06">
            <w:pPr>
              <w:pStyle w:val="TableText"/>
              <w:spacing w:before="20" w:after="20"/>
            </w:pPr>
            <w:r w:rsidRPr="0023643C">
              <w:t>Determined by calibration</w:t>
            </w:r>
          </w:p>
        </w:tc>
      </w:tr>
      <w:tr w:rsidR="00E71F06" w:rsidRPr="00C00335" w14:paraId="106FCBA1" w14:textId="77777777" w:rsidTr="00F349DD">
        <w:trPr>
          <w:cantSplit/>
        </w:trPr>
        <w:tc>
          <w:tcPr>
            <w:tcW w:w="2578" w:type="dxa"/>
            <w:gridSpan w:val="2"/>
            <w:tcBorders>
              <w:top w:val="single" w:sz="6" w:space="0" w:color="808080" w:themeColor="background1" w:themeShade="80"/>
              <w:bottom w:val="single" w:sz="6" w:space="0" w:color="808080" w:themeColor="background1" w:themeShade="80"/>
            </w:tcBorders>
            <w:shd w:val="clear" w:color="auto" w:fill="auto"/>
            <w:noWrap/>
          </w:tcPr>
          <w:p w14:paraId="66E309ED" w14:textId="5246A24C" w:rsidR="00E71F06" w:rsidRPr="0058458C" w:rsidRDefault="00E71F06" w:rsidP="00E71F06">
            <w:pPr>
              <w:pStyle w:val="TableText"/>
              <w:spacing w:before="20" w:after="20"/>
              <w:ind w:left="246"/>
            </w:pPr>
            <w:r w:rsidRPr="0023643C">
              <w:t>18–24</w:t>
            </w:r>
          </w:p>
        </w:tc>
        <w:tc>
          <w:tcPr>
            <w:tcW w:w="252" w:type="dxa"/>
            <w:gridSpan w:val="2"/>
            <w:tcBorders>
              <w:top w:val="single" w:sz="6" w:space="0" w:color="808080" w:themeColor="background1" w:themeShade="80"/>
              <w:bottom w:val="single" w:sz="6" w:space="0" w:color="808080" w:themeColor="background1" w:themeShade="80"/>
            </w:tcBorders>
            <w:shd w:val="clear" w:color="auto" w:fill="auto"/>
            <w:noWrap/>
          </w:tcPr>
          <w:p w14:paraId="2F00C6C2" w14:textId="77777777" w:rsidR="00E71F06" w:rsidRPr="0023643C" w:rsidRDefault="00E71F06" w:rsidP="00E71F06">
            <w:pPr>
              <w:pStyle w:val="TableText"/>
              <w:spacing w:before="20" w:after="20"/>
              <w:jc w:val="center"/>
            </w:pPr>
          </w:p>
        </w:tc>
        <w:tc>
          <w:tcPr>
            <w:tcW w:w="6892" w:type="dxa"/>
            <w:gridSpan w:val="11"/>
            <w:tcBorders>
              <w:top w:val="single" w:sz="6" w:space="0" w:color="808080" w:themeColor="background1" w:themeShade="80"/>
              <w:bottom w:val="single" w:sz="6" w:space="0" w:color="808080" w:themeColor="background1" w:themeShade="80"/>
            </w:tcBorders>
            <w:shd w:val="clear" w:color="auto" w:fill="auto"/>
            <w:noWrap/>
          </w:tcPr>
          <w:p w14:paraId="298E40C1" w14:textId="382D8846" w:rsidR="00E71F06" w:rsidRPr="00284530" w:rsidRDefault="00095359" w:rsidP="00095359">
            <w:pPr>
              <w:pStyle w:val="TableText"/>
              <w:spacing w:before="20" w:after="20"/>
              <w:jc w:val="center"/>
            </w:pPr>
            <w:r w:rsidRPr="0023643C">
              <w:t>---------------------------</w:t>
            </w:r>
            <w:r w:rsidR="00E71F06" w:rsidRPr="004B4B3A">
              <w:t>80.3%</w:t>
            </w:r>
            <w:r w:rsidRPr="0023643C">
              <w:t>------------------------</w:t>
            </w:r>
          </w:p>
        </w:tc>
        <w:tc>
          <w:tcPr>
            <w:tcW w:w="3331" w:type="dxa"/>
            <w:shd w:val="clear" w:color="auto" w:fill="auto"/>
            <w:noWrap/>
          </w:tcPr>
          <w:p w14:paraId="5156F7DD" w14:textId="77777777" w:rsidR="00E71F06" w:rsidRPr="00C00335" w:rsidRDefault="00E71F06" w:rsidP="00E71F06">
            <w:pPr>
              <w:pStyle w:val="TableText"/>
              <w:spacing w:before="20" w:after="20"/>
            </w:pPr>
          </w:p>
        </w:tc>
      </w:tr>
      <w:tr w:rsidR="00E71F06" w:rsidRPr="00C00335" w14:paraId="4BF37AF0" w14:textId="77777777" w:rsidTr="00F349DD">
        <w:trPr>
          <w:cantSplit/>
        </w:trPr>
        <w:tc>
          <w:tcPr>
            <w:tcW w:w="2578" w:type="dxa"/>
            <w:gridSpan w:val="2"/>
            <w:tcBorders>
              <w:top w:val="single" w:sz="6" w:space="0" w:color="808080" w:themeColor="background1" w:themeShade="80"/>
              <w:bottom w:val="single" w:sz="6" w:space="0" w:color="808080" w:themeColor="background1" w:themeShade="80"/>
            </w:tcBorders>
            <w:shd w:val="clear" w:color="auto" w:fill="auto"/>
            <w:noWrap/>
          </w:tcPr>
          <w:p w14:paraId="16B842BD" w14:textId="274B501E" w:rsidR="00E71F06" w:rsidRPr="0058458C" w:rsidRDefault="00E71F06" w:rsidP="00E71F06">
            <w:pPr>
              <w:pStyle w:val="TableText"/>
              <w:spacing w:before="20" w:after="20"/>
              <w:ind w:left="246"/>
            </w:pPr>
            <w:r w:rsidRPr="0023643C">
              <w:t>25–34</w:t>
            </w:r>
          </w:p>
        </w:tc>
        <w:tc>
          <w:tcPr>
            <w:tcW w:w="252" w:type="dxa"/>
            <w:gridSpan w:val="2"/>
            <w:tcBorders>
              <w:top w:val="single" w:sz="6" w:space="0" w:color="808080" w:themeColor="background1" w:themeShade="80"/>
              <w:bottom w:val="single" w:sz="6" w:space="0" w:color="808080" w:themeColor="background1" w:themeShade="80"/>
            </w:tcBorders>
            <w:shd w:val="clear" w:color="auto" w:fill="auto"/>
            <w:noWrap/>
          </w:tcPr>
          <w:p w14:paraId="35E4F918" w14:textId="77777777" w:rsidR="00E71F06" w:rsidRPr="0023643C" w:rsidRDefault="00E71F06" w:rsidP="00E71F06">
            <w:pPr>
              <w:pStyle w:val="TableText"/>
              <w:spacing w:before="20" w:after="20"/>
              <w:jc w:val="center"/>
            </w:pPr>
          </w:p>
        </w:tc>
        <w:tc>
          <w:tcPr>
            <w:tcW w:w="6892" w:type="dxa"/>
            <w:gridSpan w:val="11"/>
            <w:tcBorders>
              <w:top w:val="single" w:sz="6" w:space="0" w:color="808080" w:themeColor="background1" w:themeShade="80"/>
              <w:bottom w:val="single" w:sz="6" w:space="0" w:color="808080" w:themeColor="background1" w:themeShade="80"/>
            </w:tcBorders>
            <w:shd w:val="clear" w:color="auto" w:fill="auto"/>
            <w:noWrap/>
          </w:tcPr>
          <w:p w14:paraId="53B44F34" w14:textId="1C023BF7" w:rsidR="00E71F06" w:rsidRPr="00284530" w:rsidRDefault="00095359" w:rsidP="00095359">
            <w:pPr>
              <w:pStyle w:val="TableText"/>
              <w:spacing w:before="20" w:after="20"/>
              <w:jc w:val="center"/>
            </w:pPr>
            <w:r w:rsidRPr="0023643C">
              <w:t>---------------------------</w:t>
            </w:r>
            <w:r w:rsidR="00E71F06" w:rsidRPr="004B4B3A">
              <w:t>79.0%</w:t>
            </w:r>
            <w:r w:rsidRPr="0023643C">
              <w:t>------------------------</w:t>
            </w:r>
          </w:p>
        </w:tc>
        <w:tc>
          <w:tcPr>
            <w:tcW w:w="3331" w:type="dxa"/>
            <w:shd w:val="clear" w:color="auto" w:fill="auto"/>
            <w:noWrap/>
          </w:tcPr>
          <w:p w14:paraId="474F6571" w14:textId="77777777" w:rsidR="00E71F06" w:rsidRPr="00C00335" w:rsidRDefault="00E71F06" w:rsidP="00E71F06">
            <w:pPr>
              <w:pStyle w:val="TableText"/>
              <w:spacing w:before="20" w:after="20"/>
            </w:pPr>
          </w:p>
        </w:tc>
      </w:tr>
      <w:tr w:rsidR="00E71F06" w:rsidRPr="00C00335" w14:paraId="6925D7FC" w14:textId="77777777" w:rsidTr="00F349DD">
        <w:trPr>
          <w:cantSplit/>
        </w:trPr>
        <w:tc>
          <w:tcPr>
            <w:tcW w:w="2578" w:type="dxa"/>
            <w:gridSpan w:val="2"/>
            <w:tcBorders>
              <w:top w:val="single" w:sz="6" w:space="0" w:color="808080" w:themeColor="background1" w:themeShade="80"/>
              <w:bottom w:val="single" w:sz="6" w:space="0" w:color="808080" w:themeColor="background1" w:themeShade="80"/>
            </w:tcBorders>
            <w:shd w:val="clear" w:color="auto" w:fill="auto"/>
            <w:noWrap/>
          </w:tcPr>
          <w:p w14:paraId="5DB1E245" w14:textId="57206F40" w:rsidR="00E71F06" w:rsidRPr="0058458C" w:rsidRDefault="00E71F06" w:rsidP="00E71F06">
            <w:pPr>
              <w:pStyle w:val="TableText"/>
              <w:spacing w:before="20" w:after="20"/>
              <w:ind w:left="246"/>
            </w:pPr>
            <w:r w:rsidRPr="0023643C">
              <w:t>35–44</w:t>
            </w:r>
          </w:p>
        </w:tc>
        <w:tc>
          <w:tcPr>
            <w:tcW w:w="252" w:type="dxa"/>
            <w:gridSpan w:val="2"/>
            <w:tcBorders>
              <w:top w:val="single" w:sz="6" w:space="0" w:color="808080" w:themeColor="background1" w:themeShade="80"/>
              <w:bottom w:val="single" w:sz="6" w:space="0" w:color="808080" w:themeColor="background1" w:themeShade="80"/>
            </w:tcBorders>
            <w:shd w:val="clear" w:color="auto" w:fill="auto"/>
            <w:noWrap/>
          </w:tcPr>
          <w:p w14:paraId="0C4266A2" w14:textId="77777777" w:rsidR="00E71F06" w:rsidRPr="0023643C" w:rsidRDefault="00E71F06" w:rsidP="00E71F06">
            <w:pPr>
              <w:pStyle w:val="TableText"/>
              <w:spacing w:before="20" w:after="20"/>
              <w:jc w:val="center"/>
            </w:pPr>
          </w:p>
        </w:tc>
        <w:tc>
          <w:tcPr>
            <w:tcW w:w="6892" w:type="dxa"/>
            <w:gridSpan w:val="11"/>
            <w:tcBorders>
              <w:top w:val="single" w:sz="6" w:space="0" w:color="808080" w:themeColor="background1" w:themeShade="80"/>
              <w:bottom w:val="single" w:sz="6" w:space="0" w:color="808080" w:themeColor="background1" w:themeShade="80"/>
            </w:tcBorders>
            <w:shd w:val="clear" w:color="auto" w:fill="auto"/>
            <w:noWrap/>
          </w:tcPr>
          <w:p w14:paraId="5B3A612B" w14:textId="04F118B0" w:rsidR="00E71F06" w:rsidRPr="00284530" w:rsidRDefault="00095359" w:rsidP="00095359">
            <w:pPr>
              <w:pStyle w:val="TableText"/>
              <w:spacing w:before="20" w:after="20"/>
              <w:jc w:val="center"/>
            </w:pPr>
            <w:r w:rsidRPr="0023643C">
              <w:t>---------------------------</w:t>
            </w:r>
            <w:r w:rsidR="00E71F06" w:rsidRPr="004B4B3A">
              <w:t>80.1%</w:t>
            </w:r>
            <w:r w:rsidRPr="0023643C">
              <w:t>------------------------</w:t>
            </w:r>
          </w:p>
        </w:tc>
        <w:tc>
          <w:tcPr>
            <w:tcW w:w="3331" w:type="dxa"/>
            <w:shd w:val="clear" w:color="auto" w:fill="auto"/>
            <w:noWrap/>
          </w:tcPr>
          <w:p w14:paraId="69AE920C" w14:textId="77777777" w:rsidR="00E71F06" w:rsidRPr="00C00335" w:rsidRDefault="00E71F06" w:rsidP="00E71F06">
            <w:pPr>
              <w:pStyle w:val="TableText"/>
              <w:spacing w:before="20" w:after="20"/>
            </w:pPr>
          </w:p>
        </w:tc>
      </w:tr>
      <w:tr w:rsidR="00E71F06" w:rsidRPr="00C00335" w14:paraId="58AA08D5" w14:textId="77777777" w:rsidTr="00F349DD">
        <w:trPr>
          <w:cantSplit/>
        </w:trPr>
        <w:tc>
          <w:tcPr>
            <w:tcW w:w="2578" w:type="dxa"/>
            <w:gridSpan w:val="2"/>
            <w:tcBorders>
              <w:top w:val="single" w:sz="6" w:space="0" w:color="808080" w:themeColor="background1" w:themeShade="80"/>
              <w:bottom w:val="single" w:sz="6" w:space="0" w:color="808080" w:themeColor="background1" w:themeShade="80"/>
            </w:tcBorders>
            <w:shd w:val="clear" w:color="auto" w:fill="auto"/>
            <w:noWrap/>
          </w:tcPr>
          <w:p w14:paraId="7A327F4A" w14:textId="15D29D00" w:rsidR="00E71F06" w:rsidRPr="0058458C" w:rsidRDefault="00E71F06" w:rsidP="00E71F06">
            <w:pPr>
              <w:pStyle w:val="TableText"/>
              <w:spacing w:before="20" w:after="20"/>
              <w:ind w:left="246"/>
            </w:pPr>
            <w:r w:rsidRPr="0023643C">
              <w:t>45–54</w:t>
            </w:r>
          </w:p>
        </w:tc>
        <w:tc>
          <w:tcPr>
            <w:tcW w:w="252" w:type="dxa"/>
            <w:gridSpan w:val="2"/>
            <w:tcBorders>
              <w:top w:val="single" w:sz="6" w:space="0" w:color="808080" w:themeColor="background1" w:themeShade="80"/>
              <w:bottom w:val="single" w:sz="6" w:space="0" w:color="808080" w:themeColor="background1" w:themeShade="80"/>
            </w:tcBorders>
            <w:shd w:val="clear" w:color="auto" w:fill="auto"/>
            <w:noWrap/>
          </w:tcPr>
          <w:p w14:paraId="7E4A4386" w14:textId="77777777" w:rsidR="00E71F06" w:rsidRPr="0023643C" w:rsidRDefault="00E71F06" w:rsidP="00E71F06">
            <w:pPr>
              <w:pStyle w:val="TableText"/>
              <w:spacing w:before="20" w:after="20"/>
              <w:jc w:val="center"/>
            </w:pPr>
          </w:p>
        </w:tc>
        <w:tc>
          <w:tcPr>
            <w:tcW w:w="6892" w:type="dxa"/>
            <w:gridSpan w:val="11"/>
            <w:tcBorders>
              <w:top w:val="single" w:sz="6" w:space="0" w:color="808080" w:themeColor="background1" w:themeShade="80"/>
              <w:bottom w:val="single" w:sz="6" w:space="0" w:color="808080" w:themeColor="background1" w:themeShade="80"/>
            </w:tcBorders>
            <w:shd w:val="clear" w:color="auto" w:fill="auto"/>
            <w:noWrap/>
          </w:tcPr>
          <w:p w14:paraId="0B647175" w14:textId="0FA29679" w:rsidR="00E71F06" w:rsidRPr="00284530" w:rsidRDefault="00095359" w:rsidP="00095359">
            <w:pPr>
              <w:pStyle w:val="TableText"/>
              <w:spacing w:before="20" w:after="20"/>
              <w:jc w:val="center"/>
            </w:pPr>
            <w:r w:rsidRPr="0023643C">
              <w:t>---------------------------</w:t>
            </w:r>
            <w:r w:rsidR="00E71F06" w:rsidRPr="004B4B3A">
              <w:t>79.3%</w:t>
            </w:r>
            <w:r w:rsidRPr="0023643C">
              <w:t>------------------------</w:t>
            </w:r>
          </w:p>
        </w:tc>
        <w:tc>
          <w:tcPr>
            <w:tcW w:w="3331" w:type="dxa"/>
            <w:shd w:val="clear" w:color="auto" w:fill="auto"/>
            <w:noWrap/>
          </w:tcPr>
          <w:p w14:paraId="27613E91" w14:textId="77777777" w:rsidR="00E71F06" w:rsidRPr="00C00335" w:rsidRDefault="00E71F06" w:rsidP="00E71F06">
            <w:pPr>
              <w:pStyle w:val="TableText"/>
              <w:spacing w:before="20" w:after="20"/>
            </w:pPr>
          </w:p>
        </w:tc>
      </w:tr>
      <w:tr w:rsidR="00E71F06" w:rsidRPr="00C00335" w14:paraId="47E85B5B" w14:textId="77777777" w:rsidTr="00F349DD">
        <w:trPr>
          <w:cantSplit/>
        </w:trPr>
        <w:tc>
          <w:tcPr>
            <w:tcW w:w="2578" w:type="dxa"/>
            <w:gridSpan w:val="2"/>
            <w:tcBorders>
              <w:top w:val="single" w:sz="6" w:space="0" w:color="808080" w:themeColor="background1" w:themeShade="80"/>
              <w:bottom w:val="single" w:sz="6" w:space="0" w:color="808080" w:themeColor="background1" w:themeShade="80"/>
            </w:tcBorders>
            <w:shd w:val="clear" w:color="auto" w:fill="auto"/>
            <w:noWrap/>
          </w:tcPr>
          <w:p w14:paraId="17A52284" w14:textId="197CC7CD" w:rsidR="00E71F06" w:rsidRPr="0058458C" w:rsidRDefault="00E71F06" w:rsidP="00E71F06">
            <w:pPr>
              <w:pStyle w:val="TableText"/>
              <w:spacing w:before="20" w:after="20"/>
              <w:ind w:left="246"/>
            </w:pPr>
            <w:r w:rsidRPr="0023643C">
              <w:t>55–64</w:t>
            </w:r>
          </w:p>
        </w:tc>
        <w:tc>
          <w:tcPr>
            <w:tcW w:w="252" w:type="dxa"/>
            <w:gridSpan w:val="2"/>
            <w:tcBorders>
              <w:top w:val="single" w:sz="6" w:space="0" w:color="808080" w:themeColor="background1" w:themeShade="80"/>
              <w:bottom w:val="single" w:sz="6" w:space="0" w:color="808080" w:themeColor="background1" w:themeShade="80"/>
            </w:tcBorders>
            <w:shd w:val="clear" w:color="auto" w:fill="auto"/>
            <w:noWrap/>
          </w:tcPr>
          <w:p w14:paraId="3529E145" w14:textId="77777777" w:rsidR="00E71F06" w:rsidRPr="0023643C" w:rsidRDefault="00E71F06" w:rsidP="00E71F06">
            <w:pPr>
              <w:pStyle w:val="TableText"/>
              <w:spacing w:before="20" w:after="20"/>
              <w:jc w:val="center"/>
            </w:pPr>
          </w:p>
        </w:tc>
        <w:tc>
          <w:tcPr>
            <w:tcW w:w="6892" w:type="dxa"/>
            <w:gridSpan w:val="11"/>
            <w:tcBorders>
              <w:top w:val="single" w:sz="6" w:space="0" w:color="808080" w:themeColor="background1" w:themeShade="80"/>
              <w:bottom w:val="single" w:sz="6" w:space="0" w:color="808080" w:themeColor="background1" w:themeShade="80"/>
            </w:tcBorders>
            <w:shd w:val="clear" w:color="auto" w:fill="auto"/>
            <w:noWrap/>
          </w:tcPr>
          <w:p w14:paraId="7BB49F0E" w14:textId="432391AF" w:rsidR="00E71F06" w:rsidRPr="00284530" w:rsidRDefault="00095359" w:rsidP="00095359">
            <w:pPr>
              <w:pStyle w:val="TableText"/>
              <w:spacing w:before="20" w:after="20"/>
              <w:jc w:val="center"/>
            </w:pPr>
            <w:r w:rsidRPr="0023643C">
              <w:t>---------------------------</w:t>
            </w:r>
            <w:r w:rsidR="00E71F06" w:rsidRPr="004B4B3A">
              <w:t>79.7%</w:t>
            </w:r>
            <w:r w:rsidRPr="0023643C">
              <w:t>------------------------</w:t>
            </w:r>
          </w:p>
        </w:tc>
        <w:tc>
          <w:tcPr>
            <w:tcW w:w="3331" w:type="dxa"/>
            <w:shd w:val="clear" w:color="auto" w:fill="auto"/>
            <w:noWrap/>
          </w:tcPr>
          <w:p w14:paraId="5B46D864" w14:textId="77777777" w:rsidR="00E71F06" w:rsidRPr="00C00335" w:rsidRDefault="00E71F06" w:rsidP="00E71F06">
            <w:pPr>
              <w:pStyle w:val="TableText"/>
              <w:spacing w:before="20" w:after="20"/>
            </w:pPr>
          </w:p>
        </w:tc>
      </w:tr>
      <w:tr w:rsidR="00E71F06" w:rsidRPr="00C00335" w14:paraId="56846B05"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307E6655" w14:textId="48D72FF2" w:rsidR="00E71F06" w:rsidRPr="0058458C" w:rsidRDefault="00E71F06" w:rsidP="00E71F06">
            <w:pPr>
              <w:pStyle w:val="TableText"/>
              <w:spacing w:before="20" w:after="20"/>
              <w:ind w:left="246"/>
            </w:pPr>
            <w:r w:rsidRPr="0023643C">
              <w:t>65+</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7C2894D4" w14:textId="77777777" w:rsidR="00E71F06" w:rsidRPr="0023643C" w:rsidRDefault="00E71F06" w:rsidP="00E71F06">
            <w:pPr>
              <w:pStyle w:val="TableText"/>
              <w:spacing w:before="20" w:after="20"/>
              <w:jc w:val="center"/>
            </w:pPr>
          </w:p>
        </w:tc>
        <w:tc>
          <w:tcPr>
            <w:tcW w:w="6930" w:type="dxa"/>
            <w:gridSpan w:val="12"/>
            <w:tcBorders>
              <w:top w:val="single" w:sz="6" w:space="0" w:color="808080" w:themeColor="background1" w:themeShade="80"/>
              <w:bottom w:val="single" w:sz="6" w:space="0" w:color="808080" w:themeColor="background1" w:themeShade="80"/>
            </w:tcBorders>
            <w:shd w:val="clear" w:color="auto" w:fill="auto"/>
            <w:noWrap/>
          </w:tcPr>
          <w:p w14:paraId="66F28B54" w14:textId="6E95E31B" w:rsidR="00E71F06" w:rsidRPr="00284530" w:rsidRDefault="00095359" w:rsidP="00095359">
            <w:pPr>
              <w:pStyle w:val="TableText"/>
              <w:spacing w:before="20" w:after="20"/>
              <w:jc w:val="center"/>
            </w:pPr>
            <w:r w:rsidRPr="0023643C">
              <w:t>----------------------------</w:t>
            </w:r>
            <w:r w:rsidR="00E71F06" w:rsidRPr="004B4B3A">
              <w:t>79.5%</w:t>
            </w:r>
            <w:r w:rsidRPr="0023643C">
              <w:t>------------------------</w:t>
            </w:r>
          </w:p>
        </w:tc>
        <w:tc>
          <w:tcPr>
            <w:tcW w:w="3331" w:type="dxa"/>
            <w:shd w:val="clear" w:color="auto" w:fill="auto"/>
            <w:noWrap/>
          </w:tcPr>
          <w:p w14:paraId="01D7FFFE" w14:textId="77777777" w:rsidR="00E71F06" w:rsidRPr="00C00335" w:rsidRDefault="00E71F06" w:rsidP="00E71F06">
            <w:pPr>
              <w:pStyle w:val="TableText"/>
              <w:spacing w:before="20" w:after="20"/>
            </w:pPr>
          </w:p>
        </w:tc>
      </w:tr>
      <w:tr w:rsidR="002C3139" w:rsidRPr="00C00335" w14:paraId="20FD5928" w14:textId="77777777" w:rsidTr="00BA30F7">
        <w:trPr>
          <w:cantSplit/>
        </w:trPr>
        <w:tc>
          <w:tcPr>
            <w:tcW w:w="13053" w:type="dxa"/>
            <w:gridSpan w:val="16"/>
            <w:tcBorders>
              <w:top w:val="single" w:sz="6" w:space="0" w:color="808080" w:themeColor="background1" w:themeShade="80"/>
              <w:bottom w:val="single" w:sz="6" w:space="0" w:color="808080" w:themeColor="background1" w:themeShade="80"/>
            </w:tcBorders>
            <w:shd w:val="clear" w:color="auto" w:fill="auto"/>
            <w:noWrap/>
          </w:tcPr>
          <w:p w14:paraId="0D235EED" w14:textId="176E6BF1" w:rsidR="002C3139" w:rsidRPr="00C00335" w:rsidRDefault="002C3139" w:rsidP="00E71F06">
            <w:pPr>
              <w:pStyle w:val="TableText"/>
              <w:spacing w:before="20" w:after="20"/>
            </w:pPr>
            <w:r w:rsidRPr="002C3139">
              <w:t>Percentage of Sexual Acts That Are Anal (vs. Vaginal) in Male-Female Partnerships with Anal Intercourse</w:t>
            </w:r>
          </w:p>
        </w:tc>
      </w:tr>
      <w:tr w:rsidR="00050407" w:rsidRPr="00C00335" w14:paraId="7D11A8EC"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7CC53245" w14:textId="625B9DD8" w:rsidR="00050407" w:rsidRPr="002C3139" w:rsidRDefault="00050407" w:rsidP="002C3139">
            <w:pPr>
              <w:pStyle w:val="TableText"/>
              <w:spacing w:before="20" w:after="20"/>
              <w:ind w:left="254"/>
            </w:pPr>
            <w:r w:rsidRPr="0023643C">
              <w:t>13–17</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34268910" w14:textId="77777777" w:rsidR="00050407" w:rsidRPr="0023643C" w:rsidRDefault="00050407" w:rsidP="002C3139">
            <w:pPr>
              <w:pStyle w:val="TableText"/>
              <w:spacing w:before="20" w:after="20"/>
              <w:jc w:val="center"/>
            </w:pPr>
          </w:p>
        </w:tc>
        <w:tc>
          <w:tcPr>
            <w:tcW w:w="3465" w:type="dxa"/>
            <w:gridSpan w:val="6"/>
            <w:tcBorders>
              <w:top w:val="single" w:sz="6" w:space="0" w:color="808080" w:themeColor="background1" w:themeShade="80"/>
              <w:bottom w:val="single" w:sz="6" w:space="0" w:color="808080" w:themeColor="background1" w:themeShade="80"/>
            </w:tcBorders>
            <w:shd w:val="clear" w:color="auto" w:fill="auto"/>
            <w:noWrap/>
          </w:tcPr>
          <w:p w14:paraId="0A0E427B" w14:textId="318EAD52" w:rsidR="00050407" w:rsidRPr="0023643C" w:rsidRDefault="00024B80" w:rsidP="002C3139">
            <w:pPr>
              <w:pStyle w:val="TableText"/>
              <w:spacing w:before="20" w:after="20"/>
              <w:jc w:val="center"/>
            </w:pPr>
            <w:r w:rsidRPr="0023643C">
              <w:t>---------</w:t>
            </w:r>
            <w:r w:rsidR="00050407" w:rsidRPr="0023643C">
              <w:t>14.3%</w:t>
            </w:r>
            <w:r w:rsidRPr="0023643C">
              <w:t>---------</w:t>
            </w:r>
          </w:p>
        </w:tc>
        <w:tc>
          <w:tcPr>
            <w:tcW w:w="3465" w:type="dxa"/>
            <w:gridSpan w:val="6"/>
            <w:tcBorders>
              <w:top w:val="single" w:sz="6" w:space="0" w:color="808080" w:themeColor="background1" w:themeShade="80"/>
              <w:bottom w:val="single" w:sz="6" w:space="0" w:color="808080" w:themeColor="background1" w:themeShade="80"/>
            </w:tcBorders>
            <w:shd w:val="clear" w:color="auto" w:fill="auto"/>
          </w:tcPr>
          <w:p w14:paraId="4564F85D" w14:textId="6EE957A0" w:rsidR="00050407" w:rsidRPr="0023643C" w:rsidRDefault="00024B80" w:rsidP="002C3139">
            <w:pPr>
              <w:pStyle w:val="TableText"/>
              <w:spacing w:before="20" w:after="20"/>
              <w:jc w:val="center"/>
            </w:pPr>
            <w:r w:rsidRPr="0023643C">
              <w:t>---------</w:t>
            </w:r>
            <w:r w:rsidR="00050407" w:rsidRPr="0023643C">
              <w:t>31.6%</w:t>
            </w:r>
            <w:r w:rsidRPr="0023643C">
              <w:t>---------</w:t>
            </w:r>
          </w:p>
        </w:tc>
        <w:tc>
          <w:tcPr>
            <w:tcW w:w="3331" w:type="dxa"/>
            <w:vMerge w:val="restart"/>
            <w:shd w:val="clear" w:color="auto" w:fill="auto"/>
            <w:noWrap/>
          </w:tcPr>
          <w:p w14:paraId="54E24FDE" w14:textId="77777777" w:rsidR="00050407" w:rsidRDefault="00050407" w:rsidP="002C3139">
            <w:pPr>
              <w:pStyle w:val="TableText"/>
              <w:spacing w:before="20" w:after="20"/>
            </w:pPr>
            <w:r>
              <w:t xml:space="preserve">Female: </w:t>
            </w:r>
            <w:r w:rsidRPr="0023643C">
              <w:t>NSSHB data from Reece et al. (2010a)</w:t>
            </w:r>
          </w:p>
          <w:p w14:paraId="4D98E18C" w14:textId="091ED1DE" w:rsidR="00050407" w:rsidRPr="00C00335" w:rsidRDefault="00050407" w:rsidP="002C3139">
            <w:pPr>
              <w:pStyle w:val="TableText"/>
              <w:spacing w:before="20" w:after="20"/>
            </w:pPr>
            <w:r>
              <w:t xml:space="preserve">Male: </w:t>
            </w:r>
            <w:r w:rsidRPr="0023643C">
              <w:t>NSSHB data from Herbenick et al. (2010)</w:t>
            </w:r>
          </w:p>
        </w:tc>
      </w:tr>
      <w:tr w:rsidR="00050407" w:rsidRPr="00C00335" w14:paraId="642913FF"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3205DC82" w14:textId="6FC35815" w:rsidR="00050407" w:rsidRPr="002C3139" w:rsidRDefault="00050407" w:rsidP="002C3139">
            <w:pPr>
              <w:pStyle w:val="TableText"/>
              <w:spacing w:before="20" w:after="20"/>
              <w:ind w:left="254"/>
            </w:pPr>
            <w:r w:rsidRPr="0023643C">
              <w:t>18–24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25E93D52" w14:textId="77777777" w:rsidR="00050407" w:rsidRPr="0023643C" w:rsidRDefault="00050407" w:rsidP="002C3139">
            <w:pPr>
              <w:pStyle w:val="TableText"/>
              <w:spacing w:before="20" w:after="20"/>
              <w:jc w:val="center"/>
            </w:pPr>
          </w:p>
        </w:tc>
        <w:tc>
          <w:tcPr>
            <w:tcW w:w="3465" w:type="dxa"/>
            <w:gridSpan w:val="6"/>
            <w:tcBorders>
              <w:top w:val="single" w:sz="6" w:space="0" w:color="808080" w:themeColor="background1" w:themeShade="80"/>
              <w:bottom w:val="single" w:sz="6" w:space="0" w:color="808080" w:themeColor="background1" w:themeShade="80"/>
            </w:tcBorders>
            <w:shd w:val="clear" w:color="auto" w:fill="auto"/>
            <w:noWrap/>
          </w:tcPr>
          <w:p w14:paraId="7FE2414F" w14:textId="37A2C69C" w:rsidR="00050407" w:rsidRPr="0023643C" w:rsidRDefault="00024B80" w:rsidP="002C3139">
            <w:pPr>
              <w:pStyle w:val="TableText"/>
              <w:spacing w:before="20" w:after="20"/>
              <w:jc w:val="center"/>
            </w:pPr>
            <w:r w:rsidRPr="0023643C">
              <w:t>---------</w:t>
            </w:r>
            <w:r w:rsidR="00050407" w:rsidRPr="0023643C">
              <w:t>19.0%</w:t>
            </w:r>
            <w:r w:rsidRPr="0023643C">
              <w:t>---------</w:t>
            </w:r>
          </w:p>
        </w:tc>
        <w:tc>
          <w:tcPr>
            <w:tcW w:w="3465" w:type="dxa"/>
            <w:gridSpan w:val="6"/>
            <w:tcBorders>
              <w:top w:val="single" w:sz="6" w:space="0" w:color="808080" w:themeColor="background1" w:themeShade="80"/>
              <w:bottom w:val="single" w:sz="6" w:space="0" w:color="808080" w:themeColor="background1" w:themeShade="80"/>
            </w:tcBorders>
            <w:shd w:val="clear" w:color="auto" w:fill="auto"/>
          </w:tcPr>
          <w:p w14:paraId="25F081B1" w14:textId="1D004D18" w:rsidR="00050407" w:rsidRPr="0023643C" w:rsidRDefault="00024B80" w:rsidP="002C3139">
            <w:pPr>
              <w:pStyle w:val="TableText"/>
              <w:spacing w:before="20" w:after="20"/>
              <w:jc w:val="center"/>
            </w:pPr>
            <w:r w:rsidRPr="0023643C">
              <w:t>---------</w:t>
            </w:r>
            <w:r w:rsidR="00050407" w:rsidRPr="0023643C">
              <w:t>24.6%</w:t>
            </w:r>
            <w:r w:rsidRPr="0023643C">
              <w:t>---------</w:t>
            </w:r>
          </w:p>
        </w:tc>
        <w:tc>
          <w:tcPr>
            <w:tcW w:w="3331" w:type="dxa"/>
            <w:vMerge/>
            <w:shd w:val="clear" w:color="auto" w:fill="auto"/>
            <w:noWrap/>
          </w:tcPr>
          <w:p w14:paraId="16AC1EDF" w14:textId="77777777" w:rsidR="00050407" w:rsidRPr="00C00335" w:rsidRDefault="00050407" w:rsidP="002C3139">
            <w:pPr>
              <w:pStyle w:val="TableText"/>
              <w:spacing w:before="20" w:after="20"/>
            </w:pPr>
          </w:p>
        </w:tc>
      </w:tr>
      <w:tr w:rsidR="00050407" w:rsidRPr="00C00335" w14:paraId="788B50F6"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3E32686D" w14:textId="34171E0F" w:rsidR="00050407" w:rsidRPr="002C3139" w:rsidRDefault="00050407" w:rsidP="002C3139">
            <w:pPr>
              <w:pStyle w:val="TableText"/>
              <w:spacing w:before="20" w:after="20"/>
              <w:ind w:left="254"/>
            </w:pPr>
            <w:r w:rsidRPr="0023643C">
              <w:t>25–34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2EDCF1BE" w14:textId="77777777" w:rsidR="00050407" w:rsidRPr="0023643C" w:rsidRDefault="00050407" w:rsidP="002C3139">
            <w:pPr>
              <w:pStyle w:val="TableText"/>
              <w:spacing w:before="20" w:after="20"/>
              <w:jc w:val="center"/>
            </w:pPr>
          </w:p>
        </w:tc>
        <w:tc>
          <w:tcPr>
            <w:tcW w:w="3465" w:type="dxa"/>
            <w:gridSpan w:val="6"/>
            <w:tcBorders>
              <w:top w:val="single" w:sz="6" w:space="0" w:color="808080" w:themeColor="background1" w:themeShade="80"/>
              <w:bottom w:val="single" w:sz="6" w:space="0" w:color="808080" w:themeColor="background1" w:themeShade="80"/>
            </w:tcBorders>
            <w:shd w:val="clear" w:color="auto" w:fill="auto"/>
            <w:noWrap/>
          </w:tcPr>
          <w:p w14:paraId="6D32DF30" w14:textId="7BD6AFF7" w:rsidR="00050407" w:rsidRPr="0023643C" w:rsidRDefault="00024B80" w:rsidP="002C3139">
            <w:pPr>
              <w:pStyle w:val="TableText"/>
              <w:spacing w:before="20" w:after="20"/>
              <w:jc w:val="center"/>
            </w:pPr>
            <w:r w:rsidRPr="0023643C">
              <w:t>---------</w:t>
            </w:r>
            <w:r w:rsidR="00050407" w:rsidRPr="0023643C">
              <w:t>20.6%</w:t>
            </w:r>
            <w:r w:rsidRPr="0023643C">
              <w:t>---------</w:t>
            </w:r>
          </w:p>
        </w:tc>
        <w:tc>
          <w:tcPr>
            <w:tcW w:w="3465" w:type="dxa"/>
            <w:gridSpan w:val="6"/>
            <w:tcBorders>
              <w:top w:val="single" w:sz="6" w:space="0" w:color="808080" w:themeColor="background1" w:themeShade="80"/>
              <w:bottom w:val="single" w:sz="6" w:space="0" w:color="808080" w:themeColor="background1" w:themeShade="80"/>
            </w:tcBorders>
            <w:shd w:val="clear" w:color="auto" w:fill="auto"/>
          </w:tcPr>
          <w:p w14:paraId="53A9141F" w14:textId="134F27A4" w:rsidR="00050407" w:rsidRPr="0023643C" w:rsidRDefault="00024B80" w:rsidP="002C3139">
            <w:pPr>
              <w:pStyle w:val="TableText"/>
              <w:spacing w:before="20" w:after="20"/>
              <w:jc w:val="center"/>
            </w:pPr>
            <w:r w:rsidRPr="0023643C">
              <w:t>---------</w:t>
            </w:r>
            <w:r w:rsidR="00050407" w:rsidRPr="0023643C">
              <w:t>21.9%</w:t>
            </w:r>
            <w:r w:rsidRPr="0023643C">
              <w:t>---------</w:t>
            </w:r>
          </w:p>
        </w:tc>
        <w:tc>
          <w:tcPr>
            <w:tcW w:w="3331" w:type="dxa"/>
            <w:vMerge/>
            <w:shd w:val="clear" w:color="auto" w:fill="auto"/>
            <w:noWrap/>
          </w:tcPr>
          <w:p w14:paraId="1875C174" w14:textId="3B47BBF4" w:rsidR="00050407" w:rsidRPr="00C00335" w:rsidRDefault="00050407" w:rsidP="002C3139">
            <w:pPr>
              <w:pStyle w:val="TableText"/>
              <w:spacing w:before="20" w:after="20"/>
            </w:pPr>
          </w:p>
        </w:tc>
      </w:tr>
      <w:tr w:rsidR="00050407" w:rsidRPr="00C00335" w14:paraId="480E104D"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7D162F99" w14:textId="75E8E5CF" w:rsidR="00050407" w:rsidRPr="002C3139" w:rsidRDefault="00050407" w:rsidP="002C3139">
            <w:pPr>
              <w:pStyle w:val="TableText"/>
              <w:spacing w:before="20" w:after="20"/>
              <w:ind w:left="254"/>
            </w:pPr>
            <w:r w:rsidRPr="0023643C">
              <w:t>35–44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572CEB21" w14:textId="77777777" w:rsidR="00050407" w:rsidRPr="0023643C" w:rsidRDefault="00050407" w:rsidP="002C3139">
            <w:pPr>
              <w:pStyle w:val="TableText"/>
              <w:spacing w:before="20" w:after="20"/>
              <w:jc w:val="center"/>
            </w:pPr>
          </w:p>
        </w:tc>
        <w:tc>
          <w:tcPr>
            <w:tcW w:w="3465" w:type="dxa"/>
            <w:gridSpan w:val="6"/>
            <w:tcBorders>
              <w:top w:val="single" w:sz="6" w:space="0" w:color="808080" w:themeColor="background1" w:themeShade="80"/>
              <w:bottom w:val="single" w:sz="6" w:space="0" w:color="808080" w:themeColor="background1" w:themeShade="80"/>
            </w:tcBorders>
            <w:shd w:val="clear" w:color="auto" w:fill="auto"/>
            <w:noWrap/>
          </w:tcPr>
          <w:p w14:paraId="71453637" w14:textId="23003A24" w:rsidR="00050407" w:rsidRPr="0023643C" w:rsidRDefault="00024B80" w:rsidP="002C3139">
            <w:pPr>
              <w:pStyle w:val="TableText"/>
              <w:spacing w:before="20" w:after="20"/>
              <w:jc w:val="center"/>
            </w:pPr>
            <w:r w:rsidRPr="0023643C">
              <w:t>---------</w:t>
            </w:r>
            <w:r w:rsidR="00050407" w:rsidRPr="0023643C">
              <w:t>16.6%</w:t>
            </w:r>
            <w:r w:rsidRPr="0023643C">
              <w:t>---------</w:t>
            </w:r>
          </w:p>
        </w:tc>
        <w:tc>
          <w:tcPr>
            <w:tcW w:w="3465" w:type="dxa"/>
            <w:gridSpan w:val="6"/>
            <w:tcBorders>
              <w:top w:val="single" w:sz="6" w:space="0" w:color="808080" w:themeColor="background1" w:themeShade="80"/>
              <w:bottom w:val="single" w:sz="6" w:space="0" w:color="808080" w:themeColor="background1" w:themeShade="80"/>
            </w:tcBorders>
            <w:shd w:val="clear" w:color="auto" w:fill="auto"/>
          </w:tcPr>
          <w:p w14:paraId="073DC509" w14:textId="74E54FEC" w:rsidR="00050407" w:rsidRPr="0023643C" w:rsidRDefault="00024B80" w:rsidP="002C3139">
            <w:pPr>
              <w:pStyle w:val="TableText"/>
              <w:spacing w:before="20" w:after="20"/>
              <w:jc w:val="center"/>
            </w:pPr>
            <w:r w:rsidRPr="0023643C">
              <w:t>---------</w:t>
            </w:r>
            <w:r w:rsidR="00050407" w:rsidRPr="0023643C">
              <w:t>20.5%</w:t>
            </w:r>
            <w:r w:rsidRPr="0023643C">
              <w:t>---------</w:t>
            </w:r>
          </w:p>
        </w:tc>
        <w:tc>
          <w:tcPr>
            <w:tcW w:w="3331" w:type="dxa"/>
            <w:vMerge/>
            <w:shd w:val="clear" w:color="auto" w:fill="auto"/>
            <w:noWrap/>
          </w:tcPr>
          <w:p w14:paraId="67BC90DB" w14:textId="77777777" w:rsidR="00050407" w:rsidRPr="00C00335" w:rsidRDefault="00050407" w:rsidP="002C3139">
            <w:pPr>
              <w:pStyle w:val="TableText"/>
              <w:spacing w:before="20" w:after="20"/>
            </w:pPr>
          </w:p>
        </w:tc>
      </w:tr>
      <w:tr w:rsidR="00050407" w:rsidRPr="00C00335" w14:paraId="03FA573E"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07554A58" w14:textId="02C53788" w:rsidR="00050407" w:rsidRPr="002C3139" w:rsidRDefault="00050407" w:rsidP="002C3139">
            <w:pPr>
              <w:pStyle w:val="TableText"/>
              <w:spacing w:before="20" w:after="20"/>
              <w:ind w:left="254"/>
            </w:pPr>
            <w:r w:rsidRPr="0023643C">
              <w:t>45–54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6E11CC43" w14:textId="77777777" w:rsidR="00050407" w:rsidRPr="0023643C" w:rsidRDefault="00050407" w:rsidP="002C3139">
            <w:pPr>
              <w:pStyle w:val="TableText"/>
              <w:spacing w:before="20" w:after="20"/>
              <w:jc w:val="center"/>
            </w:pPr>
          </w:p>
        </w:tc>
        <w:tc>
          <w:tcPr>
            <w:tcW w:w="3465" w:type="dxa"/>
            <w:gridSpan w:val="6"/>
            <w:tcBorders>
              <w:top w:val="single" w:sz="6" w:space="0" w:color="808080" w:themeColor="background1" w:themeShade="80"/>
              <w:bottom w:val="single" w:sz="6" w:space="0" w:color="808080" w:themeColor="background1" w:themeShade="80"/>
            </w:tcBorders>
            <w:shd w:val="clear" w:color="auto" w:fill="auto"/>
            <w:noWrap/>
          </w:tcPr>
          <w:p w14:paraId="3BD60C51" w14:textId="4E467E4D" w:rsidR="00050407" w:rsidRPr="0023643C" w:rsidRDefault="00024B80" w:rsidP="002C3139">
            <w:pPr>
              <w:pStyle w:val="TableText"/>
              <w:spacing w:before="20" w:after="20"/>
              <w:jc w:val="center"/>
            </w:pPr>
            <w:r w:rsidRPr="0023643C">
              <w:t>---------</w:t>
            </w:r>
            <w:r w:rsidR="00050407" w:rsidRPr="0023643C">
              <w:t>17.2%</w:t>
            </w:r>
            <w:r w:rsidRPr="0023643C">
              <w:t>---------</w:t>
            </w:r>
          </w:p>
        </w:tc>
        <w:tc>
          <w:tcPr>
            <w:tcW w:w="3465" w:type="dxa"/>
            <w:gridSpan w:val="6"/>
            <w:tcBorders>
              <w:top w:val="single" w:sz="6" w:space="0" w:color="808080" w:themeColor="background1" w:themeShade="80"/>
              <w:bottom w:val="single" w:sz="6" w:space="0" w:color="808080" w:themeColor="background1" w:themeShade="80"/>
            </w:tcBorders>
            <w:shd w:val="clear" w:color="auto" w:fill="auto"/>
          </w:tcPr>
          <w:p w14:paraId="1DA36182" w14:textId="5E95C197" w:rsidR="00050407" w:rsidRPr="0023643C" w:rsidRDefault="00024B80" w:rsidP="002C3139">
            <w:pPr>
              <w:pStyle w:val="TableText"/>
              <w:spacing w:before="20" w:after="20"/>
              <w:jc w:val="center"/>
            </w:pPr>
            <w:r w:rsidRPr="0023643C">
              <w:t>---------</w:t>
            </w:r>
            <w:r w:rsidR="00050407" w:rsidRPr="0023643C">
              <w:t>20.5%</w:t>
            </w:r>
            <w:r w:rsidRPr="0023643C">
              <w:t>---------</w:t>
            </w:r>
          </w:p>
        </w:tc>
        <w:tc>
          <w:tcPr>
            <w:tcW w:w="3331" w:type="dxa"/>
            <w:vMerge/>
            <w:shd w:val="clear" w:color="auto" w:fill="auto"/>
            <w:noWrap/>
          </w:tcPr>
          <w:p w14:paraId="1FE08927" w14:textId="77777777" w:rsidR="00050407" w:rsidRPr="00C00335" w:rsidRDefault="00050407" w:rsidP="002C3139">
            <w:pPr>
              <w:pStyle w:val="TableText"/>
              <w:spacing w:before="20" w:after="20"/>
            </w:pPr>
          </w:p>
        </w:tc>
      </w:tr>
      <w:tr w:rsidR="00050407" w:rsidRPr="00C00335" w14:paraId="451F357D"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21A605F4" w14:textId="62EFFD4C" w:rsidR="00050407" w:rsidRPr="002C3139" w:rsidRDefault="00050407" w:rsidP="002C3139">
            <w:pPr>
              <w:pStyle w:val="TableText"/>
              <w:spacing w:before="20" w:after="20"/>
              <w:ind w:left="254"/>
            </w:pPr>
            <w:r w:rsidRPr="0023643C">
              <w:t>55–64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793F273F" w14:textId="77777777" w:rsidR="00050407" w:rsidRPr="0023643C" w:rsidRDefault="00050407" w:rsidP="002C3139">
            <w:pPr>
              <w:pStyle w:val="TableText"/>
              <w:spacing w:before="20" w:after="20"/>
              <w:jc w:val="center"/>
            </w:pPr>
          </w:p>
        </w:tc>
        <w:tc>
          <w:tcPr>
            <w:tcW w:w="3465" w:type="dxa"/>
            <w:gridSpan w:val="6"/>
            <w:tcBorders>
              <w:top w:val="single" w:sz="6" w:space="0" w:color="808080" w:themeColor="background1" w:themeShade="80"/>
              <w:bottom w:val="single" w:sz="6" w:space="0" w:color="808080" w:themeColor="background1" w:themeShade="80"/>
            </w:tcBorders>
            <w:shd w:val="clear" w:color="auto" w:fill="auto"/>
            <w:noWrap/>
          </w:tcPr>
          <w:p w14:paraId="06D19247" w14:textId="2AC9F5C4" w:rsidR="00050407" w:rsidRPr="0023643C" w:rsidRDefault="00024B80" w:rsidP="002C3139">
            <w:pPr>
              <w:pStyle w:val="TableText"/>
              <w:spacing w:before="20" w:after="20"/>
              <w:jc w:val="center"/>
            </w:pPr>
            <w:r w:rsidRPr="0023643C">
              <w:t>---------</w:t>
            </w:r>
            <w:r w:rsidR="00050407" w:rsidRPr="0023643C">
              <w:t>23.0%</w:t>
            </w:r>
            <w:r w:rsidRPr="0023643C">
              <w:t>---------</w:t>
            </w:r>
          </w:p>
        </w:tc>
        <w:tc>
          <w:tcPr>
            <w:tcW w:w="3465" w:type="dxa"/>
            <w:gridSpan w:val="6"/>
            <w:tcBorders>
              <w:top w:val="single" w:sz="6" w:space="0" w:color="808080" w:themeColor="background1" w:themeShade="80"/>
              <w:bottom w:val="single" w:sz="6" w:space="0" w:color="808080" w:themeColor="background1" w:themeShade="80"/>
            </w:tcBorders>
            <w:shd w:val="clear" w:color="auto" w:fill="auto"/>
          </w:tcPr>
          <w:p w14:paraId="30E560F8" w14:textId="1DCC6EA5" w:rsidR="00050407" w:rsidRPr="0023643C" w:rsidRDefault="00024B80" w:rsidP="002C3139">
            <w:pPr>
              <w:pStyle w:val="TableText"/>
              <w:spacing w:before="20" w:after="20"/>
              <w:jc w:val="center"/>
            </w:pPr>
            <w:r w:rsidRPr="0023643C">
              <w:t>---------</w:t>
            </w:r>
            <w:r w:rsidR="00050407" w:rsidRPr="0023643C">
              <w:t>25.1%</w:t>
            </w:r>
            <w:r w:rsidRPr="0023643C">
              <w:t>---------</w:t>
            </w:r>
          </w:p>
        </w:tc>
        <w:tc>
          <w:tcPr>
            <w:tcW w:w="3331" w:type="dxa"/>
            <w:vMerge/>
            <w:shd w:val="clear" w:color="auto" w:fill="auto"/>
            <w:noWrap/>
          </w:tcPr>
          <w:p w14:paraId="6AC5E641" w14:textId="77777777" w:rsidR="00050407" w:rsidRPr="00C00335" w:rsidRDefault="00050407" w:rsidP="002C3139">
            <w:pPr>
              <w:pStyle w:val="TableText"/>
              <w:spacing w:before="20" w:after="20"/>
            </w:pPr>
          </w:p>
        </w:tc>
      </w:tr>
      <w:tr w:rsidR="00050407" w:rsidRPr="00C00335" w14:paraId="415A9EC1"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39953E93" w14:textId="2BD542DA" w:rsidR="00050407" w:rsidRPr="002C3139" w:rsidRDefault="00050407" w:rsidP="002C3139">
            <w:pPr>
              <w:pStyle w:val="TableText"/>
              <w:spacing w:before="20" w:after="20"/>
              <w:ind w:left="254"/>
            </w:pPr>
            <w:r w:rsidRPr="0023643C">
              <w:t>65+</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2D8E6991" w14:textId="77777777" w:rsidR="00050407" w:rsidRPr="0023643C" w:rsidRDefault="00050407" w:rsidP="002C3139">
            <w:pPr>
              <w:pStyle w:val="TableText"/>
              <w:spacing w:before="20" w:after="20"/>
              <w:jc w:val="center"/>
            </w:pPr>
          </w:p>
        </w:tc>
        <w:tc>
          <w:tcPr>
            <w:tcW w:w="3465" w:type="dxa"/>
            <w:gridSpan w:val="6"/>
            <w:tcBorders>
              <w:top w:val="single" w:sz="6" w:space="0" w:color="808080" w:themeColor="background1" w:themeShade="80"/>
              <w:bottom w:val="single" w:sz="6" w:space="0" w:color="808080" w:themeColor="background1" w:themeShade="80"/>
            </w:tcBorders>
            <w:shd w:val="clear" w:color="auto" w:fill="auto"/>
            <w:noWrap/>
          </w:tcPr>
          <w:p w14:paraId="4B74A330" w14:textId="25849679" w:rsidR="00050407" w:rsidRPr="0023643C" w:rsidRDefault="00024B80" w:rsidP="002C3139">
            <w:pPr>
              <w:pStyle w:val="TableText"/>
              <w:spacing w:before="20" w:after="20"/>
              <w:jc w:val="center"/>
            </w:pPr>
            <w:r w:rsidRPr="0023643C">
              <w:t>---------</w:t>
            </w:r>
            <w:r w:rsidR="00050407" w:rsidRPr="0023643C">
              <w:t>36.2%</w:t>
            </w:r>
            <w:r w:rsidRPr="0023643C">
              <w:t>---------</w:t>
            </w:r>
          </w:p>
        </w:tc>
        <w:tc>
          <w:tcPr>
            <w:tcW w:w="3465" w:type="dxa"/>
            <w:gridSpan w:val="6"/>
            <w:tcBorders>
              <w:top w:val="single" w:sz="6" w:space="0" w:color="808080" w:themeColor="background1" w:themeShade="80"/>
              <w:bottom w:val="single" w:sz="6" w:space="0" w:color="808080" w:themeColor="background1" w:themeShade="80"/>
            </w:tcBorders>
            <w:shd w:val="clear" w:color="auto" w:fill="auto"/>
          </w:tcPr>
          <w:p w14:paraId="54A5352A" w14:textId="508EBEDB" w:rsidR="00050407" w:rsidRPr="0023643C" w:rsidRDefault="00024B80" w:rsidP="002C3139">
            <w:pPr>
              <w:pStyle w:val="TableText"/>
              <w:spacing w:before="20" w:after="20"/>
              <w:jc w:val="center"/>
            </w:pPr>
            <w:r w:rsidRPr="0023643C">
              <w:t>---------</w:t>
            </w:r>
            <w:r w:rsidR="00050407" w:rsidRPr="0023643C">
              <w:t>21.0%</w:t>
            </w:r>
            <w:r w:rsidRPr="0023643C">
              <w:t>---------</w:t>
            </w:r>
          </w:p>
        </w:tc>
        <w:tc>
          <w:tcPr>
            <w:tcW w:w="3331" w:type="dxa"/>
            <w:vMerge/>
            <w:shd w:val="clear" w:color="auto" w:fill="auto"/>
            <w:noWrap/>
          </w:tcPr>
          <w:p w14:paraId="60F56618" w14:textId="77777777" w:rsidR="00050407" w:rsidRPr="00C00335" w:rsidRDefault="00050407" w:rsidP="002C3139">
            <w:pPr>
              <w:pStyle w:val="TableText"/>
              <w:spacing w:before="20" w:after="20"/>
            </w:pPr>
          </w:p>
        </w:tc>
      </w:tr>
      <w:tr w:rsidR="00050407" w:rsidRPr="00C00335" w14:paraId="28F5E755" w14:textId="77777777" w:rsidTr="00BA30F7">
        <w:trPr>
          <w:cantSplit/>
        </w:trPr>
        <w:tc>
          <w:tcPr>
            <w:tcW w:w="13053" w:type="dxa"/>
            <w:gridSpan w:val="16"/>
            <w:tcBorders>
              <w:top w:val="single" w:sz="6" w:space="0" w:color="808080" w:themeColor="background1" w:themeShade="80"/>
              <w:bottom w:val="single" w:sz="6" w:space="0" w:color="808080" w:themeColor="background1" w:themeShade="80"/>
            </w:tcBorders>
            <w:shd w:val="clear" w:color="auto" w:fill="auto"/>
            <w:noWrap/>
          </w:tcPr>
          <w:p w14:paraId="085466BC" w14:textId="0427EB5D" w:rsidR="00050407" w:rsidRPr="00C00335" w:rsidRDefault="00050407" w:rsidP="002C3139">
            <w:pPr>
              <w:pStyle w:val="TableText"/>
              <w:spacing w:before="20" w:after="20"/>
            </w:pPr>
            <w:r w:rsidRPr="00F349DD">
              <w:t xml:space="preserve">Percentage of People Who Have Anal Intercourse in their Male-Female Sexual </w:t>
            </w:r>
            <w:proofErr w:type="spellStart"/>
            <w:r w:rsidRPr="00F349DD">
              <w:t>Partnerships</w:t>
            </w:r>
            <w:r w:rsidRPr="00050407">
              <w:rPr>
                <w:vertAlign w:val="superscript"/>
              </w:rPr>
              <w:t>i</w:t>
            </w:r>
            <w:proofErr w:type="spellEnd"/>
          </w:p>
        </w:tc>
      </w:tr>
      <w:tr w:rsidR="00050407" w:rsidRPr="00C00335" w14:paraId="3ED5500E"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5EAC2B86" w14:textId="40A64F45" w:rsidR="00050407" w:rsidRPr="00F349DD" w:rsidRDefault="00050407" w:rsidP="00050407">
            <w:pPr>
              <w:pStyle w:val="TableText"/>
              <w:spacing w:before="20" w:after="20"/>
              <w:ind w:left="254"/>
            </w:pPr>
            <w:r w:rsidRPr="0023643C">
              <w:t>13–17</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0E0E9FF4" w14:textId="77777777" w:rsidR="00050407" w:rsidRPr="0023643C" w:rsidRDefault="00050407" w:rsidP="00050407">
            <w:pPr>
              <w:pStyle w:val="TableText"/>
              <w:spacing w:before="20" w:after="20"/>
              <w:jc w:val="center"/>
            </w:pPr>
          </w:p>
        </w:tc>
        <w:tc>
          <w:tcPr>
            <w:tcW w:w="1155" w:type="dxa"/>
            <w:gridSpan w:val="2"/>
            <w:tcBorders>
              <w:top w:val="single" w:sz="6" w:space="0" w:color="808080" w:themeColor="background1" w:themeShade="80"/>
              <w:bottom w:val="single" w:sz="6" w:space="0" w:color="808080" w:themeColor="background1" w:themeShade="80"/>
            </w:tcBorders>
            <w:shd w:val="clear" w:color="auto" w:fill="auto"/>
            <w:noWrap/>
          </w:tcPr>
          <w:p w14:paraId="25CD44CD" w14:textId="34371F4F" w:rsidR="00050407" w:rsidRPr="0023643C" w:rsidRDefault="00050407" w:rsidP="00050407">
            <w:pPr>
              <w:pStyle w:val="TableText"/>
              <w:spacing w:before="20" w:after="20"/>
              <w:jc w:val="center"/>
            </w:pPr>
            <w:r w:rsidRPr="0023643C">
              <w:t>2.7%</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4ED53DEB" w14:textId="41B8F57D" w:rsidR="00050407" w:rsidRPr="0023643C" w:rsidRDefault="00050407" w:rsidP="00050407">
            <w:pPr>
              <w:pStyle w:val="TableText"/>
              <w:spacing w:before="20" w:after="20"/>
              <w:jc w:val="center"/>
            </w:pPr>
            <w:r w:rsidRPr="0023643C">
              <w:t>5.6%</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621B192C" w14:textId="6FAE8371" w:rsidR="00050407" w:rsidRPr="0023643C" w:rsidRDefault="00050407" w:rsidP="00050407">
            <w:pPr>
              <w:pStyle w:val="TableText"/>
              <w:spacing w:before="20" w:after="20"/>
              <w:jc w:val="center"/>
            </w:pPr>
            <w:r w:rsidRPr="0023643C">
              <w:t>3.7%</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1643D4C3" w14:textId="1E94A034" w:rsidR="00050407" w:rsidRPr="0023643C" w:rsidRDefault="00050407" w:rsidP="00050407">
            <w:pPr>
              <w:pStyle w:val="TableText"/>
              <w:spacing w:before="20" w:after="20"/>
              <w:jc w:val="center"/>
            </w:pPr>
            <w:r w:rsidRPr="0023643C">
              <w:t>3.0%</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4345FA95" w14:textId="46D2B525" w:rsidR="00050407" w:rsidRPr="0023643C" w:rsidRDefault="00050407" w:rsidP="00050407">
            <w:pPr>
              <w:pStyle w:val="TableText"/>
              <w:spacing w:before="20" w:after="20"/>
              <w:jc w:val="center"/>
            </w:pPr>
            <w:r w:rsidRPr="0023643C">
              <w:t>5.3%</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44A19C67" w14:textId="1C7C2682" w:rsidR="00050407" w:rsidRPr="0023643C" w:rsidRDefault="00050407" w:rsidP="00050407">
            <w:pPr>
              <w:pStyle w:val="TableText"/>
              <w:spacing w:before="20" w:after="20"/>
              <w:jc w:val="center"/>
            </w:pPr>
            <w:r w:rsidRPr="0023643C">
              <w:t>2.5%</w:t>
            </w:r>
          </w:p>
        </w:tc>
        <w:tc>
          <w:tcPr>
            <w:tcW w:w="3331" w:type="dxa"/>
            <w:vMerge w:val="restart"/>
            <w:shd w:val="clear" w:color="auto" w:fill="auto"/>
            <w:noWrap/>
          </w:tcPr>
          <w:p w14:paraId="06F9F915" w14:textId="201993B8" w:rsidR="00050407" w:rsidRPr="00C00335" w:rsidRDefault="00050407" w:rsidP="00050407">
            <w:pPr>
              <w:pStyle w:val="TableText"/>
              <w:spacing w:before="20" w:after="20"/>
            </w:pPr>
            <w:r w:rsidRPr="0023643C">
              <w:t xml:space="preserve">Calculated from Herbenick et al. </w:t>
            </w:r>
            <w:r w:rsidRPr="0023643C">
              <w:rPr>
                <w:lang w:val="es-ES_tradnl"/>
              </w:rPr>
              <w:t xml:space="preserve">(2010), Reece et al. (2010a), Dodge et al. </w:t>
            </w:r>
            <w:r w:rsidRPr="0023643C">
              <w:t>(2010), and Finlayson et al. (2011)</w:t>
            </w:r>
          </w:p>
        </w:tc>
      </w:tr>
      <w:tr w:rsidR="00050407" w:rsidRPr="00C00335" w14:paraId="5A8F61F5"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0FEE4090" w14:textId="473BE4BB" w:rsidR="00050407" w:rsidRPr="00F349DD" w:rsidRDefault="00050407" w:rsidP="00050407">
            <w:pPr>
              <w:pStyle w:val="TableText"/>
              <w:spacing w:before="20" w:after="20"/>
              <w:ind w:left="254"/>
            </w:pPr>
            <w:r w:rsidRPr="0023643C">
              <w:t>18–24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422F926E" w14:textId="77777777" w:rsidR="00050407" w:rsidRPr="0023643C" w:rsidRDefault="00050407" w:rsidP="00050407">
            <w:pPr>
              <w:pStyle w:val="TableText"/>
              <w:spacing w:before="20" w:after="20"/>
              <w:jc w:val="center"/>
            </w:pPr>
          </w:p>
        </w:tc>
        <w:tc>
          <w:tcPr>
            <w:tcW w:w="1155" w:type="dxa"/>
            <w:gridSpan w:val="2"/>
            <w:tcBorders>
              <w:top w:val="single" w:sz="6" w:space="0" w:color="808080" w:themeColor="background1" w:themeShade="80"/>
              <w:bottom w:val="single" w:sz="6" w:space="0" w:color="808080" w:themeColor="background1" w:themeShade="80"/>
            </w:tcBorders>
            <w:shd w:val="clear" w:color="auto" w:fill="auto"/>
            <w:noWrap/>
          </w:tcPr>
          <w:p w14:paraId="36114FB1" w14:textId="14F56763" w:rsidR="00050407" w:rsidRPr="0023643C" w:rsidRDefault="00050407" w:rsidP="00050407">
            <w:pPr>
              <w:pStyle w:val="TableText"/>
              <w:spacing w:before="20" w:after="20"/>
              <w:jc w:val="center"/>
            </w:pPr>
            <w:r w:rsidRPr="0023643C">
              <w:t>14.3%</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512B08F3" w14:textId="258BF2A5" w:rsidR="00050407" w:rsidRPr="0023643C" w:rsidRDefault="00050407" w:rsidP="00050407">
            <w:pPr>
              <w:pStyle w:val="TableText"/>
              <w:spacing w:before="20" w:after="20"/>
              <w:jc w:val="center"/>
            </w:pPr>
            <w:r w:rsidRPr="0023643C">
              <w:t>29.5%</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7B032F56" w14:textId="04E867D5" w:rsidR="00050407" w:rsidRPr="0023643C" w:rsidRDefault="00050407" w:rsidP="00050407">
            <w:pPr>
              <w:pStyle w:val="TableText"/>
              <w:spacing w:before="20" w:after="20"/>
              <w:jc w:val="center"/>
            </w:pPr>
            <w:r w:rsidRPr="0023643C">
              <w:t>20.1%</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443BE702" w14:textId="61DE0970" w:rsidR="00050407" w:rsidRPr="0023643C" w:rsidRDefault="00050407" w:rsidP="00050407">
            <w:pPr>
              <w:pStyle w:val="TableText"/>
              <w:spacing w:before="20" w:after="20"/>
              <w:jc w:val="center"/>
            </w:pPr>
            <w:r w:rsidRPr="0023643C">
              <w:t>6.5%</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491A1FCD" w14:textId="1E1D0114" w:rsidR="00050407" w:rsidRPr="0023643C" w:rsidRDefault="00050407" w:rsidP="00050407">
            <w:pPr>
              <w:pStyle w:val="TableText"/>
              <w:spacing w:before="20" w:after="20"/>
              <w:jc w:val="center"/>
            </w:pPr>
            <w:r w:rsidRPr="0023643C">
              <w:t>11.6%</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0A42E0C8" w14:textId="59BF2B9D" w:rsidR="00050407" w:rsidRPr="0023643C" w:rsidRDefault="00050407" w:rsidP="00050407">
            <w:pPr>
              <w:pStyle w:val="TableText"/>
              <w:spacing w:before="20" w:after="20"/>
              <w:jc w:val="center"/>
            </w:pPr>
            <w:r w:rsidRPr="0023643C">
              <w:t>5.4%</w:t>
            </w:r>
          </w:p>
        </w:tc>
        <w:tc>
          <w:tcPr>
            <w:tcW w:w="3331" w:type="dxa"/>
            <w:vMerge/>
            <w:shd w:val="clear" w:color="auto" w:fill="auto"/>
            <w:noWrap/>
          </w:tcPr>
          <w:p w14:paraId="42B5FBF3" w14:textId="77777777" w:rsidR="00050407" w:rsidRPr="00C00335" w:rsidRDefault="00050407" w:rsidP="00050407">
            <w:pPr>
              <w:pStyle w:val="TableText"/>
              <w:spacing w:before="20" w:after="20"/>
            </w:pPr>
          </w:p>
        </w:tc>
      </w:tr>
      <w:tr w:rsidR="00050407" w:rsidRPr="00C00335" w14:paraId="4D004192"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66A05DBC" w14:textId="5FC2AB87" w:rsidR="00050407" w:rsidRPr="00F349DD" w:rsidRDefault="00050407" w:rsidP="00050407">
            <w:pPr>
              <w:pStyle w:val="TableText"/>
              <w:spacing w:before="20" w:after="20"/>
              <w:ind w:left="254"/>
            </w:pPr>
            <w:r w:rsidRPr="0023643C">
              <w:t>25–34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3138D309" w14:textId="77777777" w:rsidR="00050407" w:rsidRPr="0023643C" w:rsidRDefault="00050407" w:rsidP="00050407">
            <w:pPr>
              <w:pStyle w:val="TableText"/>
              <w:spacing w:before="20" w:after="20"/>
              <w:jc w:val="center"/>
            </w:pPr>
          </w:p>
        </w:tc>
        <w:tc>
          <w:tcPr>
            <w:tcW w:w="1155" w:type="dxa"/>
            <w:gridSpan w:val="2"/>
            <w:tcBorders>
              <w:top w:val="single" w:sz="6" w:space="0" w:color="808080" w:themeColor="background1" w:themeShade="80"/>
              <w:bottom w:val="single" w:sz="6" w:space="0" w:color="808080" w:themeColor="background1" w:themeShade="80"/>
            </w:tcBorders>
            <w:shd w:val="clear" w:color="auto" w:fill="auto"/>
            <w:noWrap/>
          </w:tcPr>
          <w:p w14:paraId="6C04BCA9" w14:textId="62E3F938" w:rsidR="00050407" w:rsidRPr="0023643C" w:rsidRDefault="00050407" w:rsidP="00050407">
            <w:pPr>
              <w:pStyle w:val="TableText"/>
              <w:spacing w:before="20" w:after="20"/>
              <w:jc w:val="center"/>
            </w:pPr>
            <w:r w:rsidRPr="0023643C">
              <w:t>14.4%</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0CC688AC" w14:textId="5EDCC4F0" w:rsidR="00050407" w:rsidRPr="0023643C" w:rsidRDefault="00050407" w:rsidP="00050407">
            <w:pPr>
              <w:pStyle w:val="TableText"/>
              <w:spacing w:before="20" w:after="20"/>
              <w:jc w:val="center"/>
            </w:pPr>
            <w:r w:rsidRPr="0023643C">
              <w:t>28.8%</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3775E9E7" w14:textId="567C2518" w:rsidR="00050407" w:rsidRPr="0023643C" w:rsidRDefault="00050407" w:rsidP="00050407">
            <w:pPr>
              <w:pStyle w:val="TableText"/>
              <w:spacing w:before="20" w:after="20"/>
              <w:jc w:val="center"/>
            </w:pPr>
            <w:r w:rsidRPr="0023643C">
              <w:t>24.1%</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419B1E55" w14:textId="15F90D97" w:rsidR="00050407" w:rsidRPr="0023643C" w:rsidRDefault="00050407" w:rsidP="00050407">
            <w:pPr>
              <w:pStyle w:val="TableText"/>
              <w:spacing w:before="20" w:after="20"/>
              <w:jc w:val="center"/>
            </w:pPr>
            <w:r w:rsidRPr="0023643C">
              <w:t>23.3%</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76E76D6E" w14:textId="0E8B0E62" w:rsidR="00050407" w:rsidRPr="0023643C" w:rsidRDefault="00050407" w:rsidP="00050407">
            <w:pPr>
              <w:pStyle w:val="TableText"/>
              <w:spacing w:before="20" w:after="20"/>
              <w:jc w:val="center"/>
            </w:pPr>
            <w:r w:rsidRPr="0023643C">
              <w:t>28.6%</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275E0AE6" w14:textId="07B385BE" w:rsidR="00050407" w:rsidRPr="0023643C" w:rsidRDefault="00050407" w:rsidP="00050407">
            <w:pPr>
              <w:pStyle w:val="TableText"/>
              <w:spacing w:before="20" w:after="20"/>
              <w:jc w:val="center"/>
            </w:pPr>
            <w:r w:rsidRPr="0023643C">
              <w:t>25.3%</w:t>
            </w:r>
          </w:p>
        </w:tc>
        <w:tc>
          <w:tcPr>
            <w:tcW w:w="3331" w:type="dxa"/>
            <w:vMerge/>
            <w:shd w:val="clear" w:color="auto" w:fill="auto"/>
            <w:noWrap/>
          </w:tcPr>
          <w:p w14:paraId="5DD4EFCC" w14:textId="77777777" w:rsidR="00050407" w:rsidRPr="00C00335" w:rsidRDefault="00050407" w:rsidP="00050407">
            <w:pPr>
              <w:pStyle w:val="TableText"/>
              <w:spacing w:before="20" w:after="20"/>
            </w:pPr>
          </w:p>
        </w:tc>
      </w:tr>
      <w:tr w:rsidR="00050407" w:rsidRPr="00C00335" w14:paraId="0D885FD1" w14:textId="77777777" w:rsidTr="00F349DD">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1ECAF0B9" w14:textId="4A3B52D4" w:rsidR="00050407" w:rsidRPr="00F349DD" w:rsidRDefault="00050407" w:rsidP="00050407">
            <w:pPr>
              <w:pStyle w:val="TableText"/>
              <w:spacing w:before="20" w:after="20"/>
              <w:ind w:left="254"/>
            </w:pPr>
            <w:r w:rsidRPr="0023643C">
              <w:t>35–44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6A81A393" w14:textId="77777777" w:rsidR="00050407" w:rsidRPr="0023643C" w:rsidRDefault="00050407" w:rsidP="00050407">
            <w:pPr>
              <w:pStyle w:val="TableText"/>
              <w:spacing w:before="20" w:after="20"/>
              <w:jc w:val="center"/>
            </w:pPr>
          </w:p>
        </w:tc>
        <w:tc>
          <w:tcPr>
            <w:tcW w:w="1155" w:type="dxa"/>
            <w:gridSpan w:val="2"/>
            <w:tcBorders>
              <w:top w:val="single" w:sz="6" w:space="0" w:color="808080" w:themeColor="background1" w:themeShade="80"/>
              <w:bottom w:val="single" w:sz="6" w:space="0" w:color="808080" w:themeColor="background1" w:themeShade="80"/>
            </w:tcBorders>
            <w:shd w:val="clear" w:color="auto" w:fill="auto"/>
            <w:noWrap/>
          </w:tcPr>
          <w:p w14:paraId="0A6D2B5A" w14:textId="73A7F7DC" w:rsidR="00050407" w:rsidRPr="0023643C" w:rsidRDefault="00050407" w:rsidP="00050407">
            <w:pPr>
              <w:pStyle w:val="TableText"/>
              <w:spacing w:before="20" w:after="20"/>
              <w:jc w:val="center"/>
            </w:pPr>
            <w:r w:rsidRPr="0023643C">
              <w:t>12.2%</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1924D338" w14:textId="0DDCB394" w:rsidR="00050407" w:rsidRPr="0023643C" w:rsidRDefault="00050407" w:rsidP="00050407">
            <w:pPr>
              <w:pStyle w:val="TableText"/>
              <w:spacing w:before="20" w:after="20"/>
              <w:jc w:val="center"/>
            </w:pPr>
            <w:r w:rsidRPr="0023643C">
              <w:t>21.0%</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34C7D5AC" w14:textId="66E1E398" w:rsidR="00050407" w:rsidRPr="0023643C" w:rsidRDefault="00050407" w:rsidP="00050407">
            <w:pPr>
              <w:pStyle w:val="TableText"/>
              <w:spacing w:before="20" w:after="20"/>
              <w:jc w:val="center"/>
            </w:pPr>
            <w:r w:rsidRPr="0023643C">
              <w:t>18.2%</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715D0884" w14:textId="0D1E9016" w:rsidR="00050407" w:rsidRPr="0023643C" w:rsidRDefault="00050407" w:rsidP="00050407">
            <w:pPr>
              <w:pStyle w:val="TableText"/>
              <w:spacing w:before="20" w:after="20"/>
              <w:jc w:val="center"/>
            </w:pPr>
            <w:r w:rsidRPr="0023643C">
              <w:t>15.8%</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191C9269" w14:textId="688A4919" w:rsidR="00050407" w:rsidRPr="0023643C" w:rsidRDefault="00050407" w:rsidP="00050407">
            <w:pPr>
              <w:pStyle w:val="TableText"/>
              <w:spacing w:before="20" w:after="20"/>
              <w:jc w:val="center"/>
            </w:pPr>
            <w:r w:rsidRPr="0023643C">
              <w:t>27.0%</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782993B1" w14:textId="1C232B43" w:rsidR="00050407" w:rsidRPr="0023643C" w:rsidRDefault="00050407" w:rsidP="00050407">
            <w:pPr>
              <w:pStyle w:val="TableText"/>
              <w:spacing w:before="20" w:after="20"/>
              <w:jc w:val="center"/>
            </w:pPr>
            <w:r w:rsidRPr="0023643C">
              <w:t>22.8%</w:t>
            </w:r>
          </w:p>
        </w:tc>
        <w:tc>
          <w:tcPr>
            <w:tcW w:w="3331" w:type="dxa"/>
            <w:vMerge/>
            <w:shd w:val="clear" w:color="auto" w:fill="auto"/>
            <w:noWrap/>
          </w:tcPr>
          <w:p w14:paraId="6E13ED6D" w14:textId="77777777" w:rsidR="00050407" w:rsidRPr="00C00335" w:rsidRDefault="00050407" w:rsidP="00050407">
            <w:pPr>
              <w:pStyle w:val="TableText"/>
              <w:spacing w:before="20" w:after="20"/>
            </w:pPr>
          </w:p>
        </w:tc>
      </w:tr>
      <w:tr w:rsidR="00050407" w:rsidRPr="00C00335" w14:paraId="15693F56" w14:textId="77777777" w:rsidTr="00BA30F7">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433B972A" w14:textId="60E5615C" w:rsidR="00050407" w:rsidRPr="00F349DD" w:rsidRDefault="00050407" w:rsidP="00050407">
            <w:pPr>
              <w:pStyle w:val="TableText"/>
              <w:spacing w:before="20" w:after="20"/>
              <w:ind w:left="254"/>
            </w:pPr>
            <w:r w:rsidRPr="0023643C">
              <w:t>45–54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60230F88" w14:textId="77777777" w:rsidR="00050407" w:rsidRPr="0023643C" w:rsidRDefault="00050407" w:rsidP="00050407">
            <w:pPr>
              <w:pStyle w:val="TableText"/>
              <w:spacing w:before="20" w:after="20"/>
              <w:jc w:val="center"/>
            </w:pPr>
          </w:p>
        </w:tc>
        <w:tc>
          <w:tcPr>
            <w:tcW w:w="1155" w:type="dxa"/>
            <w:gridSpan w:val="2"/>
            <w:tcBorders>
              <w:top w:val="single" w:sz="6" w:space="0" w:color="808080" w:themeColor="background1" w:themeShade="80"/>
              <w:bottom w:val="single" w:sz="6" w:space="0" w:color="808080" w:themeColor="background1" w:themeShade="80"/>
            </w:tcBorders>
            <w:shd w:val="clear" w:color="auto" w:fill="auto"/>
            <w:noWrap/>
          </w:tcPr>
          <w:p w14:paraId="3C17B61D" w14:textId="02E52C38" w:rsidR="00050407" w:rsidRPr="0023643C" w:rsidRDefault="00050407" w:rsidP="00050407">
            <w:pPr>
              <w:pStyle w:val="TableText"/>
              <w:spacing w:before="20" w:after="20"/>
              <w:jc w:val="center"/>
            </w:pPr>
            <w:r w:rsidRPr="0023643C">
              <w:t>8.4%</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74B24AFA" w14:textId="2CDE0655" w:rsidR="00050407" w:rsidRPr="0023643C" w:rsidRDefault="00050407" w:rsidP="00050407">
            <w:pPr>
              <w:pStyle w:val="TableText"/>
              <w:spacing w:before="20" w:after="20"/>
              <w:jc w:val="center"/>
            </w:pPr>
            <w:r w:rsidRPr="0023643C">
              <w:t>12.3%</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76F34DDB" w14:textId="5CA5C83E" w:rsidR="00050407" w:rsidRPr="0023643C" w:rsidRDefault="00050407" w:rsidP="00050407">
            <w:pPr>
              <w:pStyle w:val="TableText"/>
              <w:spacing w:before="20" w:after="20"/>
              <w:jc w:val="center"/>
            </w:pPr>
            <w:r w:rsidRPr="0023643C">
              <w:t>9.0%</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vAlign w:val="bottom"/>
          </w:tcPr>
          <w:p w14:paraId="6EFEC045" w14:textId="0C3F6164" w:rsidR="00050407" w:rsidRPr="0023643C" w:rsidRDefault="00050407" w:rsidP="00050407">
            <w:pPr>
              <w:pStyle w:val="TableText"/>
              <w:spacing w:before="20" w:after="20"/>
              <w:jc w:val="center"/>
            </w:pPr>
            <w:r w:rsidRPr="0023643C">
              <w:rPr>
                <w:rFonts w:ascii="Calibri" w:hAnsi="Calibri"/>
                <w:sz w:val="22"/>
              </w:rPr>
              <w:t>12.5%</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3E22FEB1" w14:textId="7687E7B5" w:rsidR="00050407" w:rsidRPr="0023643C" w:rsidRDefault="00050407" w:rsidP="00050407">
            <w:pPr>
              <w:pStyle w:val="TableText"/>
              <w:spacing w:before="20" w:after="20"/>
              <w:jc w:val="center"/>
            </w:pPr>
            <w:r w:rsidRPr="0023643C">
              <w:t>18.8%</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5F91AE3B" w14:textId="56D0F54D" w:rsidR="00050407" w:rsidRPr="0023643C" w:rsidRDefault="00050407" w:rsidP="00050407">
            <w:pPr>
              <w:pStyle w:val="TableText"/>
              <w:spacing w:before="20" w:after="20"/>
              <w:jc w:val="center"/>
            </w:pPr>
            <w:r w:rsidRPr="0023643C">
              <w:t>16.0%</w:t>
            </w:r>
          </w:p>
        </w:tc>
        <w:tc>
          <w:tcPr>
            <w:tcW w:w="3331" w:type="dxa"/>
            <w:vMerge/>
            <w:shd w:val="clear" w:color="auto" w:fill="auto"/>
            <w:noWrap/>
          </w:tcPr>
          <w:p w14:paraId="72D5F6C8" w14:textId="77777777" w:rsidR="00050407" w:rsidRPr="00C00335" w:rsidRDefault="00050407" w:rsidP="00050407">
            <w:pPr>
              <w:pStyle w:val="TableText"/>
              <w:spacing w:before="20" w:after="20"/>
            </w:pPr>
          </w:p>
        </w:tc>
      </w:tr>
      <w:tr w:rsidR="00050407" w:rsidRPr="00C00335" w14:paraId="4C0DED21" w14:textId="77777777" w:rsidTr="00BA30F7">
        <w:trPr>
          <w:cantSplit/>
        </w:trPr>
        <w:tc>
          <w:tcPr>
            <w:tcW w:w="2522" w:type="dxa"/>
            <w:tcBorders>
              <w:top w:val="single" w:sz="6" w:space="0" w:color="808080" w:themeColor="background1" w:themeShade="80"/>
              <w:bottom w:val="single" w:sz="6" w:space="0" w:color="808080" w:themeColor="background1" w:themeShade="80"/>
            </w:tcBorders>
            <w:shd w:val="clear" w:color="auto" w:fill="auto"/>
            <w:noWrap/>
          </w:tcPr>
          <w:p w14:paraId="21ADCF0A" w14:textId="5AD4F829" w:rsidR="00050407" w:rsidRPr="00F349DD" w:rsidRDefault="00050407" w:rsidP="00050407">
            <w:pPr>
              <w:pStyle w:val="TableText"/>
              <w:spacing w:before="20" w:after="20"/>
              <w:ind w:left="254"/>
            </w:pPr>
            <w:r w:rsidRPr="0023643C">
              <w:t>55–64</w:t>
            </w:r>
          </w:p>
        </w:tc>
        <w:tc>
          <w:tcPr>
            <w:tcW w:w="270" w:type="dxa"/>
            <w:gridSpan w:val="2"/>
            <w:tcBorders>
              <w:top w:val="single" w:sz="6" w:space="0" w:color="808080" w:themeColor="background1" w:themeShade="80"/>
              <w:bottom w:val="single" w:sz="6" w:space="0" w:color="808080" w:themeColor="background1" w:themeShade="80"/>
            </w:tcBorders>
            <w:shd w:val="clear" w:color="auto" w:fill="auto"/>
            <w:noWrap/>
          </w:tcPr>
          <w:p w14:paraId="23EC7000" w14:textId="77777777" w:rsidR="00050407" w:rsidRPr="0023643C" w:rsidRDefault="00050407" w:rsidP="00050407">
            <w:pPr>
              <w:pStyle w:val="TableText"/>
              <w:spacing w:before="20" w:after="20"/>
              <w:jc w:val="center"/>
            </w:pPr>
          </w:p>
        </w:tc>
        <w:tc>
          <w:tcPr>
            <w:tcW w:w="1155" w:type="dxa"/>
            <w:gridSpan w:val="2"/>
            <w:tcBorders>
              <w:top w:val="single" w:sz="6" w:space="0" w:color="808080" w:themeColor="background1" w:themeShade="80"/>
              <w:bottom w:val="single" w:sz="6" w:space="0" w:color="808080" w:themeColor="background1" w:themeShade="80"/>
            </w:tcBorders>
            <w:shd w:val="clear" w:color="auto" w:fill="auto"/>
            <w:noWrap/>
          </w:tcPr>
          <w:p w14:paraId="409180C6" w14:textId="5EFFC970" w:rsidR="00050407" w:rsidRPr="0023643C" w:rsidRDefault="00050407" w:rsidP="00050407">
            <w:pPr>
              <w:pStyle w:val="TableText"/>
              <w:spacing w:before="20" w:after="20"/>
              <w:jc w:val="center"/>
            </w:pPr>
            <w:r w:rsidRPr="0023643C">
              <w:t>6.0%</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2905FE6D" w14:textId="15DFC281" w:rsidR="00050407" w:rsidRPr="0023643C" w:rsidRDefault="00050407" w:rsidP="00050407">
            <w:pPr>
              <w:pStyle w:val="TableText"/>
              <w:spacing w:before="20" w:after="20"/>
              <w:jc w:val="center"/>
            </w:pPr>
            <w:r w:rsidRPr="0023643C">
              <w:t>7.6%</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65FE74E9" w14:textId="44358928" w:rsidR="00050407" w:rsidRPr="0023643C" w:rsidRDefault="00050407" w:rsidP="00050407">
            <w:pPr>
              <w:pStyle w:val="TableText"/>
              <w:spacing w:before="20" w:after="20"/>
              <w:jc w:val="center"/>
            </w:pPr>
            <w:r w:rsidRPr="0023643C">
              <w:t>4.4%</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vAlign w:val="bottom"/>
          </w:tcPr>
          <w:p w14:paraId="6DD7FC43" w14:textId="295F7034" w:rsidR="00050407" w:rsidRPr="0023643C" w:rsidRDefault="00050407" w:rsidP="00050407">
            <w:pPr>
              <w:pStyle w:val="TableText"/>
              <w:spacing w:before="20" w:after="20"/>
              <w:jc w:val="center"/>
            </w:pPr>
            <w:r w:rsidRPr="0023643C">
              <w:t>8.0%</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11F58C94" w14:textId="4D603D94" w:rsidR="00050407" w:rsidRPr="0023643C" w:rsidRDefault="00050407" w:rsidP="00050407">
            <w:pPr>
              <w:pStyle w:val="TableText"/>
              <w:spacing w:before="20" w:after="20"/>
              <w:jc w:val="center"/>
            </w:pPr>
            <w:r w:rsidRPr="0023643C">
              <w:t>13.8%</w:t>
            </w:r>
          </w:p>
        </w:tc>
        <w:tc>
          <w:tcPr>
            <w:tcW w:w="1155" w:type="dxa"/>
            <w:gridSpan w:val="2"/>
            <w:tcBorders>
              <w:top w:val="single" w:sz="6" w:space="0" w:color="808080" w:themeColor="background1" w:themeShade="80"/>
              <w:bottom w:val="single" w:sz="6" w:space="0" w:color="808080" w:themeColor="background1" w:themeShade="80"/>
            </w:tcBorders>
            <w:shd w:val="clear" w:color="auto" w:fill="auto"/>
          </w:tcPr>
          <w:p w14:paraId="141ED585" w14:textId="00272392" w:rsidR="00050407" w:rsidRPr="0023643C" w:rsidRDefault="00050407" w:rsidP="00050407">
            <w:pPr>
              <w:pStyle w:val="TableText"/>
              <w:spacing w:before="20" w:after="20"/>
              <w:jc w:val="center"/>
            </w:pPr>
            <w:r w:rsidRPr="0023643C">
              <w:t>6.5%</w:t>
            </w:r>
          </w:p>
        </w:tc>
        <w:tc>
          <w:tcPr>
            <w:tcW w:w="3331" w:type="dxa"/>
            <w:vMerge/>
            <w:shd w:val="clear" w:color="auto" w:fill="auto"/>
            <w:noWrap/>
          </w:tcPr>
          <w:p w14:paraId="7DF21B4A" w14:textId="77777777" w:rsidR="00050407" w:rsidRPr="00C00335" w:rsidRDefault="00050407" w:rsidP="00050407">
            <w:pPr>
              <w:pStyle w:val="TableText"/>
              <w:spacing w:before="20" w:after="20"/>
            </w:pPr>
          </w:p>
        </w:tc>
      </w:tr>
      <w:tr w:rsidR="00050407" w:rsidRPr="00C00335" w14:paraId="77BE330E" w14:textId="77777777" w:rsidTr="00BA30F7">
        <w:trPr>
          <w:cantSplit/>
        </w:trPr>
        <w:tc>
          <w:tcPr>
            <w:tcW w:w="2522" w:type="dxa"/>
            <w:tcBorders>
              <w:top w:val="single" w:sz="6" w:space="0" w:color="808080" w:themeColor="background1" w:themeShade="80"/>
              <w:bottom w:val="single" w:sz="12" w:space="0" w:color="000000"/>
            </w:tcBorders>
            <w:shd w:val="clear" w:color="auto" w:fill="auto"/>
            <w:noWrap/>
          </w:tcPr>
          <w:p w14:paraId="1E96F69E" w14:textId="374132C2" w:rsidR="00050407" w:rsidRPr="00F349DD" w:rsidRDefault="00050407" w:rsidP="00050407">
            <w:pPr>
              <w:pStyle w:val="TableText"/>
              <w:spacing w:before="20" w:after="20"/>
              <w:ind w:left="254"/>
            </w:pPr>
            <w:r w:rsidRPr="0023643C">
              <w:t>65+</w:t>
            </w:r>
          </w:p>
        </w:tc>
        <w:tc>
          <w:tcPr>
            <w:tcW w:w="270" w:type="dxa"/>
            <w:gridSpan w:val="2"/>
            <w:tcBorders>
              <w:top w:val="single" w:sz="6" w:space="0" w:color="808080" w:themeColor="background1" w:themeShade="80"/>
              <w:bottom w:val="single" w:sz="12" w:space="0" w:color="000000"/>
            </w:tcBorders>
            <w:shd w:val="clear" w:color="auto" w:fill="auto"/>
            <w:noWrap/>
          </w:tcPr>
          <w:p w14:paraId="207FDBE0" w14:textId="77777777" w:rsidR="00050407" w:rsidRPr="0023643C" w:rsidRDefault="00050407" w:rsidP="00050407">
            <w:pPr>
              <w:pStyle w:val="TableText"/>
              <w:spacing w:before="20" w:after="20"/>
              <w:jc w:val="center"/>
            </w:pPr>
          </w:p>
        </w:tc>
        <w:tc>
          <w:tcPr>
            <w:tcW w:w="1155" w:type="dxa"/>
            <w:gridSpan w:val="2"/>
            <w:tcBorders>
              <w:top w:val="single" w:sz="6" w:space="0" w:color="808080" w:themeColor="background1" w:themeShade="80"/>
              <w:bottom w:val="single" w:sz="12" w:space="0" w:color="000000"/>
            </w:tcBorders>
            <w:shd w:val="clear" w:color="auto" w:fill="auto"/>
            <w:noWrap/>
          </w:tcPr>
          <w:p w14:paraId="6422D6FF" w14:textId="54DBA982" w:rsidR="00050407" w:rsidRPr="0023643C" w:rsidRDefault="00050407" w:rsidP="00050407">
            <w:pPr>
              <w:pStyle w:val="TableText"/>
              <w:spacing w:before="20" w:after="20"/>
              <w:jc w:val="center"/>
            </w:pPr>
            <w:r w:rsidRPr="0023643C">
              <w:t>9.3%</w:t>
            </w:r>
          </w:p>
        </w:tc>
        <w:tc>
          <w:tcPr>
            <w:tcW w:w="1155" w:type="dxa"/>
            <w:gridSpan w:val="2"/>
            <w:tcBorders>
              <w:top w:val="single" w:sz="6" w:space="0" w:color="808080" w:themeColor="background1" w:themeShade="80"/>
              <w:bottom w:val="single" w:sz="12" w:space="0" w:color="000000"/>
            </w:tcBorders>
            <w:shd w:val="clear" w:color="auto" w:fill="auto"/>
          </w:tcPr>
          <w:p w14:paraId="279EDE70" w14:textId="0A02C23D" w:rsidR="00050407" w:rsidRPr="0023643C" w:rsidRDefault="00050407" w:rsidP="00050407">
            <w:pPr>
              <w:pStyle w:val="TableText"/>
              <w:spacing w:before="20" w:after="20"/>
              <w:jc w:val="center"/>
            </w:pPr>
            <w:r w:rsidRPr="0023643C">
              <w:t>7.1%</w:t>
            </w:r>
          </w:p>
        </w:tc>
        <w:tc>
          <w:tcPr>
            <w:tcW w:w="1155" w:type="dxa"/>
            <w:gridSpan w:val="2"/>
            <w:tcBorders>
              <w:top w:val="single" w:sz="6" w:space="0" w:color="808080" w:themeColor="background1" w:themeShade="80"/>
              <w:bottom w:val="single" w:sz="12" w:space="0" w:color="000000"/>
            </w:tcBorders>
            <w:shd w:val="clear" w:color="auto" w:fill="auto"/>
          </w:tcPr>
          <w:p w14:paraId="14C83473" w14:textId="26E241C1" w:rsidR="00050407" w:rsidRPr="0023643C" w:rsidRDefault="00050407" w:rsidP="00050407">
            <w:pPr>
              <w:pStyle w:val="TableText"/>
              <w:spacing w:before="20" w:after="20"/>
              <w:jc w:val="center"/>
            </w:pPr>
            <w:r w:rsidRPr="0023643C">
              <w:t>1.7%</w:t>
            </w:r>
          </w:p>
        </w:tc>
        <w:tc>
          <w:tcPr>
            <w:tcW w:w="1155" w:type="dxa"/>
            <w:gridSpan w:val="2"/>
            <w:tcBorders>
              <w:top w:val="single" w:sz="6" w:space="0" w:color="808080" w:themeColor="background1" w:themeShade="80"/>
              <w:bottom w:val="single" w:sz="12" w:space="0" w:color="000000"/>
            </w:tcBorders>
            <w:shd w:val="clear" w:color="auto" w:fill="auto"/>
            <w:vAlign w:val="bottom"/>
          </w:tcPr>
          <w:p w14:paraId="5F90D75F" w14:textId="788C527B" w:rsidR="00050407" w:rsidRPr="0023643C" w:rsidRDefault="00050407" w:rsidP="00050407">
            <w:pPr>
              <w:pStyle w:val="TableText"/>
              <w:spacing w:before="20" w:after="20"/>
              <w:jc w:val="center"/>
            </w:pPr>
            <w:r w:rsidRPr="0023643C">
              <w:t>1.0%</w:t>
            </w:r>
          </w:p>
        </w:tc>
        <w:tc>
          <w:tcPr>
            <w:tcW w:w="1155" w:type="dxa"/>
            <w:gridSpan w:val="2"/>
            <w:tcBorders>
              <w:top w:val="single" w:sz="6" w:space="0" w:color="808080" w:themeColor="background1" w:themeShade="80"/>
              <w:bottom w:val="single" w:sz="12" w:space="0" w:color="000000"/>
            </w:tcBorders>
            <w:shd w:val="clear" w:color="auto" w:fill="auto"/>
          </w:tcPr>
          <w:p w14:paraId="52A34F2C" w14:textId="3A452C9A" w:rsidR="00050407" w:rsidRPr="0023643C" w:rsidRDefault="00050407" w:rsidP="00050407">
            <w:pPr>
              <w:pStyle w:val="TableText"/>
              <w:spacing w:before="20" w:after="20"/>
              <w:jc w:val="center"/>
            </w:pPr>
            <w:r w:rsidRPr="0023643C">
              <w:t>10.0%</w:t>
            </w:r>
          </w:p>
        </w:tc>
        <w:tc>
          <w:tcPr>
            <w:tcW w:w="1155" w:type="dxa"/>
            <w:gridSpan w:val="2"/>
            <w:tcBorders>
              <w:top w:val="single" w:sz="6" w:space="0" w:color="808080" w:themeColor="background1" w:themeShade="80"/>
              <w:bottom w:val="single" w:sz="12" w:space="0" w:color="000000"/>
            </w:tcBorders>
            <w:shd w:val="clear" w:color="auto" w:fill="auto"/>
          </w:tcPr>
          <w:p w14:paraId="5E2127E5" w14:textId="0ACCD1D0" w:rsidR="00050407" w:rsidRPr="0023643C" w:rsidRDefault="00050407" w:rsidP="00050407">
            <w:pPr>
              <w:pStyle w:val="TableText"/>
              <w:spacing w:before="20" w:after="20"/>
              <w:jc w:val="center"/>
            </w:pPr>
            <w:r w:rsidRPr="0023643C">
              <w:t>2.0%</w:t>
            </w:r>
          </w:p>
        </w:tc>
        <w:tc>
          <w:tcPr>
            <w:tcW w:w="3331" w:type="dxa"/>
            <w:vMerge/>
            <w:tcBorders>
              <w:bottom w:val="single" w:sz="12" w:space="0" w:color="000000"/>
            </w:tcBorders>
            <w:shd w:val="clear" w:color="auto" w:fill="auto"/>
            <w:noWrap/>
          </w:tcPr>
          <w:p w14:paraId="39045F06" w14:textId="77777777" w:rsidR="00050407" w:rsidRPr="00C00335" w:rsidRDefault="00050407" w:rsidP="00050407">
            <w:pPr>
              <w:pStyle w:val="TableText"/>
              <w:spacing w:before="20" w:after="20"/>
            </w:pPr>
          </w:p>
        </w:tc>
      </w:tr>
    </w:tbl>
    <w:p w14:paraId="12B5FD17" w14:textId="41A38EF3" w:rsidR="00B41A9A" w:rsidRPr="00C00335" w:rsidRDefault="005D471A" w:rsidP="00181BDA">
      <w:pPr>
        <w:pStyle w:val="Source2"/>
      </w:pPr>
      <w:r w:rsidRPr="00C00335">
        <w:t xml:space="preserve">Note: </w:t>
      </w:r>
      <w:r w:rsidR="00B41A9A" w:rsidRPr="00C00335">
        <w:t>HET</w:t>
      </w:r>
      <w:r w:rsidR="00E628BE" w:rsidRPr="00C00335">
        <w:t> = </w:t>
      </w:r>
      <w:r w:rsidR="00B41A9A" w:rsidRPr="00C00335">
        <w:t>heterosexual; HIV</w:t>
      </w:r>
      <w:r w:rsidR="00E628BE" w:rsidRPr="00C00335">
        <w:t> = </w:t>
      </w:r>
      <w:r w:rsidR="00B41A9A" w:rsidRPr="00C00335">
        <w:t>human immunodeficiency virus; MSM</w:t>
      </w:r>
      <w:r w:rsidR="00E628BE" w:rsidRPr="00C00335">
        <w:t> = </w:t>
      </w:r>
      <w:r w:rsidR="00B41A9A" w:rsidRPr="00C00335">
        <w:t>men who have sex with men</w:t>
      </w:r>
      <w:r w:rsidR="006E72C0" w:rsidRPr="00C00335">
        <w:t>; NHBS</w:t>
      </w:r>
      <w:r w:rsidR="00E628BE" w:rsidRPr="00C00335">
        <w:t> = </w:t>
      </w:r>
      <w:r w:rsidR="006E72C0" w:rsidRPr="00C00335">
        <w:t>National HIV Behavioral Surveillance</w:t>
      </w:r>
      <w:r w:rsidR="00F77D76" w:rsidRPr="00C00335">
        <w:t xml:space="preserve">; </w:t>
      </w:r>
      <w:r w:rsidR="00F349DD" w:rsidRPr="00C00335">
        <w:t>NSSHB = National Survey of Sexual Health and Behavior</w:t>
      </w:r>
      <w:r w:rsidR="00F349DD">
        <w:t xml:space="preserve">; </w:t>
      </w:r>
      <w:r w:rsidR="00F77D76" w:rsidRPr="00C00335">
        <w:t>PWID</w:t>
      </w:r>
      <w:r w:rsidR="00E628BE" w:rsidRPr="00C00335">
        <w:t> = </w:t>
      </w:r>
      <w:r w:rsidR="00F77D76" w:rsidRPr="00C00335">
        <w:t>people who inject drugs</w:t>
      </w:r>
    </w:p>
    <w:p w14:paraId="6ABB21C9" w14:textId="2E750189" w:rsidR="004A4830" w:rsidRPr="00C00335" w:rsidRDefault="00B41A9A" w:rsidP="00181BDA">
      <w:pPr>
        <w:pStyle w:val="Source2"/>
      </w:pPr>
      <w:proofErr w:type="spellStart"/>
      <w:r w:rsidRPr="00C00335">
        <w:rPr>
          <w:vertAlign w:val="superscript"/>
        </w:rPr>
        <w:t>a</w:t>
      </w:r>
      <w:proofErr w:type="spellEnd"/>
      <w:r w:rsidR="00786610" w:rsidRPr="00C00335">
        <w:rPr>
          <w:vertAlign w:val="superscript"/>
        </w:rPr>
        <w:t xml:space="preserve"> </w:t>
      </w:r>
      <w:r w:rsidR="004D0190" w:rsidRPr="005E58DA">
        <w:t>Annual number of sex acts per partner were c</w:t>
      </w:r>
      <w:r w:rsidRPr="005E58DA">
        <w:t xml:space="preserve">alculated as (annual number of </w:t>
      </w:r>
      <w:r w:rsidR="00782B9B" w:rsidRPr="005E58DA">
        <w:t>sex act</w:t>
      </w:r>
      <w:r w:rsidRPr="005E58DA">
        <w:t xml:space="preserve">s with all partners if HIV-uninfected or HIV-infected and undiagnosed) ÷ (annual number of sexual partners). </w:t>
      </w:r>
      <w:r w:rsidR="004D0190" w:rsidRPr="005E58DA">
        <w:t>Because the denominator (annual number of partners) was stratified by race and the numerator (annual number of sexual acts) was not, we used data from the same source as the denominator (</w:t>
      </w:r>
      <w:proofErr w:type="spellStart"/>
      <w:r w:rsidR="004D0190" w:rsidRPr="005E58DA">
        <w:t>Leichliter</w:t>
      </w:r>
      <w:proofErr w:type="spellEnd"/>
      <w:r w:rsidR="004D0190" w:rsidRPr="005E58DA">
        <w:t>, et al, 2010) to calculate overall non-race-specific estimates of annual number of partners. Those non-race-specific estimates were then used in the calculations.</w:t>
      </w:r>
    </w:p>
    <w:p w14:paraId="280C1255" w14:textId="11F6C3B2" w:rsidR="002B6861" w:rsidRPr="00C00335" w:rsidRDefault="00B41A9A" w:rsidP="006A4DEA">
      <w:pPr>
        <w:pStyle w:val="Source2"/>
        <w:spacing w:before="60"/>
      </w:pPr>
      <w:r w:rsidRPr="00C00335">
        <w:rPr>
          <w:vertAlign w:val="superscript"/>
        </w:rPr>
        <w:t>b</w:t>
      </w:r>
      <w:r w:rsidR="00786610" w:rsidRPr="00C00335">
        <w:rPr>
          <w:vertAlign w:val="superscript"/>
        </w:rPr>
        <w:t xml:space="preserve"> </w:t>
      </w:r>
      <w:r w:rsidRPr="001E52FE">
        <w:t>CDC unpublished data</w:t>
      </w:r>
      <w:r w:rsidR="001E52FE" w:rsidRPr="00A20871">
        <w:t xml:space="preserve"> from NHBS 2013</w:t>
      </w:r>
      <w:r w:rsidRPr="001E52FE">
        <w:t xml:space="preserve"> reported 1.14 partners for all HET and 5.73 for high-risk HETs. Those were combined with race</w:t>
      </w:r>
      <w:r w:rsidR="000C5E51" w:rsidRPr="001E52FE">
        <w:t>-</w:t>
      </w:r>
      <w:r w:rsidRPr="001E52FE">
        <w:t xml:space="preserve"> and sex</w:t>
      </w:r>
      <w:r w:rsidR="000C5E51" w:rsidRPr="001E52FE">
        <w:t>-</w:t>
      </w:r>
      <w:r w:rsidRPr="001E52FE">
        <w:t xml:space="preserve">specific ratios from </w:t>
      </w:r>
      <w:proofErr w:type="spellStart"/>
      <w:r w:rsidRPr="001E52FE">
        <w:t>Leichliter</w:t>
      </w:r>
      <w:proofErr w:type="spellEnd"/>
      <w:r w:rsidRPr="001E52FE">
        <w:t xml:space="preserve"> et al. (2010) to back out race- and sex- specific estimates of number of partners for low-risk and high-risk HETs, respectively.</w:t>
      </w:r>
    </w:p>
    <w:p w14:paraId="72281972" w14:textId="2D0ABCB6" w:rsidR="004A4830" w:rsidRPr="00C00335" w:rsidRDefault="004A4830" w:rsidP="006A4DEA">
      <w:pPr>
        <w:pStyle w:val="Source2"/>
        <w:spacing w:before="60"/>
      </w:pPr>
      <w:r w:rsidRPr="00C00335">
        <w:rPr>
          <w:vertAlign w:val="superscript"/>
        </w:rPr>
        <w:t xml:space="preserve">c </w:t>
      </w:r>
      <w:r w:rsidRPr="00C00335">
        <w:t xml:space="preserve">Calculated as (annual number of </w:t>
      </w:r>
      <w:r w:rsidR="00782B9B" w:rsidRPr="00C00335">
        <w:t>sex act</w:t>
      </w:r>
      <w:r w:rsidRPr="00C00335">
        <w:t>s with all partners if HIV-uninfected or HIV-infected and undiagnosed) ÷ (annual number of sexual partners).</w:t>
      </w:r>
    </w:p>
    <w:p w14:paraId="0FF65721" w14:textId="6AC8176D" w:rsidR="00035E2A" w:rsidRPr="00D8741A" w:rsidRDefault="00035E2A" w:rsidP="00035E2A">
      <w:pPr>
        <w:pStyle w:val="Source2"/>
        <w:spacing w:before="60"/>
      </w:pPr>
      <w:r w:rsidRPr="00D8741A">
        <w:rPr>
          <w:vertAlign w:val="superscript"/>
        </w:rPr>
        <w:t xml:space="preserve">d </w:t>
      </w:r>
      <w:r w:rsidRPr="00D8741A">
        <w:t>Values are not reported for MSM in the “Female” column since MSM, by definition, only include males.</w:t>
      </w:r>
      <w:r w:rsidRPr="00D8741A">
        <w:rPr>
          <w:vertAlign w:val="superscript"/>
        </w:rPr>
        <w:t xml:space="preserve"> </w:t>
      </w:r>
    </w:p>
    <w:p w14:paraId="5E502C9F" w14:textId="262DB280" w:rsidR="00DF635E" w:rsidRDefault="00035E2A" w:rsidP="00E9227D">
      <w:pPr>
        <w:pStyle w:val="Source2"/>
        <w:spacing w:before="60"/>
      </w:pPr>
      <w:proofErr w:type="spellStart"/>
      <w:r w:rsidRPr="00296F77">
        <w:rPr>
          <w:vertAlign w:val="superscript"/>
        </w:rPr>
        <w:lastRenderedPageBreak/>
        <w:t>e</w:t>
      </w:r>
      <w:proofErr w:type="spellEnd"/>
      <w:r w:rsidR="00196921" w:rsidRPr="00296F77">
        <w:rPr>
          <w:vertAlign w:val="superscript"/>
        </w:rPr>
        <w:t xml:space="preserve"> </w:t>
      </w:r>
      <w:r w:rsidR="00D8741A" w:rsidRPr="00296F77">
        <w:t xml:space="preserve">Used </w:t>
      </w:r>
      <w:proofErr w:type="spellStart"/>
      <w:r w:rsidR="00D8741A" w:rsidRPr="00296F77">
        <w:t>Leichliter</w:t>
      </w:r>
      <w:proofErr w:type="spellEnd"/>
      <w:r w:rsidR="00D8741A" w:rsidRPr="00296F77">
        <w:t xml:space="preserve"> et al., 2010 Table 1 values for the distribution of vaginal sex acts in the past 4 weeks by sex and race/ethnicity to calculate the annual number of total acts per year</w:t>
      </w:r>
      <w:r w:rsidR="00A20871" w:rsidRPr="00296F77">
        <w:t>. Assumed that the</w:t>
      </w:r>
      <w:r w:rsidR="00D8741A" w:rsidRPr="00296F77">
        <w:t xml:space="preserve"> top 20% </w:t>
      </w:r>
      <w:r w:rsidR="00A20871" w:rsidRPr="00296F77">
        <w:t xml:space="preserve">represented </w:t>
      </w:r>
      <w:r w:rsidR="00D8741A" w:rsidRPr="00296F77">
        <w:t>high risk and bottom 80% low risk.</w:t>
      </w:r>
      <w:r w:rsidR="00D8741A" w:rsidRPr="00296F77">
        <w:rPr>
          <w:vertAlign w:val="superscript"/>
        </w:rPr>
        <w:t xml:space="preserve"> </w:t>
      </w:r>
    </w:p>
    <w:p w14:paraId="04FD9D86" w14:textId="20E02771" w:rsidR="004C5294" w:rsidRPr="00F956F1" w:rsidRDefault="004C5294" w:rsidP="00E9227D">
      <w:pPr>
        <w:pStyle w:val="Source2"/>
        <w:spacing w:before="60"/>
      </w:pPr>
      <w:r w:rsidRPr="00F956F1">
        <w:rPr>
          <w:vertAlign w:val="superscript"/>
        </w:rPr>
        <w:t>f</w:t>
      </w:r>
      <w:r w:rsidRPr="00F956F1">
        <w:t xml:space="preserve"> Calculated based on </w:t>
      </w:r>
      <w:r w:rsidR="00F956F1" w:rsidRPr="00F956F1">
        <w:t xml:space="preserve">the overall average annual contacts per year for MSM, </w:t>
      </w:r>
      <w:r w:rsidRPr="00F956F1">
        <w:t>the annual number of sexual contacts for high-risk MSM</w:t>
      </w:r>
      <w:r w:rsidR="00F956F1" w:rsidRPr="00F956F1">
        <w:t xml:space="preserve"> (which is calibrated)</w:t>
      </w:r>
      <w:r w:rsidRPr="00F956F1">
        <w:t xml:space="preserve">, the percentage of MSM that are high-risk, and </w:t>
      </w:r>
      <w:r w:rsidR="009433FA" w:rsidRPr="00F956F1">
        <w:t>MSM population sizes by race/ethnicity</w:t>
      </w:r>
      <w:r w:rsidRPr="00F956F1">
        <w:t xml:space="preserve">. </w:t>
      </w:r>
    </w:p>
    <w:p w14:paraId="3549E830" w14:textId="404EC774" w:rsidR="00F3721A" w:rsidRPr="00C00335" w:rsidRDefault="00F3721A" w:rsidP="00E9227D">
      <w:pPr>
        <w:pStyle w:val="Source2"/>
        <w:spacing w:before="60"/>
      </w:pPr>
      <w:r w:rsidRPr="00F956F1">
        <w:rPr>
          <w:vertAlign w:val="superscript"/>
        </w:rPr>
        <w:t>g</w:t>
      </w:r>
      <w:r w:rsidRPr="00F956F1">
        <w:t xml:space="preserve"> Race-specific and age-specific values from Reece et al. (2010b) </w:t>
      </w:r>
      <w:r w:rsidR="000E77C1" w:rsidRPr="00F956F1">
        <w:t xml:space="preserve">are </w:t>
      </w:r>
      <w:r w:rsidRPr="00F956F1">
        <w:t xml:space="preserve">based on the percentage of past 10 vaginal intercourse events condom protected. </w:t>
      </w:r>
      <w:r w:rsidR="00896735" w:rsidRPr="00F956F1">
        <w:t>White/other</w:t>
      </w:r>
      <w:r w:rsidRPr="00F956F1">
        <w:t xml:space="preserve"> values based on "White" population.</w:t>
      </w:r>
    </w:p>
    <w:p w14:paraId="5017F606" w14:textId="476821A1" w:rsidR="00B41A9A" w:rsidRDefault="00F3721A" w:rsidP="006A4DEA">
      <w:pPr>
        <w:pStyle w:val="Source2"/>
        <w:spacing w:before="60"/>
      </w:pPr>
      <w:r>
        <w:rPr>
          <w:vertAlign w:val="superscript"/>
        </w:rPr>
        <w:t>h</w:t>
      </w:r>
      <w:r w:rsidR="00DF635E" w:rsidRPr="00C00335">
        <w:rPr>
          <w:vertAlign w:val="superscript"/>
        </w:rPr>
        <w:t xml:space="preserve"> </w:t>
      </w:r>
      <w:r w:rsidR="00196921" w:rsidRPr="00C00335">
        <w:t>Reece et al</w:t>
      </w:r>
      <w:r w:rsidR="00C320F6" w:rsidRPr="00C00335">
        <w:t>.</w:t>
      </w:r>
      <w:r w:rsidR="00196921" w:rsidRPr="00C00335">
        <w:t xml:space="preserve"> (2010b) report the percent</w:t>
      </w:r>
      <w:r w:rsidR="00C320F6" w:rsidRPr="00C00335">
        <w:t>age</w:t>
      </w:r>
      <w:r w:rsidR="00196921" w:rsidRPr="00C00335">
        <w:t xml:space="preserve"> of condom use for all males and MSM. The HET male</w:t>
      </w:r>
      <w:r w:rsidR="00C320F6" w:rsidRPr="00C00335">
        <w:t>-</w:t>
      </w:r>
      <w:r w:rsidR="00196921" w:rsidRPr="00C00335">
        <w:t>specific percentages were derived by taking the all-male condom</w:t>
      </w:r>
      <w:r w:rsidR="00C320F6" w:rsidRPr="00C00335">
        <w:t xml:space="preserve"> </w:t>
      </w:r>
      <w:r w:rsidR="00196921" w:rsidRPr="00C00335">
        <w:t>use as a weighted average of HET and MSM condom</w:t>
      </w:r>
      <w:r w:rsidR="00C320F6" w:rsidRPr="00C00335">
        <w:t xml:space="preserve"> </w:t>
      </w:r>
      <w:r w:rsidR="00196921" w:rsidRPr="00C00335">
        <w:t>use.</w:t>
      </w:r>
    </w:p>
    <w:p w14:paraId="00DEF562" w14:textId="3207FD2F" w:rsidR="00050407" w:rsidRDefault="00050407" w:rsidP="006A4DEA">
      <w:pPr>
        <w:pStyle w:val="Source2"/>
        <w:spacing w:before="60"/>
      </w:pPr>
      <w:r>
        <w:rPr>
          <w:vertAlign w:val="superscript"/>
        </w:rPr>
        <w:t>i</w:t>
      </w:r>
      <w:r w:rsidRPr="00C00335">
        <w:t xml:space="preserve"> It is assumed that all male-female sexual partnerships include vaginal intercourse.</w:t>
      </w:r>
    </w:p>
    <w:p w14:paraId="7788C571" w14:textId="77777777" w:rsidR="00050407" w:rsidRPr="00C00335" w:rsidRDefault="00050407" w:rsidP="00050407"/>
    <w:p w14:paraId="6903AC4B" w14:textId="77777777" w:rsidR="00B41A9A" w:rsidRPr="00C00335" w:rsidRDefault="004F4E6D" w:rsidP="00260D8A">
      <w:pPr>
        <w:pStyle w:val="TableTitle"/>
        <w:spacing w:before="120"/>
        <w:ind w:left="1530"/>
      </w:pPr>
      <w:bookmarkStart w:id="76" w:name="_Toc89257606"/>
      <w:r w:rsidRPr="00C00335">
        <w:t>Table 6.</w:t>
      </w:r>
      <w:r w:rsidR="008F5D01" w:rsidRPr="00C00335">
        <w:t>1</w:t>
      </w:r>
      <w:r w:rsidR="00050407">
        <w:t>1</w:t>
      </w:r>
      <w:r w:rsidR="00EA6CA4" w:rsidRPr="00C00335">
        <w:t>.</w:t>
      </w:r>
      <w:r w:rsidR="00EA6CA4" w:rsidRPr="00C00335">
        <w:tab/>
      </w:r>
      <w:r w:rsidR="00B41A9A" w:rsidRPr="00C00335">
        <w:t>Other Risk Behaviors</w:t>
      </w:r>
      <w:bookmarkEnd w:id="76"/>
    </w:p>
    <w:tbl>
      <w:tblPr>
        <w:tblW w:w="9724" w:type="dxa"/>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3604"/>
        <w:gridCol w:w="1684"/>
        <w:gridCol w:w="4436"/>
      </w:tblGrid>
      <w:tr w:rsidR="00B41A9A" w:rsidRPr="0023643C" w14:paraId="34EEAEB3" w14:textId="77777777" w:rsidTr="00050407">
        <w:trPr>
          <w:cantSplit/>
          <w:tblHeader/>
        </w:trPr>
        <w:tc>
          <w:tcPr>
            <w:tcW w:w="3604" w:type="dxa"/>
            <w:tcBorders>
              <w:top w:val="single" w:sz="12" w:space="0" w:color="000000"/>
              <w:bottom w:val="single" w:sz="6" w:space="0" w:color="auto"/>
            </w:tcBorders>
            <w:shd w:val="clear" w:color="auto" w:fill="auto"/>
            <w:noWrap/>
            <w:vAlign w:val="bottom"/>
            <w:hideMark/>
          </w:tcPr>
          <w:p w14:paraId="4CF59A5A" w14:textId="77777777" w:rsidR="00B41A9A" w:rsidRPr="0023643C" w:rsidRDefault="005D471A" w:rsidP="00EA6CA4">
            <w:pPr>
              <w:pStyle w:val="TableHeaders"/>
            </w:pPr>
            <w:r w:rsidRPr="0023643C">
              <w:t>Risk Behavior</w:t>
            </w:r>
          </w:p>
        </w:tc>
        <w:tc>
          <w:tcPr>
            <w:tcW w:w="1684" w:type="dxa"/>
            <w:tcBorders>
              <w:top w:val="single" w:sz="12" w:space="0" w:color="000000"/>
              <w:bottom w:val="single" w:sz="6" w:space="0" w:color="auto"/>
            </w:tcBorders>
            <w:shd w:val="clear" w:color="auto" w:fill="auto"/>
            <w:noWrap/>
            <w:vAlign w:val="bottom"/>
            <w:hideMark/>
          </w:tcPr>
          <w:p w14:paraId="052F5820" w14:textId="77777777" w:rsidR="00B41A9A" w:rsidRPr="0023643C" w:rsidRDefault="00B41A9A" w:rsidP="00EA6CA4">
            <w:pPr>
              <w:pStyle w:val="TableHeaders"/>
            </w:pPr>
            <w:r w:rsidRPr="0023643C">
              <w:t>Value</w:t>
            </w:r>
          </w:p>
        </w:tc>
        <w:tc>
          <w:tcPr>
            <w:tcW w:w="4436" w:type="dxa"/>
            <w:tcBorders>
              <w:top w:val="single" w:sz="12" w:space="0" w:color="000000"/>
              <w:bottom w:val="single" w:sz="6" w:space="0" w:color="auto"/>
            </w:tcBorders>
            <w:shd w:val="clear" w:color="auto" w:fill="auto"/>
            <w:noWrap/>
            <w:vAlign w:val="bottom"/>
            <w:hideMark/>
          </w:tcPr>
          <w:p w14:paraId="0454668C" w14:textId="77777777" w:rsidR="00B41A9A" w:rsidRPr="0023643C" w:rsidRDefault="00B41A9A" w:rsidP="00EA6CA4">
            <w:pPr>
              <w:pStyle w:val="TableHeaders"/>
            </w:pPr>
            <w:r w:rsidRPr="0023643C">
              <w:t>Source</w:t>
            </w:r>
          </w:p>
        </w:tc>
      </w:tr>
      <w:tr w:rsidR="007B5C56" w:rsidRPr="0023643C" w14:paraId="4E08936B" w14:textId="77777777" w:rsidTr="00050407">
        <w:trPr>
          <w:cantSplit/>
        </w:trPr>
        <w:tc>
          <w:tcPr>
            <w:tcW w:w="3604" w:type="dxa"/>
            <w:tcBorders>
              <w:top w:val="single" w:sz="6" w:space="0" w:color="auto"/>
              <w:bottom w:val="single" w:sz="6" w:space="0" w:color="808080" w:themeColor="background1" w:themeShade="80"/>
            </w:tcBorders>
            <w:shd w:val="clear" w:color="auto" w:fill="auto"/>
            <w:noWrap/>
          </w:tcPr>
          <w:p w14:paraId="541DDD95" w14:textId="6F4564D0" w:rsidR="007B5C56" w:rsidRPr="0023643C" w:rsidRDefault="007B5C56" w:rsidP="00EA6CA4">
            <w:pPr>
              <w:pStyle w:val="TableText"/>
            </w:pPr>
            <w:r w:rsidRPr="0023643C">
              <w:t>Percentage of PWID actively injecting</w:t>
            </w:r>
          </w:p>
        </w:tc>
        <w:tc>
          <w:tcPr>
            <w:tcW w:w="1684" w:type="dxa"/>
            <w:tcBorders>
              <w:top w:val="single" w:sz="6" w:space="0" w:color="auto"/>
              <w:bottom w:val="single" w:sz="6" w:space="0" w:color="808080" w:themeColor="background1" w:themeShade="80"/>
            </w:tcBorders>
            <w:shd w:val="clear" w:color="auto" w:fill="auto"/>
            <w:noWrap/>
          </w:tcPr>
          <w:p w14:paraId="18CA7459" w14:textId="7466A345" w:rsidR="007B5C56" w:rsidRPr="0023643C" w:rsidRDefault="007B5C56" w:rsidP="00385B72">
            <w:pPr>
              <w:pStyle w:val="TableTextDec"/>
              <w:tabs>
                <w:tab w:val="clear" w:pos="1015"/>
              </w:tabs>
              <w:jc w:val="center"/>
            </w:pPr>
            <w:r w:rsidRPr="0023643C">
              <w:t>40%</w:t>
            </w:r>
          </w:p>
        </w:tc>
        <w:tc>
          <w:tcPr>
            <w:tcW w:w="4436" w:type="dxa"/>
            <w:tcBorders>
              <w:top w:val="single" w:sz="6" w:space="0" w:color="auto"/>
              <w:bottom w:val="single" w:sz="6" w:space="0" w:color="808080" w:themeColor="background1" w:themeShade="80"/>
            </w:tcBorders>
            <w:shd w:val="clear" w:color="auto" w:fill="auto"/>
            <w:noWrap/>
          </w:tcPr>
          <w:p w14:paraId="29DE3E4B" w14:textId="66E70CF5" w:rsidR="007B5C56" w:rsidRPr="0023643C" w:rsidRDefault="007B5C56" w:rsidP="00EA6CA4">
            <w:pPr>
              <w:pStyle w:val="TableText"/>
            </w:pPr>
            <w:proofErr w:type="spellStart"/>
            <w:r w:rsidRPr="0023643C">
              <w:t>Assumed</w:t>
            </w:r>
            <w:r w:rsidR="009D3249" w:rsidRPr="0023643C">
              <w:rPr>
                <w:vertAlign w:val="superscript"/>
              </w:rPr>
              <w:t>a</w:t>
            </w:r>
            <w:proofErr w:type="spellEnd"/>
          </w:p>
        </w:tc>
      </w:tr>
      <w:tr w:rsidR="00B41A9A" w:rsidRPr="0023643C" w14:paraId="74698DE6" w14:textId="77777777" w:rsidTr="00050407">
        <w:trPr>
          <w:cantSplit/>
        </w:trPr>
        <w:tc>
          <w:tcPr>
            <w:tcW w:w="3604" w:type="dxa"/>
            <w:tcBorders>
              <w:top w:val="single" w:sz="6" w:space="0" w:color="auto"/>
              <w:bottom w:val="single" w:sz="6" w:space="0" w:color="808080" w:themeColor="background1" w:themeShade="80"/>
            </w:tcBorders>
            <w:shd w:val="clear" w:color="auto" w:fill="auto"/>
            <w:noWrap/>
            <w:hideMark/>
          </w:tcPr>
          <w:p w14:paraId="43B0D874" w14:textId="792C6A39" w:rsidR="00B41A9A" w:rsidRPr="00E832D1" w:rsidRDefault="00B41A9A" w:rsidP="00EA6CA4">
            <w:pPr>
              <w:pStyle w:val="TableText"/>
            </w:pPr>
            <w:r w:rsidRPr="00E832D1">
              <w:t>Annual number of injections per year</w:t>
            </w:r>
            <w:r w:rsidR="007B5C56" w:rsidRPr="00E832D1">
              <w:t xml:space="preserve"> per active PWID</w:t>
            </w:r>
          </w:p>
        </w:tc>
        <w:tc>
          <w:tcPr>
            <w:tcW w:w="1684" w:type="dxa"/>
            <w:tcBorders>
              <w:top w:val="single" w:sz="6" w:space="0" w:color="auto"/>
              <w:bottom w:val="single" w:sz="6" w:space="0" w:color="808080" w:themeColor="background1" w:themeShade="80"/>
            </w:tcBorders>
            <w:shd w:val="clear" w:color="auto" w:fill="auto"/>
            <w:noWrap/>
            <w:hideMark/>
          </w:tcPr>
          <w:p w14:paraId="726CA24B" w14:textId="37F417C6" w:rsidR="00B41A9A" w:rsidRPr="00E832D1" w:rsidRDefault="0023337F" w:rsidP="00385B72">
            <w:pPr>
              <w:pStyle w:val="TableTextDec"/>
              <w:tabs>
                <w:tab w:val="clear" w:pos="1015"/>
              </w:tabs>
              <w:jc w:val="center"/>
            </w:pPr>
            <w:r w:rsidRPr="00E832D1">
              <w:t>455</w:t>
            </w:r>
          </w:p>
        </w:tc>
        <w:tc>
          <w:tcPr>
            <w:tcW w:w="4436" w:type="dxa"/>
            <w:tcBorders>
              <w:top w:val="single" w:sz="6" w:space="0" w:color="auto"/>
              <w:bottom w:val="single" w:sz="6" w:space="0" w:color="808080" w:themeColor="background1" w:themeShade="80"/>
            </w:tcBorders>
            <w:shd w:val="clear" w:color="auto" w:fill="auto"/>
            <w:noWrap/>
            <w:hideMark/>
          </w:tcPr>
          <w:p w14:paraId="4C9B1460" w14:textId="04F37166" w:rsidR="00B41A9A" w:rsidRPr="00E832D1" w:rsidRDefault="00765B12" w:rsidP="00EA6CA4">
            <w:pPr>
              <w:pStyle w:val="TableText"/>
            </w:pPr>
            <w:r w:rsidRPr="00E832D1">
              <w:t>Calculated</w:t>
            </w:r>
            <w:r w:rsidR="00BB6FDB" w:rsidRPr="00E832D1">
              <w:t xml:space="preserve"> from CDC unpublished data from the 2015 NHBS IDU </w:t>
            </w:r>
            <w:proofErr w:type="spellStart"/>
            <w:r w:rsidR="00BB6FDB" w:rsidRPr="00E832D1">
              <w:t>cycle</w:t>
            </w:r>
            <w:r w:rsidR="009D3249" w:rsidRPr="00E832D1">
              <w:rPr>
                <w:vertAlign w:val="superscript"/>
              </w:rPr>
              <w:t>b</w:t>
            </w:r>
            <w:proofErr w:type="spellEnd"/>
            <w:r w:rsidR="00BB6FDB" w:rsidRPr="00E832D1">
              <w:rPr>
                <w:vertAlign w:val="superscript"/>
              </w:rPr>
              <w:t xml:space="preserve"> </w:t>
            </w:r>
          </w:p>
        </w:tc>
      </w:tr>
      <w:tr w:rsidR="00B41A9A" w:rsidRPr="0023643C" w14:paraId="22C0E9D4"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hideMark/>
          </w:tcPr>
          <w:p w14:paraId="1075A765" w14:textId="77777777" w:rsidR="00B41A9A" w:rsidRPr="0023643C" w:rsidRDefault="00C432B3" w:rsidP="00EA6CA4">
            <w:pPr>
              <w:pStyle w:val="TableText"/>
            </w:pPr>
            <w:r w:rsidRPr="0023643C">
              <w:t xml:space="preserve">Percentage </w:t>
            </w:r>
            <w:r w:rsidR="00B41A9A" w:rsidRPr="0023643C">
              <w:t>of injections that are shared</w:t>
            </w:r>
          </w:p>
        </w:tc>
        <w:tc>
          <w:tcPr>
            <w:tcW w:w="1684" w:type="dxa"/>
            <w:tcBorders>
              <w:top w:val="single" w:sz="6" w:space="0" w:color="808080" w:themeColor="background1" w:themeShade="80"/>
              <w:bottom w:val="single" w:sz="6" w:space="0" w:color="808080" w:themeColor="background1" w:themeShade="80"/>
            </w:tcBorders>
            <w:shd w:val="clear" w:color="auto" w:fill="auto"/>
            <w:noWrap/>
            <w:hideMark/>
          </w:tcPr>
          <w:p w14:paraId="0CA38478" w14:textId="3024B0D4" w:rsidR="00B41A9A" w:rsidRPr="0023643C" w:rsidRDefault="00FB5A2F" w:rsidP="00385B72">
            <w:pPr>
              <w:pStyle w:val="TableTextDec"/>
              <w:tabs>
                <w:tab w:val="clear" w:pos="1015"/>
              </w:tabs>
              <w:jc w:val="center"/>
            </w:pPr>
            <w:r w:rsidRPr="00FB5A2F">
              <w:rPr>
                <w:i/>
                <w:iCs/>
              </w:rPr>
              <w:t>6.2%</w:t>
            </w:r>
          </w:p>
        </w:tc>
        <w:tc>
          <w:tcPr>
            <w:tcW w:w="4436" w:type="dxa"/>
            <w:tcBorders>
              <w:top w:val="single" w:sz="6" w:space="0" w:color="808080" w:themeColor="background1" w:themeShade="80"/>
              <w:bottom w:val="single" w:sz="6" w:space="0" w:color="808080" w:themeColor="background1" w:themeShade="80"/>
            </w:tcBorders>
            <w:shd w:val="clear" w:color="auto" w:fill="auto"/>
            <w:noWrap/>
            <w:hideMark/>
          </w:tcPr>
          <w:p w14:paraId="781D9A99" w14:textId="77777777" w:rsidR="00B41A9A" w:rsidRPr="0023643C" w:rsidRDefault="00765B12" w:rsidP="00EA6CA4">
            <w:pPr>
              <w:pStyle w:val="TableText"/>
            </w:pPr>
            <w:r w:rsidRPr="0023643C">
              <w:t>Determined by calibration</w:t>
            </w:r>
          </w:p>
        </w:tc>
      </w:tr>
      <w:tr w:rsidR="00B41A9A" w:rsidRPr="0023643C" w14:paraId="4AF1EC71"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hideMark/>
          </w:tcPr>
          <w:p w14:paraId="5DD7226F" w14:textId="014CEE70" w:rsidR="00B41A9A" w:rsidRPr="0023643C" w:rsidRDefault="00341EDC" w:rsidP="00341EDC">
            <w:pPr>
              <w:pStyle w:val="TableText"/>
            </w:pPr>
            <w:r w:rsidRPr="0023643C">
              <w:t>Annual n</w:t>
            </w:r>
            <w:r w:rsidR="00B41A9A" w:rsidRPr="0023643C">
              <w:t>umber of needles shared across all partners</w:t>
            </w:r>
          </w:p>
        </w:tc>
        <w:tc>
          <w:tcPr>
            <w:tcW w:w="1684" w:type="dxa"/>
            <w:tcBorders>
              <w:top w:val="single" w:sz="6" w:space="0" w:color="808080" w:themeColor="background1" w:themeShade="80"/>
              <w:bottom w:val="single" w:sz="6" w:space="0" w:color="808080" w:themeColor="background1" w:themeShade="80"/>
            </w:tcBorders>
            <w:shd w:val="clear" w:color="auto" w:fill="auto"/>
            <w:noWrap/>
            <w:hideMark/>
          </w:tcPr>
          <w:p w14:paraId="2150F3E9" w14:textId="5AF96070" w:rsidR="00B41A9A" w:rsidRPr="00AA06EF" w:rsidRDefault="00FB5A2F" w:rsidP="00EA6CA4">
            <w:pPr>
              <w:pStyle w:val="TableTextDec"/>
              <w:tabs>
                <w:tab w:val="clear" w:pos="1015"/>
              </w:tabs>
              <w:jc w:val="center"/>
              <w:rPr>
                <w:i/>
                <w:iCs/>
              </w:rPr>
            </w:pPr>
            <w:r w:rsidRPr="00FB5A2F">
              <w:rPr>
                <w:i/>
                <w:iCs/>
              </w:rPr>
              <w:t>11.3</w:t>
            </w:r>
          </w:p>
        </w:tc>
        <w:tc>
          <w:tcPr>
            <w:tcW w:w="4436" w:type="dxa"/>
            <w:tcBorders>
              <w:top w:val="single" w:sz="6" w:space="0" w:color="808080" w:themeColor="background1" w:themeShade="80"/>
              <w:bottom w:val="single" w:sz="6" w:space="0" w:color="808080" w:themeColor="background1" w:themeShade="80"/>
            </w:tcBorders>
            <w:shd w:val="clear" w:color="auto" w:fill="auto"/>
            <w:noWrap/>
            <w:hideMark/>
          </w:tcPr>
          <w:p w14:paraId="39AA0797" w14:textId="34ADE168" w:rsidR="00B41A9A" w:rsidRPr="0023643C" w:rsidRDefault="00B41A9A" w:rsidP="00CC37A8">
            <w:pPr>
              <w:pStyle w:val="TableText"/>
            </w:pPr>
            <w:proofErr w:type="spellStart"/>
            <w:r w:rsidRPr="0023643C">
              <w:t>Calculated</w:t>
            </w:r>
            <w:r w:rsidR="009D3249" w:rsidRPr="0023643C">
              <w:rPr>
                <w:vertAlign w:val="superscript"/>
              </w:rPr>
              <w:t>c</w:t>
            </w:r>
            <w:proofErr w:type="spellEnd"/>
          </w:p>
        </w:tc>
      </w:tr>
      <w:tr w:rsidR="00B41A9A" w:rsidRPr="0023643C" w14:paraId="35BA0FBE"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hideMark/>
          </w:tcPr>
          <w:p w14:paraId="3E089AEB" w14:textId="0B25BDF5" w:rsidR="00B41A9A" w:rsidRPr="0023643C" w:rsidRDefault="00B41A9A" w:rsidP="005C4A38">
            <w:pPr>
              <w:pStyle w:val="TableText"/>
            </w:pPr>
            <w:r w:rsidRPr="0023643C">
              <w:t xml:space="preserve">Annual number of needle-sharing partners for </w:t>
            </w:r>
            <w:r w:rsidR="005C4A38" w:rsidRPr="0023643C">
              <w:t>PWID</w:t>
            </w:r>
          </w:p>
        </w:tc>
        <w:tc>
          <w:tcPr>
            <w:tcW w:w="1684" w:type="dxa"/>
            <w:tcBorders>
              <w:top w:val="single" w:sz="6" w:space="0" w:color="808080" w:themeColor="background1" w:themeShade="80"/>
              <w:bottom w:val="single" w:sz="6" w:space="0" w:color="808080" w:themeColor="background1" w:themeShade="80"/>
            </w:tcBorders>
            <w:shd w:val="clear" w:color="auto" w:fill="auto"/>
            <w:noWrap/>
            <w:hideMark/>
          </w:tcPr>
          <w:p w14:paraId="6B2C0A7A" w14:textId="77777777" w:rsidR="00B41A9A" w:rsidRPr="0023643C" w:rsidRDefault="00314E78" w:rsidP="00EA6CA4">
            <w:pPr>
              <w:pStyle w:val="TableTextDec"/>
              <w:tabs>
                <w:tab w:val="clear" w:pos="1015"/>
              </w:tabs>
              <w:jc w:val="center"/>
            </w:pPr>
            <w:r w:rsidRPr="0023643C">
              <w:t>9.5</w:t>
            </w:r>
          </w:p>
        </w:tc>
        <w:tc>
          <w:tcPr>
            <w:tcW w:w="4436" w:type="dxa"/>
            <w:tcBorders>
              <w:top w:val="single" w:sz="6" w:space="0" w:color="808080" w:themeColor="background1" w:themeShade="80"/>
              <w:bottom w:val="single" w:sz="6" w:space="0" w:color="808080" w:themeColor="background1" w:themeShade="80"/>
            </w:tcBorders>
            <w:shd w:val="clear" w:color="auto" w:fill="auto"/>
            <w:noWrap/>
            <w:hideMark/>
          </w:tcPr>
          <w:p w14:paraId="139AD3BF" w14:textId="5534CB61" w:rsidR="00B41A9A" w:rsidRPr="0023643C" w:rsidRDefault="00B717E6" w:rsidP="00B717E6">
            <w:pPr>
              <w:pStyle w:val="TableText"/>
            </w:pPr>
            <w:r w:rsidRPr="0023643C">
              <w:t xml:space="preserve">Assumption </w:t>
            </w:r>
            <w:r w:rsidR="00261303">
              <w:t>that number of needle-sharing partners for PWID is equal to the</w:t>
            </w:r>
            <w:r w:rsidRPr="0023643C">
              <w:t xml:space="preserve"> number of sexual partners</w:t>
            </w:r>
            <w:r w:rsidR="00261303">
              <w:t xml:space="preserve"> for PWID</w:t>
            </w:r>
            <w:r w:rsidRPr="0023643C">
              <w:t xml:space="preserve"> </w:t>
            </w:r>
            <w:r w:rsidR="00CC0051">
              <w:t>as estimated from</w:t>
            </w:r>
            <w:r w:rsidR="00CC0051" w:rsidRPr="0023643C">
              <w:t xml:space="preserve"> </w:t>
            </w:r>
            <w:r w:rsidRPr="0023643C">
              <w:t>CDC unpublished data</w:t>
            </w:r>
            <w:r w:rsidR="009F0212" w:rsidRPr="0023643C">
              <w:t xml:space="preserve"> </w:t>
            </w:r>
            <w:r w:rsidR="00261303">
              <w:t>from the</w:t>
            </w:r>
            <w:r w:rsidR="009F0212" w:rsidRPr="0023643C">
              <w:t xml:space="preserve"> 2009 NHBS IDU cycle 2</w:t>
            </w:r>
          </w:p>
        </w:tc>
      </w:tr>
      <w:tr w:rsidR="00B41A9A" w:rsidRPr="0023643C" w14:paraId="4246DEDF"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hideMark/>
          </w:tcPr>
          <w:p w14:paraId="3DFABF32" w14:textId="77777777" w:rsidR="00B41A9A" w:rsidRPr="0023643C" w:rsidRDefault="00B41A9A" w:rsidP="00EA6CA4">
            <w:pPr>
              <w:pStyle w:val="TableText"/>
            </w:pPr>
            <w:r w:rsidRPr="0023643C">
              <w:t>Number of needles shared per partner</w:t>
            </w:r>
          </w:p>
        </w:tc>
        <w:tc>
          <w:tcPr>
            <w:tcW w:w="1684" w:type="dxa"/>
            <w:tcBorders>
              <w:top w:val="single" w:sz="6" w:space="0" w:color="808080" w:themeColor="background1" w:themeShade="80"/>
              <w:bottom w:val="single" w:sz="6" w:space="0" w:color="808080" w:themeColor="background1" w:themeShade="80"/>
            </w:tcBorders>
            <w:shd w:val="clear" w:color="auto" w:fill="auto"/>
            <w:noWrap/>
            <w:hideMark/>
          </w:tcPr>
          <w:p w14:paraId="5785AC77" w14:textId="33E78D39" w:rsidR="00B41A9A" w:rsidRPr="0023643C" w:rsidRDefault="00FB5A2F" w:rsidP="00385B72">
            <w:pPr>
              <w:pStyle w:val="TableTextDec"/>
              <w:tabs>
                <w:tab w:val="clear" w:pos="1015"/>
              </w:tabs>
              <w:jc w:val="center"/>
            </w:pPr>
            <w:r w:rsidRPr="00FB5A2F">
              <w:rPr>
                <w:i/>
                <w:iCs/>
              </w:rPr>
              <w:t>1.2</w:t>
            </w:r>
          </w:p>
        </w:tc>
        <w:tc>
          <w:tcPr>
            <w:tcW w:w="4436" w:type="dxa"/>
            <w:tcBorders>
              <w:top w:val="single" w:sz="6" w:space="0" w:color="808080" w:themeColor="background1" w:themeShade="80"/>
              <w:bottom w:val="single" w:sz="6" w:space="0" w:color="808080" w:themeColor="background1" w:themeShade="80"/>
            </w:tcBorders>
            <w:shd w:val="clear" w:color="auto" w:fill="auto"/>
            <w:noWrap/>
            <w:hideMark/>
          </w:tcPr>
          <w:p w14:paraId="3E364020" w14:textId="0DAD0FA0" w:rsidR="00B41A9A" w:rsidRPr="0023643C" w:rsidRDefault="00B41A9A" w:rsidP="00EA6CA4">
            <w:pPr>
              <w:pStyle w:val="TableText"/>
            </w:pPr>
            <w:proofErr w:type="spellStart"/>
            <w:r w:rsidRPr="0023643C">
              <w:t>Calculated</w:t>
            </w:r>
            <w:r w:rsidR="009D3249" w:rsidRPr="0023643C">
              <w:rPr>
                <w:vertAlign w:val="superscript"/>
              </w:rPr>
              <w:t>d</w:t>
            </w:r>
            <w:proofErr w:type="spellEnd"/>
          </w:p>
        </w:tc>
      </w:tr>
      <w:tr w:rsidR="008330A0" w:rsidRPr="0023643C" w14:paraId="142043D7"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7B84DBC4" w14:textId="11E14EC2" w:rsidR="008330A0" w:rsidRPr="0023643C" w:rsidRDefault="008330A0" w:rsidP="0014376C">
            <w:pPr>
              <w:pStyle w:val="TableText"/>
              <w:ind w:right="-80"/>
            </w:pPr>
            <w:r w:rsidRPr="0023643C">
              <w:t>Red</w:t>
            </w:r>
            <w:r w:rsidR="00750C5E" w:rsidRPr="0023643C">
              <w:t>u</w:t>
            </w:r>
            <w:r w:rsidRPr="0023643C">
              <w:t xml:space="preserve">ction in sexual partners for diagnosed </w:t>
            </w:r>
            <w:r w:rsidR="0079728B">
              <w:t>PWH</w:t>
            </w:r>
            <w:r w:rsidRPr="0023643C">
              <w:t xml:space="preserve"> (vs. undiagnosed or uninfected)</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3A3425F3" w14:textId="77777777" w:rsidR="008330A0" w:rsidRPr="0023643C" w:rsidRDefault="008330A0" w:rsidP="000B74D8">
            <w:pPr>
              <w:pStyle w:val="TableTextDec"/>
              <w:tabs>
                <w:tab w:val="clear" w:pos="1015"/>
              </w:tabs>
              <w:jc w:val="center"/>
            </w:pPr>
            <w:r w:rsidRPr="0023643C">
              <w:t>HET: 10.2%</w:t>
            </w:r>
          </w:p>
          <w:p w14:paraId="5E05EC6C" w14:textId="77777777" w:rsidR="008330A0" w:rsidRPr="0023643C" w:rsidRDefault="008330A0" w:rsidP="000B74D8">
            <w:pPr>
              <w:pStyle w:val="TableTextDec"/>
              <w:tabs>
                <w:tab w:val="clear" w:pos="1015"/>
              </w:tabs>
              <w:jc w:val="center"/>
            </w:pPr>
            <w:r w:rsidRPr="0023643C">
              <w:t>MSM: 6.8%</w:t>
            </w:r>
          </w:p>
          <w:p w14:paraId="32EFE950" w14:textId="2424C150" w:rsidR="008330A0" w:rsidRPr="0023643C" w:rsidRDefault="008330A0" w:rsidP="000B74D8">
            <w:pPr>
              <w:pStyle w:val="TableTextDec"/>
              <w:tabs>
                <w:tab w:val="clear" w:pos="1015"/>
              </w:tabs>
              <w:jc w:val="center"/>
            </w:pPr>
            <w:r w:rsidRPr="0023643C">
              <w:t>PWID: 10.2%</w:t>
            </w:r>
          </w:p>
        </w:tc>
        <w:tc>
          <w:tcPr>
            <w:tcW w:w="4436" w:type="dxa"/>
            <w:tcBorders>
              <w:top w:val="single" w:sz="6" w:space="0" w:color="808080" w:themeColor="background1" w:themeShade="80"/>
              <w:bottom w:val="single" w:sz="6" w:space="0" w:color="808080" w:themeColor="background1" w:themeShade="80"/>
            </w:tcBorders>
            <w:shd w:val="clear" w:color="auto" w:fill="auto"/>
            <w:noWrap/>
          </w:tcPr>
          <w:p w14:paraId="38D66653" w14:textId="1DECE508" w:rsidR="008330A0" w:rsidRPr="0023643C" w:rsidRDefault="00D83769" w:rsidP="00EA6CA4">
            <w:pPr>
              <w:pStyle w:val="TableText"/>
            </w:pPr>
            <w:r w:rsidRPr="0023643C">
              <w:t xml:space="preserve">Unpublished analysis of 2009-2015 </w:t>
            </w:r>
            <w:proofErr w:type="spellStart"/>
            <w:r w:rsidR="008330A0" w:rsidRPr="0023643C">
              <w:t>NHBS</w:t>
            </w:r>
            <w:r w:rsidR="009D3249" w:rsidRPr="0023643C">
              <w:rPr>
                <w:vertAlign w:val="superscript"/>
              </w:rPr>
              <w:t>e</w:t>
            </w:r>
            <w:proofErr w:type="spellEnd"/>
          </w:p>
        </w:tc>
      </w:tr>
      <w:tr w:rsidR="00BB7569" w:rsidRPr="0023643C" w14:paraId="343361C3" w14:textId="77777777" w:rsidTr="0005040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241B71C9" w14:textId="0B64CC27" w:rsidR="00BB7569" w:rsidRPr="0023643C" w:rsidRDefault="00BB7569" w:rsidP="00695572">
            <w:pPr>
              <w:pStyle w:val="TableText"/>
            </w:pPr>
            <w:r w:rsidRPr="0023643C">
              <w:t xml:space="preserve">Increase in percentage of </w:t>
            </w:r>
            <w:r w:rsidR="00FC4AA3" w:rsidRPr="0023643C">
              <w:t xml:space="preserve">uninfected individuals' </w:t>
            </w:r>
            <w:r w:rsidR="00782B9B" w:rsidRPr="0023643C">
              <w:t>sex act</w:t>
            </w:r>
            <w:r w:rsidRPr="0023643C">
              <w:t>s</w:t>
            </w:r>
            <w:r w:rsidR="00695572" w:rsidRPr="0023643C">
              <w:t xml:space="preserve"> with HIV-infected partners that are</w:t>
            </w:r>
            <w:r w:rsidRPr="0023643C">
              <w:t xml:space="preserve"> protected with a condom </w:t>
            </w:r>
            <w:r w:rsidR="00695572" w:rsidRPr="0023643C">
              <w:t xml:space="preserve">when partner is </w:t>
            </w:r>
            <w:r w:rsidRPr="0023643C">
              <w:t>diagnosed vs. undiagnosed</w:t>
            </w:r>
            <w:r w:rsidR="00FC4AA3" w:rsidRPr="0023643C">
              <w:t xml:space="preserve"> </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4BE8FE37" w14:textId="241B143D" w:rsidR="00BB7569" w:rsidRPr="0023643C" w:rsidRDefault="00637D2A" w:rsidP="00EA6CA4">
            <w:pPr>
              <w:pStyle w:val="TableTextDec"/>
              <w:tabs>
                <w:tab w:val="clear" w:pos="1015"/>
              </w:tabs>
              <w:jc w:val="center"/>
            </w:pPr>
            <w:r w:rsidRPr="0023643C">
              <w:t>112</w:t>
            </w:r>
            <w:r w:rsidR="00BB7569" w:rsidRPr="0023643C">
              <w:t>%</w:t>
            </w:r>
          </w:p>
        </w:tc>
        <w:tc>
          <w:tcPr>
            <w:tcW w:w="4436" w:type="dxa"/>
            <w:tcBorders>
              <w:top w:val="single" w:sz="6" w:space="0" w:color="808080" w:themeColor="background1" w:themeShade="80"/>
              <w:bottom w:val="single" w:sz="6" w:space="0" w:color="808080" w:themeColor="background1" w:themeShade="80"/>
            </w:tcBorders>
            <w:shd w:val="clear" w:color="auto" w:fill="auto"/>
            <w:noWrap/>
          </w:tcPr>
          <w:p w14:paraId="446D67C9" w14:textId="37DE0363" w:rsidR="00BB7569" w:rsidRPr="0023643C" w:rsidRDefault="005D4A77" w:rsidP="000727D1">
            <w:pPr>
              <w:pStyle w:val="TableText"/>
            </w:pPr>
            <w:proofErr w:type="spellStart"/>
            <w:r>
              <w:t>Malekinejad</w:t>
            </w:r>
            <w:proofErr w:type="spellEnd"/>
            <w:r>
              <w:t xml:space="preserve"> et al. (2021)</w:t>
            </w:r>
            <w:r w:rsidR="00D158AE" w:rsidRPr="0023643C">
              <w:t xml:space="preserve">; </w:t>
            </w:r>
            <w:r w:rsidR="008330A0" w:rsidRPr="0023643C">
              <w:t>Reece et al. (2010b)</w:t>
            </w:r>
            <w:r w:rsidR="009D3249" w:rsidRPr="0023643C">
              <w:rPr>
                <w:vertAlign w:val="superscript"/>
              </w:rPr>
              <w:t>f</w:t>
            </w:r>
            <w:r w:rsidR="008330A0" w:rsidRPr="0023643C">
              <w:rPr>
                <w:vertAlign w:val="superscript"/>
              </w:rPr>
              <w:t xml:space="preserve"> </w:t>
            </w:r>
          </w:p>
        </w:tc>
      </w:tr>
    </w:tbl>
    <w:p w14:paraId="73487C9F" w14:textId="05F79A80" w:rsidR="006E5792" w:rsidRDefault="006E5792" w:rsidP="006E5792">
      <w:pPr>
        <w:pStyle w:val="table-continued"/>
      </w:pPr>
      <w:r w:rsidRPr="00733831">
        <w:t>(continued)</w:t>
      </w:r>
    </w:p>
    <w:p w14:paraId="4851F342" w14:textId="0F23C7E5" w:rsidR="00C63DB4" w:rsidRDefault="00C63DB4" w:rsidP="00E058F0">
      <w:pPr>
        <w:pStyle w:val="TableTitlecont"/>
      </w:pPr>
      <w:r w:rsidRPr="00C00335">
        <w:t>Table 6.</w:t>
      </w:r>
      <w:r w:rsidR="008865E7">
        <w:t>11</w:t>
      </w:r>
      <w:r w:rsidRPr="00C00335">
        <w:t>.</w:t>
      </w:r>
      <w:r w:rsidRPr="00C00335">
        <w:tab/>
        <w:t>Other Risk Behaviors</w:t>
      </w:r>
      <w:r>
        <w:t xml:space="preserve"> (continued)</w:t>
      </w:r>
    </w:p>
    <w:tbl>
      <w:tblPr>
        <w:tblW w:w="9724" w:type="dxa"/>
        <w:tblInd w:w="86"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3604"/>
        <w:gridCol w:w="1684"/>
        <w:gridCol w:w="4436"/>
      </w:tblGrid>
      <w:tr w:rsidR="006E5792" w:rsidRPr="0023643C" w14:paraId="2E1E376D" w14:textId="77777777" w:rsidTr="00BA30F7">
        <w:trPr>
          <w:cantSplit/>
          <w:tblHeader/>
        </w:trPr>
        <w:tc>
          <w:tcPr>
            <w:tcW w:w="3604" w:type="dxa"/>
            <w:tcBorders>
              <w:top w:val="single" w:sz="12" w:space="0" w:color="000000"/>
              <w:bottom w:val="single" w:sz="6" w:space="0" w:color="auto"/>
            </w:tcBorders>
            <w:shd w:val="clear" w:color="auto" w:fill="auto"/>
            <w:noWrap/>
            <w:vAlign w:val="bottom"/>
            <w:hideMark/>
          </w:tcPr>
          <w:p w14:paraId="0B1C6861" w14:textId="77777777" w:rsidR="006E5792" w:rsidRPr="0023643C" w:rsidRDefault="006E5792" w:rsidP="00BA30F7">
            <w:pPr>
              <w:pStyle w:val="TableHeaders"/>
            </w:pPr>
            <w:r w:rsidRPr="0023643C">
              <w:t>Risk Behavior</w:t>
            </w:r>
          </w:p>
        </w:tc>
        <w:tc>
          <w:tcPr>
            <w:tcW w:w="1684" w:type="dxa"/>
            <w:tcBorders>
              <w:top w:val="single" w:sz="12" w:space="0" w:color="000000"/>
              <w:bottom w:val="single" w:sz="6" w:space="0" w:color="auto"/>
            </w:tcBorders>
            <w:shd w:val="clear" w:color="auto" w:fill="auto"/>
            <w:noWrap/>
            <w:vAlign w:val="bottom"/>
            <w:hideMark/>
          </w:tcPr>
          <w:p w14:paraId="5BDD169F" w14:textId="77777777" w:rsidR="006E5792" w:rsidRPr="0023643C" w:rsidRDefault="006E5792" w:rsidP="00BA30F7">
            <w:pPr>
              <w:pStyle w:val="TableHeaders"/>
            </w:pPr>
            <w:r w:rsidRPr="0023643C">
              <w:t>Value</w:t>
            </w:r>
          </w:p>
        </w:tc>
        <w:tc>
          <w:tcPr>
            <w:tcW w:w="4436" w:type="dxa"/>
            <w:tcBorders>
              <w:top w:val="single" w:sz="12" w:space="0" w:color="000000"/>
              <w:bottom w:val="single" w:sz="6" w:space="0" w:color="auto"/>
            </w:tcBorders>
            <w:shd w:val="clear" w:color="auto" w:fill="auto"/>
            <w:noWrap/>
            <w:vAlign w:val="bottom"/>
            <w:hideMark/>
          </w:tcPr>
          <w:p w14:paraId="4BB9B33E" w14:textId="77777777" w:rsidR="006E5792" w:rsidRPr="0023643C" w:rsidRDefault="006E5792" w:rsidP="00BA30F7">
            <w:pPr>
              <w:pStyle w:val="TableHeaders"/>
            </w:pPr>
            <w:r w:rsidRPr="0023643C">
              <w:t>Source</w:t>
            </w:r>
          </w:p>
        </w:tc>
      </w:tr>
      <w:tr w:rsidR="006E5792" w:rsidRPr="0023643C" w14:paraId="76F293D1" w14:textId="77777777" w:rsidTr="00BA30F7">
        <w:trPr>
          <w:cantSplit/>
        </w:trPr>
        <w:tc>
          <w:tcPr>
            <w:tcW w:w="9724" w:type="dxa"/>
            <w:gridSpan w:val="3"/>
            <w:tcBorders>
              <w:top w:val="single" w:sz="6" w:space="0" w:color="808080" w:themeColor="background1" w:themeShade="80"/>
              <w:bottom w:val="single" w:sz="6" w:space="0" w:color="808080" w:themeColor="background1" w:themeShade="80"/>
            </w:tcBorders>
            <w:shd w:val="clear" w:color="auto" w:fill="auto"/>
            <w:noWrap/>
            <w:hideMark/>
          </w:tcPr>
          <w:p w14:paraId="1C7606E1" w14:textId="77777777" w:rsidR="006E5792" w:rsidRPr="0023643C" w:rsidRDefault="006E5792" w:rsidP="00BA30F7">
            <w:pPr>
              <w:pStyle w:val="TableText"/>
            </w:pPr>
            <w:r w:rsidRPr="0023643C">
              <w:t>Percentage of sex acts in which condom provides effective protection</w:t>
            </w:r>
          </w:p>
        </w:tc>
      </w:tr>
      <w:tr w:rsidR="006E5792" w:rsidRPr="0023643C" w14:paraId="41B8C6D0" w14:textId="77777777" w:rsidTr="00BA30F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531DADF7" w14:textId="77777777" w:rsidR="006E5792" w:rsidRPr="0023643C" w:rsidRDefault="006E5792" w:rsidP="00BA30F7">
            <w:pPr>
              <w:pStyle w:val="TableText"/>
              <w:ind w:left="364"/>
            </w:pPr>
            <w:r w:rsidRPr="0023643C">
              <w:t>VI</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34A7AC15" w14:textId="77777777" w:rsidR="006E5792" w:rsidRPr="0023643C" w:rsidRDefault="006E5792" w:rsidP="00BA30F7">
            <w:pPr>
              <w:pStyle w:val="TableTextDec"/>
              <w:tabs>
                <w:tab w:val="clear" w:pos="1015"/>
              </w:tabs>
              <w:jc w:val="center"/>
            </w:pPr>
            <w:r w:rsidRPr="0023643C">
              <w:t>80.2%</w:t>
            </w:r>
          </w:p>
        </w:tc>
        <w:tc>
          <w:tcPr>
            <w:tcW w:w="4436" w:type="dxa"/>
            <w:tcBorders>
              <w:top w:val="single" w:sz="6" w:space="0" w:color="808080" w:themeColor="background1" w:themeShade="80"/>
              <w:bottom w:val="single" w:sz="6" w:space="0" w:color="808080" w:themeColor="background1" w:themeShade="80"/>
            </w:tcBorders>
            <w:shd w:val="clear" w:color="auto" w:fill="auto"/>
            <w:noWrap/>
          </w:tcPr>
          <w:p w14:paraId="1F8162D2" w14:textId="77777777" w:rsidR="006E5792" w:rsidRPr="0023643C" w:rsidRDefault="006E5792" w:rsidP="00BA30F7">
            <w:pPr>
              <w:pStyle w:val="TableText"/>
            </w:pPr>
            <w:r w:rsidRPr="0023643C">
              <w:t>Weller and Davis (2002)</w:t>
            </w:r>
          </w:p>
        </w:tc>
      </w:tr>
      <w:tr w:rsidR="006E5792" w:rsidRPr="0023643C" w14:paraId="770B66E0" w14:textId="77777777" w:rsidTr="00BA30F7">
        <w:trPr>
          <w:cantSplit/>
        </w:trPr>
        <w:tc>
          <w:tcPr>
            <w:tcW w:w="3604" w:type="dxa"/>
            <w:tcBorders>
              <w:top w:val="single" w:sz="6" w:space="0" w:color="808080" w:themeColor="background1" w:themeShade="80"/>
              <w:bottom w:val="single" w:sz="6" w:space="0" w:color="808080" w:themeColor="background1" w:themeShade="80"/>
            </w:tcBorders>
            <w:shd w:val="clear" w:color="auto" w:fill="auto"/>
            <w:noWrap/>
          </w:tcPr>
          <w:p w14:paraId="68B00010" w14:textId="77777777" w:rsidR="006E5792" w:rsidRPr="0023643C" w:rsidRDefault="006E5792" w:rsidP="00BA30F7">
            <w:pPr>
              <w:pStyle w:val="TableText"/>
              <w:ind w:left="364"/>
            </w:pPr>
            <w:r w:rsidRPr="0023643C">
              <w:t>AI</w:t>
            </w:r>
          </w:p>
        </w:tc>
        <w:tc>
          <w:tcPr>
            <w:tcW w:w="1684" w:type="dxa"/>
            <w:tcBorders>
              <w:top w:val="single" w:sz="6" w:space="0" w:color="808080" w:themeColor="background1" w:themeShade="80"/>
              <w:bottom w:val="single" w:sz="6" w:space="0" w:color="808080" w:themeColor="background1" w:themeShade="80"/>
            </w:tcBorders>
            <w:shd w:val="clear" w:color="auto" w:fill="auto"/>
            <w:noWrap/>
          </w:tcPr>
          <w:p w14:paraId="42FF523C" w14:textId="77777777" w:rsidR="006E5792" w:rsidRPr="0023643C" w:rsidRDefault="006E5792" w:rsidP="00BA30F7">
            <w:pPr>
              <w:pStyle w:val="TableTextDec"/>
              <w:tabs>
                <w:tab w:val="clear" w:pos="1015"/>
              </w:tabs>
              <w:jc w:val="center"/>
            </w:pPr>
            <w:r w:rsidRPr="0023643C">
              <w:t>70%</w:t>
            </w:r>
          </w:p>
        </w:tc>
        <w:tc>
          <w:tcPr>
            <w:tcW w:w="4436" w:type="dxa"/>
            <w:tcBorders>
              <w:top w:val="single" w:sz="6" w:space="0" w:color="808080" w:themeColor="background1" w:themeShade="80"/>
              <w:bottom w:val="single" w:sz="6" w:space="0" w:color="808080" w:themeColor="background1" w:themeShade="80"/>
            </w:tcBorders>
            <w:shd w:val="clear" w:color="auto" w:fill="auto"/>
            <w:noWrap/>
          </w:tcPr>
          <w:p w14:paraId="58029B44" w14:textId="77777777" w:rsidR="006E5792" w:rsidRPr="0023643C" w:rsidRDefault="006E5792" w:rsidP="00BA30F7">
            <w:pPr>
              <w:pStyle w:val="TableText"/>
            </w:pPr>
            <w:r w:rsidRPr="0023643C">
              <w:t>Smith et al. (2015)</w:t>
            </w:r>
          </w:p>
        </w:tc>
      </w:tr>
      <w:tr w:rsidR="006E5792" w:rsidRPr="00C00335" w14:paraId="7C5515DB" w14:textId="77777777" w:rsidTr="00BA30F7">
        <w:trPr>
          <w:cantSplit/>
        </w:trPr>
        <w:tc>
          <w:tcPr>
            <w:tcW w:w="3604" w:type="dxa"/>
            <w:tcBorders>
              <w:top w:val="single" w:sz="6" w:space="0" w:color="808080" w:themeColor="background1" w:themeShade="80"/>
              <w:bottom w:val="single" w:sz="12" w:space="0" w:color="000000"/>
            </w:tcBorders>
            <w:shd w:val="clear" w:color="auto" w:fill="auto"/>
            <w:noWrap/>
          </w:tcPr>
          <w:p w14:paraId="0B76A427" w14:textId="77777777" w:rsidR="006E5792" w:rsidRPr="0023643C" w:rsidRDefault="006E5792" w:rsidP="00BA30F7">
            <w:pPr>
              <w:pStyle w:val="TableText"/>
            </w:pPr>
            <w:r w:rsidRPr="0023643C">
              <w:lastRenderedPageBreak/>
              <w:t xml:space="preserve">Reduction in number of needles shared with HIV-infected partners who are diagnosed versus undiagnosed or HIV-uninfected </w:t>
            </w:r>
          </w:p>
        </w:tc>
        <w:tc>
          <w:tcPr>
            <w:tcW w:w="1684" w:type="dxa"/>
            <w:tcBorders>
              <w:top w:val="single" w:sz="6" w:space="0" w:color="808080" w:themeColor="background1" w:themeShade="80"/>
              <w:bottom w:val="single" w:sz="12" w:space="0" w:color="000000"/>
            </w:tcBorders>
            <w:shd w:val="clear" w:color="auto" w:fill="auto"/>
            <w:noWrap/>
          </w:tcPr>
          <w:p w14:paraId="61841A8C" w14:textId="77777777" w:rsidR="006E5792" w:rsidRPr="0023643C" w:rsidRDefault="006E5792" w:rsidP="00BA30F7">
            <w:pPr>
              <w:pStyle w:val="TableTextDec"/>
              <w:tabs>
                <w:tab w:val="clear" w:pos="1015"/>
              </w:tabs>
              <w:jc w:val="center"/>
            </w:pPr>
            <w:r w:rsidRPr="0023643C">
              <w:t>27%</w:t>
            </w:r>
          </w:p>
        </w:tc>
        <w:tc>
          <w:tcPr>
            <w:tcW w:w="4436" w:type="dxa"/>
            <w:tcBorders>
              <w:top w:val="single" w:sz="6" w:space="0" w:color="808080" w:themeColor="background1" w:themeShade="80"/>
              <w:bottom w:val="single" w:sz="12" w:space="0" w:color="000000"/>
            </w:tcBorders>
            <w:shd w:val="clear" w:color="auto" w:fill="auto"/>
            <w:noWrap/>
          </w:tcPr>
          <w:p w14:paraId="23FB5769" w14:textId="77777777" w:rsidR="006E5792" w:rsidRPr="00C00335" w:rsidRDefault="006E5792" w:rsidP="00BA30F7">
            <w:pPr>
              <w:pStyle w:val="TableText"/>
            </w:pPr>
            <w:r w:rsidRPr="0023643C">
              <w:t>Assumption based on approximately half of condom use effect from diagnosis on needle-sharing behaviors</w:t>
            </w:r>
          </w:p>
        </w:tc>
      </w:tr>
    </w:tbl>
    <w:p w14:paraId="2CF1579A" w14:textId="28B1A023" w:rsidR="006E5792" w:rsidRPr="00C00335" w:rsidRDefault="006E5792" w:rsidP="006E5792">
      <w:pPr>
        <w:pStyle w:val="Source2"/>
      </w:pPr>
      <w:r w:rsidRPr="00C00335">
        <w:t xml:space="preserve">Note: AI = anal intercourse; NHBS = National HIV Behavioral Surveillance; </w:t>
      </w:r>
      <w:r>
        <w:t xml:space="preserve">PWH = people with HIV; </w:t>
      </w:r>
      <w:r w:rsidRPr="00C00335">
        <w:t>PWID = people who inject drugs; VI = vaginal intercourse</w:t>
      </w:r>
    </w:p>
    <w:p w14:paraId="2B0989AF" w14:textId="1E873E1D" w:rsidR="009D3249" w:rsidRPr="006723C3" w:rsidRDefault="009D3249" w:rsidP="00181BDA">
      <w:pPr>
        <w:pStyle w:val="Source2"/>
      </w:pPr>
      <w:proofErr w:type="spellStart"/>
      <w:r w:rsidRPr="006723C3">
        <w:rPr>
          <w:vertAlign w:val="superscript"/>
        </w:rPr>
        <w:t>a</w:t>
      </w:r>
      <w:proofErr w:type="spellEnd"/>
      <w:r w:rsidRPr="006723C3">
        <w:rPr>
          <w:vertAlign w:val="superscript"/>
        </w:rPr>
        <w:t xml:space="preserve"> </w:t>
      </w:r>
      <w:r w:rsidRPr="006723C3">
        <w:t xml:space="preserve">Assumed that only 40% of PWID are actively using in a given year, based on an estimated ~600,000 PWID in the </w:t>
      </w:r>
      <w:r w:rsidR="000E77C1" w:rsidRPr="006723C3">
        <w:t>United States</w:t>
      </w:r>
      <w:r w:rsidRPr="006723C3">
        <w:t xml:space="preserve"> </w:t>
      </w:r>
      <w:r w:rsidR="000E77C1" w:rsidRPr="006723C3">
        <w:t>who</w:t>
      </w:r>
      <w:r w:rsidRPr="006723C3">
        <w:t xml:space="preserve"> have injected within the last </w:t>
      </w:r>
      <w:r w:rsidR="000E77C1" w:rsidRPr="006723C3">
        <w:t>12</w:t>
      </w:r>
      <w:r w:rsidRPr="006723C3">
        <w:t xml:space="preserve"> months derived from </w:t>
      </w:r>
      <w:proofErr w:type="spellStart"/>
      <w:r w:rsidRPr="006723C3">
        <w:t>Lanksy</w:t>
      </w:r>
      <w:proofErr w:type="spellEnd"/>
      <w:r w:rsidRPr="006723C3">
        <w:t xml:space="preserve"> et al. (2014), divided by an estimated ~1.6 million total PWID in the </w:t>
      </w:r>
      <w:r w:rsidR="000E77C1" w:rsidRPr="006723C3">
        <w:t>United States</w:t>
      </w:r>
      <w:r w:rsidRPr="006723C3">
        <w:t xml:space="preserve"> who have injected in their lifetime, per </w:t>
      </w:r>
      <w:proofErr w:type="spellStart"/>
      <w:r w:rsidRPr="006723C3">
        <w:t>Tempalski</w:t>
      </w:r>
      <w:proofErr w:type="spellEnd"/>
      <w:r w:rsidRPr="006723C3">
        <w:t xml:space="preserve"> et al. (2013).</w:t>
      </w:r>
    </w:p>
    <w:p w14:paraId="343A43EC" w14:textId="76ACE422" w:rsidR="000727D1" w:rsidRPr="006723C3" w:rsidRDefault="009D3249" w:rsidP="00181BDA">
      <w:pPr>
        <w:pStyle w:val="Source2"/>
      </w:pPr>
      <w:r w:rsidRPr="00E832D1">
        <w:rPr>
          <w:vertAlign w:val="superscript"/>
        </w:rPr>
        <w:t>b</w:t>
      </w:r>
      <w:r w:rsidR="00786610" w:rsidRPr="00E832D1">
        <w:rPr>
          <w:vertAlign w:val="superscript"/>
        </w:rPr>
        <w:t xml:space="preserve"> </w:t>
      </w:r>
      <w:r w:rsidR="000727D1" w:rsidRPr="00E832D1">
        <w:t xml:space="preserve">Calculated </w:t>
      </w:r>
      <w:r w:rsidR="00BB6FDB" w:rsidRPr="00E832D1">
        <w:t>using data on the injection frequency in the past 12 months for injection drug users from the 2015 NHBS IDU cycle, which shows that among 10,487 PWIDs, 7,742 inject more than once a day, 1,131 once a day, 950 more than once a week, 659 once a week or less, and 5 had no response. Assuming those categories corresponded to 1.5 injections per day, 1 per day, 2 per week, 0.75 per week, and 0</w:t>
      </w:r>
      <w:r w:rsidR="00312968" w:rsidRPr="00E832D1">
        <w:t>, respectively, the weighted average number of injections per person per year was 455.43</w:t>
      </w:r>
      <w:r w:rsidR="000727D1" w:rsidRPr="00E832D1">
        <w:t>.</w:t>
      </w:r>
    </w:p>
    <w:p w14:paraId="3A4C7BB1" w14:textId="4AF43B01" w:rsidR="00B41A9A" w:rsidRPr="006723C3" w:rsidRDefault="009D3249" w:rsidP="008551E2">
      <w:pPr>
        <w:pStyle w:val="Source2"/>
        <w:spacing w:before="60"/>
      </w:pPr>
      <w:r w:rsidRPr="006723C3">
        <w:rPr>
          <w:vertAlign w:val="superscript"/>
        </w:rPr>
        <w:t>c</w:t>
      </w:r>
      <w:r w:rsidR="000727D1" w:rsidRPr="006723C3">
        <w:t xml:space="preserve"> </w:t>
      </w:r>
      <w:r w:rsidR="00B41A9A" w:rsidRPr="006723C3">
        <w:t>Calculated as (</w:t>
      </w:r>
      <w:r w:rsidR="008551E2" w:rsidRPr="006723C3">
        <w:t xml:space="preserve">Annual </w:t>
      </w:r>
      <w:r w:rsidR="00B41A9A" w:rsidRPr="006723C3">
        <w:t xml:space="preserve">number of injections across all partners per year) </w:t>
      </w:r>
      <w:r w:rsidR="003E572D" w:rsidRPr="006723C3">
        <w:t>x</w:t>
      </w:r>
      <w:r w:rsidR="00B41A9A" w:rsidRPr="006723C3">
        <w:t xml:space="preserve"> (</w:t>
      </w:r>
      <w:r w:rsidR="008551E2" w:rsidRPr="006723C3">
        <w:t>P</w:t>
      </w:r>
      <w:r w:rsidR="000727D1" w:rsidRPr="006723C3">
        <w:t>ercentage</w:t>
      </w:r>
      <w:r w:rsidR="00B41A9A" w:rsidRPr="006723C3">
        <w:t xml:space="preserve"> of injections that are shared) </w:t>
      </w:r>
    </w:p>
    <w:p w14:paraId="4D974F7D" w14:textId="5C8283C1" w:rsidR="00315F8D" w:rsidRPr="006723C3" w:rsidRDefault="009D3249" w:rsidP="0046162D">
      <w:pPr>
        <w:pStyle w:val="Source3"/>
      </w:pPr>
      <w:r w:rsidRPr="006723C3">
        <w:rPr>
          <w:vertAlign w:val="superscript"/>
        </w:rPr>
        <w:t>d</w:t>
      </w:r>
      <w:r w:rsidR="000727D1" w:rsidRPr="006723C3">
        <w:rPr>
          <w:vertAlign w:val="superscript"/>
        </w:rPr>
        <w:t xml:space="preserve"> </w:t>
      </w:r>
      <w:r w:rsidR="00B41A9A" w:rsidRPr="006723C3">
        <w:t>Calculated as (</w:t>
      </w:r>
      <w:r w:rsidR="008551E2" w:rsidRPr="006723C3">
        <w:t xml:space="preserve">Number </w:t>
      </w:r>
      <w:r w:rsidR="00B41A9A" w:rsidRPr="006723C3">
        <w:t>of needles shared across all partners) ÷ (</w:t>
      </w:r>
      <w:r w:rsidR="008551E2" w:rsidRPr="006723C3">
        <w:t xml:space="preserve">Annual </w:t>
      </w:r>
      <w:r w:rsidR="00B41A9A" w:rsidRPr="006723C3">
        <w:t xml:space="preserve">number of needle-sharing partners for </w:t>
      </w:r>
      <w:r w:rsidR="005C4A38" w:rsidRPr="006723C3">
        <w:t>PWID</w:t>
      </w:r>
      <w:r w:rsidR="00B41A9A" w:rsidRPr="006723C3">
        <w:t>) </w:t>
      </w:r>
      <w:bookmarkStart w:id="77" w:name="_Toc398293122"/>
      <w:bookmarkStart w:id="78" w:name="_Toc398293123"/>
    </w:p>
    <w:p w14:paraId="64D2E72B" w14:textId="10E9892E" w:rsidR="008330A0" w:rsidRPr="006723C3" w:rsidRDefault="009D3249" w:rsidP="00AF5B78">
      <w:pPr>
        <w:pStyle w:val="Source2"/>
        <w:rPr>
          <w:szCs w:val="20"/>
        </w:rPr>
      </w:pPr>
      <w:r w:rsidRPr="006723C3">
        <w:rPr>
          <w:vertAlign w:val="superscript"/>
        </w:rPr>
        <w:t>e</w:t>
      </w:r>
      <w:r w:rsidR="008330A0" w:rsidRPr="006723C3">
        <w:rPr>
          <w:vertAlign w:val="superscript"/>
        </w:rPr>
        <w:t xml:space="preserve"> </w:t>
      </w:r>
      <w:r w:rsidR="008330A0" w:rsidRPr="006723C3">
        <w:rPr>
          <w:szCs w:val="20"/>
        </w:rPr>
        <w:t xml:space="preserve">Calculated from </w:t>
      </w:r>
      <w:r w:rsidR="009A4040" w:rsidRPr="006723C3">
        <w:t xml:space="preserve">unpublished </w:t>
      </w:r>
      <w:r w:rsidR="008330A0" w:rsidRPr="006723C3">
        <w:rPr>
          <w:szCs w:val="20"/>
        </w:rPr>
        <w:t xml:space="preserve">NHBS </w:t>
      </w:r>
      <w:r w:rsidR="009A4040" w:rsidRPr="006723C3">
        <w:t>2009-2015</w:t>
      </w:r>
      <w:r w:rsidR="008330A0" w:rsidRPr="006723C3">
        <w:rPr>
          <w:szCs w:val="20"/>
        </w:rPr>
        <w:t xml:space="preserve"> </w:t>
      </w:r>
      <w:r w:rsidR="009A4040" w:rsidRPr="006723C3">
        <w:t>data</w:t>
      </w:r>
      <w:r w:rsidR="008330A0" w:rsidRPr="006723C3">
        <w:rPr>
          <w:szCs w:val="20"/>
        </w:rPr>
        <w:t xml:space="preserve"> on the percent</w:t>
      </w:r>
      <w:r w:rsidR="009A4040" w:rsidRPr="006723C3">
        <w:t>age</w:t>
      </w:r>
      <w:r w:rsidR="008330A0" w:rsidRPr="006723C3">
        <w:rPr>
          <w:szCs w:val="20"/>
        </w:rPr>
        <w:t xml:space="preserve"> of </w:t>
      </w:r>
      <w:r w:rsidR="003A0B22" w:rsidRPr="006723C3">
        <w:t xml:space="preserve">survey respondents living with </w:t>
      </w:r>
      <w:r w:rsidR="004503C2">
        <w:rPr>
          <w:szCs w:val="20"/>
        </w:rPr>
        <w:t xml:space="preserve">HIV </w:t>
      </w:r>
      <w:r w:rsidR="000E77C1" w:rsidRPr="006723C3">
        <w:t>who</w:t>
      </w:r>
      <w:r w:rsidR="008330A0" w:rsidRPr="006723C3">
        <w:rPr>
          <w:szCs w:val="20"/>
        </w:rPr>
        <w:t xml:space="preserve"> </w:t>
      </w:r>
      <w:r w:rsidR="003A0B22" w:rsidRPr="006723C3">
        <w:t>we</w:t>
      </w:r>
      <w:r w:rsidR="008330A0" w:rsidRPr="006723C3">
        <w:rPr>
          <w:szCs w:val="20"/>
        </w:rPr>
        <w:t>re sexually active while aware of HIV infection versus the percent</w:t>
      </w:r>
      <w:r w:rsidR="003A0B22" w:rsidRPr="006723C3">
        <w:t>age</w:t>
      </w:r>
      <w:r w:rsidR="008330A0" w:rsidRPr="006723C3">
        <w:rPr>
          <w:szCs w:val="20"/>
        </w:rPr>
        <w:t xml:space="preserve"> that </w:t>
      </w:r>
      <w:r w:rsidR="003A0B22" w:rsidRPr="006723C3">
        <w:t>we</w:t>
      </w:r>
      <w:r w:rsidR="008330A0" w:rsidRPr="006723C3">
        <w:rPr>
          <w:szCs w:val="20"/>
        </w:rPr>
        <w:t>re sexually active while unaware of HIV infection.</w:t>
      </w:r>
    </w:p>
    <w:p w14:paraId="719CD50F" w14:textId="2D6B6DA4" w:rsidR="004B71BF" w:rsidRPr="00AF5B78" w:rsidRDefault="009D3249" w:rsidP="00AF5B78">
      <w:pPr>
        <w:pStyle w:val="Source2"/>
        <w:sectPr w:rsidR="004B71BF" w:rsidRPr="00AF5B78" w:rsidSect="00050407">
          <w:headerReference w:type="even" r:id="rId59"/>
          <w:headerReference w:type="default" r:id="rId60"/>
          <w:footerReference w:type="even" r:id="rId61"/>
          <w:footerReference w:type="default" r:id="rId62"/>
          <w:headerReference w:type="first" r:id="rId63"/>
          <w:footerReference w:type="first" r:id="rId64"/>
          <w:type w:val="oddPage"/>
          <w:pgSz w:w="12240" w:h="15840" w:code="1"/>
          <w:pgMar w:top="1440" w:right="1440" w:bottom="1440" w:left="1440" w:header="720" w:footer="720" w:gutter="0"/>
          <w:pgNumType w:chapStyle="1"/>
          <w:cols w:space="720"/>
          <w:docGrid w:linePitch="360"/>
        </w:sectPr>
      </w:pPr>
      <w:r w:rsidRPr="006723C3">
        <w:rPr>
          <w:vertAlign w:val="superscript"/>
        </w:rPr>
        <w:t>f</w:t>
      </w:r>
      <w:r w:rsidR="008330A0" w:rsidRPr="006723C3">
        <w:t xml:space="preserve"> 20% condom use during sex acts for HIV</w:t>
      </w:r>
      <w:r w:rsidR="003A0B22" w:rsidRPr="006723C3">
        <w:t>-uninfected</w:t>
      </w:r>
      <w:r w:rsidR="008330A0" w:rsidRPr="006723C3">
        <w:t xml:space="preserve"> and undiagnosed HIV</w:t>
      </w:r>
      <w:r w:rsidR="003A0B22" w:rsidRPr="006723C3">
        <w:t>-infected</w:t>
      </w:r>
      <w:r w:rsidR="005D4A77">
        <w:t xml:space="preserve"> was</w:t>
      </w:r>
      <w:r w:rsidR="008330A0" w:rsidRPr="006723C3">
        <w:t xml:space="preserve"> based on population-wide estimates from Reece et al. (2010b).</w:t>
      </w:r>
      <w:r w:rsidR="005D4A77">
        <w:t xml:space="preserve"> T</w:t>
      </w:r>
      <w:r w:rsidR="005D4A77" w:rsidRPr="005D4A77">
        <w:t>he relative risk of not always using condoms 12 months after diagnosis (</w:t>
      </w:r>
      <w:proofErr w:type="spellStart"/>
      <w:r w:rsidR="005D4A77" w:rsidRPr="005D4A77">
        <w:t>Malekinejad</w:t>
      </w:r>
      <w:proofErr w:type="spellEnd"/>
      <w:r w:rsidR="005D4A77" w:rsidRPr="005D4A77">
        <w:t xml:space="preserve"> et al., 2021) was transformed to relative risk reduction (RRR) by deducting them from 1, and multiplied by 100 to express as % reduction in risk of adverse outcome.</w:t>
      </w:r>
      <w:r w:rsidR="008330A0" w:rsidRPr="003A0B22">
        <w:br/>
      </w:r>
    </w:p>
    <w:p w14:paraId="3121480B" w14:textId="5B12A5A5" w:rsidR="00315F8D" w:rsidRPr="00C00335" w:rsidRDefault="00315F8D" w:rsidP="00315F8D">
      <w:pPr>
        <w:pStyle w:val="Heading3"/>
      </w:pPr>
      <w:bookmarkStart w:id="79" w:name="_Toc398293121"/>
      <w:bookmarkStart w:id="80" w:name="_Toc89257545"/>
      <w:r w:rsidRPr="00C00335">
        <w:lastRenderedPageBreak/>
        <w:t>Per-</w:t>
      </w:r>
      <w:r w:rsidR="00DB6E5A" w:rsidRPr="00C00335">
        <w:t>Sex-</w:t>
      </w:r>
      <w:r w:rsidR="00C16CB0" w:rsidRPr="00C00335">
        <w:t>A</w:t>
      </w:r>
      <w:r w:rsidR="00DB6E5A" w:rsidRPr="00C00335">
        <w:t>ct</w:t>
      </w:r>
      <w:r w:rsidRPr="00C00335">
        <w:t xml:space="preserve"> Sexual and Needle Transmission Probabilities</w:t>
      </w:r>
      <w:bookmarkEnd w:id="79"/>
      <w:bookmarkEnd w:id="80"/>
    </w:p>
    <w:p w14:paraId="64D597F3" w14:textId="3115D9C3" w:rsidR="00315F8D" w:rsidRPr="00C00335" w:rsidRDefault="00315F8D" w:rsidP="00315F8D">
      <w:pPr>
        <w:pStyle w:val="BodyText"/>
      </w:pPr>
      <w:r w:rsidRPr="00C00335">
        <w:t xml:space="preserve">The probability of an </w:t>
      </w:r>
      <w:r w:rsidR="005F5C70" w:rsidRPr="00C00335">
        <w:t>HIV-uninfected</w:t>
      </w:r>
      <w:r w:rsidRPr="00C00335">
        <w:t xml:space="preserve"> person acquiring HIV from a </w:t>
      </w:r>
      <w:r w:rsidR="00782B9B" w:rsidRPr="00C00335">
        <w:t>sex act</w:t>
      </w:r>
      <w:r w:rsidRPr="00C00335">
        <w:t xml:space="preserve"> with an HIV-infected partner varies by the disease stage and continuum-of-care status of the HIV-infected partner; circumcision status of the </w:t>
      </w:r>
      <w:r w:rsidR="005F5C70" w:rsidRPr="00C00335">
        <w:t>HIV-uninfected</w:t>
      </w:r>
      <w:r w:rsidRPr="00C00335">
        <w:t xml:space="preserve"> person; condom usage; transmission group; and type of sex act (i.e., vaginal vs. anal and </w:t>
      </w:r>
      <w:proofErr w:type="spellStart"/>
      <w:r w:rsidRPr="00C00335">
        <w:t>insertive</w:t>
      </w:r>
      <w:proofErr w:type="spellEnd"/>
      <w:r w:rsidRPr="00C00335">
        <w:t xml:space="preserve"> vs. receptive) (</w:t>
      </w:r>
      <w:proofErr w:type="spellStart"/>
      <w:r w:rsidRPr="00C00335">
        <w:t>Boily</w:t>
      </w:r>
      <w:proofErr w:type="spellEnd"/>
      <w:r w:rsidRPr="00C00335">
        <w:t xml:space="preserve"> et al., 2009; </w:t>
      </w:r>
      <w:proofErr w:type="spellStart"/>
      <w:r w:rsidRPr="00C00335">
        <w:t>Leynaert</w:t>
      </w:r>
      <w:proofErr w:type="spellEnd"/>
      <w:r w:rsidRPr="00C00335">
        <w:t xml:space="preserve"> et al., 1998; Osmond et al., 1988; </w:t>
      </w:r>
      <w:proofErr w:type="spellStart"/>
      <w:r w:rsidRPr="00C00335">
        <w:t>Porco</w:t>
      </w:r>
      <w:proofErr w:type="spellEnd"/>
      <w:r w:rsidRPr="00C00335">
        <w:t xml:space="preserve"> et al., 2004). The probabilities</w:t>
      </w:r>
      <w:r w:rsidR="0030355F" w:rsidRPr="00C00335">
        <w:t xml:space="preserve"> </w:t>
      </w:r>
      <w:r w:rsidRPr="00C00335">
        <w:t xml:space="preserve">were each calculated as the product of a base probability for an HIV-infected person having </w:t>
      </w:r>
      <w:proofErr w:type="spellStart"/>
      <w:r w:rsidR="000229FE">
        <w:t>condomless</w:t>
      </w:r>
      <w:proofErr w:type="spellEnd"/>
      <w:r w:rsidR="000229FE">
        <w:t xml:space="preserve"> </w:t>
      </w:r>
      <w:r w:rsidR="00DB6E5A" w:rsidRPr="00C00335">
        <w:t>sex act</w:t>
      </w:r>
      <w:r w:rsidRPr="00C00335">
        <w:t xml:space="preserve"> with an uncircumcised (if male) </w:t>
      </w:r>
      <w:r w:rsidR="005F5C70" w:rsidRPr="00C00335">
        <w:t>HIV-uninfected</w:t>
      </w:r>
      <w:r w:rsidRPr="00C00335">
        <w:t xml:space="preserve"> partner and the relative risk of transmission by disease stage</w:t>
      </w:r>
      <w:r w:rsidR="0030355F" w:rsidRPr="00C00335">
        <w:t xml:space="preserve"> (base probabilities and relative risks listed in </w:t>
      </w:r>
      <w:r w:rsidR="00871E69" w:rsidRPr="00C00335">
        <w:t>Table 6.</w:t>
      </w:r>
      <w:r w:rsidR="0030355F" w:rsidRPr="00C00335">
        <w:t>8)</w:t>
      </w:r>
      <w:r w:rsidRPr="00C00335">
        <w:t xml:space="preserve">. Multiplicative reductions were then applied to those probabilities for </w:t>
      </w:r>
      <w:r w:rsidR="00DB6E5A" w:rsidRPr="00C00335">
        <w:t>sex act</w:t>
      </w:r>
      <w:r w:rsidRPr="00C00335">
        <w:t xml:space="preserve">s involving circumcised </w:t>
      </w:r>
      <w:r w:rsidR="005F5C70" w:rsidRPr="00C00335">
        <w:t>HIV-uninfected</w:t>
      </w:r>
      <w:r w:rsidRPr="00C00335">
        <w:t xml:space="preserve"> partners, </w:t>
      </w:r>
      <w:r w:rsidR="000229FE">
        <w:t>sex acts with the use of condoms and/or other prevention tools</w:t>
      </w:r>
      <w:r w:rsidRPr="00C00335">
        <w:t xml:space="preserve">, and </w:t>
      </w:r>
      <w:r w:rsidR="00D10FEF" w:rsidRPr="00C00335">
        <w:t>sex act</w:t>
      </w:r>
      <w:r w:rsidRPr="00C00335">
        <w:t xml:space="preserve">s with </w:t>
      </w:r>
      <w:r w:rsidR="005F5C70" w:rsidRPr="00C00335">
        <w:t>HIV-infected</w:t>
      </w:r>
      <w:r w:rsidRPr="00C00335">
        <w:t xml:space="preserve"> partners who are VLS.</w:t>
      </w:r>
    </w:p>
    <w:p w14:paraId="63BDD8B9" w14:textId="65891DAE" w:rsidR="000F420A" w:rsidRPr="00C00335" w:rsidRDefault="00467D83" w:rsidP="00CD74A5">
      <w:pPr>
        <w:pStyle w:val="BodyText"/>
      </w:pPr>
      <w:r w:rsidRPr="00C00335">
        <w:t xml:space="preserve">The base probabilities of transmission per </w:t>
      </w:r>
      <w:proofErr w:type="spellStart"/>
      <w:r w:rsidR="000229FE">
        <w:t>condomless</w:t>
      </w:r>
      <w:proofErr w:type="spellEnd"/>
      <w:r w:rsidR="008436B6">
        <w:t xml:space="preserve"> </w:t>
      </w:r>
      <w:r w:rsidR="00782B9B" w:rsidRPr="00C00335">
        <w:t>sex act</w:t>
      </w:r>
      <w:r w:rsidRPr="00C00335">
        <w:t xml:space="preserve"> (given, if male, uncircumcised HIV-uninfected partners) were calibrated</w:t>
      </w:r>
      <w:r w:rsidR="00DD0106">
        <w:t xml:space="preserve"> within bounds approximately equal to those reported in Patel et al. (2014)</w:t>
      </w:r>
      <w:r w:rsidRPr="00C00335">
        <w:t xml:space="preserve">. We applied the same sources and methods as were applied in Sorensen et al. (2012) to estimate the relative risk of transmission by disease stage. Sorensen and colleagues used clinical trial data, citing </w:t>
      </w:r>
      <w:proofErr w:type="spellStart"/>
      <w:r w:rsidRPr="00C00335">
        <w:t>Wawer</w:t>
      </w:r>
      <w:proofErr w:type="spellEnd"/>
      <w:r w:rsidRPr="00C00335">
        <w:t xml:space="preserve"> et al. (2005), on transmission risk from heterosexual partnerships by disease stage of the HIV-infected partner and </w:t>
      </w:r>
      <w:proofErr w:type="gramStart"/>
      <w:r w:rsidRPr="00C00335">
        <w:t>overall</w:t>
      </w:r>
      <w:proofErr w:type="gramEnd"/>
      <w:r w:rsidRPr="00C00335">
        <w:t xml:space="preserve"> per-act sexual risk to calculate transmission risk by disease stage.</w:t>
      </w:r>
    </w:p>
    <w:p w14:paraId="05300AC0" w14:textId="53704720" w:rsidR="00467D83" w:rsidRPr="00C00335" w:rsidRDefault="00467D83" w:rsidP="008551E2">
      <w:pPr>
        <w:pStyle w:val="BodyText"/>
      </w:pPr>
      <w:r w:rsidRPr="00C00335">
        <w:t>The probability of transmission from a shared needle was calibrated and was assumed</w:t>
      </w:r>
      <w:r w:rsidR="008551E2" w:rsidRPr="00C00335">
        <w:t xml:space="preserve"> in the base-case</w:t>
      </w:r>
      <w:r w:rsidRPr="00C00335">
        <w:t xml:space="preserve"> </w:t>
      </w:r>
      <w:r w:rsidR="008551E2" w:rsidRPr="00C00335">
        <w:t xml:space="preserve">not </w:t>
      </w:r>
      <w:r w:rsidRPr="00C00335">
        <w:t xml:space="preserve">to vary by disease stage in the HIV-infected partner. For </w:t>
      </w:r>
      <w:r w:rsidR="00D10FEF" w:rsidRPr="00C00335">
        <w:t xml:space="preserve">needles shared </w:t>
      </w:r>
      <w:r w:rsidRPr="00C00335">
        <w:t>with an HIV-infected partner</w:t>
      </w:r>
      <w:r w:rsidR="006B5942" w:rsidRPr="00C00335">
        <w:t xml:space="preserve"> with VLS</w:t>
      </w:r>
      <w:r w:rsidRPr="00C00335">
        <w:t>, a multiplicative reduction to that probability was applied.</w:t>
      </w:r>
    </w:p>
    <w:p w14:paraId="1F191D8D" w14:textId="74DF5C37" w:rsidR="00410DE1" w:rsidRPr="00C00335" w:rsidRDefault="00410DE1" w:rsidP="00410DE1">
      <w:pPr>
        <w:pStyle w:val="Heading3"/>
      </w:pPr>
      <w:bookmarkStart w:id="81" w:name="_Toc89257546"/>
      <w:r w:rsidRPr="00C00335">
        <w:t xml:space="preserve">Number of </w:t>
      </w:r>
      <w:r w:rsidR="00D10FEF" w:rsidRPr="00C00335">
        <w:t xml:space="preserve">Sex Acts and Needles Shared </w:t>
      </w:r>
      <w:r w:rsidRPr="00C00335">
        <w:t>per Partner</w:t>
      </w:r>
      <w:bookmarkEnd w:id="77"/>
      <w:bookmarkEnd w:id="81"/>
    </w:p>
    <w:p w14:paraId="218F6DBC" w14:textId="15DF1D13" w:rsidR="00410DE1" w:rsidRPr="00C00335" w:rsidRDefault="00410DE1" w:rsidP="00BC594C">
      <w:pPr>
        <w:pStyle w:val="BodyText"/>
      </w:pPr>
      <w:r w:rsidRPr="00C00335">
        <w:t xml:space="preserve">The number of </w:t>
      </w:r>
      <w:r w:rsidR="00782B9B" w:rsidRPr="00C00335">
        <w:t>sex act</w:t>
      </w:r>
      <w:r w:rsidRPr="00C00335">
        <w:t xml:space="preserve">s per partner was calculated as the annual number of </w:t>
      </w:r>
      <w:r w:rsidR="00782B9B" w:rsidRPr="00C00335">
        <w:t>sex act</w:t>
      </w:r>
      <w:r w:rsidRPr="00C00335">
        <w:t xml:space="preserve">s with all partners divided by the annual number of sexual partners. We assumed </w:t>
      </w:r>
      <w:r w:rsidR="006B5942" w:rsidRPr="00C00335">
        <w:t>no</w:t>
      </w:r>
      <w:r w:rsidRPr="00C00335">
        <w:t xml:space="preserve"> reduction in the number of </w:t>
      </w:r>
      <w:r w:rsidR="00782B9B" w:rsidRPr="00C00335">
        <w:t>sex act</w:t>
      </w:r>
      <w:r w:rsidRPr="00C00335">
        <w:t xml:space="preserve">s across all partners for HIV-infected, diagnosed individuals versus </w:t>
      </w:r>
      <w:r w:rsidR="005F5C70" w:rsidRPr="00C00335">
        <w:t>HIV-uninfected</w:t>
      </w:r>
      <w:r w:rsidRPr="00C00335">
        <w:t xml:space="preserve"> individuals and HIV-infected, undiagnosed individuals. The number of sexual partners varied by transmission group, sex, risk level, and race/ethnicity (see </w:t>
      </w:r>
      <w:r w:rsidR="00871E69" w:rsidRPr="00C00335">
        <w:t>Table 6.</w:t>
      </w:r>
      <w:r w:rsidRPr="00C00335">
        <w:t>9).</w:t>
      </w:r>
    </w:p>
    <w:p w14:paraId="16719207" w14:textId="436188D4" w:rsidR="00410DE1" w:rsidRPr="00C00335" w:rsidRDefault="00410DE1" w:rsidP="00410DE1">
      <w:pPr>
        <w:pStyle w:val="BodyText"/>
      </w:pPr>
      <w:r w:rsidRPr="00C00335">
        <w:t>The number of needle</w:t>
      </w:r>
      <w:r w:rsidR="00D10FEF" w:rsidRPr="00C00335">
        <w:t xml:space="preserve">s shared </w:t>
      </w:r>
      <w:r w:rsidRPr="00C00335">
        <w:t xml:space="preserve">per partner was calculated as the annual number of injections across all partners per year multiplied by the </w:t>
      </w:r>
      <w:r w:rsidR="000B270A" w:rsidRPr="00C00335">
        <w:t>percentage</w:t>
      </w:r>
      <w:r w:rsidRPr="00C00335">
        <w:t xml:space="preserve"> of injections that are shared divided by the annual number of needle-sharing partners.</w:t>
      </w:r>
    </w:p>
    <w:p w14:paraId="1DFBCA05" w14:textId="6DA83261" w:rsidR="00B41A9A" w:rsidRPr="00C00335" w:rsidRDefault="00B41A9A" w:rsidP="00B41A9A">
      <w:pPr>
        <w:pStyle w:val="Heading3"/>
      </w:pPr>
      <w:bookmarkStart w:id="82" w:name="_Toc89257547"/>
      <w:r w:rsidRPr="00C00335">
        <w:t>C</w:t>
      </w:r>
      <w:r w:rsidR="008B7BBC" w:rsidRPr="00C00335">
        <w:t>alculation of P</w:t>
      </w:r>
      <w:r w:rsidRPr="00C00335">
        <w:t>er-Partnership Transmission Risk</w:t>
      </w:r>
      <w:bookmarkEnd w:id="78"/>
      <w:bookmarkEnd w:id="82"/>
    </w:p>
    <w:p w14:paraId="5F81F37D" w14:textId="77777777" w:rsidR="00B41A9A" w:rsidRPr="00C00335" w:rsidRDefault="00B41A9A" w:rsidP="00EA31E9">
      <w:pPr>
        <w:pStyle w:val="BodyText"/>
      </w:pPr>
      <w:r w:rsidRPr="00C00335">
        <w:t>Per-partnership transmission risk is represented by</w:t>
      </w:r>
      <w:r w:rsidR="00D3094D" w:rsidRPr="00C00335">
        <w:t xml:space="preserve"> </w:t>
      </w:r>
      <w:r w:rsidR="008946DD" w:rsidRPr="00C00335">
        <w:rPr>
          <w:position w:val="-14"/>
        </w:rPr>
        <w:object w:dxaOrig="600" w:dyaOrig="400" w14:anchorId="223AEB76">
          <v:shape id="_x0000_i1026" type="#_x0000_t75" style="width:28.5pt;height:22.5pt" o:ole="">
            <v:imagedata r:id="rId65" o:title=""/>
          </v:shape>
          <o:OLEObject Type="Embed" ProgID="Equation.3" ShapeID="_x0000_i1026" DrawAspect="Content" ObjectID="_1700043728" r:id="rId66"/>
        </w:object>
      </w:r>
      <w:r w:rsidR="001B58D4" w:rsidRPr="00C00335">
        <w:t xml:space="preserve"> (beta)</w:t>
      </w:r>
      <w:r w:rsidRPr="00C00335">
        <w:t xml:space="preserve">, which is the probability of transmission for an HIV-uninfected individual in subpopulation </w:t>
      </w:r>
      <w:r w:rsidRPr="00C00335">
        <w:rPr>
          <w:i/>
          <w:iCs/>
        </w:rPr>
        <w:t xml:space="preserve">p1 </w:t>
      </w:r>
      <w:r w:rsidRPr="00C00335">
        <w:t xml:space="preserve">per sexual or needle-sharing partnership from </w:t>
      </w:r>
      <w:r w:rsidR="001B58D4" w:rsidRPr="00C00335">
        <w:t xml:space="preserve">transmission </w:t>
      </w:r>
      <w:r w:rsidRPr="00C00335">
        <w:t xml:space="preserve">risk type </w:t>
      </w:r>
      <w:r w:rsidRPr="00C00335">
        <w:rPr>
          <w:i/>
          <w:iCs/>
        </w:rPr>
        <w:t>z</w:t>
      </w:r>
      <w:r w:rsidR="00440551" w:rsidRPr="00C00335">
        <w:rPr>
          <w:i/>
          <w:iCs/>
        </w:rPr>
        <w:t xml:space="preserve"> </w:t>
      </w:r>
      <w:r w:rsidR="00440551" w:rsidRPr="00C00335">
        <w:rPr>
          <w:iCs/>
        </w:rPr>
        <w:t>(</w:t>
      </w:r>
      <w:r w:rsidR="00440551" w:rsidRPr="00C00335">
        <w:t>vaginal, anal, or needle)</w:t>
      </w:r>
      <w:r w:rsidRPr="00C00335">
        <w:t xml:space="preserve"> in a partnership type </w:t>
      </w:r>
      <w:r w:rsidRPr="00C00335">
        <w:rPr>
          <w:i/>
          <w:iCs/>
        </w:rPr>
        <w:t>y</w:t>
      </w:r>
      <w:r w:rsidRPr="00C00335">
        <w:t xml:space="preserve"> (</w:t>
      </w:r>
      <w:r w:rsidR="009362B8" w:rsidRPr="00C00335">
        <w:t xml:space="preserve">male-female partnership with </w:t>
      </w:r>
      <w:r w:rsidRPr="00C00335">
        <w:t xml:space="preserve">vaginal intercourse only, </w:t>
      </w:r>
      <w:r w:rsidR="009362B8" w:rsidRPr="00C00335">
        <w:t xml:space="preserve">male-male partnership with </w:t>
      </w:r>
      <w:r w:rsidRPr="00C00335">
        <w:lastRenderedPageBreak/>
        <w:t xml:space="preserve">anal intercourse only, </w:t>
      </w:r>
      <w:r w:rsidR="009362B8" w:rsidRPr="00C00335">
        <w:t xml:space="preserve">male-female partnership that includes </w:t>
      </w:r>
      <w:r w:rsidR="001B58D4" w:rsidRPr="00C00335">
        <w:t xml:space="preserve">both vaginal and </w:t>
      </w:r>
      <w:r w:rsidRPr="00C00335">
        <w:t xml:space="preserve">anal intercourse, or needle-sharing) with a partner who is in subpopulation </w:t>
      </w:r>
      <w:r w:rsidRPr="00C00335">
        <w:rPr>
          <w:i/>
          <w:iCs/>
        </w:rPr>
        <w:t>p2</w:t>
      </w:r>
      <w:r w:rsidRPr="00C00335">
        <w:t xml:space="preserve"> and compartment </w:t>
      </w:r>
      <w:r w:rsidRPr="00C00335">
        <w:rPr>
          <w:i/>
          <w:iCs/>
        </w:rPr>
        <w:t>c</w:t>
      </w:r>
      <w:r w:rsidRPr="00C00335">
        <w:t xml:space="preserve">. If the partner is uninfected, the risk is zero. The </w:t>
      </w:r>
      <w:r w:rsidR="001B58D4" w:rsidRPr="00C00335">
        <w:t xml:space="preserve">values of the </w:t>
      </w:r>
      <w:r w:rsidRPr="00C00335">
        <w:t>beta</w:t>
      </w:r>
      <w:r w:rsidR="00EA31E9" w:rsidRPr="00C00335">
        <w:t>s</w:t>
      </w:r>
      <w:r w:rsidR="00617B5A" w:rsidRPr="00C00335">
        <w:t xml:space="preserve"> for sexual </w:t>
      </w:r>
      <w:r w:rsidR="00EA31E9" w:rsidRPr="00C00335">
        <w:t xml:space="preserve">and needle-sharing </w:t>
      </w:r>
      <w:r w:rsidR="00617B5A" w:rsidRPr="00C00335">
        <w:t xml:space="preserve">partnerships </w:t>
      </w:r>
      <w:r w:rsidR="00EA31E9" w:rsidRPr="00C00335">
        <w:t>are</w:t>
      </w:r>
      <w:r w:rsidRPr="00C00335">
        <w:t xml:space="preserve"> calculated by using Equation</w:t>
      </w:r>
      <w:r w:rsidR="008A3FA7" w:rsidRPr="00C00335">
        <w:t>s</w:t>
      </w:r>
      <w:r w:rsidRPr="00C00335">
        <w:t xml:space="preserve"> </w:t>
      </w:r>
      <w:r w:rsidR="008B30F8" w:rsidRPr="00C00335">
        <w:t>(</w:t>
      </w:r>
      <w:r w:rsidR="00617B5A" w:rsidRPr="00C00335">
        <w:t>6</w:t>
      </w:r>
      <w:r w:rsidR="00C277F4" w:rsidRPr="00C00335">
        <w:t>.</w:t>
      </w:r>
      <w:r w:rsidRPr="00C00335">
        <w:t>1</w:t>
      </w:r>
      <w:r w:rsidR="008B30F8" w:rsidRPr="00C00335">
        <w:t>)</w:t>
      </w:r>
      <w:r w:rsidR="008A3FA7" w:rsidRPr="00C00335">
        <w:t xml:space="preserve"> and </w:t>
      </w:r>
      <w:r w:rsidR="008B30F8" w:rsidRPr="00C00335">
        <w:t>(</w:t>
      </w:r>
      <w:r w:rsidR="00617B5A" w:rsidRPr="00C00335">
        <w:t>6</w:t>
      </w:r>
      <w:r w:rsidR="00C277F4" w:rsidRPr="00C00335">
        <w:t>.</w:t>
      </w:r>
      <w:r w:rsidR="008A3FA7" w:rsidRPr="00C00335">
        <w:t>2</w:t>
      </w:r>
      <w:r w:rsidR="008B30F8" w:rsidRPr="00C00335">
        <w:t>)</w:t>
      </w:r>
      <w:r w:rsidR="00EA31E9" w:rsidRPr="00C00335">
        <w:t>, respectively</w:t>
      </w:r>
      <w:r w:rsidRPr="00C00335">
        <w:t>.</w:t>
      </w:r>
    </w:p>
    <w:p w14:paraId="1766DBCD" w14:textId="77777777" w:rsidR="000F420A" w:rsidRPr="00C00335" w:rsidRDefault="00EA31E9" w:rsidP="00EE7C4C">
      <w:pPr>
        <w:pStyle w:val="BodyText"/>
      </w:pPr>
      <w:r w:rsidRPr="00C00335">
        <w:t xml:space="preserve">Equation </w:t>
      </w:r>
      <w:r w:rsidR="008B30F8" w:rsidRPr="00C00335">
        <w:t>(</w:t>
      </w:r>
      <w:r w:rsidRPr="00C00335">
        <w:t>6</w:t>
      </w:r>
      <w:r w:rsidR="00C277F4" w:rsidRPr="00C00335">
        <w:t>.</w:t>
      </w:r>
      <w:r w:rsidRPr="00C00335">
        <w:t>1</w:t>
      </w:r>
      <w:r w:rsidR="008B30F8" w:rsidRPr="00C00335">
        <w:t>)</w:t>
      </w:r>
      <w:r w:rsidRPr="00C00335">
        <w:t xml:space="preserve"> is complex but has a simple structure:</w:t>
      </w:r>
    </w:p>
    <w:p w14:paraId="1E5C21B0" w14:textId="6AAE994C" w:rsidR="006468F9" w:rsidRPr="00C00335" w:rsidRDefault="00EA31E9" w:rsidP="002B54F6">
      <w:pPr>
        <w:pStyle w:val="equation"/>
        <w:spacing w:line="320" w:lineRule="atLeast"/>
        <w:ind w:left="720"/>
      </w:pPr>
      <w:r w:rsidRPr="00C00335">
        <w:t xml:space="preserve">1 </w:t>
      </w:r>
      <w:r w:rsidR="001F5372" w:rsidRPr="00C00335">
        <w:t>−</w:t>
      </w:r>
      <w:r w:rsidRPr="00C00335">
        <w:t xml:space="preserve"> [(Probability of not getting infected by </w:t>
      </w:r>
      <w:proofErr w:type="spellStart"/>
      <w:r w:rsidR="000229FE">
        <w:t>condomless</w:t>
      </w:r>
      <w:proofErr w:type="spellEnd"/>
      <w:r w:rsidRPr="00C00335">
        <w:t xml:space="preserve"> receptive </w:t>
      </w:r>
      <w:r w:rsidR="00782B9B" w:rsidRPr="00C00335">
        <w:t>sex act</w:t>
      </w:r>
      <w:r w:rsidRPr="00C00335">
        <w:t>s)*</w:t>
      </w:r>
      <w:r w:rsidRPr="00C00335">
        <w:br/>
        <w:t xml:space="preserve">(Probability of not getting infected by receptive </w:t>
      </w:r>
      <w:r w:rsidR="00782B9B" w:rsidRPr="00C00335">
        <w:t>sex act</w:t>
      </w:r>
      <w:r w:rsidRPr="00C00335">
        <w:t>s</w:t>
      </w:r>
      <w:r w:rsidR="00AD5D3C">
        <w:t xml:space="preserve"> with the use of condoms</w:t>
      </w:r>
      <w:r w:rsidRPr="00C00335">
        <w:t>)*</w:t>
      </w:r>
      <w:r w:rsidRPr="00C00335">
        <w:br/>
        <w:t xml:space="preserve">(Probability of not getting infected by </w:t>
      </w:r>
      <w:proofErr w:type="spellStart"/>
      <w:r w:rsidR="000229FE">
        <w:t>condomless</w:t>
      </w:r>
      <w:proofErr w:type="spellEnd"/>
      <w:r w:rsidR="008436B6">
        <w:t xml:space="preserve"> </w:t>
      </w:r>
      <w:proofErr w:type="spellStart"/>
      <w:r w:rsidRPr="00C00335">
        <w:t>insertive</w:t>
      </w:r>
      <w:proofErr w:type="spellEnd"/>
      <w:r w:rsidRPr="00C00335">
        <w:t xml:space="preserve"> </w:t>
      </w:r>
      <w:r w:rsidR="00782B9B" w:rsidRPr="00C00335">
        <w:t>sex act</w:t>
      </w:r>
      <w:r w:rsidRPr="00C00335">
        <w:t>s)*</w:t>
      </w:r>
      <w:r w:rsidRPr="00C00335">
        <w:br/>
        <w:t xml:space="preserve">(Probability of not getting infected by </w:t>
      </w:r>
      <w:proofErr w:type="spellStart"/>
      <w:r w:rsidRPr="00C00335">
        <w:t>insertive</w:t>
      </w:r>
      <w:proofErr w:type="spellEnd"/>
      <w:r w:rsidRPr="00C00335">
        <w:t xml:space="preserve"> </w:t>
      </w:r>
      <w:r w:rsidR="00782B9B" w:rsidRPr="00C00335">
        <w:t>sex act</w:t>
      </w:r>
      <w:r w:rsidRPr="00C00335">
        <w:t>s</w:t>
      </w:r>
      <w:r w:rsidR="00AD5D3C">
        <w:t xml:space="preserve"> with the use of condoms</w:t>
      </w:r>
      <w:r w:rsidRPr="00C00335">
        <w:t>)].</w:t>
      </w:r>
    </w:p>
    <w:p w14:paraId="4F851F19" w14:textId="6FAA9D26" w:rsidR="006468F9" w:rsidRPr="00C00335" w:rsidRDefault="006468F9" w:rsidP="006472DC">
      <w:pPr>
        <w:pStyle w:val="equation"/>
        <w:tabs>
          <w:tab w:val="clear" w:pos="4680"/>
        </w:tabs>
        <w:jc w:val="center"/>
      </w:pPr>
      <w:r w:rsidRPr="00C00335">
        <w:rPr>
          <w:position w:val="-14"/>
        </w:rPr>
        <w:object w:dxaOrig="600" w:dyaOrig="400" w14:anchorId="2DB54671">
          <v:shape id="_x0000_i1027" type="#_x0000_t75" style="width:28.5pt;height:22.5pt" o:ole="">
            <v:imagedata r:id="rId67" o:title=""/>
          </v:shape>
          <o:OLEObject Type="Embed" ProgID="Equation.3" ShapeID="_x0000_i1027" DrawAspect="Content" ObjectID="_1700043729" r:id="rId68"/>
        </w:object>
      </w:r>
      <w:r w:rsidRPr="00C00335">
        <w:t> =</w:t>
      </w:r>
      <m:oMath>
        <m:m>
          <m:mPr>
            <m:mcs>
              <m:mc>
                <m:mcPr>
                  <m:count m:val="1"/>
                  <m:mcJc m:val="center"/>
                </m:mcPr>
              </m:mc>
            </m:mcs>
            <m:ctrlPr>
              <w:rPr>
                <w:i/>
              </w:rPr>
            </m:ctrlPr>
          </m:mPr>
          <m:mr>
            <m:e>
              <m:r>
                <m:t>1-</m:t>
              </m:r>
              <m:sSup>
                <m:sSupPr>
                  <m:ctrlPr>
                    <w:rPr>
                      <w:i/>
                    </w:rPr>
                  </m:ctrlPr>
                </m:sSupPr>
                <m:e>
                  <m:d>
                    <m:dPr>
                      <m:ctrlPr>
                        <w:rPr>
                          <w:i/>
                        </w:rPr>
                      </m:ctrlPr>
                    </m:dPr>
                    <m:e>
                      <m:r>
                        <m:t>1-</m:t>
                      </m:r>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Φ</m:t>
                              </m:r>
                            </m:e>
                            <m:sub>
                              <m:r>
                                <m:t>c,z</m:t>
                              </m:r>
                            </m:sub>
                          </m:sSub>
                        </m:e>
                      </m:d>
                    </m:e>
                  </m:d>
                </m:e>
                <m:sup>
                  <m:d>
                    <m:dPr>
                      <m:begChr m:val="["/>
                      <m:endChr m:val="]"/>
                      <m:ctrlPr>
                        <w:rPr>
                          <w:i/>
                        </w:rPr>
                      </m:ctrlPr>
                    </m:dPr>
                    <m:e>
                      <m:sSub>
                        <m:sSubPr>
                          <m:ctrlPr>
                            <w:rPr>
                              <w:i/>
                            </w:rPr>
                          </m:ctrlPr>
                        </m:sSubPr>
                        <m:e>
                          <m:r>
                            <m:t>S</m:t>
                          </m:r>
                        </m:e>
                        <m:sub>
                          <m:r>
                            <m:t>p1</m:t>
                          </m:r>
                        </m:sub>
                      </m:sSub>
                    </m:e>
                  </m:d>
                  <m:d>
                    <m:dPr>
                      <m:begChr m:val="["/>
                      <m:endChr m:val="]"/>
                      <m:ctrlPr>
                        <w:rPr>
                          <w:i/>
                          <w:iCs/>
                          <w:vertAlign w:val="subscript"/>
                        </w:rPr>
                      </m:ctrlPr>
                    </m:dPr>
                    <m:e>
                      <m:r>
                        <w:rPr>
                          <w:vertAlign w:val="subscript"/>
                        </w:rPr>
                        <m:t>1-</m:t>
                      </m:r>
                      <m:sSub>
                        <m:sSubPr>
                          <m:ctrlPr>
                            <w:rPr>
                              <w:i/>
                              <w:vertAlign w:val="subscript"/>
                            </w:rPr>
                          </m:ctrlPr>
                        </m:sSubPr>
                        <m:e>
                          <m:r>
                            <w:rPr>
                              <w:vertAlign w:val="subscript"/>
                            </w:rPr>
                            <m:t>G</m:t>
                          </m:r>
                        </m:e>
                        <m:sub>
                          <m:r>
                            <w:rPr>
                              <w:vertAlign w:val="subscript"/>
                            </w:rPr>
                            <m:t>z,p1,c</m:t>
                          </m:r>
                        </m:sub>
                      </m:sSub>
                    </m:e>
                  </m:d>
                  <m:d>
                    <m:dPr>
                      <m:begChr m:val="["/>
                      <m:endChr m:val="]"/>
                      <m:ctrlPr/>
                    </m:dPr>
                    <m:e>
                      <m:sSub>
                        <m:sSubPr>
                          <m:ctrlPr/>
                        </m:sSubPr>
                        <m:e>
                          <m:r>
                            <m:rPr>
                              <m:sty m:val="p"/>
                            </m:rPr>
                            <m:t>V</m:t>
                          </m:r>
                        </m:e>
                        <m:sub>
                          <m:r>
                            <m:t>p1,p2</m:t>
                          </m:r>
                        </m:sub>
                      </m:sSub>
                    </m:e>
                  </m:d>
                  <m:d>
                    <m:dPr>
                      <m:begChr m:val="["/>
                      <m:endChr m:val="]"/>
                      <m:ctrlPr>
                        <w:rPr>
                          <w:i/>
                        </w:rPr>
                      </m:ctrlPr>
                    </m:dPr>
                    <m:e>
                      <m:sSub>
                        <m:sSubPr>
                          <m:ctrlPr/>
                        </m:sSubPr>
                        <m:e>
                          <m:r>
                            <m:rPr>
                              <m:sty m:val="p"/>
                            </m:rPr>
                            <m:t>Ω</m:t>
                          </m:r>
                        </m:e>
                        <m:sub>
                          <m:r>
                            <m:t>p1,p2,z,y</m:t>
                          </m:r>
                        </m:sub>
                      </m:sSub>
                    </m:e>
                  </m:d>
                </m:sup>
              </m:sSup>
            </m:e>
          </m:mr>
          <m:mr>
            <m:e>
              <m:sSup>
                <m:sSupPr>
                  <m:ctrlPr>
                    <w:rPr>
                      <w:i/>
                    </w:rPr>
                  </m:ctrlPr>
                </m:sSupPr>
                <m:e>
                  <m:r>
                    <m:t xml:space="preserve"> </m:t>
                  </m:r>
                  <m:d>
                    <m:dPr>
                      <m:ctrlPr>
                        <w:rPr>
                          <w:i/>
                        </w:rPr>
                      </m:ctrlPr>
                    </m:dPr>
                    <m:e>
                      <m:r>
                        <m:t>1-</m:t>
                      </m:r>
                      <m:d>
                        <m:dPr>
                          <m:begChr m:val="["/>
                          <m:endChr m:val="]"/>
                          <m:ctrlPr>
                            <w:rPr>
                              <w:i/>
                            </w:rPr>
                          </m:ctrlPr>
                        </m:dPr>
                        <m:e>
                          <m:r>
                            <m:t>1-</m:t>
                          </m:r>
                          <m:sSub>
                            <m:sSubPr>
                              <m:ctrlPr>
                                <w:rPr>
                                  <w:i/>
                                </w:rPr>
                              </m:ctrlPr>
                            </m:sSubPr>
                            <m:e>
                              <m:r>
                                <m:t>d</m:t>
                              </m:r>
                            </m:e>
                            <m:sub>
                              <m:r>
                                <m:t>z</m:t>
                              </m:r>
                            </m:sub>
                          </m:sSub>
                        </m:e>
                      </m:d>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Φ</m:t>
                              </m:r>
                            </m:e>
                            <m:sub>
                              <m:r>
                                <m:t>c, z</m:t>
                              </m:r>
                            </m:sub>
                          </m:sSub>
                        </m:e>
                      </m:d>
                    </m:e>
                  </m:d>
                </m:e>
                <m:sup>
                  <m:d>
                    <m:dPr>
                      <m:begChr m:val="["/>
                      <m:endChr m:val="]"/>
                      <m:ctrlPr>
                        <w:rPr>
                          <w:i/>
                        </w:rPr>
                      </m:ctrlPr>
                    </m:dPr>
                    <m:e>
                      <m:sSub>
                        <m:sSubPr>
                          <m:ctrlPr>
                            <w:rPr>
                              <w:i/>
                            </w:rPr>
                          </m:ctrlPr>
                        </m:sSubPr>
                        <m:e>
                          <m:r>
                            <m:t>S</m:t>
                          </m:r>
                        </m:e>
                        <m:sub>
                          <m:r>
                            <m:t>p1</m:t>
                          </m:r>
                        </m:sub>
                      </m:sSub>
                    </m:e>
                  </m:d>
                  <m:d>
                    <m:dPr>
                      <m:begChr m:val="["/>
                      <m:endChr m:val="]"/>
                      <m:ctrlPr>
                        <w:rPr>
                          <w:i/>
                          <w:iCs/>
                          <w:vertAlign w:val="subscript"/>
                        </w:rPr>
                      </m:ctrlPr>
                    </m:dPr>
                    <m:e>
                      <m:sSub>
                        <m:sSubPr>
                          <m:ctrlPr>
                            <w:rPr>
                              <w:i/>
                              <w:vertAlign w:val="subscript"/>
                            </w:rPr>
                          </m:ctrlPr>
                        </m:sSubPr>
                        <m:e>
                          <m:r>
                            <w:rPr>
                              <w:vertAlign w:val="subscript"/>
                            </w:rPr>
                            <m:t>G</m:t>
                          </m:r>
                        </m:e>
                        <m:sub>
                          <m:r>
                            <w:rPr>
                              <w:vertAlign w:val="subscript"/>
                            </w:rPr>
                            <m:t>z,p1,c</m:t>
                          </m:r>
                        </m:sub>
                      </m:sSub>
                    </m:e>
                  </m:d>
                  <m:d>
                    <m:dPr>
                      <m:begChr m:val="["/>
                      <m:endChr m:val="]"/>
                      <m:ctrlPr/>
                    </m:dPr>
                    <m:e>
                      <m:sSub>
                        <m:sSubPr>
                          <m:ctrlPr/>
                        </m:sSubPr>
                        <m:e>
                          <m:r>
                            <m:rPr>
                              <m:sty m:val="p"/>
                            </m:rPr>
                            <m:t>V</m:t>
                          </m:r>
                        </m:e>
                        <m:sub>
                          <m:r>
                            <m:t>p1,p2</m:t>
                          </m:r>
                        </m:sub>
                      </m:sSub>
                    </m:e>
                  </m:d>
                  <m:d>
                    <m:dPr>
                      <m:begChr m:val="["/>
                      <m:endChr m:val="]"/>
                      <m:ctrlPr>
                        <w:rPr>
                          <w:i/>
                        </w:rPr>
                      </m:ctrlPr>
                    </m:dPr>
                    <m:e>
                      <m:sSub>
                        <m:sSubPr>
                          <m:ctrlPr/>
                        </m:sSubPr>
                        <m:e>
                          <m:r>
                            <m:rPr>
                              <m:sty m:val="p"/>
                            </m:rPr>
                            <m:t>Ω</m:t>
                          </m:r>
                        </m:e>
                        <m:sub>
                          <m:r>
                            <m:t>p1,p2,z,y</m:t>
                          </m:r>
                        </m:sub>
                      </m:sSub>
                    </m:e>
                  </m:d>
                </m:sup>
              </m:sSup>
            </m:e>
          </m:mr>
          <m:mr>
            <m:e>
              <m:sSup>
                <m:sSupPr>
                  <m:ctrlPr>
                    <w:rPr>
                      <w:i/>
                    </w:rPr>
                  </m:ctrlPr>
                </m:sSupPr>
                <m:e>
                  <m:d>
                    <m:dPr>
                      <m:ctrlPr>
                        <w:rPr>
                          <w:i/>
                        </w:rPr>
                      </m:ctrlPr>
                    </m:dPr>
                    <m:e>
                      <m:r>
                        <m:t>1-</m:t>
                      </m:r>
                      <m:d>
                        <m:dPr>
                          <m:begChr m:val="["/>
                          <m:endChr m:val="]"/>
                          <m:ctrlPr>
                            <w:rPr>
                              <w:i/>
                            </w:rPr>
                          </m:ctrlPr>
                        </m:dPr>
                        <m:e>
                          <m:r>
                            <m:t>1-</m:t>
                          </m:r>
                          <m:sSub>
                            <m:sSubPr>
                              <m:ctrlPr>
                                <w:rPr>
                                  <w:i/>
                                </w:rPr>
                              </m:ctrlPr>
                            </m:sSubPr>
                            <m:e>
                              <m:r>
                                <m:t>b</m:t>
                              </m:r>
                            </m:e>
                            <m:sub>
                              <m:r>
                                <m:t>p1,p2,z</m:t>
                              </m:r>
                            </m:sub>
                          </m:sSub>
                        </m:e>
                      </m:d>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Γ</m:t>
                              </m:r>
                            </m:e>
                            <m:sub>
                              <m:r>
                                <m:t>c,z</m:t>
                              </m:r>
                            </m:sub>
                          </m:sSub>
                        </m:e>
                      </m:d>
                    </m:e>
                  </m:d>
                </m:e>
                <m:sup>
                  <m:d>
                    <m:dPr>
                      <m:begChr m:val="["/>
                      <m:endChr m:val="]"/>
                      <m:ctrlPr>
                        <w:rPr>
                          <w:i/>
                        </w:rPr>
                      </m:ctrlPr>
                    </m:dPr>
                    <m:e>
                      <m:sSub>
                        <m:sSubPr>
                          <m:ctrlPr>
                            <w:rPr>
                              <w:i/>
                            </w:rPr>
                          </m:ctrlPr>
                        </m:sSubPr>
                        <m:e>
                          <m:r>
                            <m:t>S</m:t>
                          </m:r>
                        </m:e>
                        <m:sub>
                          <m:r>
                            <m:t>p1</m:t>
                          </m:r>
                        </m:sub>
                      </m:sSub>
                    </m:e>
                  </m:d>
                  <m:d>
                    <m:dPr>
                      <m:begChr m:val="["/>
                      <m:endChr m:val="]"/>
                      <m:ctrlPr>
                        <w:rPr>
                          <w:i/>
                          <w:iCs/>
                          <w:vertAlign w:val="subscript"/>
                        </w:rPr>
                      </m:ctrlPr>
                    </m:dPr>
                    <m:e>
                      <m:r>
                        <w:rPr>
                          <w:vertAlign w:val="subscript"/>
                        </w:rPr>
                        <m:t>1-</m:t>
                      </m:r>
                      <m:sSub>
                        <m:sSubPr>
                          <m:ctrlPr>
                            <w:rPr>
                              <w:i/>
                              <w:vertAlign w:val="subscript"/>
                            </w:rPr>
                          </m:ctrlPr>
                        </m:sSubPr>
                        <m:e>
                          <m:r>
                            <w:rPr>
                              <w:vertAlign w:val="subscript"/>
                            </w:rPr>
                            <m:t>G</m:t>
                          </m:r>
                        </m:e>
                        <m:sub>
                          <m:r>
                            <w:rPr>
                              <w:vertAlign w:val="subscript"/>
                            </w:rPr>
                            <m:t>z,p1,c</m:t>
                          </m:r>
                        </m:sub>
                      </m:sSub>
                    </m:e>
                  </m:d>
                  <m:d>
                    <m:dPr>
                      <m:begChr m:val="["/>
                      <m:endChr m:val="]"/>
                      <m:ctrlPr/>
                    </m:dPr>
                    <m:e>
                      <m:r>
                        <m:rPr>
                          <m:sty m:val="p"/>
                        </m:rPr>
                        <m:t>1-</m:t>
                      </m:r>
                      <m:sSub>
                        <m:sSubPr>
                          <m:ctrlPr/>
                        </m:sSubPr>
                        <m:e>
                          <m:r>
                            <m:rPr>
                              <m:sty m:val="p"/>
                            </m:rPr>
                            <m:t>V</m:t>
                          </m:r>
                        </m:e>
                        <m:sub>
                          <m:r>
                            <m:t>p1,p2</m:t>
                          </m:r>
                        </m:sub>
                      </m:sSub>
                    </m:e>
                  </m:d>
                  <m:d>
                    <m:dPr>
                      <m:begChr m:val="["/>
                      <m:endChr m:val="]"/>
                      <m:ctrlPr>
                        <w:rPr>
                          <w:i/>
                        </w:rPr>
                      </m:ctrlPr>
                    </m:dPr>
                    <m:e>
                      <m:sSub>
                        <m:sSubPr>
                          <m:ctrlPr/>
                        </m:sSubPr>
                        <m:e>
                          <m:r>
                            <m:rPr>
                              <m:sty m:val="p"/>
                            </m:rPr>
                            <m:t>Ω</m:t>
                          </m:r>
                        </m:e>
                        <m:sub>
                          <m:r>
                            <m:t>p1,p2,z,y</m:t>
                          </m:r>
                        </m:sub>
                      </m:sSub>
                    </m:e>
                  </m:d>
                </m:sup>
              </m:sSup>
              <m:ctrlPr>
                <w:rPr>
                  <w:rFonts w:eastAsia="Cambria Math" w:cs="Cambria Math"/>
                  <w:i/>
                </w:rPr>
              </m:ctrlPr>
            </m:e>
          </m:mr>
          <m:mr>
            <m:e>
              <m:sSup>
                <m:sSupPr>
                  <m:ctrlPr>
                    <w:rPr>
                      <w:i/>
                    </w:rPr>
                  </m:ctrlPr>
                </m:sSupPr>
                <m:e>
                  <m:r>
                    <m:t xml:space="preserve"> </m:t>
                  </m:r>
                  <m:d>
                    <m:dPr>
                      <m:ctrlPr>
                        <w:rPr>
                          <w:i/>
                        </w:rPr>
                      </m:ctrlPr>
                    </m:dPr>
                    <m:e>
                      <m:r>
                        <m:t>1-</m:t>
                      </m:r>
                      <m:d>
                        <m:dPr>
                          <m:begChr m:val="["/>
                          <m:endChr m:val="]"/>
                          <m:ctrlPr>
                            <w:rPr>
                              <w:i/>
                            </w:rPr>
                          </m:ctrlPr>
                        </m:dPr>
                        <m:e>
                          <m:r>
                            <m:t>1-</m:t>
                          </m:r>
                          <m:sSub>
                            <m:sSubPr>
                              <m:ctrlPr>
                                <w:rPr>
                                  <w:i/>
                                </w:rPr>
                              </m:ctrlPr>
                            </m:sSubPr>
                            <m:e>
                              <m:r>
                                <m:t>d</m:t>
                              </m:r>
                            </m:e>
                            <m:sub>
                              <m:r>
                                <m:t>z</m:t>
                              </m:r>
                            </m:sub>
                          </m:sSub>
                        </m:e>
                      </m:d>
                      <m:d>
                        <m:dPr>
                          <m:begChr m:val="["/>
                          <m:endChr m:val="]"/>
                          <m:ctrlPr>
                            <w:rPr>
                              <w:i/>
                            </w:rPr>
                          </m:ctrlPr>
                        </m:dPr>
                        <m:e>
                          <m:r>
                            <m:t>1-</m:t>
                          </m:r>
                          <m:sSub>
                            <m:sSubPr>
                              <m:ctrlPr>
                                <w:rPr>
                                  <w:i/>
                                </w:rPr>
                              </m:ctrlPr>
                            </m:sSubPr>
                            <m:e>
                              <m:r>
                                <m:t>b</m:t>
                              </m:r>
                            </m:e>
                            <m:sub>
                              <m:r>
                                <m:t>p1,p2,z</m:t>
                              </m:r>
                            </m:sub>
                          </m:sSub>
                        </m:e>
                      </m:d>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Γ</m:t>
                              </m:r>
                            </m:e>
                            <m:sub>
                              <m:r>
                                <m:t>c,z</m:t>
                              </m:r>
                            </m:sub>
                          </m:sSub>
                        </m:e>
                      </m:d>
                    </m:e>
                  </m:d>
                </m:e>
                <m:sup>
                  <m:d>
                    <m:dPr>
                      <m:begChr m:val="["/>
                      <m:endChr m:val="]"/>
                      <m:ctrlPr>
                        <w:rPr>
                          <w:i/>
                        </w:rPr>
                      </m:ctrlPr>
                    </m:dPr>
                    <m:e>
                      <m:sSub>
                        <m:sSubPr>
                          <m:ctrlPr>
                            <w:rPr>
                              <w:i/>
                            </w:rPr>
                          </m:ctrlPr>
                        </m:sSubPr>
                        <m:e>
                          <m:r>
                            <m:t>S</m:t>
                          </m:r>
                        </m:e>
                        <m:sub>
                          <m:r>
                            <m:t>p1</m:t>
                          </m:r>
                        </m:sub>
                      </m:sSub>
                    </m:e>
                  </m:d>
                  <m:d>
                    <m:dPr>
                      <m:begChr m:val="["/>
                      <m:endChr m:val="]"/>
                      <m:ctrlPr>
                        <w:rPr>
                          <w:i/>
                          <w:iCs/>
                          <w:vertAlign w:val="subscript"/>
                        </w:rPr>
                      </m:ctrlPr>
                    </m:dPr>
                    <m:e>
                      <m:sSub>
                        <m:sSubPr>
                          <m:ctrlPr>
                            <w:rPr>
                              <w:i/>
                              <w:vertAlign w:val="subscript"/>
                            </w:rPr>
                          </m:ctrlPr>
                        </m:sSubPr>
                        <m:e>
                          <m:r>
                            <w:rPr>
                              <w:vertAlign w:val="subscript"/>
                            </w:rPr>
                            <m:t>G</m:t>
                          </m:r>
                        </m:e>
                        <m:sub>
                          <m:r>
                            <w:rPr>
                              <w:vertAlign w:val="subscript"/>
                            </w:rPr>
                            <m:t>z,p1,c</m:t>
                          </m:r>
                        </m:sub>
                      </m:sSub>
                    </m:e>
                  </m:d>
                  <m:d>
                    <m:dPr>
                      <m:begChr m:val="["/>
                      <m:endChr m:val="]"/>
                      <m:ctrlPr/>
                    </m:dPr>
                    <m:e>
                      <m:r>
                        <m:rPr>
                          <m:sty m:val="p"/>
                        </m:rPr>
                        <m:t>1-</m:t>
                      </m:r>
                      <m:sSub>
                        <m:sSubPr>
                          <m:ctrlPr/>
                        </m:sSubPr>
                        <m:e>
                          <m:r>
                            <m:rPr>
                              <m:sty m:val="p"/>
                            </m:rPr>
                            <m:t>V</m:t>
                          </m:r>
                        </m:e>
                        <m:sub>
                          <m:r>
                            <m:t>p1,p2</m:t>
                          </m:r>
                        </m:sub>
                      </m:sSub>
                    </m:e>
                  </m:d>
                  <m:d>
                    <m:dPr>
                      <m:begChr m:val="["/>
                      <m:endChr m:val="]"/>
                      <m:ctrlPr>
                        <w:rPr>
                          <w:i/>
                        </w:rPr>
                      </m:ctrlPr>
                    </m:dPr>
                    <m:e>
                      <m:sSub>
                        <m:sSubPr>
                          <m:ctrlPr/>
                        </m:sSubPr>
                        <m:e>
                          <m:r>
                            <m:rPr>
                              <m:sty m:val="p"/>
                            </m:rPr>
                            <m:t>Ω</m:t>
                          </m:r>
                        </m:e>
                        <m:sub>
                          <m:r>
                            <m:t>p1,p2,z,y</m:t>
                          </m:r>
                        </m:sub>
                      </m:sSub>
                    </m:e>
                  </m:d>
                </m:sup>
              </m:sSup>
            </m:e>
          </m:mr>
        </m:m>
      </m:oMath>
      <w:r w:rsidRPr="00C00335">
        <w:t> </w:t>
      </w:r>
    </w:p>
    <w:p w14:paraId="1C37A7A3" w14:textId="77777777" w:rsidR="00B41A9A" w:rsidRPr="00C00335" w:rsidRDefault="00B41A9A" w:rsidP="002B54F6">
      <w:pPr>
        <w:pStyle w:val="equation"/>
        <w:tabs>
          <w:tab w:val="clear" w:pos="4680"/>
        </w:tabs>
        <w:spacing w:after="240" w:line="320" w:lineRule="atLeast"/>
        <w:ind w:left="1440" w:hanging="720"/>
      </w:pPr>
      <w:r w:rsidRPr="00C00335">
        <w:t xml:space="preserve">for z = {vaginal intercourse and anal intercourse}, </w:t>
      </w:r>
      <w:r w:rsidRPr="00C00335">
        <w:rPr>
          <w:i/>
          <w:iCs/>
        </w:rPr>
        <w:t>y</w:t>
      </w:r>
      <w:r w:rsidRPr="00C00335">
        <w:t xml:space="preserve"> = {</w:t>
      </w:r>
      <w:r w:rsidR="009362B8" w:rsidRPr="00C00335">
        <w:t xml:space="preserve">male-female partnerships with </w:t>
      </w:r>
      <w:r w:rsidRPr="00C00335">
        <w:t xml:space="preserve">vaginal intercourse only, </w:t>
      </w:r>
      <w:r w:rsidR="009362B8" w:rsidRPr="00C00335">
        <w:t xml:space="preserve">male-male partnership with </w:t>
      </w:r>
      <w:r w:rsidRPr="00C00335">
        <w:t xml:space="preserve">anal intercourse only, </w:t>
      </w:r>
      <w:r w:rsidR="009362B8" w:rsidRPr="00C00335">
        <w:t xml:space="preserve">male-female partnership with </w:t>
      </w:r>
      <w:r w:rsidRPr="00C00335">
        <w:t>both vaginal and anal intercourse}, and p1 and p2</w:t>
      </w:r>
      <w:r w:rsidR="008735E8" w:rsidRPr="00C00335">
        <w:t> </w:t>
      </w:r>
      <w:r w:rsidRPr="00C00335">
        <w:t>=</w:t>
      </w:r>
      <w:r w:rsidR="008735E8" w:rsidRPr="00C00335">
        <w:t> </w:t>
      </w:r>
      <w:r w:rsidRPr="00C00335">
        <w:t>{all subpopulations}</w:t>
      </w:r>
      <w:r w:rsidR="008A3FA7" w:rsidRPr="00C00335">
        <w:tab/>
        <w:t>(</w:t>
      </w:r>
      <w:r w:rsidR="00FF381E" w:rsidRPr="00C00335">
        <w:t>6</w:t>
      </w:r>
      <w:r w:rsidR="00C277F4" w:rsidRPr="00C00335">
        <w:t>.</w:t>
      </w:r>
      <w:r w:rsidR="00FF381E" w:rsidRPr="00C00335">
        <w:t>1</w:t>
      </w:r>
      <w:r w:rsidR="008A3FA7" w:rsidRPr="00C00335">
        <w:t>)</w:t>
      </w:r>
    </w:p>
    <w:p w14:paraId="526F4AD1" w14:textId="30B65E43" w:rsidR="00B41A9A" w:rsidRPr="00C00335" w:rsidRDefault="008F2136" w:rsidP="00315F8D">
      <w:pPr>
        <w:pStyle w:val="equation"/>
        <w:spacing w:before="120"/>
      </w:pPr>
      <w:r w:rsidRPr="00C00335">
        <w:tab/>
      </w:r>
      <w:r w:rsidR="00974941" w:rsidRPr="00C00335">
        <w:rPr>
          <w:position w:val="-14"/>
        </w:rPr>
        <w:object w:dxaOrig="600" w:dyaOrig="400" w14:anchorId="2D42F534">
          <v:shape id="_x0000_i1028" type="#_x0000_t75" style="width:28.5pt;height:22.5pt" o:ole="">
            <v:imagedata r:id="rId69" o:title=""/>
          </v:shape>
          <o:OLEObject Type="Embed" ProgID="Equation.3" ShapeID="_x0000_i1028" DrawAspect="Content" ObjectID="_1700043730" r:id="rId70"/>
        </w:object>
      </w:r>
      <w:r w:rsidR="00B41A9A" w:rsidRPr="00C00335">
        <w:t> = </w:t>
      </w:r>
      <m:oMath>
        <m:r>
          <m:t>1-</m:t>
        </m:r>
        <m:sSup>
          <m:sSupPr>
            <m:ctrlPr>
              <w:rPr>
                <w:i/>
              </w:rPr>
            </m:ctrlPr>
          </m:sSupPr>
          <m:e>
            <m:d>
              <m:dPr>
                <m:ctrlPr>
                  <w:rPr>
                    <w:i/>
                  </w:rPr>
                </m:ctrlPr>
              </m:dPr>
              <m:e>
                <m:r>
                  <m:t>1-</m:t>
                </m:r>
                <m:d>
                  <m:dPr>
                    <m:begChr m:val="["/>
                    <m:endChr m:val="]"/>
                    <m:ctrlPr>
                      <w:rPr>
                        <w:i/>
                      </w:rPr>
                    </m:ctrlPr>
                  </m:dPr>
                  <m:e>
                    <m:r>
                      <m:t>1-</m:t>
                    </m:r>
                    <m:sSub>
                      <m:sSubPr>
                        <m:ctrlPr>
                          <w:rPr>
                            <w:i/>
                          </w:rPr>
                        </m:ctrlPr>
                      </m:sSubPr>
                      <m:e>
                        <m:r>
                          <m:rPr>
                            <m:sty m:val="p"/>
                          </m:rPr>
                          <m:t>Δ</m:t>
                        </m:r>
                      </m:e>
                      <m:sub>
                        <m:r>
                          <m:t>c,z</m:t>
                        </m:r>
                      </m:sub>
                    </m:sSub>
                  </m:e>
                </m:d>
                <m:d>
                  <m:dPr>
                    <m:begChr m:val="["/>
                    <m:endChr m:val="]"/>
                    <m:ctrlPr>
                      <w:rPr>
                        <w:i/>
                      </w:rPr>
                    </m:ctrlPr>
                  </m:dPr>
                  <m:e>
                    <m:sSub>
                      <m:sSubPr>
                        <m:ctrlPr>
                          <w:rPr>
                            <w:i/>
                          </w:rPr>
                        </m:ctrlPr>
                      </m:sSubPr>
                      <m:e>
                        <m:r>
                          <m:rPr>
                            <m:sty m:val="p"/>
                          </m:rPr>
                          <m:t>Θ</m:t>
                        </m:r>
                      </m:e>
                      <m:sub>
                        <m:r>
                          <m:t>c</m:t>
                        </m:r>
                      </m:sub>
                    </m:sSub>
                  </m:e>
                </m:d>
              </m:e>
            </m:d>
          </m:e>
          <m:sup>
            <m:r>
              <m:t>(E)</m:t>
            </m:r>
            <m:sSub>
              <m:sSubPr>
                <m:ctrlPr>
                  <w:rPr>
                    <w:i/>
                  </w:rPr>
                </m:ctrlPr>
              </m:sSubPr>
              <m:e>
                <m:r>
                  <m:rPr>
                    <m:sty m:val="p"/>
                  </m:rPr>
                  <m:t>(1-Τ</m:t>
                </m:r>
              </m:e>
              <m:sub>
                <m:r>
                  <m:t>p1,p2,c</m:t>
                </m:r>
              </m:sub>
            </m:sSub>
            <m:r>
              <m:t>)</m:t>
            </m:r>
          </m:sup>
        </m:sSup>
      </m:oMath>
      <w:r w:rsidR="004F4E6D" w:rsidRPr="00C00335">
        <w:tab/>
      </w:r>
    </w:p>
    <w:p w14:paraId="12960992" w14:textId="1A434BDF" w:rsidR="00B41A9A" w:rsidRPr="00C00335" w:rsidRDefault="008A3FA7" w:rsidP="00EE7C4C">
      <w:pPr>
        <w:pStyle w:val="equation"/>
        <w:tabs>
          <w:tab w:val="clear" w:pos="4680"/>
        </w:tabs>
        <w:ind w:left="1260" w:hanging="540"/>
      </w:pPr>
      <w:r w:rsidRPr="00C00335">
        <w:t>for</w:t>
      </w:r>
      <w:r w:rsidR="008735E8" w:rsidRPr="00C00335">
        <w:tab/>
      </w:r>
      <w:r w:rsidR="00B41A9A" w:rsidRPr="00C00335">
        <w:rPr>
          <w:i/>
          <w:iCs/>
        </w:rPr>
        <w:t>z</w:t>
      </w:r>
      <w:r w:rsidR="00B41A9A" w:rsidRPr="00C00335">
        <w:t xml:space="preserve"> = {needle-sharing}, </w:t>
      </w:r>
      <w:r w:rsidR="00B41A9A" w:rsidRPr="00C00335">
        <w:rPr>
          <w:i/>
          <w:iCs/>
        </w:rPr>
        <w:t>y</w:t>
      </w:r>
      <w:r w:rsidR="00B41A9A" w:rsidRPr="00C00335">
        <w:t xml:space="preserve"> = {needle-sharing}, and </w:t>
      </w:r>
      <w:r w:rsidR="00B41A9A" w:rsidRPr="00C00335">
        <w:rPr>
          <w:i/>
          <w:iCs/>
        </w:rPr>
        <w:t>p1</w:t>
      </w:r>
      <w:r w:rsidR="00B41A9A" w:rsidRPr="00C00335">
        <w:t xml:space="preserve"> and </w:t>
      </w:r>
      <w:r w:rsidR="008735E8" w:rsidRPr="00C00335">
        <w:br/>
      </w:r>
      <w:r w:rsidR="00B41A9A" w:rsidRPr="00C00335">
        <w:rPr>
          <w:i/>
          <w:iCs/>
        </w:rPr>
        <w:t>p2</w:t>
      </w:r>
      <w:r w:rsidR="00A97030" w:rsidRPr="00C00335">
        <w:t xml:space="preserve"> = {</w:t>
      </w:r>
      <w:r w:rsidR="005C4A38" w:rsidRPr="00C00335">
        <w:t>PWID</w:t>
      </w:r>
      <w:r w:rsidR="00A97030" w:rsidRPr="00C00335">
        <w:t xml:space="preserve"> subpopulations</w:t>
      </w:r>
      <w:r w:rsidRPr="00C00335">
        <w:t>}</w:t>
      </w:r>
      <w:r w:rsidR="00A97030" w:rsidRPr="00C00335">
        <w:tab/>
        <w:t>(</w:t>
      </w:r>
      <w:r w:rsidR="00FF381E" w:rsidRPr="00C00335">
        <w:t>6</w:t>
      </w:r>
      <w:r w:rsidR="00C277F4" w:rsidRPr="00C00335">
        <w:t>.</w:t>
      </w:r>
      <w:r w:rsidR="00A97030" w:rsidRPr="00C00335">
        <w:t>2)</w:t>
      </w:r>
    </w:p>
    <w:p w14:paraId="20F9F11F" w14:textId="77777777" w:rsidR="00B41A9A" w:rsidRPr="00C00335" w:rsidRDefault="00B41A9A" w:rsidP="00315F8D">
      <w:pPr>
        <w:pStyle w:val="BodyText"/>
        <w:keepNext/>
      </w:pPr>
      <w:r w:rsidRPr="00C00335">
        <w:t>where</w:t>
      </w:r>
    </w:p>
    <w:p w14:paraId="2FA3E5E3" w14:textId="3433B3E5" w:rsidR="0014169A" w:rsidRPr="00C00335" w:rsidRDefault="00AA4A52" w:rsidP="002B1372">
      <w:pPr>
        <w:pStyle w:val="bullets"/>
      </w:pPr>
      <w:proofErr w:type="spellStart"/>
      <w:r w:rsidRPr="00C00335">
        <w:t>S</w:t>
      </w:r>
      <w:r w:rsidRPr="00C00335">
        <w:rPr>
          <w:iCs/>
          <w:vertAlign w:val="subscript"/>
        </w:rPr>
        <w:t>p</w:t>
      </w:r>
      <w:proofErr w:type="spellEnd"/>
      <w:r w:rsidR="0014169A" w:rsidRPr="00C00335">
        <w:t xml:space="preserve"> = number of annual </w:t>
      </w:r>
      <w:r w:rsidR="00782B9B" w:rsidRPr="00C00335">
        <w:t>sex act</w:t>
      </w:r>
      <w:r w:rsidR="0014169A" w:rsidRPr="00C00335">
        <w:t xml:space="preserve">s for an HIV-uninfected individual per partner, </w:t>
      </w:r>
      <w:r w:rsidR="005F5C70" w:rsidRPr="00C00335">
        <w:t>HIV-uninfected</w:t>
      </w:r>
      <w:r w:rsidR="0014169A" w:rsidRPr="00C00335">
        <w:t xml:space="preserve"> or undiagnosed</w:t>
      </w:r>
      <w:r w:rsidR="00E71244" w:rsidRPr="00C00335">
        <w:t xml:space="preserve">, by subpopulation </w:t>
      </w:r>
      <w:proofErr w:type="gramStart"/>
      <w:r w:rsidR="00E71244" w:rsidRPr="00C00335">
        <w:rPr>
          <w:i/>
          <w:iCs/>
        </w:rPr>
        <w:t>p</w:t>
      </w:r>
      <w:r w:rsidR="00B67E34" w:rsidRPr="00C00335">
        <w:t>;</w:t>
      </w:r>
      <w:proofErr w:type="gramEnd"/>
    </w:p>
    <w:p w14:paraId="3DB71513" w14:textId="471C8D3C" w:rsidR="0014169A" w:rsidRPr="00C00335" w:rsidRDefault="0014169A" w:rsidP="002B1372">
      <w:pPr>
        <w:pStyle w:val="bullets"/>
      </w:pPr>
      <w:proofErr w:type="spellStart"/>
      <w:r w:rsidRPr="00C00335">
        <w:t>G</w:t>
      </w:r>
      <w:r w:rsidR="00BE454E" w:rsidRPr="00C00335">
        <w:rPr>
          <w:iCs/>
          <w:vertAlign w:val="subscript"/>
        </w:rPr>
        <w:t>z,p</w:t>
      </w:r>
      <w:r w:rsidR="00AA4A52" w:rsidRPr="00C00335">
        <w:rPr>
          <w:iCs/>
          <w:vertAlign w:val="subscript"/>
        </w:rPr>
        <w:t>,c</w:t>
      </w:r>
      <w:proofErr w:type="spellEnd"/>
      <w:r w:rsidRPr="00C00335">
        <w:t xml:space="preserve"> = </w:t>
      </w:r>
      <w:r w:rsidR="00AA4A52" w:rsidRPr="00C00335">
        <w:t xml:space="preserve">percentage of </w:t>
      </w:r>
      <w:r w:rsidR="00782B9B" w:rsidRPr="00C00335">
        <w:t>sex act</w:t>
      </w:r>
      <w:r w:rsidR="00AA4A52" w:rsidRPr="00C00335">
        <w:t xml:space="preserve">s of risk type z </w:t>
      </w:r>
      <w:r w:rsidR="003B083D" w:rsidRPr="00C00335">
        <w:t xml:space="preserve">protected with a condom, given </w:t>
      </w:r>
      <w:r w:rsidR="00BE454E" w:rsidRPr="00C00335">
        <w:t xml:space="preserve">partner in compartment </w:t>
      </w:r>
      <w:r w:rsidR="00BE454E" w:rsidRPr="00C00335">
        <w:rPr>
          <w:i/>
          <w:iCs/>
        </w:rPr>
        <w:t>c</w:t>
      </w:r>
      <w:r w:rsidR="003B083D" w:rsidRPr="00C00335">
        <w:t xml:space="preserve">, by </w:t>
      </w:r>
      <w:r w:rsidR="00BE454E" w:rsidRPr="00C00335">
        <w:t xml:space="preserve">subpopulation </w:t>
      </w:r>
      <w:proofErr w:type="gramStart"/>
      <w:r w:rsidR="00BE454E" w:rsidRPr="00C00335">
        <w:rPr>
          <w:i/>
          <w:iCs/>
        </w:rPr>
        <w:t>p</w:t>
      </w:r>
      <w:r w:rsidR="00B67E34" w:rsidRPr="00C00335">
        <w:rPr>
          <w:iCs/>
        </w:rPr>
        <w:t>;</w:t>
      </w:r>
      <w:proofErr w:type="gramEnd"/>
    </w:p>
    <w:p w14:paraId="33B04B0D" w14:textId="33871786" w:rsidR="00D51793" w:rsidRPr="00C00335" w:rsidRDefault="00747E9D" w:rsidP="002B1372">
      <w:pPr>
        <w:pStyle w:val="bullets"/>
      </w:pP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c,z</m:t>
            </m:r>
          </m:sub>
        </m:sSub>
      </m:oMath>
      <w:r w:rsidR="00D51793" w:rsidRPr="00C00335">
        <w:t xml:space="preserve">= </w:t>
      </w:r>
      <w:r w:rsidR="00B67E34" w:rsidRPr="00C00335">
        <w:t>p</w:t>
      </w:r>
      <w:r w:rsidR="00D51793" w:rsidRPr="00C00335">
        <w:t xml:space="preserve">ercentage reduction in per-act transmission probability due to </w:t>
      </w:r>
      <w:r w:rsidR="00974941" w:rsidRPr="00C00335">
        <w:t>VLS</w:t>
      </w:r>
      <w:r w:rsidR="00D51793" w:rsidRPr="00C00335">
        <w:t xml:space="preserve">, by </w:t>
      </w:r>
      <w:r w:rsidR="00974941" w:rsidRPr="00C00335">
        <w:rPr>
          <w:iCs/>
        </w:rPr>
        <w:t>compartment c</w:t>
      </w:r>
      <w:r w:rsidR="00D51793" w:rsidRPr="00C00335">
        <w:t xml:space="preserve"> and transmission risk type </w:t>
      </w:r>
      <w:proofErr w:type="gramStart"/>
      <w:r w:rsidR="00D51793" w:rsidRPr="00C00335">
        <w:rPr>
          <w:iCs/>
        </w:rPr>
        <w:t>z</w:t>
      </w:r>
      <w:r w:rsidR="00B67E34" w:rsidRPr="00C00335">
        <w:t>;</w:t>
      </w:r>
      <w:proofErr w:type="gramEnd"/>
    </w:p>
    <w:p w14:paraId="0D3C00B3" w14:textId="7CA3E234" w:rsidR="00B41A9A" w:rsidRPr="00C00335" w:rsidRDefault="00D3094D" w:rsidP="002B1372">
      <w:pPr>
        <w:pStyle w:val="bullets"/>
      </w:pPr>
      <w:r w:rsidRPr="00C00335">
        <w:rPr>
          <w:position w:val="-14"/>
        </w:rPr>
        <w:object w:dxaOrig="499" w:dyaOrig="380" w14:anchorId="7CC584FC">
          <v:shape id="_x0000_i1029" type="#_x0000_t75" style="width:22.5pt;height:22.5pt" o:ole="">
            <v:imagedata r:id="rId71" o:title=""/>
          </v:shape>
          <o:OLEObject Type="Embed" ProgID="Equation.3" ShapeID="_x0000_i1029" DrawAspect="Content" ObjectID="_1700043731" r:id="rId72"/>
        </w:object>
      </w:r>
      <w:r w:rsidR="00B41A9A" w:rsidRPr="00C00335">
        <w:t xml:space="preserve"> and </w:t>
      </w:r>
      <w:r w:rsidRPr="00C00335">
        <w:rPr>
          <w:position w:val="-14"/>
        </w:rPr>
        <w:object w:dxaOrig="420" w:dyaOrig="380" w14:anchorId="408BA11F">
          <v:shape id="_x0000_i1030" type="#_x0000_t75" style="width:22.5pt;height:22.5pt" o:ole="">
            <v:imagedata r:id="rId73" o:title=""/>
          </v:shape>
          <o:OLEObject Type="Embed" ProgID="Equation.3" ShapeID="_x0000_i1030" DrawAspect="Content" ObjectID="_1700043732" r:id="rId74"/>
        </w:object>
      </w:r>
      <w:r w:rsidR="00B41A9A" w:rsidRPr="00C00335">
        <w:t>= </w:t>
      </w:r>
      <w:r w:rsidR="00697525" w:rsidRPr="00C00335">
        <w:t>p</w:t>
      </w:r>
      <w:r w:rsidR="00BD1351" w:rsidRPr="00C00335">
        <w:t xml:space="preserve">er-sex-act transmission probability for </w:t>
      </w:r>
      <w:proofErr w:type="spellStart"/>
      <w:r w:rsidR="000229FE">
        <w:t>condomless</w:t>
      </w:r>
      <w:proofErr w:type="spellEnd"/>
      <w:r w:rsidR="008436B6">
        <w:t xml:space="preserve"> </w:t>
      </w:r>
      <w:r w:rsidR="00E71244" w:rsidRPr="00C00335">
        <w:t xml:space="preserve">receptive and </w:t>
      </w:r>
      <w:proofErr w:type="spellStart"/>
      <w:r w:rsidR="00E71244" w:rsidRPr="00C00335">
        <w:t>insertive</w:t>
      </w:r>
      <w:proofErr w:type="spellEnd"/>
      <w:r w:rsidR="00E71244" w:rsidRPr="00C00335">
        <w:t xml:space="preserve"> acts, respectively,</w:t>
      </w:r>
      <w:r w:rsidR="00BD1351" w:rsidRPr="00C00335">
        <w:t xml:space="preserve"> of type z (vaginal or anal intercourse) with infected partner in compartment </w:t>
      </w:r>
      <w:r w:rsidR="00BD1351" w:rsidRPr="00C00335">
        <w:rPr>
          <w:i/>
        </w:rPr>
        <w:t>c</w:t>
      </w:r>
      <w:r w:rsidR="00215251" w:rsidRPr="00C00335">
        <w:rPr>
          <w:iCs/>
        </w:rPr>
        <w:t xml:space="preserve">; calculated as a product of </w:t>
      </w:r>
      <w:r w:rsidR="00933A43" w:rsidRPr="00C00335">
        <w:rPr>
          <w:i/>
        </w:rPr>
        <w:t xml:space="preserve">base </w:t>
      </w:r>
      <w:r w:rsidR="00215251" w:rsidRPr="00C00335">
        <w:rPr>
          <w:i/>
        </w:rPr>
        <w:t xml:space="preserve">probability of transmission per </w:t>
      </w:r>
      <w:proofErr w:type="spellStart"/>
      <w:r w:rsidR="000229FE">
        <w:rPr>
          <w:i/>
        </w:rPr>
        <w:t>condomless</w:t>
      </w:r>
      <w:proofErr w:type="spellEnd"/>
      <w:r w:rsidR="008436B6">
        <w:rPr>
          <w:i/>
        </w:rPr>
        <w:t xml:space="preserve"> </w:t>
      </w:r>
      <w:r w:rsidR="00782B9B" w:rsidRPr="00C00335">
        <w:rPr>
          <w:i/>
        </w:rPr>
        <w:t>sex act</w:t>
      </w:r>
      <w:r w:rsidR="00215251" w:rsidRPr="00C00335">
        <w:rPr>
          <w:iCs/>
        </w:rPr>
        <w:t xml:space="preserve"> and </w:t>
      </w:r>
      <w:r w:rsidR="00933A43" w:rsidRPr="00C00335">
        <w:rPr>
          <w:i/>
        </w:rPr>
        <w:t>r</w:t>
      </w:r>
      <w:r w:rsidR="00215251" w:rsidRPr="00C00335">
        <w:rPr>
          <w:i/>
        </w:rPr>
        <w:t xml:space="preserve">elative risk of transmission per </w:t>
      </w:r>
      <w:r w:rsidR="00782B9B" w:rsidRPr="00C00335">
        <w:rPr>
          <w:i/>
        </w:rPr>
        <w:t>sex act</w:t>
      </w:r>
      <w:r w:rsidR="00215251" w:rsidRPr="00C00335">
        <w:rPr>
          <w:i/>
        </w:rPr>
        <w:t xml:space="preserve"> by disease stage</w:t>
      </w:r>
      <w:r w:rsidR="00215251" w:rsidRPr="00C00335">
        <w:rPr>
          <w:iCs/>
        </w:rPr>
        <w:t xml:space="preserve">, the latter of which varies by </w:t>
      </w:r>
      <w:proofErr w:type="gramStart"/>
      <w:r w:rsidR="00215251" w:rsidRPr="00C00335">
        <w:rPr>
          <w:i/>
        </w:rPr>
        <w:t>c</w:t>
      </w:r>
      <w:r w:rsidR="000C5E51" w:rsidRPr="00C00335">
        <w:t>;</w:t>
      </w:r>
      <w:proofErr w:type="gramEnd"/>
    </w:p>
    <w:p w14:paraId="51F397BC" w14:textId="4A4EF3A5" w:rsidR="00B41A9A" w:rsidRPr="00C00335" w:rsidRDefault="00B41A9A" w:rsidP="002B1372">
      <w:pPr>
        <w:pStyle w:val="bullets"/>
      </w:pPr>
      <w:proofErr w:type="spellStart"/>
      <w:r w:rsidRPr="00C00335">
        <w:rPr>
          <w:iCs/>
        </w:rPr>
        <w:t>d</w:t>
      </w:r>
      <w:r w:rsidRPr="00C00335">
        <w:rPr>
          <w:iCs/>
          <w:vertAlign w:val="subscript"/>
        </w:rPr>
        <w:t>z</w:t>
      </w:r>
      <w:proofErr w:type="spellEnd"/>
      <w:r w:rsidRPr="00C00335">
        <w:rPr>
          <w:iCs/>
        </w:rPr>
        <w:t> = </w:t>
      </w:r>
      <w:r w:rsidR="000C5E51" w:rsidRPr="00C00335">
        <w:t>p</w:t>
      </w:r>
      <w:r w:rsidRPr="00C00335">
        <w:t>ercentage reduction in per-</w:t>
      </w:r>
      <w:r w:rsidR="00D10FEF" w:rsidRPr="00C00335">
        <w:t>sex-</w:t>
      </w:r>
      <w:r w:rsidRPr="00C00335">
        <w:t xml:space="preserve">act transmission probability from an act of type </w:t>
      </w:r>
      <w:r w:rsidRPr="00C00335">
        <w:rPr>
          <w:iCs/>
        </w:rPr>
        <w:t>z</w:t>
      </w:r>
      <w:r w:rsidRPr="00C00335">
        <w:t xml:space="preserve"> due to condom </w:t>
      </w:r>
      <w:proofErr w:type="gramStart"/>
      <w:r w:rsidRPr="00C00335">
        <w:t>use</w:t>
      </w:r>
      <w:r w:rsidR="000C5E51" w:rsidRPr="00C00335">
        <w:t>;</w:t>
      </w:r>
      <w:proofErr w:type="gramEnd"/>
    </w:p>
    <w:p w14:paraId="0910F6CB" w14:textId="430F9880" w:rsidR="00B41A9A" w:rsidRPr="00C00335" w:rsidRDefault="00B41A9A" w:rsidP="002B1372">
      <w:pPr>
        <w:pStyle w:val="bullets"/>
      </w:pPr>
      <w:r w:rsidRPr="00C00335">
        <w:rPr>
          <w:iCs/>
        </w:rPr>
        <w:lastRenderedPageBreak/>
        <w:t>b</w:t>
      </w:r>
      <w:r w:rsidR="00260498" w:rsidRPr="00C00335">
        <w:rPr>
          <w:iCs/>
          <w:vertAlign w:val="subscript"/>
        </w:rPr>
        <w:t>p1,p2</w:t>
      </w:r>
      <w:r w:rsidRPr="00C00335">
        <w:rPr>
          <w:iCs/>
          <w:vertAlign w:val="subscript"/>
        </w:rPr>
        <w:t>,z</w:t>
      </w:r>
      <w:r w:rsidRPr="00C00335">
        <w:t xml:space="preserve"> = percentage reduction in per-</w:t>
      </w:r>
      <w:proofErr w:type="spellStart"/>
      <w:r w:rsidR="00B94A8D" w:rsidRPr="00C00335">
        <w:t>insertive</w:t>
      </w:r>
      <w:proofErr w:type="spellEnd"/>
      <w:r w:rsidR="00B94A8D" w:rsidRPr="00C00335">
        <w:t xml:space="preserve"> </w:t>
      </w:r>
      <w:r w:rsidR="00D10FEF" w:rsidRPr="00C00335">
        <w:t>sex act</w:t>
      </w:r>
      <w:r w:rsidRPr="00C00335">
        <w:t xml:space="preserve"> transmission probability </w:t>
      </w:r>
      <w:r w:rsidR="00260498" w:rsidRPr="00C00335">
        <w:t xml:space="preserve">from an act of type </w:t>
      </w:r>
      <w:r w:rsidR="00260498" w:rsidRPr="00C00335">
        <w:rPr>
          <w:iCs/>
        </w:rPr>
        <w:t>z</w:t>
      </w:r>
      <w:r w:rsidR="00260498" w:rsidRPr="00C00335">
        <w:t xml:space="preserve"> </w:t>
      </w:r>
      <w:r w:rsidRPr="00C00335">
        <w:t xml:space="preserve">due to circumcision for an HIV-uninfected individual in </w:t>
      </w:r>
      <w:r w:rsidR="00260498" w:rsidRPr="00C00335">
        <w:t>subpopulation</w:t>
      </w:r>
      <w:r w:rsidRPr="00C00335">
        <w:t xml:space="preserve"> </w:t>
      </w:r>
      <w:r w:rsidR="00260498" w:rsidRPr="00C00335">
        <w:rPr>
          <w:i/>
        </w:rPr>
        <w:t>p1</w:t>
      </w:r>
      <w:r w:rsidR="00260498" w:rsidRPr="00C00335">
        <w:t xml:space="preserve"> with an HIV-infected partner in subpopulation </w:t>
      </w:r>
      <w:r w:rsidR="00260498" w:rsidRPr="00C00335">
        <w:rPr>
          <w:i/>
        </w:rPr>
        <w:t>p2</w:t>
      </w:r>
      <w:r w:rsidR="00260498" w:rsidRPr="00C00335">
        <w:rPr>
          <w:iCs/>
        </w:rPr>
        <w:t xml:space="preserve"> (0 if subpopulation </w:t>
      </w:r>
      <w:r w:rsidR="00260498" w:rsidRPr="00C00335">
        <w:rPr>
          <w:i/>
        </w:rPr>
        <w:t>p1</w:t>
      </w:r>
      <w:r w:rsidR="00260498" w:rsidRPr="00C00335">
        <w:rPr>
          <w:iCs/>
        </w:rPr>
        <w:t xml:space="preserve"> is uncircumcised male or female</w:t>
      </w:r>
      <w:proofErr w:type="gramStart"/>
      <w:r w:rsidR="00260498" w:rsidRPr="00C00335">
        <w:rPr>
          <w:iCs/>
        </w:rPr>
        <w:t>)</w:t>
      </w:r>
      <w:r w:rsidR="000C5E51" w:rsidRPr="00C00335">
        <w:t>;</w:t>
      </w:r>
      <w:proofErr w:type="gramEnd"/>
    </w:p>
    <w:p w14:paraId="6AD88802" w14:textId="608C3A7B" w:rsidR="00B41A9A" w:rsidRPr="00C00335" w:rsidRDefault="002E2A71" w:rsidP="002B1372">
      <w:pPr>
        <w:pStyle w:val="bullets"/>
      </w:pPr>
      <w:r w:rsidRPr="00C00335">
        <w:rPr>
          <w:rFonts w:ascii="Times New Roman" w:hAnsi="Times New Roman"/>
        </w:rPr>
        <w:t>V</w:t>
      </w:r>
      <w:r w:rsidRPr="00C00335">
        <w:rPr>
          <w:rFonts w:ascii="Times New Roman" w:hAnsi="Times New Roman"/>
          <w:vertAlign w:val="subscript"/>
        </w:rPr>
        <w:t>p1</w:t>
      </w:r>
      <w:r w:rsidR="00B41A9A" w:rsidRPr="00C00335">
        <w:rPr>
          <w:rFonts w:ascii="Times New Roman" w:hAnsi="Times New Roman"/>
          <w:vertAlign w:val="subscript"/>
        </w:rPr>
        <w:t xml:space="preserve">,p2 </w:t>
      </w:r>
      <w:r w:rsidR="00B41A9A" w:rsidRPr="00C00335">
        <w:rPr>
          <w:rFonts w:ascii="Times New Roman" w:hAnsi="Times New Roman"/>
        </w:rPr>
        <w:t>=</w:t>
      </w:r>
      <w:r w:rsidR="00B41A9A" w:rsidRPr="00C00335">
        <w:t> </w:t>
      </w:r>
      <w:r w:rsidR="000C5E51" w:rsidRPr="00C00335">
        <w:t>p</w:t>
      </w:r>
      <w:r w:rsidR="00B41A9A" w:rsidRPr="00C00335">
        <w:t xml:space="preserve">roportion of </w:t>
      </w:r>
      <w:r w:rsidR="00B16BE4" w:rsidRPr="00C00335">
        <w:t>male-male sex</w:t>
      </w:r>
      <w:r w:rsidR="00B41A9A" w:rsidRPr="00C00335">
        <w:t xml:space="preserve"> acts by individuals in subpopulation </w:t>
      </w:r>
      <w:r w:rsidR="00B41A9A" w:rsidRPr="00C00335">
        <w:rPr>
          <w:i/>
        </w:rPr>
        <w:t>p1</w:t>
      </w:r>
      <w:r w:rsidR="000F420A" w:rsidRPr="00C00335">
        <w:t xml:space="preserve"> </w:t>
      </w:r>
      <w:r w:rsidR="00B41A9A" w:rsidRPr="00C00335">
        <w:t xml:space="preserve">with individuals in subpopulation </w:t>
      </w:r>
      <w:r w:rsidR="00B41A9A" w:rsidRPr="00C00335">
        <w:rPr>
          <w:i/>
        </w:rPr>
        <w:t>p2</w:t>
      </w:r>
      <w:r w:rsidR="000F420A" w:rsidRPr="00C00335">
        <w:t xml:space="preserve"> </w:t>
      </w:r>
      <w:r w:rsidR="00B41A9A" w:rsidRPr="00C00335">
        <w:t>that are receptive</w:t>
      </w:r>
      <w:r w:rsidR="00B16BE4" w:rsidRPr="00C00335">
        <w:t xml:space="preserve"> (0 if subpopulation </w:t>
      </w:r>
      <w:r w:rsidR="00B16BE4" w:rsidRPr="00C00335">
        <w:rPr>
          <w:i/>
          <w:iCs/>
        </w:rPr>
        <w:t>p1</w:t>
      </w:r>
      <w:r w:rsidR="00B16BE4" w:rsidRPr="00C00335">
        <w:t xml:space="preserve"> or </w:t>
      </w:r>
      <w:r w:rsidR="00B16BE4" w:rsidRPr="00C00335">
        <w:rPr>
          <w:i/>
          <w:iCs/>
        </w:rPr>
        <w:t>p2</w:t>
      </w:r>
      <w:r w:rsidR="00B16BE4" w:rsidRPr="00C00335">
        <w:t xml:space="preserve"> is not MSM</w:t>
      </w:r>
      <w:proofErr w:type="gramStart"/>
      <w:r w:rsidR="00B16BE4" w:rsidRPr="00C00335">
        <w:t>)</w:t>
      </w:r>
      <w:r w:rsidR="000C5E51" w:rsidRPr="00C00335">
        <w:t>;</w:t>
      </w:r>
      <w:proofErr w:type="gramEnd"/>
    </w:p>
    <w:p w14:paraId="0FE6B2C2" w14:textId="77777777" w:rsidR="00B41A9A" w:rsidRPr="00C00335" w:rsidRDefault="00B41A9A" w:rsidP="002B1372">
      <w:pPr>
        <w:pStyle w:val="bullets"/>
      </w:pPr>
      <w:r w:rsidRPr="00C00335">
        <w:t>Ω</w:t>
      </w:r>
      <w:r w:rsidRPr="00C00335">
        <w:rPr>
          <w:vertAlign w:val="subscript"/>
        </w:rPr>
        <w:t>p1,p2,z,y</w:t>
      </w:r>
      <w:r w:rsidRPr="00C00335">
        <w:t xml:space="preserve">= </w:t>
      </w:r>
      <w:r w:rsidR="000C5E51" w:rsidRPr="00C00335">
        <w:t>p</w:t>
      </w:r>
      <w:r w:rsidRPr="00C00335">
        <w:t xml:space="preserve">roportion of sexual acts by individuals in subpopulation </w:t>
      </w:r>
      <w:r w:rsidRPr="00C00335">
        <w:rPr>
          <w:i/>
        </w:rPr>
        <w:t>p1</w:t>
      </w:r>
      <w:r w:rsidR="000F420A" w:rsidRPr="00C00335">
        <w:t xml:space="preserve"> </w:t>
      </w:r>
      <w:r w:rsidRPr="00C00335">
        <w:t xml:space="preserve">in partnerships of type </w:t>
      </w:r>
      <w:r w:rsidRPr="00C00335">
        <w:rPr>
          <w:i/>
        </w:rPr>
        <w:t>y</w:t>
      </w:r>
      <w:r w:rsidRPr="00C00335">
        <w:t xml:space="preserve"> with individuals in subpopulation </w:t>
      </w:r>
      <w:r w:rsidRPr="00C00335">
        <w:rPr>
          <w:i/>
        </w:rPr>
        <w:t>p2</w:t>
      </w:r>
      <w:r w:rsidR="000F420A" w:rsidRPr="00C00335">
        <w:t xml:space="preserve"> </w:t>
      </w:r>
      <w:r w:rsidRPr="00C00335">
        <w:t xml:space="preserve">that are risk type </w:t>
      </w:r>
      <w:r w:rsidRPr="00C00335">
        <w:rPr>
          <w:i/>
        </w:rPr>
        <w:t>z</w:t>
      </w:r>
      <w:r w:rsidRPr="00C00335">
        <w:t xml:space="preserve"> (where </w:t>
      </w:r>
      <w:r w:rsidRPr="00C00335">
        <w:rPr>
          <w:i/>
        </w:rPr>
        <w:t>z</w:t>
      </w:r>
      <w:r w:rsidRPr="00C00335">
        <w:t xml:space="preserve"> = vaginal or anal</w:t>
      </w:r>
      <w:proofErr w:type="gramStart"/>
      <w:r w:rsidRPr="00C00335">
        <w:t>)</w:t>
      </w:r>
      <w:r w:rsidR="000C5E51" w:rsidRPr="00C00335">
        <w:t>;</w:t>
      </w:r>
      <w:proofErr w:type="gramEnd"/>
    </w:p>
    <w:p w14:paraId="20648409" w14:textId="2A6DFA33" w:rsidR="000F420A" w:rsidRPr="00C00335" w:rsidRDefault="00B41A9A" w:rsidP="002B1372">
      <w:pPr>
        <w:pStyle w:val="bullets"/>
      </w:pPr>
      <w:r w:rsidRPr="00C00335">
        <w:rPr>
          <w:iCs/>
        </w:rPr>
        <w:t>E</w:t>
      </w:r>
      <w:r w:rsidRPr="00C00335">
        <w:t> = </w:t>
      </w:r>
      <w:r w:rsidR="000C5E51" w:rsidRPr="00C00335">
        <w:t>n</w:t>
      </w:r>
      <w:r w:rsidRPr="00C00335">
        <w:t xml:space="preserve">umber of needles shared annually per needle-sharing partner by </w:t>
      </w:r>
      <w:r w:rsidR="005C4A38" w:rsidRPr="00C00335">
        <w:t xml:space="preserve">PWID </w:t>
      </w:r>
      <w:r w:rsidRPr="00C00335">
        <w:t xml:space="preserve">who has never been diagnosed with </w:t>
      </w:r>
      <w:proofErr w:type="gramStart"/>
      <w:r w:rsidRPr="00C00335">
        <w:t>HIV</w:t>
      </w:r>
      <w:r w:rsidR="000C5E51" w:rsidRPr="00C00335">
        <w:t>;</w:t>
      </w:r>
      <w:proofErr w:type="gramEnd"/>
    </w:p>
    <w:p w14:paraId="4B2A12A7" w14:textId="2DEC625C" w:rsidR="00B41A9A" w:rsidRPr="00C00335" w:rsidRDefault="00B41A9A" w:rsidP="002B1372">
      <w:pPr>
        <w:pStyle w:val="bullets"/>
      </w:pPr>
      <w:r w:rsidRPr="00C00335">
        <w:rPr>
          <w:iCs/>
        </w:rPr>
        <w:t>Τ</w:t>
      </w:r>
      <w:r w:rsidR="00416BD2" w:rsidRPr="00C00335">
        <w:rPr>
          <w:iCs/>
          <w:vertAlign w:val="subscript"/>
        </w:rPr>
        <w:t>p1,p2,</w:t>
      </w:r>
      <w:r w:rsidRPr="00C00335">
        <w:rPr>
          <w:iCs/>
          <w:vertAlign w:val="subscript"/>
        </w:rPr>
        <w:t>c</w:t>
      </w:r>
      <w:r w:rsidRPr="00C00335">
        <w:t xml:space="preserve"> = </w:t>
      </w:r>
      <w:r w:rsidR="000C5E51" w:rsidRPr="00C00335">
        <w:t>r</w:t>
      </w:r>
      <w:r w:rsidRPr="00C00335">
        <w:t xml:space="preserve">eduction in number of needles shared </w:t>
      </w:r>
      <w:r w:rsidR="00035E2A" w:rsidRPr="00C00335">
        <w:t xml:space="preserve">between PWID populations </w:t>
      </w:r>
      <w:r w:rsidR="00035E2A" w:rsidRPr="00C00335">
        <w:rPr>
          <w:i/>
        </w:rPr>
        <w:t>p1</w:t>
      </w:r>
      <w:r w:rsidR="00035E2A" w:rsidRPr="00C00335">
        <w:t xml:space="preserve"> and </w:t>
      </w:r>
      <w:r w:rsidR="00035E2A" w:rsidRPr="00C00335">
        <w:rPr>
          <w:i/>
        </w:rPr>
        <w:t>p2</w:t>
      </w:r>
      <w:r w:rsidR="00035E2A" w:rsidRPr="00C00335">
        <w:t xml:space="preserve"> </w:t>
      </w:r>
      <w:r w:rsidRPr="00C00335">
        <w:t xml:space="preserve">for diagnosed versus undiagnosed or uninfected (0 if compartment </w:t>
      </w:r>
      <w:r w:rsidRPr="00C00335">
        <w:rPr>
          <w:i/>
        </w:rPr>
        <w:t>c</w:t>
      </w:r>
      <w:r w:rsidRPr="00C00335">
        <w:t xml:space="preserve"> is for undiagnosed or uninfected compartments)</w:t>
      </w:r>
      <w:r w:rsidR="000C5E51" w:rsidRPr="00C00335">
        <w:t>; and</w:t>
      </w:r>
    </w:p>
    <w:p w14:paraId="281A7227" w14:textId="5E5E6A97" w:rsidR="00B41A9A" w:rsidRPr="00C00335" w:rsidRDefault="00B41A9A" w:rsidP="002B1372">
      <w:pPr>
        <w:pStyle w:val="bullets"/>
      </w:pPr>
      <w:proofErr w:type="spellStart"/>
      <w:r w:rsidRPr="00C00335">
        <w:t>Θ</w:t>
      </w:r>
      <w:r w:rsidRPr="00C00335">
        <w:rPr>
          <w:iCs/>
          <w:vertAlign w:val="subscript"/>
        </w:rPr>
        <w:t>c</w:t>
      </w:r>
      <w:proofErr w:type="spellEnd"/>
      <w:r w:rsidRPr="00C00335">
        <w:t xml:space="preserve"> = </w:t>
      </w:r>
      <w:r w:rsidR="000C5E51" w:rsidRPr="00C00335">
        <w:t>p</w:t>
      </w:r>
      <w:r w:rsidRPr="00C00335">
        <w:t xml:space="preserve">robability of HIV transmission per needle shared with an HIV-infected partner in compartment </w:t>
      </w:r>
      <w:r w:rsidRPr="00C00335">
        <w:rPr>
          <w:i/>
        </w:rPr>
        <w:t>c</w:t>
      </w:r>
      <w:r w:rsidR="00215251" w:rsidRPr="00C00335">
        <w:rPr>
          <w:iCs/>
        </w:rPr>
        <w:t xml:space="preserve">; calculated as a product of </w:t>
      </w:r>
      <w:r w:rsidR="00933A43" w:rsidRPr="00C00335">
        <w:rPr>
          <w:i/>
        </w:rPr>
        <w:t>b</w:t>
      </w:r>
      <w:r w:rsidR="00215251" w:rsidRPr="00C00335">
        <w:rPr>
          <w:i/>
        </w:rPr>
        <w:t>ase probability of transmission per shared needle</w:t>
      </w:r>
      <w:r w:rsidR="00215251" w:rsidRPr="00C00335">
        <w:rPr>
          <w:iCs/>
        </w:rPr>
        <w:t xml:space="preserve"> and </w:t>
      </w:r>
      <w:r w:rsidR="00933A43" w:rsidRPr="00C00335">
        <w:rPr>
          <w:i/>
        </w:rPr>
        <w:t>r</w:t>
      </w:r>
      <w:r w:rsidR="00215251" w:rsidRPr="00C00335">
        <w:rPr>
          <w:i/>
        </w:rPr>
        <w:t xml:space="preserve">elative risk of transmission per </w:t>
      </w:r>
      <w:r w:rsidR="00782B9B" w:rsidRPr="00C00335">
        <w:rPr>
          <w:i/>
        </w:rPr>
        <w:t>sex act</w:t>
      </w:r>
      <w:r w:rsidR="00215251" w:rsidRPr="00C00335">
        <w:rPr>
          <w:i/>
        </w:rPr>
        <w:t xml:space="preserve"> by disease stage</w:t>
      </w:r>
      <w:r w:rsidR="00215251" w:rsidRPr="00C00335">
        <w:rPr>
          <w:iCs/>
        </w:rPr>
        <w:t xml:space="preserve">, the latter of which varies by </w:t>
      </w:r>
      <w:r w:rsidR="00215251" w:rsidRPr="00C00335">
        <w:rPr>
          <w:i/>
        </w:rPr>
        <w:t>c</w:t>
      </w:r>
      <w:r w:rsidR="000C5E51" w:rsidRPr="00C00335">
        <w:t>.</w:t>
      </w:r>
    </w:p>
    <w:p w14:paraId="199A01B6" w14:textId="4BEB9EDB" w:rsidR="00B41A9A" w:rsidRPr="00C00335" w:rsidRDefault="00B41A9A" w:rsidP="00B41A9A">
      <w:pPr>
        <w:pStyle w:val="Heading2"/>
      </w:pPr>
      <w:bookmarkStart w:id="83" w:name="_Toc398293124"/>
      <w:bookmarkStart w:id="84" w:name="_Toc89257548"/>
      <w:r w:rsidRPr="00C00335">
        <w:t>Calculation of Force of Infection</w:t>
      </w:r>
      <w:bookmarkEnd w:id="83"/>
      <w:r w:rsidR="0021012F">
        <w:t xml:space="preserve"> for Individuals Not on </w:t>
      </w:r>
      <w:proofErr w:type="spellStart"/>
      <w:r w:rsidR="0021012F">
        <w:t>PrEP</w:t>
      </w:r>
      <w:proofErr w:type="spellEnd"/>
      <w:r w:rsidR="0021012F">
        <w:t xml:space="preserve"> </w:t>
      </w:r>
      <w:r w:rsidR="00042460">
        <w:t>and Not</w:t>
      </w:r>
      <w:r w:rsidR="0021012F">
        <w:t xml:space="preserve"> Participating in S</w:t>
      </w:r>
      <w:r w:rsidR="0066213A">
        <w:t>S</w:t>
      </w:r>
      <w:r w:rsidR="0021012F">
        <w:t>P</w:t>
      </w:r>
      <w:bookmarkEnd w:id="84"/>
    </w:p>
    <w:p w14:paraId="444057CB" w14:textId="1C73C821" w:rsidR="00B41A9A" w:rsidRPr="00C00335" w:rsidRDefault="000300BF" w:rsidP="003303A2">
      <w:pPr>
        <w:pStyle w:val="BodyText"/>
      </w:pPr>
      <w:r w:rsidRPr="00C00335">
        <w:t>The force of infection</w:t>
      </w:r>
      <w:r w:rsidR="003303A2" w:rsidRPr="00C00335">
        <w:t xml:space="preserve"> </w:t>
      </w:r>
      <w:r w:rsidR="003303A2" w:rsidRPr="00C00335">
        <w:rPr>
          <w:rFonts w:ascii="Calibri" w:hAnsi="Calibri"/>
        </w:rPr>
        <w:t>λ</w:t>
      </w:r>
      <w:r w:rsidRPr="00C00335">
        <w:t xml:space="preserve"> is defined as the rate of infection per uninfected person across all sources. </w:t>
      </w:r>
      <w:r w:rsidR="00B41A9A" w:rsidRPr="00C00335">
        <w:t xml:space="preserve">The method that we applied to calculate force of infection is based on the method applied in Long et al. (2010) but adapted </w:t>
      </w:r>
      <w:r w:rsidR="000C5E51" w:rsidRPr="00C00335">
        <w:t>to</w:t>
      </w:r>
      <w:r w:rsidR="00B41A9A" w:rsidRPr="00C00335">
        <w:t xml:space="preserve"> include multiple transmission groups</w:t>
      </w:r>
      <w:r w:rsidR="000C5E51" w:rsidRPr="00C00335">
        <w:t>,</w:t>
      </w:r>
      <w:r w:rsidR="00B41A9A" w:rsidRPr="00C00335">
        <w:t xml:space="preserve"> and mixing is determined explicitly by inputs defining percent</w:t>
      </w:r>
      <w:r w:rsidR="000C5E51" w:rsidRPr="00C00335">
        <w:t>age</w:t>
      </w:r>
      <w:r w:rsidR="00B41A9A" w:rsidRPr="00C00335">
        <w:t xml:space="preserve"> of partners by race/ethnicity, transmission groups, </w:t>
      </w:r>
      <w:r w:rsidR="000B270A" w:rsidRPr="00C00335">
        <w:t xml:space="preserve">risk levels, </w:t>
      </w:r>
      <w:r w:rsidR="00B41A9A" w:rsidRPr="00C00335">
        <w:t>and age groups. Long et al. was based on the heterosexual population only and assumed proportional mixing, in which “persons with many sexual partners are more likely to select a partner who similarly has many partners</w:t>
      </w:r>
      <w:r w:rsidR="000C5E51" w:rsidRPr="00C00335">
        <w:t xml:space="preserve">” (p. </w:t>
      </w:r>
      <w:r w:rsidR="005160E8" w:rsidRPr="00C00335">
        <w:t>779</w:t>
      </w:r>
      <w:r w:rsidR="000C5E51" w:rsidRPr="00C00335">
        <w:t>).</w:t>
      </w:r>
    </w:p>
    <w:p w14:paraId="7374D4D2" w14:textId="50A1D454" w:rsidR="00B41A9A" w:rsidRPr="00C00335" w:rsidRDefault="00B41A9A" w:rsidP="00F05222">
      <w:pPr>
        <w:pStyle w:val="BodyText"/>
      </w:pPr>
      <w:r w:rsidRPr="00C00335">
        <w:t xml:space="preserve">The force of HIV infection is a function of the number of </w:t>
      </w:r>
      <w:r w:rsidR="00A64DC0" w:rsidRPr="00C00335">
        <w:t xml:space="preserve">vaginal </w:t>
      </w:r>
      <w:r w:rsidR="00C1656C" w:rsidRPr="00C00335">
        <w:t>intercourse</w:t>
      </w:r>
      <w:r w:rsidR="00A64DC0" w:rsidRPr="00C00335">
        <w:t xml:space="preserve">, anal </w:t>
      </w:r>
      <w:r w:rsidR="00C1656C" w:rsidRPr="00C00335">
        <w:t>intercourse</w:t>
      </w:r>
      <w:r w:rsidR="00A64DC0" w:rsidRPr="00C00335">
        <w:t xml:space="preserve">, </w:t>
      </w:r>
      <w:r w:rsidRPr="00C00335">
        <w:t>and needle-sharing partners</w:t>
      </w:r>
      <w:r w:rsidR="00F05222" w:rsidRPr="00C00335">
        <w:t xml:space="preserve">, </w:t>
      </w:r>
      <w:r w:rsidR="00EB3223" w:rsidRPr="00C00335">
        <w:t>per-partnership transmission risk</w:t>
      </w:r>
      <w:r w:rsidR="00F05222" w:rsidRPr="00C00335">
        <w:t xml:space="preserve"> (described in </w:t>
      </w:r>
      <w:r w:rsidR="00CA2896" w:rsidRPr="00C00335">
        <w:t>Section </w:t>
      </w:r>
      <w:r w:rsidR="00B27092" w:rsidRPr="00C00335">
        <w:t>6.2</w:t>
      </w:r>
      <w:r w:rsidR="00F05222" w:rsidRPr="00C00335">
        <w:t xml:space="preserve">), prevalence of HIV among partners, and the distribution of </w:t>
      </w:r>
      <w:r w:rsidRPr="00C00335">
        <w:t xml:space="preserve">HIV-infected partners </w:t>
      </w:r>
      <w:r w:rsidR="00F305F7" w:rsidRPr="00C00335">
        <w:t xml:space="preserve">among </w:t>
      </w:r>
      <w:r w:rsidRPr="00C00335">
        <w:t xml:space="preserve">the different disease </w:t>
      </w:r>
      <w:r w:rsidR="008946DD" w:rsidRPr="00C00335">
        <w:t xml:space="preserve">and </w:t>
      </w:r>
      <w:r w:rsidR="003F2DC6" w:rsidRPr="00C00335">
        <w:t>care continuum</w:t>
      </w:r>
      <w:r w:rsidR="008946DD" w:rsidRPr="00C00335">
        <w:t xml:space="preserve"> </w:t>
      </w:r>
      <w:r w:rsidRPr="00C00335">
        <w:t>stages.</w:t>
      </w:r>
    </w:p>
    <w:p w14:paraId="64156077" w14:textId="415BE7D9" w:rsidR="00B41A9A" w:rsidRPr="00C00335" w:rsidRDefault="00B41A9A" w:rsidP="008A3FA7">
      <w:pPr>
        <w:pStyle w:val="BodyText"/>
      </w:pPr>
      <w:r w:rsidRPr="00C00335">
        <w:t xml:space="preserve">The force of </w:t>
      </w:r>
      <w:r w:rsidR="00604E85" w:rsidRPr="00C00335">
        <w:t xml:space="preserve">HIV </w:t>
      </w:r>
      <w:r w:rsidRPr="00C00335">
        <w:t xml:space="preserve">infection for non-HIV infected individuals of any given subpopulation </w:t>
      </w:r>
      <w:r w:rsidRPr="00C00335">
        <w:rPr>
          <w:i/>
          <w:iCs/>
        </w:rPr>
        <w:t>p</w:t>
      </w:r>
      <w:r w:rsidRPr="00C00335">
        <w:t xml:space="preserve"> is calculated as the sum of the contact rates from five different sources of infection</w:t>
      </w:r>
      <w:r w:rsidR="00021B86" w:rsidRPr="00C00335">
        <w:t>,</w:t>
      </w:r>
      <w:r w:rsidRPr="00C00335">
        <w:t xml:space="preserve"> </w:t>
      </w:r>
      <w:r w:rsidR="00021B86" w:rsidRPr="00C00335">
        <w:t xml:space="preserve">four sexual contact rates and one needle-sharing contact rate </w:t>
      </w:r>
      <w:r w:rsidRPr="00C00335">
        <w:t>(listed</w:t>
      </w:r>
      <w:r w:rsidR="007F43FF" w:rsidRPr="00C00335">
        <w:t xml:space="preserve"> and further described</w:t>
      </w:r>
      <w:r w:rsidRPr="00C00335">
        <w:t xml:space="preserve"> in </w:t>
      </w:r>
      <w:r w:rsidR="00871E69" w:rsidRPr="00C00335">
        <w:t>Table </w:t>
      </w:r>
      <w:r w:rsidR="00E058F0">
        <w:t>6.1</w:t>
      </w:r>
      <w:r w:rsidR="002F70D9">
        <w:t>2</w:t>
      </w:r>
      <w:r w:rsidRPr="00C00335">
        <w:t xml:space="preserve">), as stated in </w:t>
      </w:r>
      <w:r w:rsidR="000C5E51" w:rsidRPr="00C00335">
        <w:t>E</w:t>
      </w:r>
      <w:r w:rsidRPr="00C00335">
        <w:t xml:space="preserve">quation </w:t>
      </w:r>
      <w:r w:rsidR="008B30F8" w:rsidRPr="00C00335">
        <w:t>(</w:t>
      </w:r>
      <w:r w:rsidR="00FF381E" w:rsidRPr="00C00335">
        <w:t>6</w:t>
      </w:r>
      <w:r w:rsidR="008735E8" w:rsidRPr="00C00335">
        <w:t>.</w:t>
      </w:r>
      <w:r w:rsidR="008A3FA7" w:rsidRPr="00C00335">
        <w:t>3</w:t>
      </w:r>
      <w:r w:rsidR="008B30F8" w:rsidRPr="00C00335">
        <w:t>)</w:t>
      </w:r>
      <w:r w:rsidRPr="00C00335">
        <w:t>:</w:t>
      </w:r>
    </w:p>
    <w:p w14:paraId="2322AFE4" w14:textId="0DBA0E94" w:rsidR="00B41A9A" w:rsidRPr="00C00335" w:rsidRDefault="008F2136" w:rsidP="00021B86">
      <w:pPr>
        <w:pStyle w:val="equation"/>
        <w:tabs>
          <w:tab w:val="clear" w:pos="4680"/>
          <w:tab w:val="center" w:pos="5040"/>
        </w:tabs>
      </w:pPr>
      <w:r w:rsidRPr="00C00335">
        <w:tab/>
      </w:r>
      <m:oMath>
        <m:sSubSup>
          <m:sSubSupPr>
            <m:ctrlPr>
              <w:rPr>
                <w:i/>
              </w:rPr>
            </m:ctrlPr>
          </m:sSubSupPr>
          <m:e>
            <m:sSub>
              <m:sSubPr>
                <m:ctrlPr>
                  <w:rPr>
                    <w:i/>
                  </w:rPr>
                </m:ctrlPr>
              </m:sSubPr>
              <m:e>
                <m:r>
                  <m:t>λ</m:t>
                </m:r>
              </m:e>
              <m:sub>
                <m:r>
                  <m:t>p</m:t>
                </m:r>
              </m:sub>
            </m:sSub>
            <m:d>
              <m:dPr>
                <m:ctrlPr>
                  <w:rPr>
                    <w:i/>
                  </w:rPr>
                </m:ctrlPr>
              </m:dPr>
              <m:e>
                <m:r>
                  <m:t>t</m:t>
                </m:r>
              </m:e>
            </m:d>
            <m:r>
              <m:t>=λ</m:t>
            </m:r>
          </m:e>
          <m:sub>
            <m:r>
              <m:t>p</m:t>
            </m:r>
          </m:sub>
          <m:sup>
            <m:r>
              <m:t>z=1,x=1</m:t>
            </m:r>
          </m:sup>
        </m:sSubSup>
        <m:d>
          <m:dPr>
            <m:ctrlPr>
              <w:rPr>
                <w:i/>
              </w:rPr>
            </m:ctrlPr>
          </m:dPr>
          <m:e>
            <m:r>
              <m:t>t</m:t>
            </m:r>
          </m:e>
        </m:d>
        <m:r>
          <m:t>+</m:t>
        </m:r>
        <m:sSubSup>
          <m:sSubSupPr>
            <m:ctrlPr>
              <w:rPr>
                <w:i/>
              </w:rPr>
            </m:ctrlPr>
          </m:sSubSupPr>
          <m:e>
            <m:r>
              <m:t>λ</m:t>
            </m:r>
          </m:e>
          <m:sub>
            <m:r>
              <m:t>p</m:t>
            </m:r>
          </m:sub>
          <m:sup>
            <m:r>
              <m:t>z=2,x=2</m:t>
            </m:r>
          </m:sup>
        </m:sSubSup>
        <m:d>
          <m:dPr>
            <m:ctrlPr>
              <w:rPr>
                <w:i/>
              </w:rPr>
            </m:ctrlPr>
          </m:dPr>
          <m:e>
            <m:r>
              <m:t>t</m:t>
            </m:r>
          </m:e>
        </m:d>
        <m:r>
          <m:t>+</m:t>
        </m:r>
        <m:sSubSup>
          <m:sSubSupPr>
            <m:ctrlPr>
              <w:rPr>
                <w:i/>
              </w:rPr>
            </m:ctrlPr>
          </m:sSubSupPr>
          <m:e>
            <m:r>
              <m:t>λ</m:t>
            </m:r>
          </m:e>
          <m:sub>
            <m:r>
              <m:t>p</m:t>
            </m:r>
          </m:sub>
          <m:sup>
            <m:r>
              <m:t>z=1,x=3</m:t>
            </m:r>
          </m:sup>
        </m:sSubSup>
        <m:d>
          <m:dPr>
            <m:ctrlPr>
              <w:rPr>
                <w:i/>
              </w:rPr>
            </m:ctrlPr>
          </m:dPr>
          <m:e>
            <m:r>
              <m:t>t</m:t>
            </m:r>
          </m:e>
        </m:d>
        <m:r>
          <m:t>+</m:t>
        </m:r>
        <m:sSubSup>
          <m:sSubSupPr>
            <m:ctrlPr>
              <w:rPr>
                <w:i/>
              </w:rPr>
            </m:ctrlPr>
          </m:sSubSupPr>
          <m:e>
            <m:r>
              <m:t>λ</m:t>
            </m:r>
          </m:e>
          <m:sub>
            <m:r>
              <m:t>p</m:t>
            </m:r>
          </m:sub>
          <m:sup>
            <m:r>
              <m:t>z=2,x=3</m:t>
            </m:r>
          </m:sup>
        </m:sSubSup>
        <m:d>
          <m:dPr>
            <m:ctrlPr>
              <w:rPr>
                <w:i/>
              </w:rPr>
            </m:ctrlPr>
          </m:dPr>
          <m:e>
            <m:r>
              <m:t>t</m:t>
            </m:r>
          </m:e>
        </m:d>
        <m:r>
          <m:t>+</m:t>
        </m:r>
        <m:sSubSup>
          <m:sSubSupPr>
            <m:ctrlPr>
              <w:rPr>
                <w:i/>
              </w:rPr>
            </m:ctrlPr>
          </m:sSubSupPr>
          <m:e>
            <m:r>
              <m:t>λ</m:t>
            </m:r>
          </m:e>
          <m:sub>
            <m:r>
              <m:t>p</m:t>
            </m:r>
          </m:sub>
          <m:sup>
            <m:r>
              <m:t>z=3</m:t>
            </m:r>
          </m:sup>
        </m:sSubSup>
        <m:r>
          <m:t>(t)</m:t>
        </m:r>
      </m:oMath>
      <w:r w:rsidR="00E122FD" w:rsidRPr="00C00335">
        <w:tab/>
      </w:r>
      <w:r w:rsidR="00B41A9A" w:rsidRPr="00C00335">
        <w:t>(</w:t>
      </w:r>
      <w:r w:rsidR="00FF381E" w:rsidRPr="00C00335">
        <w:t>6</w:t>
      </w:r>
      <w:r w:rsidR="008735E8" w:rsidRPr="00C00335">
        <w:t>.</w:t>
      </w:r>
      <w:r w:rsidR="008A3FA7" w:rsidRPr="00C00335">
        <w:t>3</w:t>
      </w:r>
      <w:r w:rsidR="00B41A9A" w:rsidRPr="00C00335">
        <w:t>)</w:t>
      </w:r>
    </w:p>
    <w:p w14:paraId="01C8ADAF" w14:textId="525EA0E9" w:rsidR="00315F8D" w:rsidRPr="00C00335" w:rsidRDefault="00315F8D" w:rsidP="00315F8D">
      <w:pPr>
        <w:pStyle w:val="TableTitle"/>
      </w:pPr>
      <w:bookmarkStart w:id="85" w:name="_Toc89257607"/>
      <w:r w:rsidRPr="00C00335">
        <w:lastRenderedPageBreak/>
        <w:t>Table</w:t>
      </w:r>
      <w:r w:rsidR="00740DFC" w:rsidRPr="00C00335">
        <w:t xml:space="preserve"> 6.</w:t>
      </w:r>
      <w:r w:rsidR="008865E7" w:rsidRPr="00C00335">
        <w:t>1</w:t>
      </w:r>
      <w:r w:rsidR="008865E7">
        <w:t>2</w:t>
      </w:r>
      <w:r w:rsidRPr="00C00335">
        <w:t>.</w:t>
      </w:r>
      <w:r w:rsidRPr="00C00335">
        <w:tab/>
        <w:t>Five Sources of Infection that Contribute to Overall Force of Infection for Each Subpopulation</w:t>
      </w:r>
      <w:bookmarkEnd w:id="85"/>
      <w:r w:rsidRPr="00C00335">
        <w:t xml:space="preserve"> </w:t>
      </w:r>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360"/>
        <w:gridCol w:w="3069"/>
        <w:gridCol w:w="1209"/>
        <w:gridCol w:w="2722"/>
      </w:tblGrid>
      <w:tr w:rsidR="00315F8D" w:rsidRPr="00C00335" w14:paraId="428860DC" w14:textId="77777777" w:rsidTr="00260D8A">
        <w:trPr>
          <w:cantSplit/>
          <w:tblHeader/>
        </w:trPr>
        <w:tc>
          <w:tcPr>
            <w:tcW w:w="2360" w:type="dxa"/>
            <w:tcBorders>
              <w:top w:val="single" w:sz="12" w:space="0" w:color="000000"/>
              <w:bottom w:val="single" w:sz="6" w:space="0" w:color="auto"/>
            </w:tcBorders>
            <w:shd w:val="clear" w:color="auto" w:fill="auto"/>
            <w:vAlign w:val="bottom"/>
          </w:tcPr>
          <w:p w14:paraId="0ABBB39F" w14:textId="77777777" w:rsidR="00315F8D" w:rsidRPr="00C00335" w:rsidRDefault="00315F8D" w:rsidP="00315F8D">
            <w:pPr>
              <w:pStyle w:val="TableHeaders"/>
              <w:spacing w:before="60" w:after="60"/>
            </w:pPr>
            <w:r w:rsidRPr="00C00335">
              <w:t>Source of Infection</w:t>
            </w:r>
          </w:p>
        </w:tc>
        <w:tc>
          <w:tcPr>
            <w:tcW w:w="3069" w:type="dxa"/>
            <w:tcBorders>
              <w:top w:val="single" w:sz="12" w:space="0" w:color="000000"/>
              <w:bottom w:val="single" w:sz="6" w:space="0" w:color="auto"/>
            </w:tcBorders>
            <w:shd w:val="clear" w:color="auto" w:fill="auto"/>
            <w:vAlign w:val="bottom"/>
          </w:tcPr>
          <w:p w14:paraId="5DE69236" w14:textId="77777777" w:rsidR="00315F8D" w:rsidRPr="00C00335" w:rsidRDefault="00315F8D" w:rsidP="00315F8D">
            <w:pPr>
              <w:pStyle w:val="TableHeaders"/>
              <w:spacing w:before="60" w:after="60"/>
            </w:pPr>
            <w:r w:rsidRPr="00C00335">
              <w:t>Relevant Subpopulations (</w:t>
            </w:r>
            <w:r w:rsidRPr="00C00335">
              <w:rPr>
                <w:i/>
              </w:rPr>
              <w:t>p</w:t>
            </w:r>
            <w:r w:rsidRPr="00C00335">
              <w:t>) and Sexual Transmission Participation Type (</w:t>
            </w:r>
            <w:r w:rsidRPr="00C00335">
              <w:rPr>
                <w:i/>
              </w:rPr>
              <w:t>x</w:t>
            </w:r>
            <w:r w:rsidRPr="00C00335">
              <w:t>)</w:t>
            </w:r>
          </w:p>
        </w:tc>
        <w:tc>
          <w:tcPr>
            <w:tcW w:w="1209" w:type="dxa"/>
            <w:tcBorders>
              <w:top w:val="single" w:sz="12" w:space="0" w:color="000000"/>
              <w:bottom w:val="single" w:sz="6" w:space="0" w:color="auto"/>
            </w:tcBorders>
            <w:shd w:val="clear" w:color="auto" w:fill="auto"/>
            <w:noWrap/>
            <w:vAlign w:val="bottom"/>
            <w:hideMark/>
          </w:tcPr>
          <w:p w14:paraId="7183FBF8" w14:textId="77777777" w:rsidR="00315F8D" w:rsidRPr="00C00335" w:rsidRDefault="00315F8D" w:rsidP="00315F8D">
            <w:pPr>
              <w:pStyle w:val="TableHeaders"/>
              <w:spacing w:before="60" w:after="60"/>
            </w:pPr>
            <w:r w:rsidRPr="00C00335">
              <w:t>Risk Type (</w:t>
            </w:r>
            <w:r w:rsidRPr="00C00335">
              <w:rPr>
                <w:i/>
              </w:rPr>
              <w:t>z</w:t>
            </w:r>
            <w:r w:rsidRPr="00C00335">
              <w:t>)</w:t>
            </w:r>
          </w:p>
        </w:tc>
        <w:tc>
          <w:tcPr>
            <w:tcW w:w="2722" w:type="dxa"/>
            <w:tcBorders>
              <w:top w:val="single" w:sz="12" w:space="0" w:color="000000"/>
              <w:bottom w:val="single" w:sz="6" w:space="0" w:color="auto"/>
            </w:tcBorders>
            <w:shd w:val="clear" w:color="auto" w:fill="auto"/>
            <w:vAlign w:val="bottom"/>
          </w:tcPr>
          <w:p w14:paraId="6F664C42" w14:textId="77777777" w:rsidR="00315F8D" w:rsidRPr="00C00335" w:rsidRDefault="00315F8D" w:rsidP="00315F8D">
            <w:pPr>
              <w:pStyle w:val="TableHeaders"/>
              <w:spacing w:before="60" w:after="60"/>
            </w:pPr>
            <w:r w:rsidRPr="00C00335">
              <w:t>Betas (</w:t>
            </w:r>
            <w:r w:rsidRPr="00C00335">
              <w:rPr>
                <w:position w:val="-14"/>
              </w:rPr>
              <w:object w:dxaOrig="560" w:dyaOrig="400" w14:anchorId="0B2767E0">
                <v:shape id="_x0000_i1031" type="#_x0000_t75" style="width:28.5pt;height:22.5pt" o:ole="">
                  <v:imagedata r:id="rId75" o:title=""/>
                </v:shape>
                <o:OLEObject Type="Embed" ProgID="Equation.3" ShapeID="_x0000_i1031" DrawAspect="Content" ObjectID="_1700043733" r:id="rId76"/>
              </w:object>
            </w:r>
            <w:r w:rsidRPr="00C00335">
              <w:t>) Used in Calculation of Lambda</w:t>
            </w:r>
          </w:p>
        </w:tc>
      </w:tr>
      <w:tr w:rsidR="00315F8D" w:rsidRPr="00C00335" w14:paraId="50C80011" w14:textId="77777777" w:rsidTr="00260D8A">
        <w:trPr>
          <w:cantSplit/>
        </w:trPr>
        <w:tc>
          <w:tcPr>
            <w:tcW w:w="2360" w:type="dxa"/>
            <w:tcBorders>
              <w:top w:val="single" w:sz="6" w:space="0" w:color="auto"/>
              <w:bottom w:val="single" w:sz="4" w:space="0" w:color="808080" w:themeColor="background1" w:themeShade="80"/>
            </w:tcBorders>
          </w:tcPr>
          <w:p w14:paraId="04F8AC85" w14:textId="77777777" w:rsidR="00315F8D" w:rsidRPr="00C00335" w:rsidRDefault="00315F8D" w:rsidP="00315F8D">
            <w:pPr>
              <w:pStyle w:val="TableText"/>
            </w:pPr>
            <w:r w:rsidRPr="00C00335">
              <w:t>VI in people who only participate in VI in their male-female partnerships</w:t>
            </w:r>
          </w:p>
        </w:tc>
        <w:tc>
          <w:tcPr>
            <w:tcW w:w="3069" w:type="dxa"/>
            <w:tcBorders>
              <w:top w:val="single" w:sz="6" w:space="0" w:color="auto"/>
              <w:bottom w:val="single" w:sz="4" w:space="0" w:color="808080" w:themeColor="background1" w:themeShade="80"/>
            </w:tcBorders>
          </w:tcPr>
          <w:p w14:paraId="52FF2090" w14:textId="77777777" w:rsidR="00315F8D" w:rsidRPr="00C00335" w:rsidRDefault="00315F8D" w:rsidP="00315F8D">
            <w:pPr>
              <w:pStyle w:val="TableText"/>
            </w:pPr>
            <w:r w:rsidRPr="00C00335">
              <w:t>p = {All}, x = VI only in male-female partnerships (1)</w:t>
            </w:r>
          </w:p>
        </w:tc>
        <w:tc>
          <w:tcPr>
            <w:tcW w:w="1209" w:type="dxa"/>
            <w:tcBorders>
              <w:top w:val="single" w:sz="6" w:space="0" w:color="auto"/>
              <w:bottom w:val="single" w:sz="4" w:space="0" w:color="808080" w:themeColor="background1" w:themeShade="80"/>
            </w:tcBorders>
            <w:shd w:val="clear" w:color="auto" w:fill="auto"/>
            <w:noWrap/>
          </w:tcPr>
          <w:p w14:paraId="209121A3" w14:textId="77777777" w:rsidR="00315F8D" w:rsidRPr="00C00335" w:rsidRDefault="00315F8D" w:rsidP="00315F8D">
            <w:pPr>
              <w:pStyle w:val="TableText"/>
            </w:pPr>
            <w:r w:rsidRPr="00C00335">
              <w:t>VI (z=1)</w:t>
            </w:r>
          </w:p>
        </w:tc>
        <w:tc>
          <w:tcPr>
            <w:tcW w:w="2722" w:type="dxa"/>
            <w:tcBorders>
              <w:top w:val="single" w:sz="6" w:space="0" w:color="auto"/>
              <w:bottom w:val="single" w:sz="4" w:space="0" w:color="808080" w:themeColor="background1" w:themeShade="80"/>
            </w:tcBorders>
          </w:tcPr>
          <w:p w14:paraId="7AC41E36" w14:textId="77777777" w:rsidR="00315F8D" w:rsidRPr="00C00335" w:rsidRDefault="00315F8D" w:rsidP="00315F8D">
            <w:pPr>
              <w:pStyle w:val="TableText"/>
            </w:pPr>
            <w:r w:rsidRPr="00C00335">
              <w:t>Beta for z = VI, y = male-female partnership that only includes VI</w:t>
            </w:r>
          </w:p>
        </w:tc>
      </w:tr>
      <w:tr w:rsidR="00315F8D" w:rsidRPr="00C00335" w14:paraId="5E40D6FB" w14:textId="77777777" w:rsidTr="00260D8A">
        <w:trPr>
          <w:cantSplit/>
        </w:trPr>
        <w:tc>
          <w:tcPr>
            <w:tcW w:w="2360" w:type="dxa"/>
            <w:tcBorders>
              <w:top w:val="single" w:sz="4" w:space="0" w:color="808080" w:themeColor="background1" w:themeShade="80"/>
              <w:bottom w:val="single" w:sz="4" w:space="0" w:color="808080" w:themeColor="background1" w:themeShade="80"/>
            </w:tcBorders>
          </w:tcPr>
          <w:p w14:paraId="23B76F28" w14:textId="77777777" w:rsidR="00315F8D" w:rsidRPr="00C00335" w:rsidRDefault="00315F8D" w:rsidP="00315F8D">
            <w:pPr>
              <w:pStyle w:val="TableText"/>
            </w:pPr>
            <w:r w:rsidRPr="00C00335">
              <w:t>AI from male-male partnerships</w:t>
            </w:r>
          </w:p>
        </w:tc>
        <w:tc>
          <w:tcPr>
            <w:tcW w:w="3069" w:type="dxa"/>
            <w:tcBorders>
              <w:top w:val="single" w:sz="4" w:space="0" w:color="808080" w:themeColor="background1" w:themeShade="80"/>
              <w:bottom w:val="single" w:sz="4" w:space="0" w:color="808080" w:themeColor="background1" w:themeShade="80"/>
            </w:tcBorders>
          </w:tcPr>
          <w:p w14:paraId="4F302959" w14:textId="77777777" w:rsidR="00315F8D" w:rsidRPr="00C00335" w:rsidRDefault="00315F8D" w:rsidP="00315F8D">
            <w:pPr>
              <w:pStyle w:val="TableText"/>
            </w:pPr>
            <w:r w:rsidRPr="00C00335">
              <w:t>p = {MSM}, x = AI only in male-male partnerships (2)</w:t>
            </w:r>
          </w:p>
        </w:tc>
        <w:tc>
          <w:tcPr>
            <w:tcW w:w="1209" w:type="dxa"/>
            <w:tcBorders>
              <w:top w:val="single" w:sz="4" w:space="0" w:color="808080" w:themeColor="background1" w:themeShade="80"/>
              <w:bottom w:val="single" w:sz="4" w:space="0" w:color="808080" w:themeColor="background1" w:themeShade="80"/>
            </w:tcBorders>
            <w:shd w:val="clear" w:color="auto" w:fill="auto"/>
            <w:noWrap/>
          </w:tcPr>
          <w:p w14:paraId="05AF10AE" w14:textId="77777777" w:rsidR="00315F8D" w:rsidRPr="00C00335" w:rsidRDefault="00315F8D" w:rsidP="00315F8D">
            <w:pPr>
              <w:pStyle w:val="TableText"/>
            </w:pPr>
            <w:r w:rsidRPr="00C00335">
              <w:t>AI (z=2)</w:t>
            </w:r>
          </w:p>
        </w:tc>
        <w:tc>
          <w:tcPr>
            <w:tcW w:w="2722" w:type="dxa"/>
            <w:tcBorders>
              <w:top w:val="single" w:sz="4" w:space="0" w:color="808080" w:themeColor="background1" w:themeShade="80"/>
              <w:bottom w:val="single" w:sz="4" w:space="0" w:color="808080" w:themeColor="background1" w:themeShade="80"/>
            </w:tcBorders>
          </w:tcPr>
          <w:p w14:paraId="281F926B" w14:textId="77777777" w:rsidR="00315F8D" w:rsidRPr="00C00335" w:rsidRDefault="00315F8D" w:rsidP="00315F8D">
            <w:pPr>
              <w:pStyle w:val="TableText"/>
            </w:pPr>
            <w:r w:rsidRPr="00C00335">
              <w:t>Beta for z = AI, y = male-male partnership that only includes AI</w:t>
            </w:r>
          </w:p>
        </w:tc>
      </w:tr>
      <w:tr w:rsidR="00315F8D" w:rsidRPr="00C00335" w14:paraId="38D6A96E" w14:textId="77777777" w:rsidTr="00260D8A">
        <w:trPr>
          <w:cantSplit/>
        </w:trPr>
        <w:tc>
          <w:tcPr>
            <w:tcW w:w="2360" w:type="dxa"/>
            <w:tcBorders>
              <w:top w:val="single" w:sz="4" w:space="0" w:color="808080" w:themeColor="background1" w:themeShade="80"/>
              <w:bottom w:val="single" w:sz="4" w:space="0" w:color="808080" w:themeColor="background1" w:themeShade="80"/>
            </w:tcBorders>
          </w:tcPr>
          <w:p w14:paraId="7884394A" w14:textId="77777777" w:rsidR="00315F8D" w:rsidRPr="00C00335" w:rsidRDefault="00315F8D" w:rsidP="00315F8D">
            <w:pPr>
              <w:pStyle w:val="TableText"/>
            </w:pPr>
            <w:r w:rsidRPr="00C00335">
              <w:t>VI in people who participate in AI in their male-female partnerships</w:t>
            </w:r>
          </w:p>
        </w:tc>
        <w:tc>
          <w:tcPr>
            <w:tcW w:w="3069" w:type="dxa"/>
            <w:tcBorders>
              <w:top w:val="single" w:sz="4" w:space="0" w:color="808080" w:themeColor="background1" w:themeShade="80"/>
              <w:bottom w:val="single" w:sz="4" w:space="0" w:color="808080" w:themeColor="background1" w:themeShade="80"/>
            </w:tcBorders>
          </w:tcPr>
          <w:p w14:paraId="0396D17C" w14:textId="77777777" w:rsidR="00315F8D" w:rsidRPr="00C00335" w:rsidRDefault="00315F8D" w:rsidP="00315F8D">
            <w:pPr>
              <w:pStyle w:val="TableText"/>
            </w:pPr>
            <w:r w:rsidRPr="00C00335">
              <w:t>p = {All}, x = AI and VI in male-female partnerships (3)</w:t>
            </w:r>
          </w:p>
        </w:tc>
        <w:tc>
          <w:tcPr>
            <w:tcW w:w="1209" w:type="dxa"/>
            <w:tcBorders>
              <w:top w:val="single" w:sz="4" w:space="0" w:color="808080" w:themeColor="background1" w:themeShade="80"/>
              <w:bottom w:val="single" w:sz="4" w:space="0" w:color="808080" w:themeColor="background1" w:themeShade="80"/>
            </w:tcBorders>
            <w:shd w:val="clear" w:color="auto" w:fill="auto"/>
            <w:noWrap/>
          </w:tcPr>
          <w:p w14:paraId="4BEF306D" w14:textId="77777777" w:rsidR="00315F8D" w:rsidRPr="00C00335" w:rsidRDefault="00315F8D" w:rsidP="00315F8D">
            <w:pPr>
              <w:pStyle w:val="TableText"/>
            </w:pPr>
            <w:r w:rsidRPr="00C00335">
              <w:t>VI (z=1)</w:t>
            </w:r>
          </w:p>
        </w:tc>
        <w:tc>
          <w:tcPr>
            <w:tcW w:w="2722" w:type="dxa"/>
            <w:tcBorders>
              <w:top w:val="single" w:sz="4" w:space="0" w:color="808080" w:themeColor="background1" w:themeShade="80"/>
              <w:bottom w:val="single" w:sz="4" w:space="0" w:color="808080" w:themeColor="background1" w:themeShade="80"/>
            </w:tcBorders>
          </w:tcPr>
          <w:p w14:paraId="3221B026" w14:textId="77777777" w:rsidR="00315F8D" w:rsidRPr="00C00335" w:rsidRDefault="00315F8D" w:rsidP="00315F8D">
            <w:pPr>
              <w:pStyle w:val="TableText"/>
            </w:pPr>
            <w:r w:rsidRPr="00C00335">
              <w:t xml:space="preserve">Beta for z = VI, y = male-female partnership that includes </w:t>
            </w:r>
            <w:proofErr w:type="gramStart"/>
            <w:r w:rsidRPr="00C00335">
              <w:t>AI;</w:t>
            </w:r>
            <w:proofErr w:type="gramEnd"/>
          </w:p>
          <w:p w14:paraId="516F6085" w14:textId="77777777" w:rsidR="00315F8D" w:rsidRPr="00C00335" w:rsidRDefault="00315F8D" w:rsidP="00315F8D">
            <w:pPr>
              <w:pStyle w:val="TableText"/>
            </w:pPr>
            <w:r w:rsidRPr="00C00335">
              <w:t>Beta for z = VI, y = male-female partnership that only includes VI</w:t>
            </w:r>
          </w:p>
        </w:tc>
      </w:tr>
      <w:tr w:rsidR="00315F8D" w:rsidRPr="00C00335" w14:paraId="618D7EE8" w14:textId="77777777" w:rsidTr="00260D8A">
        <w:trPr>
          <w:cantSplit/>
        </w:trPr>
        <w:tc>
          <w:tcPr>
            <w:tcW w:w="2360" w:type="dxa"/>
            <w:tcBorders>
              <w:top w:val="single" w:sz="4" w:space="0" w:color="808080" w:themeColor="background1" w:themeShade="80"/>
              <w:bottom w:val="single" w:sz="4" w:space="0" w:color="808080" w:themeColor="background1" w:themeShade="80"/>
            </w:tcBorders>
          </w:tcPr>
          <w:p w14:paraId="1E2EB602" w14:textId="77777777" w:rsidR="00315F8D" w:rsidRPr="00C00335" w:rsidRDefault="00315F8D" w:rsidP="00315F8D">
            <w:pPr>
              <w:pStyle w:val="TableText"/>
            </w:pPr>
            <w:r w:rsidRPr="00C00335">
              <w:t>AI in people who participate in AI in their male-female partnerships</w:t>
            </w:r>
          </w:p>
        </w:tc>
        <w:tc>
          <w:tcPr>
            <w:tcW w:w="3069" w:type="dxa"/>
            <w:tcBorders>
              <w:top w:val="single" w:sz="4" w:space="0" w:color="808080" w:themeColor="background1" w:themeShade="80"/>
              <w:bottom w:val="single" w:sz="4" w:space="0" w:color="808080" w:themeColor="background1" w:themeShade="80"/>
            </w:tcBorders>
          </w:tcPr>
          <w:p w14:paraId="0109246D" w14:textId="77777777" w:rsidR="00315F8D" w:rsidRPr="00C00335" w:rsidRDefault="00315F8D" w:rsidP="00315F8D">
            <w:pPr>
              <w:pStyle w:val="TableText"/>
            </w:pPr>
            <w:r w:rsidRPr="00C00335">
              <w:t>p = {All}, x = AI and VI in male-female partnerships (3)</w:t>
            </w:r>
          </w:p>
        </w:tc>
        <w:tc>
          <w:tcPr>
            <w:tcW w:w="1209" w:type="dxa"/>
            <w:tcBorders>
              <w:top w:val="single" w:sz="4" w:space="0" w:color="808080" w:themeColor="background1" w:themeShade="80"/>
              <w:bottom w:val="single" w:sz="4" w:space="0" w:color="808080" w:themeColor="background1" w:themeShade="80"/>
            </w:tcBorders>
            <w:shd w:val="clear" w:color="auto" w:fill="auto"/>
            <w:noWrap/>
          </w:tcPr>
          <w:p w14:paraId="56C717D4" w14:textId="77777777" w:rsidR="00315F8D" w:rsidRPr="00C00335" w:rsidRDefault="00315F8D" w:rsidP="00315F8D">
            <w:pPr>
              <w:pStyle w:val="TableText"/>
            </w:pPr>
            <w:r w:rsidRPr="00C00335">
              <w:t>AI (z=2)</w:t>
            </w:r>
          </w:p>
        </w:tc>
        <w:tc>
          <w:tcPr>
            <w:tcW w:w="2722" w:type="dxa"/>
            <w:tcBorders>
              <w:top w:val="single" w:sz="4" w:space="0" w:color="808080" w:themeColor="background1" w:themeShade="80"/>
              <w:bottom w:val="single" w:sz="4" w:space="0" w:color="808080" w:themeColor="background1" w:themeShade="80"/>
            </w:tcBorders>
          </w:tcPr>
          <w:p w14:paraId="2EE9FCA1" w14:textId="77777777" w:rsidR="00315F8D" w:rsidRPr="00C00335" w:rsidRDefault="00315F8D" w:rsidP="00315F8D">
            <w:pPr>
              <w:pStyle w:val="TableText"/>
            </w:pPr>
            <w:r w:rsidRPr="00C00335">
              <w:t>Beta for z = AI, y = male-female partnership that includes AI</w:t>
            </w:r>
          </w:p>
        </w:tc>
      </w:tr>
      <w:tr w:rsidR="00315F8D" w:rsidRPr="00C00335" w14:paraId="3D932108" w14:textId="77777777" w:rsidTr="00260D8A">
        <w:trPr>
          <w:cantSplit/>
        </w:trPr>
        <w:tc>
          <w:tcPr>
            <w:tcW w:w="2360" w:type="dxa"/>
            <w:tcBorders>
              <w:top w:val="single" w:sz="4" w:space="0" w:color="808080" w:themeColor="background1" w:themeShade="80"/>
              <w:bottom w:val="single" w:sz="12" w:space="0" w:color="000000"/>
            </w:tcBorders>
          </w:tcPr>
          <w:p w14:paraId="0C4A82FF" w14:textId="77777777" w:rsidR="00315F8D" w:rsidRPr="00C00335" w:rsidRDefault="00315F8D" w:rsidP="00315F8D">
            <w:pPr>
              <w:pStyle w:val="TableText"/>
            </w:pPr>
            <w:r w:rsidRPr="00C00335">
              <w:t>Needle-sharing</w:t>
            </w:r>
          </w:p>
        </w:tc>
        <w:tc>
          <w:tcPr>
            <w:tcW w:w="3069" w:type="dxa"/>
            <w:tcBorders>
              <w:top w:val="single" w:sz="4" w:space="0" w:color="808080" w:themeColor="background1" w:themeShade="80"/>
              <w:bottom w:val="single" w:sz="12" w:space="0" w:color="000000"/>
            </w:tcBorders>
          </w:tcPr>
          <w:p w14:paraId="219015A7" w14:textId="77777777" w:rsidR="00315F8D" w:rsidRPr="00C00335" w:rsidRDefault="00315F8D" w:rsidP="00315F8D">
            <w:pPr>
              <w:pStyle w:val="TableText"/>
            </w:pPr>
            <w:r w:rsidRPr="00C00335">
              <w:t>p ={PWID}, x = N/A</w:t>
            </w:r>
          </w:p>
        </w:tc>
        <w:tc>
          <w:tcPr>
            <w:tcW w:w="1209" w:type="dxa"/>
            <w:tcBorders>
              <w:top w:val="single" w:sz="4" w:space="0" w:color="808080" w:themeColor="background1" w:themeShade="80"/>
              <w:bottom w:val="single" w:sz="12" w:space="0" w:color="000000"/>
            </w:tcBorders>
            <w:shd w:val="clear" w:color="auto" w:fill="auto"/>
            <w:noWrap/>
          </w:tcPr>
          <w:p w14:paraId="2F9B772B" w14:textId="77777777" w:rsidR="00315F8D" w:rsidRPr="00C00335" w:rsidRDefault="00315F8D" w:rsidP="00315F8D">
            <w:pPr>
              <w:pStyle w:val="TableText"/>
            </w:pPr>
            <w:r w:rsidRPr="00C00335">
              <w:t>Needle-sharing (z=3)</w:t>
            </w:r>
          </w:p>
        </w:tc>
        <w:tc>
          <w:tcPr>
            <w:tcW w:w="2722" w:type="dxa"/>
            <w:tcBorders>
              <w:top w:val="single" w:sz="4" w:space="0" w:color="808080" w:themeColor="background1" w:themeShade="80"/>
              <w:bottom w:val="single" w:sz="12" w:space="0" w:color="000000"/>
            </w:tcBorders>
          </w:tcPr>
          <w:p w14:paraId="7A377BBE" w14:textId="77777777" w:rsidR="00315F8D" w:rsidRPr="00C00335" w:rsidRDefault="00315F8D" w:rsidP="00315F8D">
            <w:pPr>
              <w:pStyle w:val="TableText"/>
            </w:pPr>
            <w:r w:rsidRPr="00C00335">
              <w:t>Beta for z = needle-sharing, y = needle-sharing</w:t>
            </w:r>
          </w:p>
        </w:tc>
      </w:tr>
    </w:tbl>
    <w:p w14:paraId="5067173B" w14:textId="77777777" w:rsidR="00315F8D" w:rsidRPr="00C00335" w:rsidRDefault="00315F8D" w:rsidP="00181BDA">
      <w:pPr>
        <w:pStyle w:val="Source1"/>
      </w:pPr>
      <w:r w:rsidRPr="00C00335">
        <w:t>Note: AI = anal intercourse; HET = heterosexual; MSM = men who have sex with men; PWID = people who inject drugs; VI = vaginal intercourse</w:t>
      </w:r>
    </w:p>
    <w:p w14:paraId="04C27E92" w14:textId="6BCCF7E6" w:rsidR="000F420A" w:rsidRPr="00C00335" w:rsidRDefault="00B41A9A" w:rsidP="007F43FF">
      <w:pPr>
        <w:pStyle w:val="BodyText"/>
      </w:pPr>
      <w:r w:rsidRPr="00C00335">
        <w:t xml:space="preserve">Equation </w:t>
      </w:r>
      <w:r w:rsidR="00E47989" w:rsidRPr="00C00335">
        <w:t>(6.4)</w:t>
      </w:r>
      <w:r w:rsidRPr="00C00335">
        <w:t xml:space="preserve"> then describes the calculation of the </w:t>
      </w:r>
      <w:r w:rsidR="007F43FF" w:rsidRPr="00C00335">
        <w:t xml:space="preserve">force of infection from risk type </w:t>
      </w:r>
      <w:r w:rsidR="007F43FF" w:rsidRPr="00C00335">
        <w:rPr>
          <w:i/>
          <w:iCs/>
        </w:rPr>
        <w:t>z</w:t>
      </w:r>
      <w:r w:rsidR="007F43FF" w:rsidRPr="00C00335">
        <w:t xml:space="preserve"> for uninfected individuals in subpopulation </w:t>
      </w:r>
      <w:r w:rsidR="007F43FF" w:rsidRPr="00C00335">
        <w:rPr>
          <w:i/>
          <w:iCs/>
        </w:rPr>
        <w:t>p</w:t>
      </w:r>
      <w:r w:rsidR="007F43FF" w:rsidRPr="00C00335">
        <w:t xml:space="preserve"> who participate in sexual transmission risk behaviors of each type x, at time </w:t>
      </w:r>
      <w:r w:rsidR="007F43FF" w:rsidRPr="00C00335">
        <w:rPr>
          <w:i/>
          <w:iCs/>
        </w:rPr>
        <w:t>t</w:t>
      </w:r>
      <w:r w:rsidRPr="00C00335">
        <w:t>.</w:t>
      </w:r>
      <w:r w:rsidR="00021B86" w:rsidRPr="00C00335">
        <w:t xml:space="preserve"> </w:t>
      </w:r>
      <w:r w:rsidR="00871E69" w:rsidRPr="00C00335">
        <w:t>Table 6.</w:t>
      </w:r>
      <w:r w:rsidR="008F5D01" w:rsidRPr="00C00335">
        <w:t>1</w:t>
      </w:r>
      <w:r w:rsidR="002F70D9">
        <w:t>2</w:t>
      </w:r>
      <w:r w:rsidRPr="00C00335">
        <w:t xml:space="preserve"> describes the relevant z, x, p, and y values applied in </w:t>
      </w:r>
      <w:r w:rsidR="000C5E51" w:rsidRPr="00C00335">
        <w:t>E</w:t>
      </w:r>
      <w:r w:rsidRPr="00C00335">
        <w:t>quation</w:t>
      </w:r>
      <w:r w:rsidR="000C5E51" w:rsidRPr="00C00335">
        <w:t xml:space="preserve"> </w:t>
      </w:r>
      <w:r w:rsidR="008B30F8" w:rsidRPr="00C00335">
        <w:t>(</w:t>
      </w:r>
      <w:r w:rsidR="00FF381E" w:rsidRPr="00C00335">
        <w:t>6</w:t>
      </w:r>
      <w:r w:rsidR="00E47989" w:rsidRPr="00C00335">
        <w:t>.</w:t>
      </w:r>
      <w:r w:rsidR="008A3FA7" w:rsidRPr="00C00335">
        <w:t>4</w:t>
      </w:r>
      <w:r w:rsidR="008B30F8" w:rsidRPr="00C00335">
        <w:t>)</w:t>
      </w:r>
      <w:r w:rsidRPr="00C00335">
        <w:t>.</w:t>
      </w:r>
    </w:p>
    <w:p w14:paraId="347E581E" w14:textId="015D7750" w:rsidR="00B41A9A" w:rsidRPr="00C00335" w:rsidRDefault="008F2136" w:rsidP="008A3FA7">
      <w:pPr>
        <w:pStyle w:val="equation"/>
        <w:tabs>
          <w:tab w:val="clear" w:pos="4680"/>
          <w:tab w:val="decimal" w:pos="7200"/>
        </w:tabs>
      </w:pPr>
      <w:r w:rsidRPr="00C00335">
        <w:tab/>
      </w:r>
      <m:oMath>
        <m:sSubSup>
          <m:sSubSupPr>
            <m:ctrlPr>
              <w:rPr>
                <w:i/>
              </w:rPr>
            </m:ctrlPr>
          </m:sSubSupPr>
          <m:e>
            <m:r>
              <m:t>λ</m:t>
            </m:r>
          </m:e>
          <m:sub>
            <m:r>
              <m:t>p</m:t>
            </m:r>
          </m:sub>
          <m:sup>
            <m:r>
              <m:t>z,x</m:t>
            </m:r>
          </m:sup>
        </m:sSubSup>
        <m:d>
          <m:dPr>
            <m:ctrlPr>
              <w:rPr>
                <w:i/>
              </w:rPr>
            </m:ctrlPr>
          </m:dPr>
          <m:e>
            <m:r>
              <m:t>t</m:t>
            </m:r>
          </m:e>
        </m:d>
        <m:r>
          <m:t>=-</m:t>
        </m:r>
        <m:func>
          <m:funcPr>
            <m:ctrlPr>
              <w:rPr>
                <w:i/>
              </w:rPr>
            </m:ctrlPr>
          </m:funcPr>
          <m:fName>
            <m:r>
              <m:rPr>
                <m:sty m:val="p"/>
              </m:rPr>
              <m:t>ln</m:t>
            </m:r>
          </m:fName>
          <m:e>
            <m:d>
              <m:dPr>
                <m:ctrlPr>
                  <w:rPr>
                    <w:i/>
                  </w:rPr>
                </m:ctrlPr>
              </m:dPr>
              <m:e>
                <m:r>
                  <m:t>1-</m:t>
                </m:r>
                <m:d>
                  <m:dPr>
                    <m:ctrlPr>
                      <w:rPr>
                        <w:i/>
                      </w:rPr>
                    </m:ctrlPr>
                  </m:dPr>
                  <m:e>
                    <m:sSub>
                      <m:sSubPr>
                        <m:ctrlPr>
                          <w:rPr>
                            <w:i/>
                          </w:rPr>
                        </m:ctrlPr>
                      </m:sSubPr>
                      <m:e>
                        <m:r>
                          <m:t>ϱ</m:t>
                        </m:r>
                      </m:e>
                      <m:sub>
                        <m:r>
                          <m:t>p,x</m:t>
                        </m:r>
                      </m:sub>
                    </m:sSub>
                  </m:e>
                </m:d>
                <m:nary>
                  <m:naryPr>
                    <m:chr m:val="∑"/>
                    <m:limLoc m:val="undOvr"/>
                    <m:supHide m:val="1"/>
                    <m:ctrlPr>
                      <w:rPr>
                        <w:i/>
                      </w:rPr>
                    </m:ctrlPr>
                  </m:naryPr>
                  <m:sub>
                    <m:r>
                      <m:t>y</m:t>
                    </m:r>
                  </m:sub>
                  <m:sup/>
                  <m:e>
                    <m:d>
                      <m:dPr>
                        <m:ctrlPr>
                          <w:rPr>
                            <w:i/>
                          </w:rPr>
                        </m:ctrlPr>
                      </m:dPr>
                      <m:e>
                        <m:r>
                          <m:t>1-</m:t>
                        </m:r>
                        <m:nary>
                          <m:naryPr>
                            <m:chr m:val="∏"/>
                            <m:limLoc m:val="undOvr"/>
                            <m:supHide m:val="1"/>
                            <m:ctrlPr>
                              <w:rPr>
                                <w:i/>
                              </w:rPr>
                            </m:ctrlPr>
                          </m:naryPr>
                          <m:sub>
                            <m:r>
                              <m:t>p2</m:t>
                            </m:r>
                          </m:sub>
                          <m:sup/>
                          <m:e>
                            <m:d>
                              <m:dPr>
                                <m:begChr m:val="["/>
                                <m:endChr m:val="]"/>
                                <m:ctrlPr>
                                  <w:rPr>
                                    <w:i/>
                                  </w:rPr>
                                </m:ctrlPr>
                              </m:dPr>
                              <m:e>
                                <m:nary>
                                  <m:naryPr>
                                    <m:chr m:val="∏"/>
                                    <m:limLoc m:val="undOvr"/>
                                    <m:supHide m:val="1"/>
                                    <m:ctrlPr>
                                      <w:rPr>
                                        <w:i/>
                                      </w:rPr>
                                    </m:ctrlPr>
                                  </m:naryPr>
                                  <m:sub>
                                    <m:r>
                                      <m:t>c</m:t>
                                    </m:r>
                                  </m:sub>
                                  <m:sup/>
                                  <m:e>
                                    <m:d>
                                      <m:dPr>
                                        <m:begChr m:val="["/>
                                        <m:endChr m:val="]"/>
                                        <m:ctrlPr>
                                          <w:rPr>
                                            <w:i/>
                                          </w:rPr>
                                        </m:ctrlPr>
                                      </m:dPr>
                                      <m:e>
                                        <m:sSup>
                                          <m:sSupPr>
                                            <m:ctrlPr>
                                              <w:rPr>
                                                <w:i/>
                                              </w:rPr>
                                            </m:ctrlPr>
                                          </m:sSupPr>
                                          <m:e>
                                            <m:d>
                                              <m:dPr>
                                                <m:begChr m:val="["/>
                                                <m:endChr m:val="]"/>
                                                <m:ctrlPr>
                                                  <w:rPr>
                                                    <w:i/>
                                                  </w:rPr>
                                                </m:ctrlPr>
                                              </m:dPr>
                                              <m:e>
                                                <m:r>
                                                  <m:t>1-</m:t>
                                                </m:r>
                                                <m:r>
                                                  <m:rPr>
                                                    <m:sty m:val="p"/>
                                                  </m:rPr>
                                                  <w:rPr>
                                                    <w:position w:val="-14"/>
                                                  </w:rPr>
                                                  <w:object w:dxaOrig="560" w:dyaOrig="400" w14:anchorId="1BEF0802">
                                                    <v:shape id="_x0000_i1042" type="#_x0000_t75" style="width:28.5pt;height:22.5pt" o:ole="">
                                                      <v:imagedata r:id="rId77" o:title=""/>
                                                    </v:shape>
                                                    <o:OLEObject Type="Embed" ProgID="Equation.3" ShapeID="_x0000_i1042" DrawAspect="Content" ObjectID="_1700043734" r:id="rId78"/>
                                                  </w:object>
                                                </m:r>
                                              </m:e>
                                            </m:d>
                                          </m:e>
                                          <m:sup>
                                            <m:sSub>
                                              <m:sSubPr>
                                                <m:ctrlPr/>
                                              </m:sSubPr>
                                              <m:e>
                                                <m:r>
                                                  <m:rPr>
                                                    <m:sty m:val="p"/>
                                                  </m:rPr>
                                                  <m:t>ξ</m:t>
                                                </m:r>
                                              </m:e>
                                              <m:sub>
                                                <m:r>
                                                  <m:rPr>
                                                    <m:sty m:val="p"/>
                                                  </m:rPr>
                                                  <m:t>z,</m:t>
                                                </m:r>
                                                <m:r>
                                                  <m:rPr>
                                                    <m:sty m:val="p"/>
                                                  </m:rPr>
                                                  <w:rPr>
                                                    <w:vertAlign w:val="subscript"/>
                                                  </w:rPr>
                                                  <m:t>y</m:t>
                                                </m:r>
                                                <m:r>
                                                  <m:rPr>
                                                    <m:sty m:val="p"/>
                                                  </m:rPr>
                                                  <m:t>,</m:t>
                                                </m:r>
                                                <m:r>
                                                  <m:rPr>
                                                    <m:sty m:val="p"/>
                                                  </m:rPr>
                                                  <w:rPr>
                                                    <w:vertAlign w:val="subscript"/>
                                                  </w:rPr>
                                                  <m:t>p,p2,c</m:t>
                                                </m:r>
                                              </m:sub>
                                            </m:sSub>
                                            <m:r>
                                              <m:rPr>
                                                <m:sty m:val="p"/>
                                              </m:rPr>
                                              <m:t xml:space="preserve"> </m:t>
                                            </m:r>
                                            <m:r>
                                              <m:rPr>
                                                <m:sty m:val="p"/>
                                              </m:rPr>
                                              <w:rPr>
                                                <w:vertAlign w:val="subscript"/>
                                              </w:rPr>
                                              <m:t>(t)</m:t>
                                            </m:r>
                                          </m:sup>
                                        </m:sSup>
                                      </m:e>
                                    </m:d>
                                  </m:e>
                                </m:nary>
                              </m:e>
                            </m:d>
                          </m:e>
                        </m:nary>
                      </m:e>
                    </m:d>
                  </m:e>
                </m:nary>
              </m:e>
            </m:d>
          </m:e>
        </m:func>
        <m:r>
          <m:t xml:space="preserve"> </m:t>
        </m:r>
      </m:oMath>
      <w:r w:rsidR="000C5E51" w:rsidRPr="00C00335">
        <w:t>,</w:t>
      </w:r>
      <w:r w:rsidR="004F4E6D" w:rsidRPr="00C00335">
        <w:tab/>
      </w:r>
      <w:r w:rsidR="00B41A9A" w:rsidRPr="00C00335">
        <w:t>(</w:t>
      </w:r>
      <w:r w:rsidR="00FF381E" w:rsidRPr="00C00335">
        <w:t>6</w:t>
      </w:r>
      <w:r w:rsidR="00E47989" w:rsidRPr="00C00335">
        <w:t>.</w:t>
      </w:r>
      <w:r w:rsidR="008A3FA7" w:rsidRPr="00C00335">
        <w:t>4</w:t>
      </w:r>
      <w:r w:rsidR="00B41A9A" w:rsidRPr="00C00335">
        <w:t>)</w:t>
      </w:r>
    </w:p>
    <w:p w14:paraId="6E074FC3" w14:textId="77777777" w:rsidR="00B41A9A" w:rsidRPr="00C00335" w:rsidRDefault="000C5E51" w:rsidP="00E47989">
      <w:pPr>
        <w:pStyle w:val="BodyText"/>
        <w:keepNext/>
      </w:pPr>
      <w:r w:rsidRPr="00C00335">
        <w:t>w</w:t>
      </w:r>
      <w:r w:rsidR="00B41A9A" w:rsidRPr="00C00335">
        <w:t>here</w:t>
      </w:r>
    </w:p>
    <w:p w14:paraId="298BD604" w14:textId="79B6EC5C" w:rsidR="00251497" w:rsidRPr="00C00335" w:rsidRDefault="00747E9D" w:rsidP="002B1372">
      <w:pPr>
        <w:pStyle w:val="bullets"/>
      </w:pPr>
      <m:oMath>
        <m:sSub>
          <m:sSubPr>
            <m:ctrlPr>
              <w:rPr>
                <w:rFonts w:ascii="Cambria Math" w:hAnsi="Cambria Math"/>
              </w:rPr>
            </m:ctrlPr>
          </m:sSubPr>
          <m:e>
            <m:r>
              <m:rPr>
                <m:sty m:val="p"/>
              </m:rPr>
              <w:rPr>
                <w:rFonts w:ascii="Cambria Math" w:hAnsi="Cambria Math"/>
              </w:rPr>
              <m:t>ϱ</m:t>
            </m:r>
          </m:e>
          <m:sub>
            <m:r>
              <m:rPr>
                <m:sty m:val="p"/>
              </m:rPr>
              <w:rPr>
                <w:rFonts w:ascii="Cambria Math" w:hAnsi="Cambria Math"/>
              </w:rPr>
              <m:t>p,x</m:t>
            </m:r>
          </m:sub>
        </m:sSub>
      </m:oMath>
      <w:r w:rsidR="00B41A9A" w:rsidRPr="00C00335">
        <w:fldChar w:fldCharType="begin"/>
      </w:r>
      <w:r w:rsidR="00B41A9A" w:rsidRPr="00C00335">
        <w:instrText xml:space="preserve"> QUOTE </w:instrText>
      </w:r>
      <m:oMath>
        <m:sSub>
          <m:sSubPr>
            <m:ctrlPr>
              <w:rPr>
                <w:rFonts w:ascii="Cambria Math" w:hAnsi="Cambria Math"/>
              </w:rPr>
            </m:ctrlPr>
          </m:sSubPr>
          <m:e>
            <m:r>
              <m:rPr>
                <m:sty m:val="p"/>
              </m:rPr>
              <w:rPr>
                <w:rFonts w:ascii="Cambria Math" w:hAnsi="Cambria Math"/>
              </w:rPr>
              <m:t>ϱ</m:t>
            </m:r>
          </m:e>
          <m:sub>
            <m:r>
              <m:rPr>
                <m:sty m:val="p"/>
              </m:rPr>
              <w:rPr>
                <w:rFonts w:ascii="Cambria Math" w:hAnsi="Cambria Math"/>
              </w:rPr>
              <m:t>x</m:t>
            </m:r>
          </m:sub>
        </m:sSub>
      </m:oMath>
      <w:r w:rsidR="00B41A9A" w:rsidRPr="00C00335">
        <w:instrText xml:space="preserve"> </w:instrText>
      </w:r>
      <w:r w:rsidR="00B41A9A" w:rsidRPr="00C00335">
        <w:fldChar w:fldCharType="end"/>
      </w:r>
      <w:r w:rsidR="00E122FD" w:rsidRPr="00C00335">
        <w:t xml:space="preserve"> </w:t>
      </w:r>
      <w:r w:rsidR="00B41A9A" w:rsidRPr="00C00335">
        <w:t xml:space="preserve">= Proportion of </w:t>
      </w:r>
      <w:r w:rsidR="00BA0665" w:rsidRPr="00C00335">
        <w:t xml:space="preserve">subpopulation p </w:t>
      </w:r>
      <w:r w:rsidR="00CC1207" w:rsidRPr="00C00335">
        <w:t>who participate in</w:t>
      </w:r>
      <w:r w:rsidR="00B41A9A" w:rsidRPr="00C00335">
        <w:t xml:space="preserve"> transmission risk participation type </w:t>
      </w:r>
      <w:r w:rsidR="00B41A9A" w:rsidRPr="00C00335">
        <w:rPr>
          <w:i/>
        </w:rPr>
        <w:t>x</w:t>
      </w:r>
      <w:r w:rsidR="007D66E6" w:rsidRPr="00C00335">
        <w:rPr>
          <w:iCs/>
        </w:rPr>
        <w:t xml:space="preserve">, which </w:t>
      </w:r>
      <w:r w:rsidR="00707FF1" w:rsidRPr="00C00335">
        <w:rPr>
          <w:iCs/>
        </w:rPr>
        <w:t xml:space="preserve">is </w:t>
      </w:r>
      <w:r w:rsidR="00577C1F" w:rsidRPr="00C00335">
        <w:rPr>
          <w:iCs/>
        </w:rPr>
        <w:t>calculated based on</w:t>
      </w:r>
      <w:r w:rsidR="007D66E6" w:rsidRPr="00C00335">
        <w:rPr>
          <w:iCs/>
        </w:rPr>
        <w:t xml:space="preserve"> </w:t>
      </w:r>
      <w:r w:rsidR="00251497" w:rsidRPr="00C00335">
        <w:rPr>
          <w:iCs/>
        </w:rPr>
        <w:t>the following:</w:t>
      </w:r>
    </w:p>
    <w:p w14:paraId="749E19C3" w14:textId="27996A6F" w:rsidR="00251497" w:rsidRPr="00C00335" w:rsidRDefault="00707FF1" w:rsidP="006A1314">
      <w:pPr>
        <w:pStyle w:val="bullets-2ndlevel"/>
      </w:pPr>
      <w:r w:rsidRPr="00C00335">
        <w:rPr>
          <w:iCs/>
        </w:rPr>
        <w:t xml:space="preserve">the </w:t>
      </w:r>
      <w:r w:rsidR="00251497" w:rsidRPr="00C00335">
        <w:rPr>
          <w:iCs/>
        </w:rPr>
        <w:t xml:space="preserve">input </w:t>
      </w:r>
      <w:r w:rsidR="00251497" w:rsidRPr="00C00335">
        <w:rPr>
          <w:i/>
        </w:rPr>
        <w:t>P</w:t>
      </w:r>
      <w:r w:rsidR="007D66E6" w:rsidRPr="00C00335">
        <w:rPr>
          <w:i/>
        </w:rPr>
        <w:t xml:space="preserve">ercentage of people who have </w:t>
      </w:r>
      <w:r w:rsidRPr="00C00335">
        <w:rPr>
          <w:i/>
        </w:rPr>
        <w:t xml:space="preserve">anal intercourse (AI) </w:t>
      </w:r>
      <w:r w:rsidR="007D66E6" w:rsidRPr="00C00335">
        <w:rPr>
          <w:i/>
        </w:rPr>
        <w:t>in their male-female partnerships</w:t>
      </w:r>
    </w:p>
    <w:p w14:paraId="2B4CEF2A" w14:textId="77777777" w:rsidR="004F4E6D" w:rsidRPr="00C00335" w:rsidRDefault="00707FF1" w:rsidP="00251497">
      <w:pPr>
        <w:pStyle w:val="bullets-2ndlevel"/>
      </w:pPr>
      <w:r w:rsidRPr="00C00335">
        <w:t xml:space="preserve">the assumption that 100% of MSM have AI in their </w:t>
      </w:r>
      <w:r w:rsidR="007D66E6" w:rsidRPr="00C00335">
        <w:t>male-male partnerships</w:t>
      </w:r>
      <w:r w:rsidR="00251497" w:rsidRPr="00C00335">
        <w:t>,</w:t>
      </w:r>
      <w:r w:rsidR="005058A2" w:rsidRPr="00C00335">
        <w:t xml:space="preserve"> and</w:t>
      </w:r>
    </w:p>
    <w:p w14:paraId="62302D5A" w14:textId="77777777" w:rsidR="004F4E6D" w:rsidRPr="00C00335" w:rsidRDefault="00251497" w:rsidP="00251497">
      <w:pPr>
        <w:pStyle w:val="bullets-2ndlevel"/>
      </w:pPr>
      <w:r w:rsidRPr="00C00335">
        <w:t xml:space="preserve">the assumption that </w:t>
      </w:r>
      <w:r w:rsidR="005058A2" w:rsidRPr="00C00335">
        <w:t>100% of all transmission groups have vaginal intercourse (VI) in their male-female partnerships</w:t>
      </w:r>
      <w:r w:rsidR="00707FF1" w:rsidRPr="00C00335">
        <w:t>.</w:t>
      </w:r>
    </w:p>
    <w:p w14:paraId="4CFD6A79" w14:textId="3DF26F17" w:rsidR="000F420A" w:rsidRPr="00C00335" w:rsidRDefault="00B41A9A" w:rsidP="002B1372">
      <w:pPr>
        <w:pStyle w:val="bullets"/>
      </w:pPr>
      <w:r w:rsidRPr="00C00335">
        <w:lastRenderedPageBreak/>
        <w:t xml:space="preserve">ξ </w:t>
      </w:r>
      <w:r w:rsidRPr="00C00335">
        <w:rPr>
          <w:vertAlign w:val="subscript"/>
        </w:rPr>
        <w:t>z</w:t>
      </w:r>
      <w:r w:rsidR="00297A23" w:rsidRPr="00C00335">
        <w:rPr>
          <w:vertAlign w:val="subscript"/>
        </w:rPr>
        <w:t>,</w:t>
      </w:r>
      <w:r w:rsidR="00054F41" w:rsidRPr="00C00335">
        <w:rPr>
          <w:vertAlign w:val="subscript"/>
        </w:rPr>
        <w:t>y</w:t>
      </w:r>
      <w:r w:rsidRPr="00C00335">
        <w:t>,</w:t>
      </w:r>
      <w:r w:rsidRPr="00C00335">
        <w:rPr>
          <w:vertAlign w:val="subscript"/>
        </w:rPr>
        <w:t>p,p2,c</w:t>
      </w:r>
      <w:r w:rsidRPr="00C00335">
        <w:t xml:space="preserve"> </w:t>
      </w:r>
      <w:r w:rsidR="000E24DE" w:rsidRPr="00C00335">
        <w:t xml:space="preserve">(t) </w:t>
      </w:r>
      <w:r w:rsidRPr="00C00335">
        <w:t xml:space="preserve">= Number of partnerships </w:t>
      </w:r>
      <w:r w:rsidR="00A54398" w:rsidRPr="00C00335">
        <w:t>of type y</w:t>
      </w:r>
      <w:r w:rsidR="00297A23" w:rsidRPr="00C00335">
        <w:t xml:space="preserve"> </w:t>
      </w:r>
      <w:r w:rsidRPr="00C00335">
        <w:t xml:space="preserve">involving risk type </w:t>
      </w:r>
      <w:r w:rsidRPr="00C00335">
        <w:rPr>
          <w:iCs/>
        </w:rPr>
        <w:t>z</w:t>
      </w:r>
      <w:r w:rsidRPr="00C00335">
        <w:t xml:space="preserve"> per uninfected individual in subpopulation </w:t>
      </w:r>
      <w:r w:rsidRPr="00C00335">
        <w:rPr>
          <w:iCs/>
        </w:rPr>
        <w:t>p</w:t>
      </w:r>
      <w:r w:rsidRPr="00C00335">
        <w:t xml:space="preserve"> with infected</w:t>
      </w:r>
      <w:r w:rsidR="000300BF" w:rsidRPr="00C00335">
        <w:t xml:space="preserve"> partners</w:t>
      </w:r>
      <w:r w:rsidRPr="00C00335">
        <w:t xml:space="preserve"> in subpopulation</w:t>
      </w:r>
      <w:r w:rsidRPr="00C00335">
        <w:rPr>
          <w:iCs/>
        </w:rPr>
        <w:t xml:space="preserve"> p2</w:t>
      </w:r>
      <w:r w:rsidRPr="00C00335">
        <w:t xml:space="preserve"> in compartment </w:t>
      </w:r>
      <w:proofErr w:type="spellStart"/>
      <w:r w:rsidRPr="00C00335">
        <w:rPr>
          <w:iCs/>
        </w:rPr>
        <w:t>c</w:t>
      </w:r>
      <w:r w:rsidR="000E24DE" w:rsidRPr="00C00335">
        <w:rPr>
          <w:iCs/>
        </w:rPr>
        <w:t xml:space="preserve"> at</w:t>
      </w:r>
      <w:proofErr w:type="spellEnd"/>
      <w:r w:rsidR="000E24DE" w:rsidRPr="00C00335">
        <w:rPr>
          <w:iCs/>
        </w:rPr>
        <w:t xml:space="preserve"> time t</w:t>
      </w:r>
      <w:r w:rsidRPr="00C00335">
        <w:t xml:space="preserve">, which is calculated using the method outlined in Equation </w:t>
      </w:r>
      <w:r w:rsidR="008B30F8" w:rsidRPr="00C00335">
        <w:t>(</w:t>
      </w:r>
      <w:r w:rsidRPr="00C00335">
        <w:t>6</w:t>
      </w:r>
      <w:r w:rsidR="00E47989" w:rsidRPr="00C00335">
        <w:t>.</w:t>
      </w:r>
      <w:r w:rsidR="00FF381E" w:rsidRPr="00C00335">
        <w:t>5</w:t>
      </w:r>
      <w:r w:rsidR="008B30F8" w:rsidRPr="00C00335">
        <w:t>)</w:t>
      </w:r>
      <w:r w:rsidRPr="00C00335">
        <w:t>:</w:t>
      </w:r>
    </w:p>
    <w:p w14:paraId="30EA6FF0" w14:textId="7B16B5A3" w:rsidR="00B41A9A" w:rsidRPr="00C00335" w:rsidRDefault="00747E9D" w:rsidP="000E24DE">
      <w:pPr>
        <w:pStyle w:val="equation"/>
      </w:pPr>
      <m:oMathPara>
        <m:oMath>
          <m:sSub>
            <m:sSubPr>
              <m:ctrlPr>
                <w:rPr>
                  <w:i/>
                </w:rPr>
              </m:ctrlPr>
            </m:sSubPr>
            <m:e>
              <m:r>
                <m:t>ξ</m:t>
              </m:r>
            </m:e>
            <m:sub>
              <m:r>
                <m:t>z,y,p,p2,c</m:t>
              </m:r>
            </m:sub>
          </m:sSub>
          <m:r>
            <m:t>(t)=</m:t>
          </m:r>
          <m:d>
            <m:dPr>
              <m:ctrlPr>
                <w:rPr>
                  <w:i/>
                </w:rPr>
              </m:ctrlPr>
            </m:dPr>
            <m:e>
              <m:r>
                <m:rPr>
                  <m:sty m:val="p"/>
                </m:rPr>
                <m:t>Number of partnership type y partners in p</m:t>
              </m:r>
              <m:r>
                <m:rPr>
                  <m:sty m:val="p"/>
                </m:rPr>
                <w:rPr>
                  <w:vertAlign w:val="subscript"/>
                </w:rPr>
                <m:t>2</m:t>
              </m:r>
              <m:r>
                <m:rPr>
                  <m:sty m:val="p"/>
                </m:rPr>
                <m:t xml:space="preserve"> per person in p</m:t>
              </m:r>
              <m:ctrlPr>
                <w:rPr>
                  <w:iCs/>
                </w:rPr>
              </m:ctrlPr>
            </m:e>
          </m:d>
          <m:r>
            <m:t>*</m:t>
          </m:r>
          <m:d>
            <m:dPr>
              <m:ctrlPr>
                <w:rPr>
                  <w:iCs/>
                </w:rPr>
              </m:ctrlPr>
            </m:dPr>
            <m:e>
              <m:r>
                <m:rPr>
                  <m:sty m:val="p"/>
                </m:rPr>
                <m:t>Percentage of individuals in p2 that are in infected and in c at time t</m:t>
              </m:r>
            </m:e>
          </m:d>
        </m:oMath>
      </m:oMathPara>
    </w:p>
    <w:p w14:paraId="2CD504B5" w14:textId="4CFD78BC" w:rsidR="00E95C1D" w:rsidRPr="00C00335" w:rsidRDefault="00E95C1D" w:rsidP="002B180E">
      <w:pPr>
        <w:pStyle w:val="equation"/>
        <w:ind w:left="2160"/>
      </w:pPr>
      <m:oMath>
        <m:r>
          <m:t>=(</m:t>
        </m:r>
        <m:sSubSup>
          <m:sSubSupPr>
            <m:ctrlPr>
              <w:rPr>
                <w:i/>
              </w:rPr>
            </m:ctrlPr>
          </m:sSubSupPr>
          <m:e>
            <m:r>
              <m:t>M</m:t>
            </m:r>
          </m:e>
          <m:sub>
            <m:r>
              <m:t>p</m:t>
            </m:r>
          </m:sub>
          <m:sup>
            <m:r>
              <m:t>z</m:t>
            </m:r>
          </m:sup>
        </m:sSubSup>
        <m:r>
          <m:t>)(</m:t>
        </m:r>
        <m:sSub>
          <m:sSubPr>
            <m:ctrlPr>
              <w:rPr>
                <w:i/>
              </w:rPr>
            </m:ctrlPr>
          </m:sSubPr>
          <m:e>
            <m:r>
              <m:t>a</m:t>
            </m:r>
          </m:e>
          <m:sub>
            <m:r>
              <m:t>p,p2</m:t>
            </m:r>
          </m:sub>
        </m:sSub>
        <m:r>
          <m:rPr>
            <m:sty m:val="p"/>
          </m:rPr>
          <m:t>)(</m:t>
        </m:r>
        <m:sSub>
          <m:sSubPr>
            <m:ctrlPr/>
          </m:sSubPr>
          <m:e>
            <m:r>
              <m:t>O</m:t>
            </m:r>
          </m:e>
          <m:sub>
            <m:r>
              <m:t>p,y</m:t>
            </m:r>
          </m:sub>
        </m:sSub>
        <m:r>
          <m:rPr>
            <m:sty m:val="p"/>
          </m:rPr>
          <m:t>)</m:t>
        </m:r>
        <m:d>
          <m:dPr>
            <m:ctrlPr>
              <w:rPr>
                <w:i/>
              </w:rPr>
            </m:ctrlPr>
          </m:dPr>
          <m:e>
            <m:f>
              <m:fPr>
                <m:ctrlPr>
                  <w:rPr>
                    <w:i/>
                  </w:rPr>
                </m:ctrlPr>
              </m:fPr>
              <m:num>
                <m:sSubSup>
                  <m:sSubSupPr>
                    <m:ctrlPr>
                      <w:rPr>
                        <w:i/>
                      </w:rPr>
                    </m:ctrlPr>
                  </m:sSubSupPr>
                  <m:e>
                    <m:r>
                      <m:t>X</m:t>
                    </m:r>
                  </m:e>
                  <m:sub>
                    <m:r>
                      <m:t>p2</m:t>
                    </m:r>
                  </m:sub>
                  <m:sup>
                    <m:r>
                      <m:t>c</m:t>
                    </m:r>
                  </m:sup>
                </m:sSubSup>
                <m:d>
                  <m:dPr>
                    <m:ctrlPr>
                      <w:rPr>
                        <w:i/>
                      </w:rPr>
                    </m:ctrlPr>
                  </m:dPr>
                  <m:e>
                    <m:r>
                      <m:t>t</m:t>
                    </m:r>
                  </m:e>
                </m:d>
                <m:r>
                  <m:t>*</m:t>
                </m:r>
                <m:sSub>
                  <m:sSubPr>
                    <m:ctrlPr>
                      <w:rPr>
                        <w:i/>
                      </w:rPr>
                    </m:ctrlPr>
                  </m:sSubPr>
                  <m:e>
                    <m:r>
                      <m:t>s</m:t>
                    </m:r>
                  </m:e>
                  <m:sub>
                    <m:r>
                      <m:t>c</m:t>
                    </m:r>
                  </m:sub>
                </m:sSub>
              </m:num>
              <m:den>
                <m:nary>
                  <m:naryPr>
                    <m:chr m:val="∑"/>
                    <m:limLoc m:val="undOvr"/>
                    <m:supHide m:val="1"/>
                    <m:ctrlPr>
                      <w:rPr>
                        <w:i/>
                      </w:rPr>
                    </m:ctrlPr>
                  </m:naryPr>
                  <m:sub>
                    <m:r>
                      <m:t>c*</m:t>
                    </m:r>
                  </m:sub>
                  <m:sup/>
                  <m:e>
                    <m:sSubSup>
                      <m:sSubSupPr>
                        <m:ctrlPr>
                          <w:rPr>
                            <w:i/>
                          </w:rPr>
                        </m:ctrlPr>
                      </m:sSubSupPr>
                      <m:e>
                        <m:r>
                          <m:t>X</m:t>
                        </m:r>
                      </m:e>
                      <m:sub>
                        <m:r>
                          <m:t>p2</m:t>
                        </m:r>
                      </m:sub>
                      <m:sup>
                        <m:r>
                          <m:t>c*</m:t>
                        </m:r>
                      </m:sup>
                    </m:sSubSup>
                    <m:r>
                      <m:t>(t)</m:t>
                    </m:r>
                  </m:e>
                </m:nary>
              </m:den>
            </m:f>
          </m:e>
        </m:d>
      </m:oMath>
      <w:r w:rsidRPr="00C00335">
        <w:fldChar w:fldCharType="begin"/>
      </w:r>
      <w:r w:rsidRPr="00C00335">
        <w:instrText xml:space="preserve"> QUOTE </w:instrText>
      </w:r>
      <m:oMath>
        <m:r>
          <m:rPr>
            <m:sty m:val="p"/>
          </m:rPr>
          <m:t>=(</m:t>
        </m:r>
        <m:sSubSup>
          <m:sSubSupPr>
            <m:ctrlPr>
              <w:rPr>
                <w:i/>
              </w:rPr>
            </m:ctrlPr>
          </m:sSubSupPr>
          <m:e>
            <m:r>
              <m:rPr>
                <m:sty m:val="p"/>
              </m:rPr>
              <m:t>m</m:t>
            </m:r>
          </m:e>
          <m:sub>
            <m:r>
              <m:rPr>
                <m:sty m:val="p"/>
              </m:rPr>
              <m:t>p</m:t>
            </m:r>
          </m:sub>
          <m:sup>
            <m:r>
              <m:rPr>
                <m:sty m:val="p"/>
              </m:rPr>
              <m:t>z</m:t>
            </m:r>
          </m:sup>
        </m:sSubSup>
        <m:r>
          <m:rPr>
            <m:sty m:val="p"/>
          </m:rPr>
          <m:t xml:space="preserve">)(Percentage of </m:t>
        </m:r>
        <m:sSup>
          <m:sSupPr>
            <m:ctrlPr>
              <w:rPr>
                <w:iCs/>
              </w:rPr>
            </m:ctrlPr>
          </m:sSupPr>
          <m:e>
            <m:r>
              <m:rPr>
                <m:sty m:val="p"/>
              </m:rPr>
              <m:t>p</m:t>
            </m:r>
          </m:e>
          <m:sup>
            <m:r>
              <m:rPr>
                <m:sty m:val="p"/>
              </m:rPr>
              <m:t>'</m:t>
            </m:r>
          </m:sup>
        </m:sSup>
        <m:r>
          <m:rPr>
            <m:sty m:val="p"/>
          </m:rPr>
          <m:t>s partners in p2)</m:t>
        </m:r>
        <m:d>
          <m:dPr>
            <m:ctrlPr>
              <w:rPr>
                <w:i/>
              </w:rPr>
            </m:ctrlPr>
          </m:dPr>
          <m:e>
            <m:f>
              <m:fPr>
                <m:ctrlPr>
                  <w:rPr>
                    <w:i/>
                  </w:rPr>
                </m:ctrlPr>
              </m:fPr>
              <m:num>
                <m:sSubSup>
                  <m:sSubSupPr>
                    <m:ctrlPr>
                      <w:rPr>
                        <w:i/>
                      </w:rPr>
                    </m:ctrlPr>
                  </m:sSubSupPr>
                  <m:e>
                    <m:r>
                      <m:rPr>
                        <m:sty m:val="p"/>
                      </m:rPr>
                      <m:t>X</m:t>
                    </m:r>
                  </m:e>
                  <m:sub>
                    <m:r>
                      <m:rPr>
                        <m:sty m:val="p"/>
                      </m:rPr>
                      <m:t>p2</m:t>
                    </m:r>
                  </m:sub>
                  <m:sup>
                    <m:r>
                      <m:rPr>
                        <m:sty m:val="p"/>
                      </m:rPr>
                      <m:t>c</m:t>
                    </m:r>
                  </m:sup>
                </m:sSubSup>
              </m:num>
              <m:den>
                <m:nary>
                  <m:naryPr>
                    <m:chr m:val="∑"/>
                    <m:limLoc m:val="undOvr"/>
                    <m:supHide m:val="1"/>
                    <m:ctrlPr>
                      <w:rPr>
                        <w:i/>
                      </w:rPr>
                    </m:ctrlPr>
                  </m:naryPr>
                  <m:sub>
                    <m:r>
                      <m:rPr>
                        <m:sty m:val="p"/>
                      </m:rPr>
                      <m:t>c=1to27</m:t>
                    </m:r>
                  </m:sub>
                  <m:sup/>
                  <m:e>
                    <m:sSubSup>
                      <m:sSubSupPr>
                        <m:ctrlPr>
                          <w:rPr>
                            <w:i/>
                          </w:rPr>
                        </m:ctrlPr>
                      </m:sSubSupPr>
                      <m:e>
                        <m:r>
                          <m:rPr>
                            <m:sty m:val="p"/>
                          </m:rPr>
                          <m:t>X</m:t>
                        </m:r>
                      </m:e>
                      <m:sub>
                        <m:r>
                          <m:rPr>
                            <m:sty m:val="p"/>
                          </m:rPr>
                          <m:t>p2</m:t>
                        </m:r>
                      </m:sub>
                      <m:sup>
                        <m:r>
                          <m:rPr>
                            <m:sty m:val="p"/>
                          </m:rPr>
                          <m:t>c</m:t>
                        </m:r>
                      </m:sup>
                    </m:sSubSup>
                  </m:e>
                </m:nary>
              </m:den>
            </m:f>
          </m:e>
        </m:d>
        <m:d>
          <m:dPr>
            <m:ctrlPr>
              <w:rPr>
                <w:i/>
              </w:rPr>
            </m:ctrlPr>
          </m:dPr>
          <m:e>
            <m:sSubSup>
              <m:sSubSupPr>
                <m:ctrlPr>
                  <w:rPr>
                    <w:i/>
                  </w:rPr>
                </m:ctrlPr>
              </m:sSubSupPr>
              <m:e>
                <m:r>
                  <m:rPr>
                    <m:sty m:val="p"/>
                  </m:rPr>
                  <m:t>η</m:t>
                </m:r>
              </m:e>
              <m:sub>
                <m:r>
                  <m:rPr>
                    <m:sty m:val="p"/>
                  </m:rPr>
                  <m:t>p,c</m:t>
                </m:r>
              </m:sub>
              <m:sup>
                <m:r>
                  <m:rPr>
                    <m:sty m:val="p"/>
                  </m:rPr>
                  <m:t>s</m:t>
                </m:r>
              </m:sup>
            </m:sSubSup>
          </m:e>
        </m:d>
      </m:oMath>
      <w:r w:rsidRPr="00C00335">
        <w:instrText xml:space="preserve"> </w:instrText>
      </w:r>
      <w:r w:rsidRPr="00C00335">
        <w:fldChar w:fldCharType="end"/>
      </w:r>
      <w:r w:rsidR="004F4E6D" w:rsidRPr="00C00335">
        <w:tab/>
      </w:r>
      <w:r w:rsidRPr="00C00335">
        <w:t>(</w:t>
      </w:r>
      <w:r w:rsidR="00FF381E" w:rsidRPr="00C00335">
        <w:t>6</w:t>
      </w:r>
      <w:r w:rsidR="00E47989" w:rsidRPr="00C00335">
        <w:t>.</w:t>
      </w:r>
      <w:r w:rsidR="001718B7" w:rsidRPr="00C00335">
        <w:t>5</w:t>
      </w:r>
      <w:r w:rsidRPr="00C00335">
        <w:t>)</w:t>
      </w:r>
    </w:p>
    <w:p w14:paraId="03226847" w14:textId="77777777" w:rsidR="00B67E34" w:rsidRPr="00C00335" w:rsidRDefault="00B67E34" w:rsidP="00E47989">
      <w:pPr>
        <w:pStyle w:val="BodyText"/>
        <w:keepNext/>
      </w:pPr>
      <w:r w:rsidRPr="00C00335">
        <w:t>where</w:t>
      </w:r>
    </w:p>
    <w:p w14:paraId="5A071B12" w14:textId="356BBA31" w:rsidR="002B180E" w:rsidRPr="00C00335" w:rsidRDefault="00747E9D" w:rsidP="002B1372">
      <w:pPr>
        <w:pStyle w:val="bullets"/>
      </w:pPr>
      <m:oMath>
        <m:sSubSup>
          <m:sSubSupPr>
            <m:ctrlPr>
              <w:rPr>
                <w:rFonts w:ascii="Cambria Math" w:hAnsi="Cambria Math"/>
              </w:rPr>
            </m:ctrlPr>
          </m:sSubSupPr>
          <m:e>
            <m:r>
              <m:rPr>
                <m:sty m:val="p"/>
              </m:rPr>
              <w:rPr>
                <w:rFonts w:ascii="Cambria Math" w:hAnsi="Cambria Math"/>
              </w:rPr>
              <m:t xml:space="preserve"> M</m:t>
            </m:r>
          </m:e>
          <m:sub>
            <m:r>
              <m:rPr>
                <m:sty m:val="p"/>
              </m:rPr>
              <w:rPr>
                <w:rFonts w:ascii="Cambria Math" w:hAnsi="Cambria Math"/>
              </w:rPr>
              <m:t>p</m:t>
            </m:r>
          </m:sub>
          <m:sup>
            <m:r>
              <m:rPr>
                <m:sty m:val="p"/>
              </m:rPr>
              <w:rPr>
                <w:rFonts w:ascii="Cambria Math" w:hAnsi="Cambria Math"/>
              </w:rPr>
              <m:t>z</m:t>
            </m:r>
          </m:sup>
        </m:sSubSup>
      </m:oMath>
      <w:r w:rsidR="002B180E" w:rsidRPr="00C00335">
        <w:fldChar w:fldCharType="begin"/>
      </w:r>
      <w:r w:rsidR="002B180E" w:rsidRPr="00C00335">
        <w:instrText xml:space="preserve"> QUOTE </w:instrTex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m:t>
            </m:r>
          </m:sub>
          <m:sup>
            <m:r>
              <m:rPr>
                <m:sty m:val="p"/>
              </m:rPr>
              <w:rPr>
                <w:rFonts w:ascii="Cambria Math" w:hAnsi="Cambria Math"/>
              </w:rPr>
              <m:t>z</m:t>
            </m:r>
          </m:sup>
        </m:sSubSup>
      </m:oMath>
      <w:r w:rsidR="002B180E" w:rsidRPr="00C00335">
        <w:instrText xml:space="preserve"> </w:instrText>
      </w:r>
      <w:r w:rsidR="002B180E" w:rsidRPr="00C00335">
        <w:fldChar w:fldCharType="end"/>
      </w:r>
      <w:r w:rsidR="002B180E" w:rsidRPr="00C00335">
        <w:t> = annual number of partners for risk type z per person in p,</w:t>
      </w:r>
    </w:p>
    <w:p w14:paraId="5DA672FB" w14:textId="18E5A073" w:rsidR="00A54398" w:rsidRPr="00C00335" w:rsidRDefault="00747E9D" w:rsidP="002B1372">
      <w:pPr>
        <w:pStyle w:val="bullets"/>
      </w:pPr>
      <m:oMath>
        <m:sSub>
          <m:sSubPr>
            <m:ctrlPr>
              <w:rPr>
                <w:rFonts w:ascii="Cambria Math" w:hAnsi="Cambria Math"/>
                <w:i/>
              </w:rPr>
            </m:ctrlPr>
          </m:sSubPr>
          <m:e>
            <m:r>
              <w:rPr>
                <w:rFonts w:ascii="Cambria Math" w:hAnsi="Cambria Math"/>
              </w:rPr>
              <m:t>a</m:t>
            </m:r>
          </m:e>
          <m:sub>
            <m:r>
              <w:rPr>
                <w:rFonts w:ascii="Cambria Math" w:hAnsi="Cambria Math"/>
              </w:rPr>
              <m:t>p,p2</m:t>
            </m:r>
          </m:sub>
        </m:sSub>
        <m:r>
          <w:rPr>
            <w:rFonts w:ascii="Cambria Math" w:hAnsi="Cambria Math"/>
          </w:rPr>
          <m:t xml:space="preserve"> </m:t>
        </m:r>
      </m:oMath>
      <w:r w:rsidR="002B180E" w:rsidRPr="00C00335">
        <w:t>= percentage of individuals in subpopulation p’s partners that are in</w:t>
      </w:r>
      <w:r w:rsidR="00577C1F" w:rsidRPr="00C00335">
        <w:t xml:space="preserve"> p2</w:t>
      </w:r>
      <w:r w:rsidR="007B5D12" w:rsidRPr="00C00335">
        <w:t>, as</w:t>
      </w:r>
      <w:r w:rsidR="002B180E" w:rsidRPr="00C00335">
        <w:t xml:space="preserve"> determined by the mixing matrix described in </w:t>
      </w:r>
      <w:r w:rsidR="00CA2896" w:rsidRPr="00C00335">
        <w:t>Section </w:t>
      </w:r>
      <w:r w:rsidR="002B180E" w:rsidRPr="00C00335">
        <w:t>6.1,</w:t>
      </w:r>
    </w:p>
    <w:p w14:paraId="5595F82D" w14:textId="1AFD3034" w:rsidR="00251497" w:rsidRPr="00C00335" w:rsidRDefault="00747E9D" w:rsidP="002B1372">
      <w:pPr>
        <w:pStyle w:val="bullets"/>
      </w:pPr>
      <m:oMath>
        <m:sSub>
          <m:sSubPr>
            <m:ctrlPr>
              <w:rPr>
                <w:rFonts w:ascii="Cambria Math" w:hAnsi="Cambria Math"/>
              </w:rPr>
            </m:ctrlPr>
          </m:sSubPr>
          <m:e>
            <m:r>
              <w:rPr>
                <w:rFonts w:ascii="Cambria Math" w:hAnsi="Cambria Math"/>
              </w:rPr>
              <m:t>O</m:t>
            </m:r>
          </m:e>
          <m:sub>
            <m:r>
              <w:rPr>
                <w:rFonts w:ascii="Cambria Math" w:hAnsi="Cambria Math"/>
              </w:rPr>
              <m:t>p,y</m:t>
            </m:r>
          </m:sub>
        </m:sSub>
        <m:r>
          <w:rPr>
            <w:rFonts w:ascii="Cambria Math" w:hAnsi="Cambria Math"/>
          </w:rPr>
          <m:t xml:space="preserve"> </m:t>
        </m:r>
      </m:oMath>
      <w:r w:rsidR="00A54398" w:rsidRPr="00C00335">
        <w:t xml:space="preserve">= </w:t>
      </w:r>
      <w:r w:rsidR="00D869E9" w:rsidRPr="00C00335">
        <w:t>average percentage of partnerships for an individual in subpopulation p that are type y, given that the individual has partnerships of type y</w:t>
      </w:r>
      <w:r w:rsidR="007B5D12" w:rsidRPr="00C00335">
        <w:t xml:space="preserve">. It </w:t>
      </w:r>
      <w:r w:rsidR="00251497" w:rsidRPr="00C00335">
        <w:t xml:space="preserve">is </w:t>
      </w:r>
      <w:r w:rsidR="00577C1F" w:rsidRPr="00C00335">
        <w:t>calculated based on</w:t>
      </w:r>
      <w:r w:rsidR="00251497" w:rsidRPr="00C00335">
        <w:t xml:space="preserve"> the following:</w:t>
      </w:r>
    </w:p>
    <w:p w14:paraId="755EACE3" w14:textId="0676A020" w:rsidR="00251497" w:rsidRPr="00C00335" w:rsidRDefault="00251497" w:rsidP="00251497">
      <w:pPr>
        <w:pStyle w:val="bullets-2ndlevel"/>
      </w:pPr>
      <w:r w:rsidRPr="00C00335">
        <w:t xml:space="preserve">the input </w:t>
      </w:r>
      <w:r w:rsidRPr="00C00335">
        <w:rPr>
          <w:i/>
          <w:iCs/>
        </w:rPr>
        <w:t xml:space="preserve">Among people who have AI in their </w:t>
      </w:r>
      <w:r w:rsidR="00A725F8" w:rsidRPr="00C00335">
        <w:rPr>
          <w:i/>
          <w:iCs/>
        </w:rPr>
        <w:t>male-female partnerships, percentage of those</w:t>
      </w:r>
      <w:r w:rsidRPr="00C00335">
        <w:rPr>
          <w:i/>
          <w:iCs/>
        </w:rPr>
        <w:t xml:space="preserve"> partnerships with AI</w:t>
      </w:r>
      <w:r w:rsidR="004F4E6D" w:rsidRPr="00C00335">
        <w:t>,</w:t>
      </w:r>
      <w:r w:rsidR="00A725F8" w:rsidRPr="00C00335">
        <w:t xml:space="preserve"> which distributes partnerships for people who have AI in male-female partnerships into partnerships with and without AI</w:t>
      </w:r>
    </w:p>
    <w:p w14:paraId="4C1B78CD" w14:textId="3127916E" w:rsidR="00251497" w:rsidRPr="00C00335" w:rsidRDefault="00251497" w:rsidP="00A725F8">
      <w:pPr>
        <w:pStyle w:val="bullets-2ndlevel"/>
      </w:pPr>
      <w:r w:rsidRPr="00C00335">
        <w:t>the assumption that risk from</w:t>
      </w:r>
      <w:r w:rsidR="005058A2" w:rsidRPr="00C00335">
        <w:t xml:space="preserve"> male-female partnerships </w:t>
      </w:r>
      <w:r w:rsidRPr="00C00335">
        <w:t xml:space="preserve">does not factor into the </w:t>
      </w:r>
      <w:r w:rsidR="00A725F8" w:rsidRPr="00C00335">
        <w:t xml:space="preserve">calculation of </w:t>
      </w:r>
      <w:r w:rsidRPr="00C00335">
        <w:t xml:space="preserve">force of infection from male-male </w:t>
      </w:r>
      <w:r w:rsidR="00A725F8" w:rsidRPr="00C00335">
        <w:t xml:space="preserve">sexual </w:t>
      </w:r>
      <w:r w:rsidRPr="00C00335">
        <w:t>partnerships</w:t>
      </w:r>
      <w:r w:rsidR="00AF0ADF" w:rsidRPr="00C00335">
        <w:t xml:space="preserve"> with AI only (</w:t>
      </w:r>
      <w:r w:rsidR="00A725F8" w:rsidRPr="00C00335">
        <w:t>z = 2, x</w:t>
      </w:r>
      <w:r w:rsidR="00E628BE" w:rsidRPr="00C00335">
        <w:t> = </w:t>
      </w:r>
      <w:r w:rsidR="00A725F8" w:rsidRPr="00C00335">
        <w:t>2</w:t>
      </w:r>
      <w:r w:rsidR="00AF0ADF" w:rsidRPr="00C00335">
        <w:t>)</w:t>
      </w:r>
    </w:p>
    <w:p w14:paraId="1ABEF2B5" w14:textId="163C70B1" w:rsidR="004F4E6D" w:rsidRPr="00C00335" w:rsidRDefault="00AF0ADF" w:rsidP="00FF17E0">
      <w:pPr>
        <w:pStyle w:val="bullets-2ndlevel"/>
      </w:pPr>
      <w:r w:rsidRPr="00C00335">
        <w:t xml:space="preserve">the assumption that risk from male-male partnerships does not factor into the </w:t>
      </w:r>
      <w:r w:rsidR="00A725F8" w:rsidRPr="00C00335">
        <w:t xml:space="preserve">calculation of </w:t>
      </w:r>
      <w:r w:rsidRPr="00C00335">
        <w:t xml:space="preserve">force of infection from </w:t>
      </w:r>
      <w:r w:rsidR="00A725F8" w:rsidRPr="00C00335">
        <w:t>V</w:t>
      </w:r>
      <w:r w:rsidRPr="00C00335">
        <w:t>I in male-female partnerships with VI only (</w:t>
      </w:r>
      <w:r w:rsidR="00A725F8" w:rsidRPr="00C00335">
        <w:t>z</w:t>
      </w:r>
      <w:r w:rsidR="00E628BE" w:rsidRPr="00C00335">
        <w:t> = </w:t>
      </w:r>
      <w:r w:rsidR="00A725F8" w:rsidRPr="00C00335">
        <w:t>1, x</w:t>
      </w:r>
      <w:r w:rsidR="00E628BE" w:rsidRPr="00C00335">
        <w:t> = </w:t>
      </w:r>
      <w:r w:rsidR="00A725F8" w:rsidRPr="00C00335">
        <w:t>1</w:t>
      </w:r>
      <w:r w:rsidRPr="00C00335">
        <w:t>)</w:t>
      </w:r>
      <w:r w:rsidR="00A725F8" w:rsidRPr="00C00335">
        <w:t xml:space="preserve"> or from either VI or AI in male-female partnerships with both AI and VI (z</w:t>
      </w:r>
      <w:r w:rsidR="00E628BE" w:rsidRPr="00C00335">
        <w:t> = </w:t>
      </w:r>
      <w:r w:rsidR="00A725F8" w:rsidRPr="00C00335">
        <w:t>1 or 2, x</w:t>
      </w:r>
      <w:r w:rsidR="00E628BE" w:rsidRPr="00C00335">
        <w:t> = </w:t>
      </w:r>
      <w:r w:rsidR="00A725F8" w:rsidRPr="00C00335">
        <w:t>3).</w:t>
      </w:r>
    </w:p>
    <w:p w14:paraId="46125FC4" w14:textId="78F84367" w:rsidR="007452B6" w:rsidRPr="00C00335" w:rsidRDefault="00747E9D" w:rsidP="002B1372">
      <w:pPr>
        <w:pStyle w:val="bullets"/>
      </w:pPr>
      <m:oMath>
        <m:sSub>
          <m:sSubPr>
            <m:ctrlPr>
              <w:rPr>
                <w:rFonts w:ascii="Cambria Math" w:hAnsi="Cambria Math"/>
                <w:i/>
              </w:rPr>
            </m:ctrlPr>
          </m:sSubPr>
          <m:e>
            <m:r>
              <w:rPr>
                <w:rFonts w:ascii="Cambria Math" w:hAnsi="Cambria Math"/>
              </w:rPr>
              <m:t>s</m:t>
            </m:r>
          </m:e>
          <m:sub>
            <m:r>
              <w:rPr>
                <w:rFonts w:ascii="Cambria Math" w:hAnsi="Cambria Math"/>
              </w:rPr>
              <m:t>c</m:t>
            </m:r>
          </m:sub>
        </m:sSub>
      </m:oMath>
      <w:r w:rsidR="007452B6" w:rsidRPr="00C00335">
        <w:t xml:space="preserve"> = </w:t>
      </w:r>
      <w:r w:rsidR="00E9227D" w:rsidRPr="00C00335">
        <w:t>b</w:t>
      </w:r>
      <w:r w:rsidR="007452B6" w:rsidRPr="00C00335">
        <w:t>inary indicator that model state c is an infected HIV state (1 = infected, 0 = not infected)</w:t>
      </w:r>
    </w:p>
    <w:p w14:paraId="0124235D" w14:textId="6EC8E6F2" w:rsidR="00C05E85" w:rsidRPr="00C00335" w:rsidRDefault="00C05E85" w:rsidP="002B1372">
      <w:pPr>
        <w:pStyle w:val="bullets"/>
      </w:pPr>
      <w:r w:rsidRPr="00C00335">
        <w:t xml:space="preserve">Number of </w:t>
      </w:r>
      <w:r w:rsidR="00A54398" w:rsidRPr="00C00335">
        <w:t xml:space="preserve">partnership type y </w:t>
      </w:r>
      <w:r w:rsidRPr="00C00335">
        <w:t>partners in</w:t>
      </w:r>
      <w:r w:rsidR="00577C1F" w:rsidRPr="00C00335">
        <w:t xml:space="preserve"> p2</w:t>
      </w:r>
      <w:r w:rsidRPr="00C00335">
        <w:t xml:space="preserve"> per person in p =</w:t>
      </w:r>
      <m:oMath>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p</m:t>
            </m:r>
            <m:r>
              <m:rPr>
                <m:sty m:val="p"/>
              </m:rPr>
              <w:rPr>
                <w:rFonts w:ascii="Cambria Math" w:hAnsi="Cambria Math"/>
              </w:rPr>
              <m:t>,</m:t>
            </m:r>
            <m:r>
              <w:rPr>
                <w:rFonts w:ascii="Cambria Math" w:hAnsi="Cambria Math"/>
              </w:rPr>
              <m:t>p</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r>
              <m:rPr>
                <m:sty m:val="p"/>
              </m:rPr>
              <w:rPr>
                <w:rFonts w:ascii="Cambria Math" w:hAnsi="Cambria Math"/>
              </w:rPr>
              <m:t>,</m:t>
            </m:r>
            <m:r>
              <w:rPr>
                <w:rFonts w:ascii="Cambria Math" w:hAnsi="Cambria Math"/>
              </w:rPr>
              <m:t>y</m:t>
            </m:r>
          </m:sub>
        </m:sSub>
        <m:r>
          <m:rPr>
            <m:sty m:val="p"/>
          </m:rPr>
          <w:rPr>
            <w:rFonts w:ascii="Cambria Math" w:hAnsi="Cambria Math"/>
          </w:rPr>
          <m:t>)</m:t>
        </m:r>
      </m:oMath>
      <w:r w:rsidR="00A54398" w:rsidRPr="00C00335">
        <w:t>.</w:t>
      </w:r>
    </w:p>
    <w:p w14:paraId="0ADAB8DA" w14:textId="31175703" w:rsidR="00A96B36" w:rsidRPr="00C00335" w:rsidRDefault="00A96B36" w:rsidP="00A96B36">
      <w:pPr>
        <w:pStyle w:val="BodyText"/>
        <w:keepNext/>
        <w:keepLines/>
      </w:pPr>
      <w:r w:rsidRPr="00C00335">
        <w:t>This value</w:t>
      </w:r>
      <w:r w:rsidR="006753B6" w:rsidRPr="00C00335">
        <w:t xml:space="preserve"> (</w:t>
      </w:r>
      <m:oMath>
        <m:sSub>
          <m:sSubPr>
            <m:ctrlPr>
              <w:rPr>
                <w:rFonts w:ascii="Cambria Math" w:hAnsi="Cambria Math"/>
                <w:i/>
              </w:rPr>
            </m:ctrlPr>
          </m:sSubPr>
          <m:e>
            <m:r>
              <w:rPr>
                <w:rFonts w:ascii="Cambria Math" w:hAnsi="Cambria Math"/>
              </w:rPr>
              <m:t>ξ</m:t>
            </m:r>
          </m:e>
          <m:sub>
            <m:r>
              <w:rPr>
                <w:rFonts w:ascii="Cambria Math" w:hAnsi="Cambria Math"/>
              </w:rPr>
              <m:t>z,y,p,p2,c</m:t>
            </m:r>
          </m:sub>
        </m:sSub>
      </m:oMath>
      <w:r w:rsidR="006753B6" w:rsidRPr="00C00335">
        <w:t>)</w:t>
      </w:r>
      <w:r w:rsidRPr="00C00335">
        <w:t xml:space="preserve"> equals 0 for uninfected compartments c = {1 or 2}.</w:t>
      </w:r>
    </w:p>
    <w:p w14:paraId="4D4A17B5" w14:textId="77777777" w:rsidR="00B41A9A" w:rsidRPr="00C00335" w:rsidRDefault="00B41A9A" w:rsidP="00E47989">
      <w:pPr>
        <w:pStyle w:val="BodyText"/>
        <w:keepNext/>
        <w:keepLines/>
      </w:pPr>
      <w:r w:rsidRPr="00C00335">
        <w:t>This method captures the following effects on HIV transmission:</w:t>
      </w:r>
    </w:p>
    <w:p w14:paraId="2E7C6B73" w14:textId="35265385" w:rsidR="00B41A9A" w:rsidRPr="00C00335" w:rsidRDefault="00B41A9A" w:rsidP="002B1372">
      <w:pPr>
        <w:pStyle w:val="bullets"/>
      </w:pPr>
      <w:r w:rsidRPr="00C00335">
        <w:t xml:space="preserve">the impact of circumcision on </w:t>
      </w:r>
      <w:r w:rsidR="00341EDC" w:rsidRPr="00C00335">
        <w:t>the per-partnership transmission risk (beta)</w:t>
      </w:r>
    </w:p>
    <w:p w14:paraId="7632D571" w14:textId="6A4058FD" w:rsidR="00B41A9A" w:rsidRPr="00C00335" w:rsidRDefault="00B41A9A" w:rsidP="002B1372">
      <w:pPr>
        <w:pStyle w:val="bullets"/>
      </w:pPr>
      <w:r w:rsidRPr="00C00335">
        <w:t xml:space="preserve">the impact of </w:t>
      </w:r>
      <w:r w:rsidR="00974941" w:rsidRPr="00C00335">
        <w:t>viral suppression</w:t>
      </w:r>
      <w:r w:rsidRPr="00C00335">
        <w:t xml:space="preserve"> on beta</w:t>
      </w:r>
    </w:p>
    <w:p w14:paraId="173358DF" w14:textId="77777777" w:rsidR="00B41A9A" w:rsidRPr="00C00335" w:rsidRDefault="00B41A9A" w:rsidP="002B1372">
      <w:pPr>
        <w:pStyle w:val="bullets"/>
      </w:pPr>
      <w:r w:rsidRPr="00C00335">
        <w:t>the impact of vaginal versus anal sexual risk in all transmission groups on beta</w:t>
      </w:r>
    </w:p>
    <w:p w14:paraId="27E53090" w14:textId="255CB305" w:rsidR="000F420A" w:rsidRPr="00C00335" w:rsidRDefault="00B41A9A" w:rsidP="002B1372">
      <w:pPr>
        <w:pStyle w:val="bullets"/>
      </w:pPr>
      <w:r w:rsidRPr="00C00335">
        <w:t xml:space="preserve">the impact of the prevalence of HIV in the partner populations on </w:t>
      </w:r>
      <w:r w:rsidR="00341EDC" w:rsidRPr="00C00335">
        <w:t>the per-person force of infection (</w:t>
      </w:r>
      <w:r w:rsidRPr="00C00335">
        <w:t>lambda</w:t>
      </w:r>
      <w:r w:rsidR="00341EDC" w:rsidRPr="00C00335">
        <w:t>)</w:t>
      </w:r>
    </w:p>
    <w:p w14:paraId="1E84DE14" w14:textId="77777777" w:rsidR="00B41A9A" w:rsidRPr="00C00335" w:rsidRDefault="00B41A9A" w:rsidP="002B1372">
      <w:pPr>
        <w:pStyle w:val="bullets"/>
      </w:pPr>
      <w:r w:rsidRPr="00C00335">
        <w:t>the impact of mixing patterns on lambda</w:t>
      </w:r>
    </w:p>
    <w:p w14:paraId="6A486FF8" w14:textId="77777777" w:rsidR="00B41A9A" w:rsidRPr="00C00335" w:rsidRDefault="00B41A9A" w:rsidP="00E47989">
      <w:pPr>
        <w:pStyle w:val="BodyText"/>
        <w:keepNext/>
      </w:pPr>
      <w:r w:rsidRPr="00C00335">
        <w:lastRenderedPageBreak/>
        <w:t>This method has the following simplifying assumption:</w:t>
      </w:r>
    </w:p>
    <w:p w14:paraId="272CBA29" w14:textId="1A5EF30E" w:rsidR="009D5AF4" w:rsidRPr="00C00335" w:rsidRDefault="00D63BB9" w:rsidP="002B1372">
      <w:pPr>
        <w:pStyle w:val="bullets"/>
      </w:pPr>
      <w:r w:rsidRPr="00C00335">
        <w:t>S</w:t>
      </w:r>
      <w:r w:rsidR="00B41A9A" w:rsidRPr="00C00335">
        <w:t>ufficient partner supply always exists to support the distribution of partners specified by the inputs.</w:t>
      </w:r>
    </w:p>
    <w:p w14:paraId="0AC17D0E" w14:textId="39F060EE" w:rsidR="00C367F6" w:rsidRPr="00C00335" w:rsidRDefault="0021012F" w:rsidP="00C2663F">
      <w:pPr>
        <w:pStyle w:val="Heading2"/>
      </w:pPr>
      <w:bookmarkStart w:id="86" w:name="_Toc89257549"/>
      <w:bookmarkStart w:id="87" w:name="_Hlk54750221"/>
      <w:r>
        <w:t xml:space="preserve">Calculation of </w:t>
      </w:r>
      <w:r w:rsidR="00C367F6" w:rsidRPr="00C00335">
        <w:t xml:space="preserve">Force of Infection </w:t>
      </w:r>
      <w:r w:rsidR="00C2663F" w:rsidRPr="00C00335">
        <w:t>for Individuals on</w:t>
      </w:r>
      <w:r w:rsidR="00C367F6" w:rsidRPr="00C00335">
        <w:t xml:space="preserve"> </w:t>
      </w:r>
      <w:proofErr w:type="spellStart"/>
      <w:r w:rsidR="00C367F6" w:rsidRPr="00C00335">
        <w:t>PrEP</w:t>
      </w:r>
      <w:bookmarkEnd w:id="86"/>
      <w:proofErr w:type="spellEnd"/>
    </w:p>
    <w:p w14:paraId="5D4618C9" w14:textId="7EBA6FA6" w:rsidR="00C367F6" w:rsidRPr="00C00335" w:rsidRDefault="00C2663F" w:rsidP="00090075">
      <w:pPr>
        <w:pStyle w:val="BodyText"/>
      </w:pPr>
      <w:r w:rsidRPr="00C00335">
        <w:t>Infection risk</w:t>
      </w:r>
      <w:r w:rsidR="00C367F6" w:rsidRPr="00C00335">
        <w:t xml:space="preserve"> for </w:t>
      </w:r>
      <w:r w:rsidRPr="00C00335">
        <w:t>susceptible</w:t>
      </w:r>
      <w:r w:rsidR="00C367F6" w:rsidRPr="00C00335">
        <w:t xml:space="preserve"> individuals</w:t>
      </w:r>
      <w:r w:rsidRPr="00C00335">
        <w:t xml:space="preserve"> on </w:t>
      </w:r>
      <w:proofErr w:type="spellStart"/>
      <w:r w:rsidRPr="00C00335">
        <w:t>PrEP</w:t>
      </w:r>
      <w:proofErr w:type="spellEnd"/>
      <w:r w:rsidRPr="00C00335">
        <w:t xml:space="preserve"> (</w:t>
      </w:r>
      <w:r w:rsidR="00D96458" w:rsidRPr="00C00335">
        <w:rPr>
          <w:i/>
          <w:iCs/>
        </w:rPr>
        <w:t>c</w:t>
      </w:r>
      <w:r w:rsidR="00E628BE" w:rsidRPr="00C00335">
        <w:t> = </w:t>
      </w:r>
      <w:r w:rsidR="00D96458" w:rsidRPr="00C00335">
        <w:t>2</w:t>
      </w:r>
      <w:r w:rsidRPr="00C00335">
        <w:t>)</w:t>
      </w:r>
      <w:r w:rsidR="00C367F6" w:rsidRPr="00C00335">
        <w:t xml:space="preserve"> is calculated as </w:t>
      </w:r>
      <w:r w:rsidRPr="00C00335">
        <w:t xml:space="preserve">the infection risk for susceptible individuals not on </w:t>
      </w:r>
      <w:proofErr w:type="spellStart"/>
      <w:r w:rsidRPr="00C00335">
        <w:t>PrEP</w:t>
      </w:r>
      <w:proofErr w:type="spellEnd"/>
      <w:r w:rsidRPr="00C00335">
        <w:t xml:space="preserve"> (</w:t>
      </w:r>
      <m:oMath>
        <m:sSub>
          <m:sSubPr>
            <m:ctrlPr>
              <w:rPr>
                <w:rFonts w:ascii="Cambria Math" w:hAnsi="Cambria Math"/>
                <w:i/>
              </w:rPr>
            </m:ctrlPr>
          </m:sSubPr>
          <m:e>
            <m:r>
              <w:rPr>
                <w:rFonts w:ascii="Cambria Math" w:hAnsi="Cambria Math"/>
              </w:rPr>
              <m:t>λ</m:t>
            </m:r>
          </m:e>
          <m:sub>
            <m:r>
              <w:rPr>
                <w:rFonts w:ascii="Cambria Math" w:hAnsi="Cambria Math"/>
              </w:rPr>
              <m:t>p</m:t>
            </m:r>
          </m:sub>
        </m:sSub>
        <m:d>
          <m:dPr>
            <m:ctrlPr>
              <w:rPr>
                <w:rFonts w:ascii="Cambria Math" w:hAnsi="Cambria Math"/>
                <w:i/>
              </w:rPr>
            </m:ctrlPr>
          </m:dPr>
          <m:e>
            <m:r>
              <w:rPr>
                <w:rFonts w:ascii="Cambria Math" w:hAnsi="Cambria Math"/>
              </w:rPr>
              <m:t>t</m:t>
            </m:r>
          </m:e>
        </m:d>
      </m:oMath>
      <w:r w:rsidRPr="00C00335">
        <w:rPr>
          <w:rFonts w:ascii="Calibri" w:hAnsi="Calibri"/>
        </w:rPr>
        <w:t>)</w:t>
      </w:r>
      <w:r w:rsidR="00EC7979" w:rsidRPr="00C00335">
        <w:t xml:space="preserve"> reduced by a multiplicative </w:t>
      </w:r>
      <w:r w:rsidRPr="00C00335">
        <w:t xml:space="preserve">factor. Those multiplicative factors are listed in </w:t>
      </w:r>
      <w:r w:rsidR="00871E69" w:rsidRPr="00C00335">
        <w:t>Table 6.</w:t>
      </w:r>
      <w:r w:rsidR="008865E7" w:rsidRPr="00C00335">
        <w:t>1</w:t>
      </w:r>
      <w:r w:rsidR="008865E7">
        <w:t>3</w:t>
      </w:r>
      <w:r w:rsidRPr="00C00335">
        <w:t>.</w:t>
      </w:r>
    </w:p>
    <w:p w14:paraId="3C49644C" w14:textId="0DB5E5B2" w:rsidR="00C2663F" w:rsidRPr="00C00335" w:rsidRDefault="004F4E6D" w:rsidP="00090075">
      <w:pPr>
        <w:pStyle w:val="TableTitle"/>
      </w:pPr>
      <w:bookmarkStart w:id="88" w:name="_Toc89257608"/>
      <w:r w:rsidRPr="00C00335">
        <w:t>Table 6.</w:t>
      </w:r>
      <w:r w:rsidR="008865E7" w:rsidRPr="00C00335">
        <w:t>1</w:t>
      </w:r>
      <w:r w:rsidR="008865E7">
        <w:t>3</w:t>
      </w:r>
      <w:r w:rsidR="00C2663F" w:rsidRPr="00C00335">
        <w:t>.</w:t>
      </w:r>
      <w:r w:rsidR="00C2663F" w:rsidRPr="00C00335">
        <w:tab/>
      </w:r>
      <w:r w:rsidR="009F5E14" w:rsidRPr="00C00335">
        <w:t>Percent</w:t>
      </w:r>
      <w:r w:rsidR="00090075" w:rsidRPr="00C00335">
        <w:t>age</w:t>
      </w:r>
      <w:r w:rsidR="009F5E14" w:rsidRPr="00C00335">
        <w:t xml:space="preserve"> </w:t>
      </w:r>
      <w:r w:rsidR="00090075" w:rsidRPr="00C00335">
        <w:t>R</w:t>
      </w:r>
      <w:r w:rsidR="00C2663F" w:rsidRPr="00C00335">
        <w:t xml:space="preserve">eduction in </w:t>
      </w:r>
      <w:r w:rsidR="00090075" w:rsidRPr="00C00335">
        <w:t>I</w:t>
      </w:r>
      <w:r w:rsidR="00C2663F" w:rsidRPr="00C00335">
        <w:t xml:space="preserve">nfection </w:t>
      </w:r>
      <w:r w:rsidR="00090075" w:rsidRPr="00C00335">
        <w:t>R</w:t>
      </w:r>
      <w:r w:rsidR="00C2663F" w:rsidRPr="00C00335">
        <w:t xml:space="preserve">isk if on </w:t>
      </w:r>
      <w:proofErr w:type="spellStart"/>
      <w:r w:rsidR="00C2663F" w:rsidRPr="00C00335">
        <w:t>PrEP</w:t>
      </w:r>
      <w:bookmarkEnd w:id="88"/>
      <w:proofErr w:type="spellEnd"/>
      <w:r w:rsidR="00C2663F" w:rsidRPr="00C00335">
        <w:t xml:space="preserve"> </w:t>
      </w:r>
    </w:p>
    <w:tbl>
      <w:tblPr>
        <w:tblStyle w:val="TableFormat4"/>
        <w:tblW w:w="9360" w:type="dxa"/>
        <w:tblInd w:w="0" w:type="dxa"/>
        <w:tblLayout w:type="fixed"/>
        <w:tblCellMar>
          <w:left w:w="115" w:type="dxa"/>
          <w:right w:w="115" w:type="dxa"/>
        </w:tblCellMar>
        <w:tblLook w:val="04A0" w:firstRow="1" w:lastRow="0" w:firstColumn="1" w:lastColumn="0" w:noHBand="0" w:noVBand="1"/>
      </w:tblPr>
      <w:tblGrid>
        <w:gridCol w:w="2921"/>
        <w:gridCol w:w="2430"/>
        <w:gridCol w:w="4009"/>
      </w:tblGrid>
      <w:tr w:rsidR="00C2663F" w:rsidRPr="00C00335" w14:paraId="49F1459C" w14:textId="77777777" w:rsidTr="00260D8A">
        <w:trPr>
          <w:cnfStyle w:val="100000000000" w:firstRow="1" w:lastRow="0" w:firstColumn="0" w:lastColumn="0" w:oddVBand="0" w:evenVBand="0" w:oddHBand="0" w:evenHBand="0" w:firstRowFirstColumn="0" w:firstRowLastColumn="0" w:lastRowFirstColumn="0" w:lastRowLastColumn="0"/>
        </w:trPr>
        <w:tc>
          <w:tcPr>
            <w:tcW w:w="2921" w:type="dxa"/>
          </w:tcPr>
          <w:p w14:paraId="66999B56" w14:textId="10B4548B" w:rsidR="00C2663F" w:rsidRPr="00C00335" w:rsidRDefault="0035657E" w:rsidP="00C2663F">
            <w:pPr>
              <w:pStyle w:val="TableHeaders"/>
            </w:pPr>
            <w:bookmarkStart w:id="89" w:name="_Hlk54750237"/>
            <w:r w:rsidRPr="00C00335">
              <w:rPr>
                <w:szCs w:val="18"/>
              </w:rPr>
              <w:t>Risk Group</w:t>
            </w:r>
          </w:p>
        </w:tc>
        <w:tc>
          <w:tcPr>
            <w:tcW w:w="2430" w:type="dxa"/>
            <w:noWrap/>
          </w:tcPr>
          <w:p w14:paraId="2DE92961" w14:textId="77777777" w:rsidR="00C2663F" w:rsidRPr="00C00335" w:rsidRDefault="00C2663F" w:rsidP="00C2663F">
            <w:pPr>
              <w:pStyle w:val="TableHeaders"/>
            </w:pPr>
            <w:r w:rsidRPr="00C00335">
              <w:t>Value</w:t>
            </w:r>
          </w:p>
        </w:tc>
        <w:tc>
          <w:tcPr>
            <w:tcW w:w="4009" w:type="dxa"/>
          </w:tcPr>
          <w:p w14:paraId="64E540BB" w14:textId="77777777" w:rsidR="00C2663F" w:rsidRPr="00C00335" w:rsidRDefault="00C2663F" w:rsidP="00C2663F">
            <w:pPr>
              <w:pStyle w:val="TableHeaders"/>
            </w:pPr>
            <w:r w:rsidRPr="00C00335">
              <w:t>Source</w:t>
            </w:r>
          </w:p>
        </w:tc>
      </w:tr>
      <w:tr w:rsidR="00090075" w:rsidRPr="00C00335" w14:paraId="0100C2B1" w14:textId="77777777" w:rsidTr="00260D8A">
        <w:tc>
          <w:tcPr>
            <w:tcW w:w="2921" w:type="dxa"/>
          </w:tcPr>
          <w:p w14:paraId="48085F4B" w14:textId="0095B739" w:rsidR="00090075" w:rsidRPr="00C00335" w:rsidRDefault="00090075" w:rsidP="00090075">
            <w:pPr>
              <w:pStyle w:val="TableText"/>
              <w:rPr>
                <w:szCs w:val="18"/>
              </w:rPr>
            </w:pPr>
            <w:r w:rsidRPr="00C00335">
              <w:rPr>
                <w:szCs w:val="18"/>
              </w:rPr>
              <w:t>HET</w:t>
            </w:r>
          </w:p>
        </w:tc>
        <w:tc>
          <w:tcPr>
            <w:tcW w:w="2430" w:type="dxa"/>
            <w:noWrap/>
          </w:tcPr>
          <w:p w14:paraId="043C9020" w14:textId="60B8F1BD" w:rsidR="00090075" w:rsidRPr="00C00335" w:rsidRDefault="00090075" w:rsidP="00090075">
            <w:pPr>
              <w:pStyle w:val="TableText"/>
              <w:jc w:val="center"/>
              <w:rPr>
                <w:szCs w:val="18"/>
              </w:rPr>
            </w:pPr>
            <w:r w:rsidRPr="00C00335">
              <w:rPr>
                <w:szCs w:val="18"/>
              </w:rPr>
              <w:t>75%</w:t>
            </w:r>
          </w:p>
        </w:tc>
        <w:tc>
          <w:tcPr>
            <w:tcW w:w="4009" w:type="dxa"/>
          </w:tcPr>
          <w:p w14:paraId="2271C0DE" w14:textId="4224D0B1" w:rsidR="00090075" w:rsidRPr="00C00335" w:rsidRDefault="00090075" w:rsidP="00090075">
            <w:pPr>
              <w:pStyle w:val="TableText"/>
              <w:rPr>
                <w:szCs w:val="18"/>
              </w:rPr>
            </w:pPr>
            <w:r w:rsidRPr="00C00335">
              <w:t>Baeten et al. (2012)</w:t>
            </w:r>
          </w:p>
        </w:tc>
      </w:tr>
      <w:tr w:rsidR="00090075" w:rsidRPr="00C00335" w14:paraId="784F5C09" w14:textId="77777777" w:rsidTr="00260D8A">
        <w:tc>
          <w:tcPr>
            <w:tcW w:w="2921" w:type="dxa"/>
          </w:tcPr>
          <w:p w14:paraId="1539C311" w14:textId="165C52FD" w:rsidR="00090075" w:rsidRPr="00C00335" w:rsidRDefault="00090075" w:rsidP="00090075">
            <w:pPr>
              <w:pStyle w:val="TableText"/>
              <w:rPr>
                <w:szCs w:val="18"/>
              </w:rPr>
            </w:pPr>
            <w:r w:rsidRPr="00C00335">
              <w:rPr>
                <w:szCs w:val="18"/>
              </w:rPr>
              <w:t>MSM</w:t>
            </w:r>
          </w:p>
        </w:tc>
        <w:tc>
          <w:tcPr>
            <w:tcW w:w="2430" w:type="dxa"/>
            <w:noWrap/>
          </w:tcPr>
          <w:p w14:paraId="63FD1095" w14:textId="39A102AC" w:rsidR="00090075" w:rsidRPr="00C00335" w:rsidRDefault="00090075" w:rsidP="00090075">
            <w:pPr>
              <w:pStyle w:val="TableText"/>
              <w:jc w:val="center"/>
              <w:rPr>
                <w:szCs w:val="18"/>
              </w:rPr>
            </w:pPr>
            <w:r w:rsidRPr="00C00335">
              <w:rPr>
                <w:szCs w:val="18"/>
              </w:rPr>
              <w:t>73%</w:t>
            </w:r>
          </w:p>
        </w:tc>
        <w:tc>
          <w:tcPr>
            <w:tcW w:w="4009" w:type="dxa"/>
          </w:tcPr>
          <w:p w14:paraId="7E720C50" w14:textId="1966F024" w:rsidR="00090075" w:rsidRPr="00C00335" w:rsidRDefault="00090075" w:rsidP="00090075">
            <w:pPr>
              <w:pStyle w:val="TableText"/>
              <w:rPr>
                <w:szCs w:val="18"/>
              </w:rPr>
            </w:pPr>
            <w:r w:rsidRPr="00C00335">
              <w:t>Grant et al. (2010)</w:t>
            </w:r>
          </w:p>
        </w:tc>
      </w:tr>
      <w:tr w:rsidR="00090075" w:rsidRPr="00C00335" w14:paraId="540C15C2" w14:textId="77777777" w:rsidTr="00260D8A">
        <w:tc>
          <w:tcPr>
            <w:tcW w:w="2921" w:type="dxa"/>
          </w:tcPr>
          <w:p w14:paraId="178AB298" w14:textId="62028AB7" w:rsidR="00090075" w:rsidRPr="00C00335" w:rsidRDefault="00090075" w:rsidP="00090075">
            <w:pPr>
              <w:pStyle w:val="TableText"/>
              <w:rPr>
                <w:szCs w:val="18"/>
              </w:rPr>
            </w:pPr>
            <w:r w:rsidRPr="00C00335">
              <w:rPr>
                <w:szCs w:val="18"/>
              </w:rPr>
              <w:t>PWID</w:t>
            </w:r>
          </w:p>
        </w:tc>
        <w:tc>
          <w:tcPr>
            <w:tcW w:w="2430" w:type="dxa"/>
            <w:noWrap/>
          </w:tcPr>
          <w:p w14:paraId="3EF2254B" w14:textId="351F661B" w:rsidR="00090075" w:rsidRPr="00C00335" w:rsidRDefault="00090075" w:rsidP="00090075">
            <w:pPr>
              <w:pStyle w:val="TableText"/>
              <w:jc w:val="center"/>
              <w:rPr>
                <w:szCs w:val="18"/>
              </w:rPr>
            </w:pPr>
            <w:r w:rsidRPr="00C00335">
              <w:rPr>
                <w:szCs w:val="18"/>
              </w:rPr>
              <w:t>49%</w:t>
            </w:r>
          </w:p>
        </w:tc>
        <w:tc>
          <w:tcPr>
            <w:tcW w:w="4009" w:type="dxa"/>
          </w:tcPr>
          <w:p w14:paraId="6A8D914D" w14:textId="1D1766C1" w:rsidR="00090075" w:rsidRPr="00C00335" w:rsidRDefault="00090075" w:rsidP="00090075">
            <w:pPr>
              <w:pStyle w:val="TableText"/>
              <w:rPr>
                <w:szCs w:val="18"/>
              </w:rPr>
            </w:pPr>
            <w:proofErr w:type="spellStart"/>
            <w:r w:rsidRPr="00C00335">
              <w:t>Choopanya</w:t>
            </w:r>
            <w:proofErr w:type="spellEnd"/>
            <w:r w:rsidRPr="00C00335">
              <w:t xml:space="preserve"> et al. (2013)</w:t>
            </w:r>
          </w:p>
        </w:tc>
      </w:tr>
    </w:tbl>
    <w:bookmarkEnd w:id="89"/>
    <w:p w14:paraId="6EAB84B2" w14:textId="14F5F344" w:rsidR="00C2663F" w:rsidRPr="00C00335" w:rsidRDefault="00090075" w:rsidP="00C2663F">
      <w:pPr>
        <w:pStyle w:val="Source1"/>
      </w:pPr>
      <w:r w:rsidRPr="00C00335">
        <w:t xml:space="preserve">Note: </w:t>
      </w:r>
      <w:r w:rsidR="009F5E14" w:rsidRPr="00C00335">
        <w:t>HET</w:t>
      </w:r>
      <w:r w:rsidR="00E628BE" w:rsidRPr="00C00335">
        <w:t> = </w:t>
      </w:r>
      <w:r w:rsidR="009F5E14" w:rsidRPr="00C00335">
        <w:t>heterosexual; MSM</w:t>
      </w:r>
      <w:r w:rsidR="00E628BE" w:rsidRPr="00C00335">
        <w:t> = </w:t>
      </w:r>
      <w:r w:rsidR="009F5E14" w:rsidRPr="00C00335">
        <w:t>men who have sex with men; PWID</w:t>
      </w:r>
      <w:r w:rsidR="00E628BE" w:rsidRPr="00C00335">
        <w:t> = </w:t>
      </w:r>
      <w:r w:rsidR="009F5E14" w:rsidRPr="00C00335">
        <w:t>people who inject drugs</w:t>
      </w:r>
    </w:p>
    <w:p w14:paraId="4D82D593" w14:textId="2FE72DC1" w:rsidR="00BE4CD6" w:rsidRPr="00C00335" w:rsidRDefault="00483B9E" w:rsidP="00C16CB0">
      <w:pPr>
        <w:pStyle w:val="BodyText"/>
        <w:keepNext/>
      </w:pPr>
      <w:r w:rsidRPr="00C00335">
        <w:t xml:space="preserve">We assumed that individuals on </w:t>
      </w:r>
      <w:proofErr w:type="spellStart"/>
      <w:r w:rsidRPr="00C00335">
        <w:t>PrEP</w:t>
      </w:r>
      <w:proofErr w:type="spellEnd"/>
      <w:r w:rsidRPr="00C00335">
        <w:t xml:space="preserve"> are also already engaged in the health</w:t>
      </w:r>
      <w:r w:rsidR="00C16CB0" w:rsidRPr="00C00335">
        <w:t xml:space="preserve"> </w:t>
      </w:r>
      <w:r w:rsidRPr="00C00335">
        <w:t xml:space="preserve">care system and tested for HIV regularly and, therefore, when infected with HIV, immediately </w:t>
      </w:r>
      <w:proofErr w:type="gramStart"/>
      <w:r w:rsidRPr="00C00335">
        <w:t>diagnosed</w:t>
      </w:r>
      <w:proofErr w:type="gramEnd"/>
      <w:r w:rsidRPr="00C00335">
        <w:t xml:space="preserve"> and </w:t>
      </w:r>
      <w:r w:rsidR="009E34D9" w:rsidRPr="00C00335">
        <w:t>linked to HIV care</w:t>
      </w:r>
      <w:r w:rsidR="00BD1B2A" w:rsidRPr="00C00335">
        <w:t>.</w:t>
      </w:r>
    </w:p>
    <w:p w14:paraId="27FDA450" w14:textId="6177168D" w:rsidR="00E07FF8" w:rsidRPr="00326904" w:rsidRDefault="0021012F" w:rsidP="00AF5B78">
      <w:pPr>
        <w:pStyle w:val="Heading2"/>
      </w:pPr>
      <w:bookmarkStart w:id="90" w:name="_Toc89257550"/>
      <w:bookmarkEnd w:id="87"/>
      <w:r w:rsidRPr="00326904">
        <w:t>Calculation of Force of Infection for Individuals in S</w:t>
      </w:r>
      <w:r w:rsidR="004E4798">
        <w:t>S</w:t>
      </w:r>
      <w:r w:rsidRPr="00326904">
        <w:t>P</w:t>
      </w:r>
      <w:bookmarkEnd w:id="90"/>
      <w:r w:rsidRPr="00326904">
        <w:t xml:space="preserve"> </w:t>
      </w:r>
    </w:p>
    <w:p w14:paraId="48955F4A" w14:textId="7C861570" w:rsidR="00E07FF8" w:rsidRPr="00326904" w:rsidRDefault="00E07FF8" w:rsidP="00E07FF8">
      <w:pPr>
        <w:pStyle w:val="BodyText"/>
      </w:pPr>
      <w:r w:rsidRPr="00326904">
        <w:t>PWID (susceptible and HIV-infected) may participate in a S</w:t>
      </w:r>
      <w:r w:rsidR="004E4798">
        <w:t>S</w:t>
      </w:r>
      <w:r w:rsidRPr="00326904">
        <w:t>P in the third time period.</w:t>
      </w:r>
      <w:r w:rsidR="009A0D78" w:rsidRPr="00326904">
        <w:t xml:space="preserve"> Infection risk for susceptible individuals participating in a S</w:t>
      </w:r>
      <w:r w:rsidR="004E4798">
        <w:t>S</w:t>
      </w:r>
      <w:r w:rsidR="009A0D78" w:rsidRPr="00326904">
        <w:t>P is calculated as the infection risk for susceptible individuals not participating in a S</w:t>
      </w:r>
      <w:r w:rsidR="0066213A">
        <w:t>S</w:t>
      </w:r>
      <w:r w:rsidR="009A0D78" w:rsidRPr="00326904">
        <w:t>P reduced by a multiplicative factor</w:t>
      </w:r>
      <w:r w:rsidR="00E058F0">
        <w:t xml:space="preserve"> (Table 6.</w:t>
      </w:r>
      <w:r w:rsidR="008865E7">
        <w:t>14</w:t>
      </w:r>
      <w:r w:rsidR="00E058F0">
        <w:t>)</w:t>
      </w:r>
      <w:r w:rsidR="009A0D78" w:rsidRPr="00326904">
        <w:t>.</w:t>
      </w:r>
      <w:r w:rsidR="001E5694" w:rsidRPr="00326904">
        <w:t xml:space="preserve"> </w:t>
      </w:r>
      <w:r w:rsidR="00B5472C" w:rsidRPr="00326904">
        <w:t>We</w:t>
      </w:r>
      <w:r w:rsidR="004F7018" w:rsidRPr="00326904">
        <w:t xml:space="preserve"> apply </w:t>
      </w:r>
      <w:r w:rsidR="009A0D78" w:rsidRPr="00326904">
        <w:t>the multiplicative factor</w:t>
      </w:r>
      <w:r w:rsidR="00B5472C" w:rsidRPr="00326904">
        <w:t xml:space="preserve"> through </w:t>
      </w:r>
      <w:r w:rsidR="004F7018" w:rsidRPr="00326904">
        <w:t xml:space="preserve">a </w:t>
      </w:r>
      <w:r w:rsidR="00B5472C" w:rsidRPr="00326904">
        <w:t xml:space="preserve">weighted </w:t>
      </w:r>
      <w:r w:rsidR="004F7018" w:rsidRPr="00326904">
        <w:t xml:space="preserve">reduction to </w:t>
      </w:r>
      <w:r w:rsidR="00E2106A" w:rsidRPr="00326904">
        <w:t>needle-sharing</w:t>
      </w:r>
      <w:r w:rsidR="004F7018" w:rsidRPr="00326904">
        <w:t xml:space="preserve"> </w:t>
      </w:r>
      <w:r w:rsidR="00B5472C" w:rsidRPr="00326904">
        <w:t>infection risk for susceptible</w:t>
      </w:r>
      <w:r w:rsidR="00E2106A" w:rsidRPr="00326904">
        <w:t xml:space="preserve"> PWID</w:t>
      </w:r>
      <w:r w:rsidR="00B5472C" w:rsidRPr="00326904">
        <w:t xml:space="preserve"> so that the effect is only on the portion of PWID </w:t>
      </w:r>
      <w:r w:rsidR="00C633F9" w:rsidRPr="00326904">
        <w:t>who</w:t>
      </w:r>
      <w:r w:rsidR="00B5472C" w:rsidRPr="00326904">
        <w:t xml:space="preserve"> are participating in S</w:t>
      </w:r>
      <w:r w:rsidR="0066213A">
        <w:t>S</w:t>
      </w:r>
      <w:r w:rsidR="00B5472C" w:rsidRPr="00326904">
        <w:t>Ps.</w:t>
      </w:r>
    </w:p>
    <w:p w14:paraId="3446FE35" w14:textId="35DF4F07" w:rsidR="0026640E" w:rsidRPr="00326904" w:rsidRDefault="0026640E" w:rsidP="0026640E">
      <w:pPr>
        <w:pStyle w:val="TableTitle"/>
      </w:pPr>
      <w:bookmarkStart w:id="91" w:name="_Toc89257609"/>
      <w:r w:rsidRPr="00326904">
        <w:lastRenderedPageBreak/>
        <w:t>Table 6.</w:t>
      </w:r>
      <w:r w:rsidR="008865E7" w:rsidRPr="00326904">
        <w:t>1</w:t>
      </w:r>
      <w:r w:rsidR="008865E7">
        <w:t>4</w:t>
      </w:r>
      <w:r w:rsidRPr="00326904">
        <w:t>.</w:t>
      </w:r>
      <w:r w:rsidRPr="00326904">
        <w:tab/>
      </w:r>
      <w:r w:rsidR="006001D9" w:rsidRPr="00326904">
        <w:t>Participation and Infection Risk Reduction for S</w:t>
      </w:r>
      <w:r w:rsidR="0066213A">
        <w:t>S</w:t>
      </w:r>
      <w:r w:rsidR="006001D9" w:rsidRPr="00326904">
        <w:t>P</w:t>
      </w:r>
      <w:bookmarkEnd w:id="91"/>
      <w:r w:rsidR="006001D9" w:rsidRPr="00326904">
        <w:t xml:space="preserve"> </w:t>
      </w:r>
    </w:p>
    <w:tbl>
      <w:tblPr>
        <w:tblStyle w:val="TableFormat4"/>
        <w:tblW w:w="9360" w:type="dxa"/>
        <w:tblInd w:w="0" w:type="dxa"/>
        <w:tblLayout w:type="fixed"/>
        <w:tblCellMar>
          <w:left w:w="115" w:type="dxa"/>
          <w:right w:w="115" w:type="dxa"/>
        </w:tblCellMar>
        <w:tblLook w:val="04A0" w:firstRow="1" w:lastRow="0" w:firstColumn="1" w:lastColumn="0" w:noHBand="0" w:noVBand="1"/>
      </w:tblPr>
      <w:tblGrid>
        <w:gridCol w:w="2921"/>
        <w:gridCol w:w="2430"/>
        <w:gridCol w:w="4009"/>
      </w:tblGrid>
      <w:tr w:rsidR="0026640E" w:rsidRPr="00326904" w14:paraId="7A47A701" w14:textId="77777777" w:rsidTr="00251AFF">
        <w:trPr>
          <w:cnfStyle w:val="100000000000" w:firstRow="1" w:lastRow="0" w:firstColumn="0" w:lastColumn="0" w:oddVBand="0" w:evenVBand="0" w:oddHBand="0" w:evenHBand="0" w:firstRowFirstColumn="0" w:firstRowLastColumn="0" w:lastRowFirstColumn="0" w:lastRowLastColumn="0"/>
        </w:trPr>
        <w:tc>
          <w:tcPr>
            <w:tcW w:w="2921" w:type="dxa"/>
          </w:tcPr>
          <w:p w14:paraId="22930D59" w14:textId="1D313267" w:rsidR="0026640E" w:rsidRPr="00326904" w:rsidRDefault="006001D9" w:rsidP="00841835">
            <w:pPr>
              <w:pStyle w:val="TableHeaders"/>
              <w:keepNext/>
            </w:pPr>
            <w:r w:rsidRPr="00326904">
              <w:rPr>
                <w:szCs w:val="18"/>
              </w:rPr>
              <w:t>Input</w:t>
            </w:r>
          </w:p>
        </w:tc>
        <w:tc>
          <w:tcPr>
            <w:tcW w:w="2430" w:type="dxa"/>
            <w:noWrap/>
          </w:tcPr>
          <w:p w14:paraId="7E73DDDA" w14:textId="77777777" w:rsidR="0026640E" w:rsidRPr="00326904" w:rsidRDefault="0026640E" w:rsidP="00841835">
            <w:pPr>
              <w:pStyle w:val="TableHeaders"/>
              <w:keepNext/>
            </w:pPr>
            <w:r w:rsidRPr="00326904">
              <w:t>Value</w:t>
            </w:r>
          </w:p>
        </w:tc>
        <w:tc>
          <w:tcPr>
            <w:tcW w:w="4009" w:type="dxa"/>
          </w:tcPr>
          <w:p w14:paraId="3E13022F" w14:textId="77777777" w:rsidR="0026640E" w:rsidRPr="00326904" w:rsidRDefault="0026640E" w:rsidP="00841835">
            <w:pPr>
              <w:pStyle w:val="TableHeaders"/>
              <w:keepNext/>
            </w:pPr>
            <w:r w:rsidRPr="00326904">
              <w:t>Source</w:t>
            </w:r>
          </w:p>
        </w:tc>
      </w:tr>
      <w:tr w:rsidR="006001D9" w:rsidRPr="00421CB1" w14:paraId="320197BA" w14:textId="77777777" w:rsidTr="00251AFF">
        <w:tc>
          <w:tcPr>
            <w:tcW w:w="2921" w:type="dxa"/>
          </w:tcPr>
          <w:p w14:paraId="7FF2509F" w14:textId="44B0A066" w:rsidR="006001D9" w:rsidRPr="00421CB1" w:rsidRDefault="006001D9" w:rsidP="00841835">
            <w:pPr>
              <w:pStyle w:val="TableText"/>
              <w:keepNext/>
              <w:rPr>
                <w:szCs w:val="18"/>
              </w:rPr>
            </w:pPr>
            <w:r w:rsidRPr="00421CB1">
              <w:rPr>
                <w:szCs w:val="18"/>
              </w:rPr>
              <w:t xml:space="preserve">Number of PWID served by SEPs annually </w:t>
            </w:r>
          </w:p>
        </w:tc>
        <w:tc>
          <w:tcPr>
            <w:tcW w:w="2430" w:type="dxa"/>
            <w:noWrap/>
          </w:tcPr>
          <w:p w14:paraId="0E0BEB63" w14:textId="4B0BC7B0" w:rsidR="006001D9" w:rsidRPr="00421CB1" w:rsidRDefault="003324BF" w:rsidP="00841835">
            <w:pPr>
              <w:pStyle w:val="TableText"/>
              <w:keepNext/>
              <w:jc w:val="center"/>
              <w:rPr>
                <w:szCs w:val="18"/>
              </w:rPr>
            </w:pPr>
            <w:r w:rsidRPr="00421CB1">
              <w:rPr>
                <w:szCs w:val="18"/>
              </w:rPr>
              <w:t>100,275</w:t>
            </w:r>
          </w:p>
        </w:tc>
        <w:tc>
          <w:tcPr>
            <w:tcW w:w="4009" w:type="dxa"/>
          </w:tcPr>
          <w:p w14:paraId="7A51DFBF" w14:textId="5F8514D5" w:rsidR="006001D9" w:rsidRPr="00421CB1" w:rsidRDefault="00444C57" w:rsidP="00841835">
            <w:pPr>
              <w:pStyle w:val="TableText"/>
              <w:keepNext/>
            </w:pPr>
            <w:proofErr w:type="spellStart"/>
            <w:r w:rsidRPr="00421CB1">
              <w:t>Calculated</w:t>
            </w:r>
            <w:r w:rsidR="007E1B05" w:rsidRPr="00421CB1">
              <w:rPr>
                <w:vertAlign w:val="superscript"/>
              </w:rPr>
              <w:t>a</w:t>
            </w:r>
            <w:proofErr w:type="spellEnd"/>
          </w:p>
        </w:tc>
      </w:tr>
      <w:tr w:rsidR="007E1B05" w:rsidRPr="00421CB1" w14:paraId="5062608D" w14:textId="77777777" w:rsidTr="00251AFF">
        <w:tc>
          <w:tcPr>
            <w:tcW w:w="2921" w:type="dxa"/>
          </w:tcPr>
          <w:p w14:paraId="3DD97A20" w14:textId="4E3A5473" w:rsidR="007E1B05" w:rsidRPr="00421CB1" w:rsidRDefault="007E1B05" w:rsidP="00841835">
            <w:pPr>
              <w:pStyle w:val="TableText"/>
              <w:keepNext/>
              <w:rPr>
                <w:szCs w:val="18"/>
              </w:rPr>
            </w:pPr>
            <w:r w:rsidRPr="00421CB1">
              <w:rPr>
                <w:szCs w:val="18"/>
              </w:rPr>
              <w:t>Percent</w:t>
            </w:r>
            <w:r w:rsidR="00C633F9" w:rsidRPr="00421CB1">
              <w:rPr>
                <w:szCs w:val="18"/>
              </w:rPr>
              <w:t>age</w:t>
            </w:r>
            <w:r w:rsidRPr="00421CB1">
              <w:rPr>
                <w:szCs w:val="18"/>
              </w:rPr>
              <w:t xml:space="preserve"> reduction in the annual rate of HIV transmission if PWID at risk for HIV is using SEP</w:t>
            </w:r>
          </w:p>
        </w:tc>
        <w:tc>
          <w:tcPr>
            <w:tcW w:w="2430" w:type="dxa"/>
            <w:noWrap/>
          </w:tcPr>
          <w:p w14:paraId="5B2EEF12" w14:textId="6338F044" w:rsidR="007E1B05" w:rsidRPr="00421CB1" w:rsidRDefault="007E1B05" w:rsidP="00841835">
            <w:pPr>
              <w:pStyle w:val="TableText"/>
              <w:keepNext/>
              <w:jc w:val="center"/>
              <w:rPr>
                <w:szCs w:val="18"/>
              </w:rPr>
            </w:pPr>
            <w:r w:rsidRPr="00421CB1">
              <w:rPr>
                <w:szCs w:val="18"/>
              </w:rPr>
              <w:t>34%</w:t>
            </w:r>
          </w:p>
        </w:tc>
        <w:tc>
          <w:tcPr>
            <w:tcW w:w="4009" w:type="dxa"/>
          </w:tcPr>
          <w:p w14:paraId="32967063" w14:textId="52A24D9C" w:rsidR="007E1B05" w:rsidRPr="00421CB1" w:rsidRDefault="007E1B05" w:rsidP="00841835">
            <w:pPr>
              <w:pStyle w:val="TableText"/>
              <w:keepNext/>
              <w:rPr>
                <w:szCs w:val="18"/>
              </w:rPr>
            </w:pPr>
            <w:proofErr w:type="spellStart"/>
            <w:r w:rsidRPr="00421CB1">
              <w:t>Aspinal</w:t>
            </w:r>
            <w:proofErr w:type="spellEnd"/>
            <w:r w:rsidRPr="00421CB1">
              <w:t xml:space="preserve"> et al. (2014)</w:t>
            </w:r>
            <w:r w:rsidRPr="00421CB1">
              <w:rPr>
                <w:vertAlign w:val="superscript"/>
              </w:rPr>
              <w:t>b</w:t>
            </w:r>
          </w:p>
        </w:tc>
      </w:tr>
    </w:tbl>
    <w:p w14:paraId="17304CDA" w14:textId="450D0C96" w:rsidR="007E1B05" w:rsidRPr="00C00335" w:rsidRDefault="0026640E" w:rsidP="00AF5B78">
      <w:pPr>
        <w:pStyle w:val="Source1"/>
        <w:ind w:left="0" w:firstLine="0"/>
      </w:pPr>
      <w:r w:rsidRPr="00421CB1">
        <w:t>Note: HET = heterosexual; MSM = men who have sex with men; PWID = people who inject drugs</w:t>
      </w:r>
      <w:r w:rsidR="007E1B05" w:rsidRPr="00421CB1">
        <w:t>; S</w:t>
      </w:r>
      <w:r w:rsidR="0066213A">
        <w:t>S</w:t>
      </w:r>
      <w:r w:rsidR="007E1B05" w:rsidRPr="00421CB1">
        <w:t xml:space="preserve">P = syringe </w:t>
      </w:r>
      <w:r w:rsidR="0066213A">
        <w:t>service</w:t>
      </w:r>
      <w:r w:rsidR="007E1B05" w:rsidRPr="00421CB1">
        <w:t xml:space="preserve"> program</w:t>
      </w:r>
      <w:r w:rsidR="007E1B05" w:rsidRPr="00421CB1">
        <w:br/>
      </w:r>
      <w:r w:rsidR="007E1B05" w:rsidRPr="00421CB1">
        <w:rPr>
          <w:vertAlign w:val="superscript"/>
        </w:rPr>
        <w:t>a</w:t>
      </w:r>
      <w:r w:rsidR="007E1B05" w:rsidRPr="00421CB1">
        <w:t xml:space="preserve"> Based on $21,920,618 total U</w:t>
      </w:r>
      <w:r w:rsidR="005F4FE3" w:rsidRPr="00421CB1">
        <w:t>.</w:t>
      </w:r>
      <w:r w:rsidR="007E1B05" w:rsidRPr="00421CB1">
        <w:t>S</w:t>
      </w:r>
      <w:r w:rsidR="005F4FE3" w:rsidRPr="00421CB1">
        <w:t>.</w:t>
      </w:r>
      <w:r w:rsidR="007E1B05" w:rsidRPr="00421CB1">
        <w:t xml:space="preserve"> spending</w:t>
      </w:r>
      <w:r w:rsidR="009408F3" w:rsidRPr="00421CB1">
        <w:t xml:space="preserve"> (2013$, </w:t>
      </w:r>
      <w:r w:rsidR="00F54A9D" w:rsidRPr="00421CB1">
        <w:t xml:space="preserve">$23,939,475 in </w:t>
      </w:r>
      <w:r w:rsidR="009408F3" w:rsidRPr="00421CB1">
        <w:t>201</w:t>
      </w:r>
      <w:r w:rsidR="00F22DB8" w:rsidRPr="00421CB1">
        <w:t>9</w:t>
      </w:r>
      <w:r w:rsidR="00F54A9D" w:rsidRPr="00421CB1">
        <w:t>$</w:t>
      </w:r>
      <w:r w:rsidR="009408F3" w:rsidRPr="00421CB1">
        <w:t>)</w:t>
      </w:r>
      <w:r w:rsidR="007E1B05" w:rsidRPr="00421CB1">
        <w:t xml:space="preserve"> on syringe</w:t>
      </w:r>
      <w:r w:rsidR="007E1B05" w:rsidRPr="002D6933">
        <w:t xml:space="preserve"> services in 2013 per Table 1 in Des Jarlais et al. (2015)</w:t>
      </w:r>
      <w:r w:rsidR="009408F3" w:rsidRPr="002D6933">
        <w:t xml:space="preserve"> </w:t>
      </w:r>
      <w:r w:rsidR="007E1B05" w:rsidRPr="002D6933">
        <w:t>divided by a cost of $</w:t>
      </w:r>
      <w:r w:rsidR="00F4647E" w:rsidRPr="002D6933">
        <w:t>2</w:t>
      </w:r>
      <w:r w:rsidR="00386670" w:rsidRPr="002D6933">
        <w:t>18</w:t>
      </w:r>
      <w:r w:rsidR="009408F3" w:rsidRPr="002D6933">
        <w:t>.40</w:t>
      </w:r>
      <w:r w:rsidR="00F4647E" w:rsidRPr="002D6933">
        <w:t xml:space="preserve"> (201</w:t>
      </w:r>
      <w:r w:rsidR="00386670" w:rsidRPr="002D6933">
        <w:t>3</w:t>
      </w:r>
      <w:r w:rsidR="00F4647E" w:rsidRPr="002D6933">
        <w:t>$</w:t>
      </w:r>
      <w:r w:rsidR="009408F3" w:rsidRPr="002D6933">
        <w:t>; $</w:t>
      </w:r>
      <w:r w:rsidR="00F54A9D" w:rsidRPr="002D6933">
        <w:t>238.</w:t>
      </w:r>
      <w:r w:rsidR="00FE2BC9">
        <w:t>74</w:t>
      </w:r>
      <w:r w:rsidR="00FE2BC9" w:rsidRPr="002D6933">
        <w:t xml:space="preserve"> </w:t>
      </w:r>
      <w:r w:rsidR="009408F3" w:rsidRPr="002D6933">
        <w:t xml:space="preserve">in </w:t>
      </w:r>
      <w:r w:rsidR="00FE2BC9" w:rsidRPr="002D6933">
        <w:t>201</w:t>
      </w:r>
      <w:r w:rsidR="00FE2BC9">
        <w:t>9</w:t>
      </w:r>
      <w:r w:rsidR="009408F3" w:rsidRPr="002D6933">
        <w:t>$</w:t>
      </w:r>
      <w:r w:rsidR="00F4647E" w:rsidRPr="002D6933">
        <w:t xml:space="preserve">) </w:t>
      </w:r>
      <w:r w:rsidR="007E1B05" w:rsidRPr="002D6933">
        <w:t>per PWID participating in an SEP (</w:t>
      </w:r>
      <w:r w:rsidR="00386670" w:rsidRPr="002D6933">
        <w:t xml:space="preserve">see section </w:t>
      </w:r>
      <w:r w:rsidR="00B924E3" w:rsidRPr="002D6933">
        <w:fldChar w:fldCharType="begin"/>
      </w:r>
      <w:r w:rsidR="00B924E3" w:rsidRPr="002D6933">
        <w:instrText xml:space="preserve"> REF _Ref19850913 \r \h  \* MERGEFORMAT </w:instrText>
      </w:r>
      <w:r w:rsidR="00B924E3" w:rsidRPr="002D6933">
        <w:fldChar w:fldCharType="separate"/>
      </w:r>
      <w:r w:rsidR="00B924E3" w:rsidRPr="002D6933">
        <w:t>9.2.5</w:t>
      </w:r>
      <w:r w:rsidR="00B924E3" w:rsidRPr="002D6933">
        <w:fldChar w:fldCharType="end"/>
      </w:r>
      <w:r w:rsidR="00386670" w:rsidRPr="002D6933">
        <w:t xml:space="preserve"> for </w:t>
      </w:r>
      <w:r w:rsidR="009408F3" w:rsidRPr="002D6933">
        <w:t>sources for</w:t>
      </w:r>
      <w:r w:rsidR="00386670" w:rsidRPr="002D6933">
        <w:t xml:space="preserve"> S</w:t>
      </w:r>
      <w:r w:rsidR="0031418F">
        <w:t>S</w:t>
      </w:r>
      <w:r w:rsidR="00386670" w:rsidRPr="002D6933">
        <w:t>P costs per PWID</w:t>
      </w:r>
      <w:r w:rsidR="007E1B05" w:rsidRPr="002D6933">
        <w:t>).</w:t>
      </w:r>
      <w:r w:rsidR="007E1B05" w:rsidRPr="00326904">
        <w:br/>
      </w:r>
      <w:r w:rsidR="007E1B05" w:rsidRPr="009B02F4">
        <w:rPr>
          <w:vertAlign w:val="superscript"/>
        </w:rPr>
        <w:t>b</w:t>
      </w:r>
      <w:r w:rsidR="007E1B05" w:rsidRPr="00326904">
        <w:t xml:space="preserve"> A relative HIV incidence of 0.66 (95% CI: 0.43, 1.01) was reported for PWID participating in a syringe </w:t>
      </w:r>
      <w:r w:rsidR="0031418F">
        <w:t>service</w:t>
      </w:r>
      <w:r w:rsidR="007E1B05" w:rsidRPr="00326904">
        <w:t xml:space="preserve"> program in Aspinall et al. (2014).</w:t>
      </w:r>
    </w:p>
    <w:p w14:paraId="1B302634" w14:textId="48CF39B8" w:rsidR="00B5472C" w:rsidRPr="00C00335" w:rsidRDefault="00B5472C" w:rsidP="00E2106A">
      <w:pPr>
        <w:pStyle w:val="equation"/>
        <w:tabs>
          <w:tab w:val="clear" w:pos="4680"/>
          <w:tab w:val="center" w:pos="5040"/>
        </w:tabs>
      </w:pPr>
    </w:p>
    <w:p w14:paraId="3B1D317F" w14:textId="6A00B39E" w:rsidR="00FF17E0" w:rsidRPr="00C00335" w:rsidRDefault="00FF17E0">
      <w:pPr>
        <w:rPr>
          <w:b/>
        </w:rPr>
        <w:sectPr w:rsidR="00FF17E0" w:rsidRPr="00C00335" w:rsidSect="00C63DB4">
          <w:headerReference w:type="even" r:id="rId79"/>
          <w:headerReference w:type="default" r:id="rId80"/>
          <w:footerReference w:type="even" r:id="rId81"/>
          <w:footerReference w:type="default" r:id="rId82"/>
          <w:type w:val="oddPage"/>
          <w:pgSz w:w="12240" w:h="15840" w:code="1"/>
          <w:pgMar w:top="1440" w:right="1440" w:bottom="1440" w:left="1440" w:header="720" w:footer="720" w:gutter="0"/>
          <w:pgNumType w:chapStyle="1"/>
          <w:cols w:space="720"/>
          <w:docGrid w:linePitch="360"/>
        </w:sectPr>
      </w:pPr>
    </w:p>
    <w:p w14:paraId="4EA0E013" w14:textId="77777777" w:rsidR="00336761" w:rsidRPr="00C00335" w:rsidRDefault="00336761" w:rsidP="00336761">
      <w:pPr>
        <w:pStyle w:val="Heading1"/>
      </w:pPr>
      <w:bookmarkStart w:id="92" w:name="_Toc398293125"/>
      <w:bookmarkStart w:id="93" w:name="_Toc89257551"/>
      <w:r w:rsidRPr="00C00335">
        <w:lastRenderedPageBreak/>
        <w:t>Differential Equations that Define the Model</w:t>
      </w:r>
      <w:bookmarkEnd w:id="92"/>
      <w:bookmarkEnd w:id="93"/>
    </w:p>
    <w:p w14:paraId="0CC113F2" w14:textId="28ED4BD1" w:rsidR="00336761" w:rsidRPr="00C00335" w:rsidRDefault="00336761" w:rsidP="007C6781">
      <w:pPr>
        <w:pStyle w:val="BodyText"/>
      </w:pPr>
      <w:r w:rsidRPr="00C00335">
        <w:t xml:space="preserve">This section outlines the differential equations that define this model. The equations are organized into subsections by compartments </w:t>
      </w:r>
      <w:r w:rsidRPr="00C00335">
        <w:rPr>
          <w:i/>
          <w:iCs/>
        </w:rPr>
        <w:t>c</w:t>
      </w:r>
      <w:r w:rsidRPr="00C00335">
        <w:t xml:space="preserve"> based on disease stage </w:t>
      </w:r>
      <w:r w:rsidRPr="00C00335">
        <w:rPr>
          <w:i/>
          <w:iCs/>
        </w:rPr>
        <w:t>h</w:t>
      </w:r>
      <w:r w:rsidRPr="00C00335">
        <w:t>. The</w:t>
      </w:r>
      <w:r w:rsidR="007C6781" w:rsidRPr="00C00335">
        <w:t xml:space="preserve"> differential</w:t>
      </w:r>
      <w:r w:rsidRPr="00C00335">
        <w:t xml:space="preserve"> equations in the model are solved using </w:t>
      </w:r>
      <w:r w:rsidR="000D3F2B">
        <w:t>Euler’s method</w:t>
      </w:r>
      <w:r w:rsidRPr="00C00335">
        <w:t xml:space="preserve"> with a time-step equal to </w:t>
      </w:r>
      <w:r w:rsidR="000D3F2B">
        <w:t>0.</w:t>
      </w:r>
      <w:r w:rsidR="000C5E51" w:rsidRPr="00C00335">
        <w:t xml:space="preserve">1 </w:t>
      </w:r>
      <w:r w:rsidRPr="00C00335">
        <w:t>year.</w:t>
      </w:r>
      <w:r w:rsidR="00CB68F5" w:rsidRPr="00C00335">
        <w:t xml:space="preserve"> </w:t>
      </w:r>
      <w:r w:rsidR="00871E69" w:rsidRPr="00C00335">
        <w:t>Table 7.</w:t>
      </w:r>
      <w:r w:rsidR="00CB68F5" w:rsidRPr="00C00335">
        <w:t xml:space="preserve">1 lists the model’s </w:t>
      </w:r>
      <w:r w:rsidR="00803D2D" w:rsidRPr="00C00335">
        <w:t>2</w:t>
      </w:r>
      <w:r w:rsidR="00F027AB">
        <w:t>7</w:t>
      </w:r>
      <w:r w:rsidR="00CB68F5" w:rsidRPr="00C00335">
        <w:t xml:space="preserve"> compartments</w:t>
      </w:r>
      <w:r w:rsidR="006B19E7" w:rsidRPr="00C00335">
        <w:t>.</w:t>
      </w:r>
    </w:p>
    <w:p w14:paraId="6626D2A0" w14:textId="73D2F430" w:rsidR="002B180E" w:rsidRPr="00C00335" w:rsidRDefault="004F4E6D" w:rsidP="00EE7C4C">
      <w:pPr>
        <w:pStyle w:val="TableTitle"/>
      </w:pPr>
      <w:bookmarkStart w:id="94" w:name="_Toc89257610"/>
      <w:r w:rsidRPr="00C00335">
        <w:t>Table 7.</w:t>
      </w:r>
      <w:r w:rsidR="002B180E" w:rsidRPr="00C00335">
        <w:t>1.</w:t>
      </w:r>
      <w:r w:rsidR="00F259E1" w:rsidRPr="00C00335">
        <w:tab/>
      </w:r>
      <w:r w:rsidR="00CB68F5" w:rsidRPr="00C00335">
        <w:t xml:space="preserve">Model </w:t>
      </w:r>
      <w:r w:rsidR="00F259E1" w:rsidRPr="00C00335">
        <w:t>Compartments</w:t>
      </w:r>
      <w:bookmarkEnd w:id="94"/>
    </w:p>
    <w:tbl>
      <w:tblPr>
        <w:tblW w:w="950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1108"/>
        <w:gridCol w:w="5581"/>
        <w:gridCol w:w="2815"/>
      </w:tblGrid>
      <w:tr w:rsidR="009171BE" w:rsidRPr="00C00335" w14:paraId="294C83B8" w14:textId="54FA5749" w:rsidTr="00260D8A">
        <w:trPr>
          <w:cantSplit/>
          <w:tblHeader/>
        </w:trPr>
        <w:tc>
          <w:tcPr>
            <w:tcW w:w="583" w:type="pct"/>
            <w:tcBorders>
              <w:top w:val="single" w:sz="12" w:space="0" w:color="auto"/>
              <w:bottom w:val="single" w:sz="6" w:space="0" w:color="auto"/>
            </w:tcBorders>
            <w:shd w:val="clear" w:color="auto" w:fill="auto"/>
            <w:vAlign w:val="bottom"/>
          </w:tcPr>
          <w:p w14:paraId="7A6B284D" w14:textId="77777777" w:rsidR="009171BE" w:rsidRPr="00C00335" w:rsidRDefault="009171BE" w:rsidP="00316E91">
            <w:pPr>
              <w:pStyle w:val="TableHeaders"/>
              <w:spacing w:before="40" w:after="40"/>
            </w:pPr>
            <w:r w:rsidRPr="00C00335">
              <w:t>Number</w:t>
            </w:r>
          </w:p>
        </w:tc>
        <w:tc>
          <w:tcPr>
            <w:tcW w:w="2936" w:type="pct"/>
            <w:tcBorders>
              <w:top w:val="single" w:sz="12" w:space="0" w:color="auto"/>
              <w:bottom w:val="single" w:sz="6" w:space="0" w:color="auto"/>
            </w:tcBorders>
            <w:vAlign w:val="bottom"/>
          </w:tcPr>
          <w:p w14:paraId="7BF60C8D" w14:textId="77777777" w:rsidR="009171BE" w:rsidRPr="00C00335" w:rsidRDefault="009171BE" w:rsidP="00316E91">
            <w:pPr>
              <w:pStyle w:val="TableHeaders"/>
              <w:spacing w:before="40" w:after="40"/>
            </w:pPr>
            <w:r w:rsidRPr="00C00335">
              <w:t>Description</w:t>
            </w:r>
          </w:p>
        </w:tc>
        <w:tc>
          <w:tcPr>
            <w:tcW w:w="1481" w:type="pct"/>
            <w:tcBorders>
              <w:top w:val="single" w:sz="12" w:space="0" w:color="auto"/>
              <w:bottom w:val="single" w:sz="6" w:space="0" w:color="auto"/>
            </w:tcBorders>
            <w:vAlign w:val="bottom"/>
          </w:tcPr>
          <w:p w14:paraId="22F36B34" w14:textId="3C863687" w:rsidR="009171BE" w:rsidRPr="00C00335" w:rsidRDefault="009171BE" w:rsidP="00316E91">
            <w:pPr>
              <w:pStyle w:val="TableHeaders"/>
              <w:spacing w:before="40" w:after="40"/>
            </w:pPr>
            <w:r w:rsidRPr="00C00335">
              <w:t>Row-Column Designation for Each Compartment</w:t>
            </w:r>
          </w:p>
        </w:tc>
      </w:tr>
      <w:tr w:rsidR="009171BE" w:rsidRPr="00C00335" w14:paraId="66D091CD" w14:textId="6F648201" w:rsidTr="00260D8A">
        <w:trPr>
          <w:cantSplit/>
        </w:trPr>
        <w:tc>
          <w:tcPr>
            <w:tcW w:w="583" w:type="pct"/>
            <w:tcBorders>
              <w:top w:val="single" w:sz="6" w:space="0" w:color="auto"/>
              <w:bottom w:val="single" w:sz="4" w:space="0" w:color="808080" w:themeColor="background1" w:themeShade="80"/>
            </w:tcBorders>
          </w:tcPr>
          <w:p w14:paraId="7766057A" w14:textId="77777777" w:rsidR="009171BE" w:rsidRPr="00C00335" w:rsidRDefault="009171BE" w:rsidP="00697525">
            <w:pPr>
              <w:pStyle w:val="TableText"/>
              <w:spacing w:before="40" w:after="40"/>
              <w:jc w:val="center"/>
              <w:rPr>
                <w:szCs w:val="18"/>
              </w:rPr>
            </w:pPr>
            <w:r w:rsidRPr="00C00335">
              <w:rPr>
                <w:szCs w:val="18"/>
              </w:rPr>
              <w:t>1</w:t>
            </w:r>
          </w:p>
        </w:tc>
        <w:tc>
          <w:tcPr>
            <w:tcW w:w="2936" w:type="pct"/>
            <w:tcBorders>
              <w:top w:val="single" w:sz="6" w:space="0" w:color="auto"/>
              <w:bottom w:val="single" w:sz="4" w:space="0" w:color="808080" w:themeColor="background1" w:themeShade="80"/>
            </w:tcBorders>
          </w:tcPr>
          <w:p w14:paraId="1FED1F25" w14:textId="36744253" w:rsidR="009171BE" w:rsidRPr="00C00335" w:rsidRDefault="001E11CA" w:rsidP="00803D2D">
            <w:pPr>
              <w:pStyle w:val="TableText"/>
              <w:spacing w:before="40" w:after="40"/>
              <w:rPr>
                <w:szCs w:val="18"/>
              </w:rPr>
            </w:pPr>
            <w:r w:rsidRPr="00C00335">
              <w:rPr>
                <w:szCs w:val="18"/>
              </w:rPr>
              <w:t>Susceptible</w:t>
            </w:r>
            <w:r w:rsidR="009171BE" w:rsidRPr="00C00335">
              <w:rPr>
                <w:szCs w:val="18"/>
              </w:rPr>
              <w:t xml:space="preserve"> / not on </w:t>
            </w:r>
            <w:proofErr w:type="spellStart"/>
            <w:r w:rsidR="009171BE" w:rsidRPr="00C00335">
              <w:rPr>
                <w:szCs w:val="18"/>
              </w:rPr>
              <w:t>PrEP</w:t>
            </w:r>
            <w:proofErr w:type="spellEnd"/>
          </w:p>
        </w:tc>
        <w:tc>
          <w:tcPr>
            <w:tcW w:w="1481" w:type="pct"/>
            <w:tcBorders>
              <w:top w:val="single" w:sz="6" w:space="0" w:color="auto"/>
              <w:bottom w:val="single" w:sz="4" w:space="0" w:color="808080" w:themeColor="background1" w:themeShade="80"/>
            </w:tcBorders>
          </w:tcPr>
          <w:p w14:paraId="7DDC5194" w14:textId="7D69CFE3" w:rsidR="009171BE" w:rsidRPr="00C00335" w:rsidRDefault="009171BE" w:rsidP="00697525">
            <w:pPr>
              <w:pStyle w:val="TableText"/>
              <w:spacing w:before="40" w:after="40"/>
              <w:jc w:val="center"/>
              <w:rPr>
                <w:szCs w:val="18"/>
              </w:rPr>
            </w:pPr>
            <w:r w:rsidRPr="00C00335">
              <w:rPr>
                <w:szCs w:val="18"/>
              </w:rPr>
              <w:t>A1</w:t>
            </w:r>
          </w:p>
        </w:tc>
      </w:tr>
      <w:tr w:rsidR="009171BE" w:rsidRPr="00C00335" w14:paraId="11A2C82E" w14:textId="0832864B" w:rsidTr="00260D8A">
        <w:trPr>
          <w:cantSplit/>
        </w:trPr>
        <w:tc>
          <w:tcPr>
            <w:tcW w:w="583" w:type="pct"/>
            <w:tcBorders>
              <w:top w:val="single" w:sz="4" w:space="0" w:color="808080" w:themeColor="background1" w:themeShade="80"/>
              <w:bottom w:val="single" w:sz="4" w:space="0" w:color="808080" w:themeColor="background1" w:themeShade="80"/>
            </w:tcBorders>
          </w:tcPr>
          <w:p w14:paraId="6A764AA0" w14:textId="77777777" w:rsidR="009171BE" w:rsidRPr="00C00335" w:rsidRDefault="009171BE" w:rsidP="00697525">
            <w:pPr>
              <w:pStyle w:val="TableText"/>
              <w:spacing w:before="40" w:after="40"/>
              <w:jc w:val="center"/>
              <w:rPr>
                <w:szCs w:val="18"/>
              </w:rPr>
            </w:pPr>
            <w:r w:rsidRPr="00C00335">
              <w:rPr>
                <w:szCs w:val="18"/>
              </w:rPr>
              <w:t>2</w:t>
            </w:r>
          </w:p>
        </w:tc>
        <w:tc>
          <w:tcPr>
            <w:tcW w:w="2936" w:type="pct"/>
            <w:tcBorders>
              <w:top w:val="single" w:sz="4" w:space="0" w:color="808080" w:themeColor="background1" w:themeShade="80"/>
              <w:bottom w:val="single" w:sz="4" w:space="0" w:color="808080" w:themeColor="background1" w:themeShade="80"/>
            </w:tcBorders>
          </w:tcPr>
          <w:p w14:paraId="5719BE34" w14:textId="56A94D81" w:rsidR="009171BE" w:rsidRPr="00C00335" w:rsidRDefault="001E11CA" w:rsidP="00803D2D">
            <w:pPr>
              <w:pStyle w:val="TableText"/>
              <w:spacing w:before="40" w:after="40"/>
              <w:rPr>
                <w:szCs w:val="18"/>
              </w:rPr>
            </w:pPr>
            <w:r w:rsidRPr="00C00335">
              <w:rPr>
                <w:szCs w:val="18"/>
              </w:rPr>
              <w:t>Susceptible</w:t>
            </w:r>
            <w:r w:rsidR="009171BE" w:rsidRPr="00C00335">
              <w:rPr>
                <w:szCs w:val="18"/>
              </w:rPr>
              <w:t xml:space="preserve">/ on </w:t>
            </w:r>
            <w:proofErr w:type="spellStart"/>
            <w:r w:rsidR="009171BE" w:rsidRPr="00C00335">
              <w:rPr>
                <w:szCs w:val="18"/>
              </w:rPr>
              <w:t>PrEP</w:t>
            </w:r>
            <w:proofErr w:type="spellEnd"/>
          </w:p>
        </w:tc>
        <w:tc>
          <w:tcPr>
            <w:tcW w:w="1481" w:type="pct"/>
            <w:tcBorders>
              <w:top w:val="single" w:sz="4" w:space="0" w:color="808080" w:themeColor="background1" w:themeShade="80"/>
              <w:bottom w:val="single" w:sz="4" w:space="0" w:color="808080" w:themeColor="background1" w:themeShade="80"/>
            </w:tcBorders>
          </w:tcPr>
          <w:p w14:paraId="1556918A" w14:textId="3D6B9FD9" w:rsidR="009171BE" w:rsidRPr="00C00335" w:rsidRDefault="009171BE" w:rsidP="00697525">
            <w:pPr>
              <w:pStyle w:val="TableText"/>
              <w:spacing w:before="40" w:after="40"/>
              <w:jc w:val="center"/>
              <w:rPr>
                <w:szCs w:val="18"/>
              </w:rPr>
            </w:pPr>
            <w:r w:rsidRPr="00C00335">
              <w:rPr>
                <w:szCs w:val="18"/>
              </w:rPr>
              <w:t>A6</w:t>
            </w:r>
          </w:p>
        </w:tc>
      </w:tr>
      <w:tr w:rsidR="009171BE" w:rsidRPr="00C00335" w14:paraId="5004C8F0" w14:textId="351A07A4" w:rsidTr="00260D8A">
        <w:trPr>
          <w:cantSplit/>
        </w:trPr>
        <w:tc>
          <w:tcPr>
            <w:tcW w:w="583" w:type="pct"/>
            <w:tcBorders>
              <w:top w:val="single" w:sz="4" w:space="0" w:color="808080" w:themeColor="background1" w:themeShade="80"/>
              <w:bottom w:val="single" w:sz="4" w:space="0" w:color="808080" w:themeColor="background1" w:themeShade="80"/>
            </w:tcBorders>
          </w:tcPr>
          <w:p w14:paraId="2CE646C8" w14:textId="77777777" w:rsidR="009171BE" w:rsidRPr="00C00335" w:rsidRDefault="009171BE" w:rsidP="00697525">
            <w:pPr>
              <w:pStyle w:val="TableText"/>
              <w:spacing w:before="40" w:after="40"/>
              <w:jc w:val="center"/>
              <w:rPr>
                <w:szCs w:val="18"/>
              </w:rPr>
            </w:pPr>
            <w:r w:rsidRPr="00C00335">
              <w:rPr>
                <w:szCs w:val="18"/>
              </w:rPr>
              <w:t>3</w:t>
            </w:r>
          </w:p>
        </w:tc>
        <w:tc>
          <w:tcPr>
            <w:tcW w:w="2936" w:type="pct"/>
            <w:tcBorders>
              <w:top w:val="single" w:sz="4" w:space="0" w:color="808080" w:themeColor="background1" w:themeShade="80"/>
              <w:bottom w:val="single" w:sz="4" w:space="0" w:color="808080" w:themeColor="background1" w:themeShade="80"/>
            </w:tcBorders>
          </w:tcPr>
          <w:p w14:paraId="193637BB" w14:textId="2CD4FE9F" w:rsidR="009171BE" w:rsidRPr="00C00335" w:rsidRDefault="005F5C70" w:rsidP="00803D2D">
            <w:pPr>
              <w:pStyle w:val="TableText"/>
              <w:spacing w:before="40" w:after="40"/>
              <w:rPr>
                <w:szCs w:val="18"/>
              </w:rPr>
            </w:pPr>
            <w:r w:rsidRPr="00C00335">
              <w:rPr>
                <w:szCs w:val="18"/>
              </w:rPr>
              <w:t>HIV-infected</w:t>
            </w:r>
            <w:r w:rsidR="009171BE" w:rsidRPr="00C00335">
              <w:rPr>
                <w:szCs w:val="18"/>
              </w:rPr>
              <w:t xml:space="preserve"> / acute stage / </w:t>
            </w:r>
            <w:r w:rsidR="002F0073" w:rsidRPr="00C00335">
              <w:rPr>
                <w:szCs w:val="18"/>
              </w:rPr>
              <w:t>unaware of infection</w:t>
            </w:r>
          </w:p>
        </w:tc>
        <w:tc>
          <w:tcPr>
            <w:tcW w:w="1481" w:type="pct"/>
            <w:tcBorders>
              <w:top w:val="single" w:sz="4" w:space="0" w:color="808080" w:themeColor="background1" w:themeShade="80"/>
              <w:bottom w:val="single" w:sz="4" w:space="0" w:color="808080" w:themeColor="background1" w:themeShade="80"/>
            </w:tcBorders>
          </w:tcPr>
          <w:p w14:paraId="42A3F45F" w14:textId="154E1E1E" w:rsidR="009171BE" w:rsidRPr="00C00335" w:rsidRDefault="009171BE" w:rsidP="00697525">
            <w:pPr>
              <w:pStyle w:val="TableText"/>
              <w:spacing w:before="40" w:after="40"/>
              <w:jc w:val="center"/>
              <w:rPr>
                <w:szCs w:val="18"/>
              </w:rPr>
            </w:pPr>
            <w:r w:rsidRPr="00C00335">
              <w:rPr>
                <w:szCs w:val="18"/>
              </w:rPr>
              <w:t>B1</w:t>
            </w:r>
          </w:p>
        </w:tc>
      </w:tr>
      <w:tr w:rsidR="009171BE" w:rsidRPr="00C00335" w14:paraId="396FA136" w14:textId="26E2B987" w:rsidTr="00260D8A">
        <w:trPr>
          <w:cantSplit/>
        </w:trPr>
        <w:tc>
          <w:tcPr>
            <w:tcW w:w="583" w:type="pct"/>
            <w:tcBorders>
              <w:top w:val="single" w:sz="4" w:space="0" w:color="808080" w:themeColor="background1" w:themeShade="80"/>
              <w:bottom w:val="single" w:sz="4" w:space="0" w:color="808080" w:themeColor="background1" w:themeShade="80"/>
            </w:tcBorders>
          </w:tcPr>
          <w:p w14:paraId="629D8E61" w14:textId="77777777" w:rsidR="009171BE" w:rsidRPr="00C00335" w:rsidRDefault="009171BE" w:rsidP="00697525">
            <w:pPr>
              <w:pStyle w:val="TableText"/>
              <w:spacing w:before="40" w:after="40"/>
              <w:jc w:val="center"/>
              <w:rPr>
                <w:szCs w:val="18"/>
              </w:rPr>
            </w:pPr>
            <w:r w:rsidRPr="00C00335">
              <w:rPr>
                <w:szCs w:val="18"/>
              </w:rPr>
              <w:t>4</w:t>
            </w:r>
          </w:p>
        </w:tc>
        <w:tc>
          <w:tcPr>
            <w:tcW w:w="2936" w:type="pct"/>
            <w:tcBorders>
              <w:top w:val="single" w:sz="4" w:space="0" w:color="808080" w:themeColor="background1" w:themeShade="80"/>
              <w:bottom w:val="single" w:sz="4" w:space="0" w:color="808080" w:themeColor="background1" w:themeShade="80"/>
            </w:tcBorders>
          </w:tcPr>
          <w:p w14:paraId="516C0E5B" w14:textId="4C8D0A90"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acute stage / </w:t>
            </w:r>
            <w:r w:rsidR="002F0073" w:rsidRPr="00C00335">
              <w:rPr>
                <w:szCs w:val="18"/>
              </w:rPr>
              <w:t>aware,</w:t>
            </w:r>
            <w:r w:rsidR="002F0073" w:rsidRPr="00C00335">
              <w:t xml:space="preserve"> </w:t>
            </w:r>
            <w:r w:rsidR="002F007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62F441CA" w14:textId="0D32653A" w:rsidR="009171BE" w:rsidRPr="00C00335" w:rsidRDefault="009171BE" w:rsidP="00697525">
            <w:pPr>
              <w:pStyle w:val="TableText"/>
              <w:spacing w:before="40" w:after="40"/>
              <w:jc w:val="center"/>
              <w:rPr>
                <w:szCs w:val="18"/>
              </w:rPr>
            </w:pPr>
            <w:r w:rsidRPr="00C00335">
              <w:rPr>
                <w:szCs w:val="18"/>
              </w:rPr>
              <w:t>B2</w:t>
            </w:r>
          </w:p>
        </w:tc>
      </w:tr>
      <w:tr w:rsidR="009171BE" w:rsidRPr="00C00335" w14:paraId="71A0A0D1" w14:textId="4F8CC2BD" w:rsidTr="00260D8A">
        <w:trPr>
          <w:cantSplit/>
        </w:trPr>
        <w:tc>
          <w:tcPr>
            <w:tcW w:w="583" w:type="pct"/>
            <w:tcBorders>
              <w:top w:val="single" w:sz="4" w:space="0" w:color="808080" w:themeColor="background1" w:themeShade="80"/>
              <w:bottom w:val="single" w:sz="4" w:space="0" w:color="808080" w:themeColor="background1" w:themeShade="80"/>
            </w:tcBorders>
          </w:tcPr>
          <w:p w14:paraId="0A885A87" w14:textId="77777777" w:rsidR="009171BE" w:rsidRPr="00C00335" w:rsidRDefault="009171BE" w:rsidP="00697525">
            <w:pPr>
              <w:pStyle w:val="TableText"/>
              <w:spacing w:before="40" w:after="40"/>
              <w:jc w:val="center"/>
              <w:rPr>
                <w:szCs w:val="18"/>
              </w:rPr>
            </w:pPr>
            <w:r w:rsidRPr="00C00335">
              <w:rPr>
                <w:szCs w:val="18"/>
              </w:rPr>
              <w:t>5</w:t>
            </w:r>
          </w:p>
        </w:tc>
        <w:tc>
          <w:tcPr>
            <w:tcW w:w="2936" w:type="pct"/>
            <w:tcBorders>
              <w:top w:val="single" w:sz="4" w:space="0" w:color="808080" w:themeColor="background1" w:themeShade="80"/>
              <w:bottom w:val="single" w:sz="4" w:space="0" w:color="808080" w:themeColor="background1" w:themeShade="80"/>
            </w:tcBorders>
          </w:tcPr>
          <w:p w14:paraId="2C05B294" w14:textId="7F8E867D"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acute stage / </w:t>
            </w:r>
            <w:r w:rsidR="002F0073" w:rsidRPr="00C00335">
              <w:rPr>
                <w:szCs w:val="18"/>
              </w:rPr>
              <w:t>linked to HIV care, but not prescribed ART</w:t>
            </w:r>
          </w:p>
        </w:tc>
        <w:tc>
          <w:tcPr>
            <w:tcW w:w="1481" w:type="pct"/>
            <w:tcBorders>
              <w:top w:val="single" w:sz="4" w:space="0" w:color="808080" w:themeColor="background1" w:themeShade="80"/>
              <w:bottom w:val="single" w:sz="4" w:space="0" w:color="808080" w:themeColor="background1" w:themeShade="80"/>
            </w:tcBorders>
          </w:tcPr>
          <w:p w14:paraId="6617BD20" w14:textId="65EBC706" w:rsidR="009171BE" w:rsidRPr="00C00335" w:rsidRDefault="009171BE" w:rsidP="00697525">
            <w:pPr>
              <w:pStyle w:val="TableText"/>
              <w:spacing w:before="40" w:after="40"/>
              <w:jc w:val="center"/>
              <w:rPr>
                <w:szCs w:val="18"/>
              </w:rPr>
            </w:pPr>
            <w:r w:rsidRPr="00C00335">
              <w:rPr>
                <w:szCs w:val="18"/>
              </w:rPr>
              <w:t>B3</w:t>
            </w:r>
          </w:p>
        </w:tc>
      </w:tr>
      <w:tr w:rsidR="009171BE" w:rsidRPr="00C00335" w14:paraId="5D125DF3" w14:textId="37BF671E" w:rsidTr="00260D8A">
        <w:trPr>
          <w:cantSplit/>
        </w:trPr>
        <w:tc>
          <w:tcPr>
            <w:tcW w:w="583" w:type="pct"/>
            <w:tcBorders>
              <w:top w:val="single" w:sz="4" w:space="0" w:color="808080" w:themeColor="background1" w:themeShade="80"/>
              <w:bottom w:val="single" w:sz="4" w:space="0" w:color="808080" w:themeColor="background1" w:themeShade="80"/>
            </w:tcBorders>
          </w:tcPr>
          <w:p w14:paraId="3A4675F3" w14:textId="77777777" w:rsidR="009171BE" w:rsidRPr="00C00335" w:rsidRDefault="009171BE" w:rsidP="00697525">
            <w:pPr>
              <w:pStyle w:val="TableText"/>
              <w:spacing w:before="40" w:after="40"/>
              <w:jc w:val="center"/>
              <w:rPr>
                <w:szCs w:val="18"/>
              </w:rPr>
            </w:pPr>
            <w:r w:rsidRPr="00C00335">
              <w:rPr>
                <w:szCs w:val="18"/>
              </w:rPr>
              <w:t>6</w:t>
            </w:r>
          </w:p>
        </w:tc>
        <w:tc>
          <w:tcPr>
            <w:tcW w:w="2936" w:type="pct"/>
            <w:tcBorders>
              <w:top w:val="single" w:sz="4" w:space="0" w:color="808080" w:themeColor="background1" w:themeShade="80"/>
              <w:bottom w:val="single" w:sz="4" w:space="0" w:color="808080" w:themeColor="background1" w:themeShade="80"/>
            </w:tcBorders>
          </w:tcPr>
          <w:p w14:paraId="3C27C737" w14:textId="0428CA76"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CD4&gt;500 / </w:t>
            </w:r>
            <w:r w:rsidR="002F0073" w:rsidRPr="00C00335">
              <w:rPr>
                <w:szCs w:val="18"/>
              </w:rPr>
              <w:t>unaware of infection</w:t>
            </w:r>
          </w:p>
        </w:tc>
        <w:tc>
          <w:tcPr>
            <w:tcW w:w="1481" w:type="pct"/>
            <w:tcBorders>
              <w:top w:val="single" w:sz="4" w:space="0" w:color="808080" w:themeColor="background1" w:themeShade="80"/>
              <w:bottom w:val="single" w:sz="4" w:space="0" w:color="808080" w:themeColor="background1" w:themeShade="80"/>
            </w:tcBorders>
          </w:tcPr>
          <w:p w14:paraId="44E3B25B" w14:textId="05CF17F0" w:rsidR="009171BE" w:rsidRPr="00C00335" w:rsidRDefault="009171BE" w:rsidP="00697525">
            <w:pPr>
              <w:pStyle w:val="TableText"/>
              <w:spacing w:before="40" w:after="40"/>
              <w:jc w:val="center"/>
              <w:rPr>
                <w:szCs w:val="18"/>
              </w:rPr>
            </w:pPr>
            <w:r w:rsidRPr="00C00335">
              <w:rPr>
                <w:szCs w:val="18"/>
              </w:rPr>
              <w:t>C1</w:t>
            </w:r>
          </w:p>
        </w:tc>
      </w:tr>
      <w:tr w:rsidR="009171BE" w:rsidRPr="00C00335" w14:paraId="7972DC85" w14:textId="6E3E1955" w:rsidTr="00260D8A">
        <w:trPr>
          <w:cantSplit/>
        </w:trPr>
        <w:tc>
          <w:tcPr>
            <w:tcW w:w="583" w:type="pct"/>
            <w:tcBorders>
              <w:top w:val="single" w:sz="4" w:space="0" w:color="808080" w:themeColor="background1" w:themeShade="80"/>
              <w:bottom w:val="single" w:sz="4" w:space="0" w:color="808080" w:themeColor="background1" w:themeShade="80"/>
            </w:tcBorders>
          </w:tcPr>
          <w:p w14:paraId="24AB0C5E" w14:textId="77777777" w:rsidR="009171BE" w:rsidRPr="00C00335" w:rsidRDefault="009171BE" w:rsidP="00697525">
            <w:pPr>
              <w:pStyle w:val="TableText"/>
              <w:spacing w:before="40" w:after="40"/>
              <w:jc w:val="center"/>
              <w:rPr>
                <w:szCs w:val="18"/>
              </w:rPr>
            </w:pPr>
            <w:r w:rsidRPr="00C00335">
              <w:rPr>
                <w:szCs w:val="18"/>
              </w:rPr>
              <w:t>7</w:t>
            </w:r>
          </w:p>
        </w:tc>
        <w:tc>
          <w:tcPr>
            <w:tcW w:w="2936" w:type="pct"/>
            <w:tcBorders>
              <w:top w:val="single" w:sz="4" w:space="0" w:color="808080" w:themeColor="background1" w:themeShade="80"/>
              <w:bottom w:val="single" w:sz="4" w:space="0" w:color="808080" w:themeColor="background1" w:themeShade="80"/>
            </w:tcBorders>
          </w:tcPr>
          <w:p w14:paraId="51064ADD" w14:textId="588041E4"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CD4&gt;500 / </w:t>
            </w:r>
            <w:r w:rsidR="002F0073" w:rsidRPr="00C00335">
              <w:rPr>
                <w:szCs w:val="18"/>
              </w:rPr>
              <w:t>aware,</w:t>
            </w:r>
            <w:r w:rsidR="002F0073" w:rsidRPr="00C00335">
              <w:t xml:space="preserve"> </w:t>
            </w:r>
            <w:r w:rsidR="002F007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5F5ECEA2" w14:textId="5CABD402" w:rsidR="009171BE" w:rsidRPr="00C00335" w:rsidRDefault="009171BE" w:rsidP="00697525">
            <w:pPr>
              <w:pStyle w:val="TableText"/>
              <w:spacing w:before="40" w:after="40"/>
              <w:jc w:val="center"/>
              <w:rPr>
                <w:szCs w:val="18"/>
              </w:rPr>
            </w:pPr>
            <w:r w:rsidRPr="00C00335">
              <w:rPr>
                <w:szCs w:val="18"/>
              </w:rPr>
              <w:t>C2</w:t>
            </w:r>
          </w:p>
        </w:tc>
      </w:tr>
      <w:tr w:rsidR="009171BE" w:rsidRPr="00C00335" w14:paraId="21C44475" w14:textId="532A0753" w:rsidTr="00260D8A">
        <w:trPr>
          <w:cantSplit/>
        </w:trPr>
        <w:tc>
          <w:tcPr>
            <w:tcW w:w="583" w:type="pct"/>
            <w:tcBorders>
              <w:top w:val="single" w:sz="4" w:space="0" w:color="808080" w:themeColor="background1" w:themeShade="80"/>
              <w:bottom w:val="single" w:sz="4" w:space="0" w:color="808080" w:themeColor="background1" w:themeShade="80"/>
            </w:tcBorders>
          </w:tcPr>
          <w:p w14:paraId="4682CB29" w14:textId="77777777" w:rsidR="009171BE" w:rsidRPr="00C00335" w:rsidRDefault="009171BE" w:rsidP="00697525">
            <w:pPr>
              <w:pStyle w:val="TableText"/>
              <w:spacing w:before="40" w:after="40"/>
              <w:jc w:val="center"/>
              <w:rPr>
                <w:szCs w:val="18"/>
              </w:rPr>
            </w:pPr>
            <w:r w:rsidRPr="00C00335">
              <w:rPr>
                <w:szCs w:val="18"/>
              </w:rPr>
              <w:t>8</w:t>
            </w:r>
          </w:p>
        </w:tc>
        <w:tc>
          <w:tcPr>
            <w:tcW w:w="2936" w:type="pct"/>
            <w:tcBorders>
              <w:top w:val="single" w:sz="4" w:space="0" w:color="808080" w:themeColor="background1" w:themeShade="80"/>
              <w:bottom w:val="single" w:sz="4" w:space="0" w:color="808080" w:themeColor="background1" w:themeShade="80"/>
            </w:tcBorders>
          </w:tcPr>
          <w:p w14:paraId="22B8ACA7" w14:textId="0760BD8C"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CD4&gt;500 / </w:t>
            </w:r>
            <w:r w:rsidR="002F0073" w:rsidRPr="00C00335">
              <w:rPr>
                <w:szCs w:val="18"/>
              </w:rPr>
              <w:t>linked to HIV care, but not prescribed ART</w:t>
            </w:r>
          </w:p>
        </w:tc>
        <w:tc>
          <w:tcPr>
            <w:tcW w:w="1481" w:type="pct"/>
            <w:tcBorders>
              <w:top w:val="single" w:sz="4" w:space="0" w:color="808080" w:themeColor="background1" w:themeShade="80"/>
              <w:bottom w:val="single" w:sz="4" w:space="0" w:color="808080" w:themeColor="background1" w:themeShade="80"/>
            </w:tcBorders>
          </w:tcPr>
          <w:p w14:paraId="0E67D944" w14:textId="30E954A4" w:rsidR="009171BE" w:rsidRPr="00C00335" w:rsidRDefault="00D233B3" w:rsidP="00697525">
            <w:pPr>
              <w:pStyle w:val="TableText"/>
              <w:spacing w:before="40" w:after="40"/>
              <w:jc w:val="center"/>
              <w:rPr>
                <w:szCs w:val="18"/>
              </w:rPr>
            </w:pPr>
            <w:r w:rsidRPr="00C00335">
              <w:rPr>
                <w:szCs w:val="18"/>
              </w:rPr>
              <w:t>C3</w:t>
            </w:r>
          </w:p>
        </w:tc>
      </w:tr>
      <w:tr w:rsidR="009171BE" w:rsidRPr="00C00335" w14:paraId="1BBE090E" w14:textId="4106BE93" w:rsidTr="00260D8A">
        <w:trPr>
          <w:cantSplit/>
        </w:trPr>
        <w:tc>
          <w:tcPr>
            <w:tcW w:w="583" w:type="pct"/>
            <w:tcBorders>
              <w:top w:val="single" w:sz="4" w:space="0" w:color="808080" w:themeColor="background1" w:themeShade="80"/>
              <w:bottom w:val="single" w:sz="4" w:space="0" w:color="808080" w:themeColor="background1" w:themeShade="80"/>
            </w:tcBorders>
          </w:tcPr>
          <w:p w14:paraId="0183026B" w14:textId="77777777" w:rsidR="009171BE" w:rsidRPr="00C00335" w:rsidRDefault="009171BE" w:rsidP="00697525">
            <w:pPr>
              <w:pStyle w:val="TableText"/>
              <w:spacing w:before="40" w:after="40"/>
              <w:jc w:val="center"/>
              <w:rPr>
                <w:szCs w:val="18"/>
              </w:rPr>
            </w:pPr>
            <w:r w:rsidRPr="00C00335">
              <w:rPr>
                <w:szCs w:val="18"/>
              </w:rPr>
              <w:t>9</w:t>
            </w:r>
          </w:p>
        </w:tc>
        <w:tc>
          <w:tcPr>
            <w:tcW w:w="2936" w:type="pct"/>
            <w:tcBorders>
              <w:top w:val="single" w:sz="4" w:space="0" w:color="808080" w:themeColor="background1" w:themeShade="80"/>
              <w:bottom w:val="single" w:sz="4" w:space="0" w:color="808080" w:themeColor="background1" w:themeShade="80"/>
            </w:tcBorders>
          </w:tcPr>
          <w:p w14:paraId="1A00620B" w14:textId="6BDF76FA"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CD4&gt;500 / </w:t>
            </w:r>
            <w:r w:rsidR="002F0073" w:rsidRPr="00C00335">
              <w:rPr>
                <w:szCs w:val="18"/>
              </w:rPr>
              <w:t>prescribed ART, but not virally suppressed</w:t>
            </w:r>
          </w:p>
        </w:tc>
        <w:tc>
          <w:tcPr>
            <w:tcW w:w="1481" w:type="pct"/>
            <w:tcBorders>
              <w:top w:val="single" w:sz="4" w:space="0" w:color="808080" w:themeColor="background1" w:themeShade="80"/>
              <w:bottom w:val="single" w:sz="4" w:space="0" w:color="808080" w:themeColor="background1" w:themeShade="80"/>
            </w:tcBorders>
          </w:tcPr>
          <w:p w14:paraId="3AC9E212" w14:textId="669AD7C1" w:rsidR="009171BE" w:rsidRPr="00C00335" w:rsidRDefault="00D233B3" w:rsidP="00697525">
            <w:pPr>
              <w:pStyle w:val="TableText"/>
              <w:spacing w:before="40" w:after="40"/>
              <w:jc w:val="center"/>
              <w:rPr>
                <w:szCs w:val="18"/>
              </w:rPr>
            </w:pPr>
            <w:r w:rsidRPr="00C00335">
              <w:rPr>
                <w:szCs w:val="18"/>
              </w:rPr>
              <w:t>C4</w:t>
            </w:r>
          </w:p>
        </w:tc>
      </w:tr>
      <w:tr w:rsidR="009171BE" w:rsidRPr="00C00335" w14:paraId="74E73D9D" w14:textId="6DF2B01E" w:rsidTr="00260D8A">
        <w:trPr>
          <w:cantSplit/>
        </w:trPr>
        <w:tc>
          <w:tcPr>
            <w:tcW w:w="583" w:type="pct"/>
            <w:tcBorders>
              <w:top w:val="single" w:sz="4" w:space="0" w:color="808080" w:themeColor="background1" w:themeShade="80"/>
              <w:bottom w:val="single" w:sz="4" w:space="0" w:color="808080" w:themeColor="background1" w:themeShade="80"/>
            </w:tcBorders>
          </w:tcPr>
          <w:p w14:paraId="646E20E2" w14:textId="77777777" w:rsidR="009171BE" w:rsidRPr="00C00335" w:rsidRDefault="009171BE" w:rsidP="00697525">
            <w:pPr>
              <w:pStyle w:val="TableText"/>
              <w:spacing w:before="40" w:after="40"/>
              <w:jc w:val="center"/>
              <w:rPr>
                <w:szCs w:val="18"/>
              </w:rPr>
            </w:pPr>
            <w:r w:rsidRPr="00C00335">
              <w:rPr>
                <w:szCs w:val="18"/>
              </w:rPr>
              <w:t>10</w:t>
            </w:r>
          </w:p>
        </w:tc>
        <w:tc>
          <w:tcPr>
            <w:tcW w:w="2936" w:type="pct"/>
            <w:tcBorders>
              <w:top w:val="single" w:sz="4" w:space="0" w:color="808080" w:themeColor="background1" w:themeShade="80"/>
              <w:bottom w:val="single" w:sz="4" w:space="0" w:color="808080" w:themeColor="background1" w:themeShade="80"/>
            </w:tcBorders>
          </w:tcPr>
          <w:p w14:paraId="6FF06889" w14:textId="2D73FD66" w:rsidR="009171BE" w:rsidRPr="00C00335" w:rsidRDefault="005F5C70" w:rsidP="00803D2D">
            <w:pPr>
              <w:pStyle w:val="TableText"/>
              <w:spacing w:before="40" w:after="40"/>
              <w:rPr>
                <w:szCs w:val="18"/>
              </w:rPr>
            </w:pPr>
            <w:r w:rsidRPr="00C00335">
              <w:rPr>
                <w:szCs w:val="18"/>
              </w:rPr>
              <w:t>HIV-infected</w:t>
            </w:r>
            <w:r w:rsidR="009171BE" w:rsidRPr="00C00335">
              <w:rPr>
                <w:szCs w:val="18"/>
              </w:rPr>
              <w:t xml:space="preserve"> / CD4&gt;500 / </w:t>
            </w:r>
            <w:r w:rsidR="00DC18BA" w:rsidRPr="00C00335">
              <w:rPr>
                <w:szCs w:val="18"/>
              </w:rPr>
              <w:t>virally suppressed, which assumes persons are in care and prescribed ART</w:t>
            </w:r>
          </w:p>
        </w:tc>
        <w:tc>
          <w:tcPr>
            <w:tcW w:w="1481" w:type="pct"/>
            <w:tcBorders>
              <w:top w:val="single" w:sz="4" w:space="0" w:color="808080" w:themeColor="background1" w:themeShade="80"/>
              <w:bottom w:val="single" w:sz="4" w:space="0" w:color="808080" w:themeColor="background1" w:themeShade="80"/>
            </w:tcBorders>
          </w:tcPr>
          <w:p w14:paraId="125B581A" w14:textId="4C3D7A38" w:rsidR="009171BE" w:rsidRPr="00C00335" w:rsidRDefault="00D233B3" w:rsidP="00697525">
            <w:pPr>
              <w:pStyle w:val="TableText"/>
              <w:spacing w:before="40" w:after="40"/>
              <w:jc w:val="center"/>
              <w:rPr>
                <w:szCs w:val="18"/>
              </w:rPr>
            </w:pPr>
            <w:r w:rsidRPr="00C00335">
              <w:rPr>
                <w:szCs w:val="18"/>
              </w:rPr>
              <w:t>C5</w:t>
            </w:r>
          </w:p>
        </w:tc>
      </w:tr>
      <w:tr w:rsidR="009171BE" w:rsidRPr="00C00335" w14:paraId="1FEE4571" w14:textId="554F91D2" w:rsidTr="00260D8A">
        <w:trPr>
          <w:cantSplit/>
        </w:trPr>
        <w:tc>
          <w:tcPr>
            <w:tcW w:w="583" w:type="pct"/>
            <w:tcBorders>
              <w:top w:val="single" w:sz="4" w:space="0" w:color="808080" w:themeColor="background1" w:themeShade="80"/>
              <w:bottom w:val="single" w:sz="4" w:space="0" w:color="808080" w:themeColor="background1" w:themeShade="80"/>
            </w:tcBorders>
          </w:tcPr>
          <w:p w14:paraId="663394F6" w14:textId="77777777" w:rsidR="009171BE" w:rsidRPr="00C00335" w:rsidRDefault="009171BE" w:rsidP="00697525">
            <w:pPr>
              <w:pStyle w:val="TableText"/>
              <w:spacing w:before="40" w:after="40"/>
              <w:jc w:val="center"/>
              <w:rPr>
                <w:szCs w:val="18"/>
              </w:rPr>
            </w:pPr>
            <w:r w:rsidRPr="00C00335">
              <w:rPr>
                <w:szCs w:val="18"/>
              </w:rPr>
              <w:t>11</w:t>
            </w:r>
          </w:p>
        </w:tc>
        <w:tc>
          <w:tcPr>
            <w:tcW w:w="2936" w:type="pct"/>
            <w:tcBorders>
              <w:top w:val="single" w:sz="4" w:space="0" w:color="808080" w:themeColor="background1" w:themeShade="80"/>
              <w:bottom w:val="single" w:sz="4" w:space="0" w:color="808080" w:themeColor="background1" w:themeShade="80"/>
            </w:tcBorders>
          </w:tcPr>
          <w:p w14:paraId="63E694FB" w14:textId="333A854D" w:rsidR="009171BE" w:rsidRPr="00C00335" w:rsidRDefault="005F5C70" w:rsidP="00803D2D">
            <w:pPr>
              <w:pStyle w:val="TableText"/>
              <w:spacing w:before="40" w:after="40"/>
              <w:rPr>
                <w:szCs w:val="18"/>
              </w:rPr>
            </w:pPr>
            <w:r w:rsidRPr="00C00335">
              <w:rPr>
                <w:szCs w:val="18"/>
              </w:rPr>
              <w:t>HIV-infected</w:t>
            </w:r>
            <w:r w:rsidR="009171BE" w:rsidRPr="00C00335">
              <w:rPr>
                <w:szCs w:val="18"/>
              </w:rPr>
              <w:t xml:space="preserve"> / CD4 350–500 / </w:t>
            </w:r>
            <w:r w:rsidR="002F0073" w:rsidRPr="00C00335">
              <w:rPr>
                <w:szCs w:val="18"/>
              </w:rPr>
              <w:t>unaware of infection</w:t>
            </w:r>
          </w:p>
        </w:tc>
        <w:tc>
          <w:tcPr>
            <w:tcW w:w="1481" w:type="pct"/>
            <w:tcBorders>
              <w:top w:val="single" w:sz="4" w:space="0" w:color="808080" w:themeColor="background1" w:themeShade="80"/>
              <w:bottom w:val="single" w:sz="4" w:space="0" w:color="808080" w:themeColor="background1" w:themeShade="80"/>
            </w:tcBorders>
          </w:tcPr>
          <w:p w14:paraId="6899FDDA" w14:textId="6B767261" w:rsidR="009171BE" w:rsidRPr="00C00335" w:rsidRDefault="00D233B3" w:rsidP="00697525">
            <w:pPr>
              <w:pStyle w:val="TableText"/>
              <w:spacing w:before="40" w:after="40"/>
              <w:jc w:val="center"/>
              <w:rPr>
                <w:szCs w:val="18"/>
              </w:rPr>
            </w:pPr>
            <w:r w:rsidRPr="00C00335">
              <w:rPr>
                <w:szCs w:val="18"/>
              </w:rPr>
              <w:t>D1</w:t>
            </w:r>
          </w:p>
        </w:tc>
      </w:tr>
      <w:tr w:rsidR="009171BE" w:rsidRPr="00C00335" w14:paraId="4C529EE7" w14:textId="76AC88DB" w:rsidTr="00260D8A">
        <w:trPr>
          <w:cantSplit/>
        </w:trPr>
        <w:tc>
          <w:tcPr>
            <w:tcW w:w="583" w:type="pct"/>
            <w:tcBorders>
              <w:top w:val="single" w:sz="4" w:space="0" w:color="808080" w:themeColor="background1" w:themeShade="80"/>
              <w:bottom w:val="single" w:sz="4" w:space="0" w:color="808080" w:themeColor="background1" w:themeShade="80"/>
            </w:tcBorders>
          </w:tcPr>
          <w:p w14:paraId="12EAB4E1" w14:textId="77777777" w:rsidR="009171BE" w:rsidRPr="00C00335" w:rsidRDefault="009171BE" w:rsidP="00697525">
            <w:pPr>
              <w:pStyle w:val="TableText"/>
              <w:spacing w:before="40" w:after="40"/>
              <w:jc w:val="center"/>
              <w:rPr>
                <w:szCs w:val="18"/>
              </w:rPr>
            </w:pPr>
            <w:r w:rsidRPr="00C00335">
              <w:rPr>
                <w:szCs w:val="18"/>
              </w:rPr>
              <w:t>12</w:t>
            </w:r>
          </w:p>
        </w:tc>
        <w:tc>
          <w:tcPr>
            <w:tcW w:w="2936" w:type="pct"/>
            <w:tcBorders>
              <w:top w:val="single" w:sz="4" w:space="0" w:color="808080" w:themeColor="background1" w:themeShade="80"/>
              <w:bottom w:val="single" w:sz="4" w:space="0" w:color="808080" w:themeColor="background1" w:themeShade="80"/>
            </w:tcBorders>
          </w:tcPr>
          <w:p w14:paraId="5129D163" w14:textId="1E1E87A5"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CD4 350–500 / </w:t>
            </w:r>
            <w:r w:rsidR="002F0073" w:rsidRPr="00C00335">
              <w:rPr>
                <w:szCs w:val="18"/>
              </w:rPr>
              <w:t>aware,</w:t>
            </w:r>
            <w:r w:rsidR="002F0073" w:rsidRPr="00C00335">
              <w:t xml:space="preserve"> </w:t>
            </w:r>
            <w:r w:rsidR="002F007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540B32A4" w14:textId="22D65C40" w:rsidR="009171BE" w:rsidRPr="00C00335" w:rsidRDefault="00D233B3" w:rsidP="00697525">
            <w:pPr>
              <w:pStyle w:val="TableText"/>
              <w:spacing w:before="40" w:after="40"/>
              <w:jc w:val="center"/>
              <w:rPr>
                <w:szCs w:val="18"/>
              </w:rPr>
            </w:pPr>
            <w:r w:rsidRPr="00C00335">
              <w:rPr>
                <w:szCs w:val="18"/>
              </w:rPr>
              <w:t>D2</w:t>
            </w:r>
          </w:p>
        </w:tc>
      </w:tr>
      <w:tr w:rsidR="009171BE" w:rsidRPr="00C00335" w14:paraId="206E014E" w14:textId="4CA2ABCC" w:rsidTr="00260D8A">
        <w:trPr>
          <w:cantSplit/>
        </w:trPr>
        <w:tc>
          <w:tcPr>
            <w:tcW w:w="583" w:type="pct"/>
            <w:tcBorders>
              <w:top w:val="single" w:sz="4" w:space="0" w:color="808080" w:themeColor="background1" w:themeShade="80"/>
              <w:bottom w:val="single" w:sz="4" w:space="0" w:color="808080" w:themeColor="background1" w:themeShade="80"/>
            </w:tcBorders>
          </w:tcPr>
          <w:p w14:paraId="18A6D8E4" w14:textId="77777777" w:rsidR="009171BE" w:rsidRPr="00C00335" w:rsidRDefault="009171BE" w:rsidP="00697525">
            <w:pPr>
              <w:pStyle w:val="TableText"/>
              <w:spacing w:before="40" w:after="40"/>
              <w:jc w:val="center"/>
              <w:rPr>
                <w:szCs w:val="18"/>
              </w:rPr>
            </w:pPr>
            <w:r w:rsidRPr="00C00335">
              <w:rPr>
                <w:szCs w:val="18"/>
              </w:rPr>
              <w:t>13</w:t>
            </w:r>
          </w:p>
        </w:tc>
        <w:tc>
          <w:tcPr>
            <w:tcW w:w="2936" w:type="pct"/>
            <w:tcBorders>
              <w:top w:val="single" w:sz="4" w:space="0" w:color="808080" w:themeColor="background1" w:themeShade="80"/>
              <w:bottom w:val="single" w:sz="4" w:space="0" w:color="808080" w:themeColor="background1" w:themeShade="80"/>
            </w:tcBorders>
          </w:tcPr>
          <w:p w14:paraId="53DB558E" w14:textId="7E0D26F2"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CD4 350–500 / </w:t>
            </w:r>
            <w:r w:rsidR="002F0073" w:rsidRPr="00C00335">
              <w:rPr>
                <w:szCs w:val="18"/>
              </w:rPr>
              <w:t>linked to HIV care, but not prescribed ART</w:t>
            </w:r>
          </w:p>
        </w:tc>
        <w:tc>
          <w:tcPr>
            <w:tcW w:w="1481" w:type="pct"/>
            <w:tcBorders>
              <w:top w:val="single" w:sz="4" w:space="0" w:color="808080" w:themeColor="background1" w:themeShade="80"/>
              <w:bottom w:val="single" w:sz="4" w:space="0" w:color="808080" w:themeColor="background1" w:themeShade="80"/>
            </w:tcBorders>
          </w:tcPr>
          <w:p w14:paraId="17A5925E" w14:textId="2CCD5485" w:rsidR="009171BE" w:rsidRPr="00C00335" w:rsidRDefault="00D233B3" w:rsidP="00697525">
            <w:pPr>
              <w:pStyle w:val="TableText"/>
              <w:spacing w:before="40" w:after="40"/>
              <w:jc w:val="center"/>
              <w:rPr>
                <w:szCs w:val="18"/>
              </w:rPr>
            </w:pPr>
            <w:r w:rsidRPr="00C00335">
              <w:rPr>
                <w:szCs w:val="18"/>
              </w:rPr>
              <w:t>D3</w:t>
            </w:r>
          </w:p>
        </w:tc>
      </w:tr>
      <w:tr w:rsidR="009171BE" w:rsidRPr="00C00335" w14:paraId="5496BCB0" w14:textId="45ECF125" w:rsidTr="00260D8A">
        <w:trPr>
          <w:cantSplit/>
        </w:trPr>
        <w:tc>
          <w:tcPr>
            <w:tcW w:w="583" w:type="pct"/>
            <w:tcBorders>
              <w:top w:val="single" w:sz="4" w:space="0" w:color="808080" w:themeColor="background1" w:themeShade="80"/>
              <w:bottom w:val="single" w:sz="4" w:space="0" w:color="808080" w:themeColor="background1" w:themeShade="80"/>
            </w:tcBorders>
          </w:tcPr>
          <w:p w14:paraId="3734C336" w14:textId="77777777" w:rsidR="009171BE" w:rsidRPr="00C00335" w:rsidRDefault="009171BE" w:rsidP="00697525">
            <w:pPr>
              <w:pStyle w:val="TableText"/>
              <w:spacing w:before="40" w:after="40"/>
              <w:jc w:val="center"/>
              <w:rPr>
                <w:szCs w:val="18"/>
              </w:rPr>
            </w:pPr>
            <w:r w:rsidRPr="00C00335">
              <w:rPr>
                <w:szCs w:val="18"/>
              </w:rPr>
              <w:t>14</w:t>
            </w:r>
          </w:p>
        </w:tc>
        <w:tc>
          <w:tcPr>
            <w:tcW w:w="2936" w:type="pct"/>
            <w:tcBorders>
              <w:top w:val="single" w:sz="4" w:space="0" w:color="808080" w:themeColor="background1" w:themeShade="80"/>
              <w:bottom w:val="single" w:sz="4" w:space="0" w:color="808080" w:themeColor="background1" w:themeShade="80"/>
            </w:tcBorders>
          </w:tcPr>
          <w:p w14:paraId="7E31B918" w14:textId="6F3F16BD"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CD4 350–500 / </w:t>
            </w:r>
            <w:r w:rsidR="002F0073" w:rsidRPr="00C00335">
              <w:rPr>
                <w:szCs w:val="18"/>
              </w:rPr>
              <w:t>prescribed ART, but not virally suppressed</w:t>
            </w:r>
          </w:p>
        </w:tc>
        <w:tc>
          <w:tcPr>
            <w:tcW w:w="1481" w:type="pct"/>
            <w:tcBorders>
              <w:top w:val="single" w:sz="4" w:space="0" w:color="808080" w:themeColor="background1" w:themeShade="80"/>
              <w:bottom w:val="single" w:sz="4" w:space="0" w:color="808080" w:themeColor="background1" w:themeShade="80"/>
            </w:tcBorders>
          </w:tcPr>
          <w:p w14:paraId="2DEBFFD8" w14:textId="51075F31" w:rsidR="009171BE" w:rsidRPr="00C00335" w:rsidRDefault="00D233B3" w:rsidP="00697525">
            <w:pPr>
              <w:pStyle w:val="TableText"/>
              <w:spacing w:before="40" w:after="40"/>
              <w:jc w:val="center"/>
              <w:rPr>
                <w:szCs w:val="18"/>
              </w:rPr>
            </w:pPr>
            <w:r w:rsidRPr="00C00335">
              <w:rPr>
                <w:szCs w:val="18"/>
              </w:rPr>
              <w:t>D4</w:t>
            </w:r>
          </w:p>
        </w:tc>
      </w:tr>
      <w:tr w:rsidR="009171BE" w:rsidRPr="00C00335" w14:paraId="0F39FC78" w14:textId="51C2CE6B" w:rsidTr="00260D8A">
        <w:trPr>
          <w:cantSplit/>
        </w:trPr>
        <w:tc>
          <w:tcPr>
            <w:tcW w:w="583" w:type="pct"/>
            <w:tcBorders>
              <w:top w:val="single" w:sz="4" w:space="0" w:color="808080" w:themeColor="background1" w:themeShade="80"/>
              <w:bottom w:val="single" w:sz="4" w:space="0" w:color="808080" w:themeColor="background1" w:themeShade="80"/>
            </w:tcBorders>
          </w:tcPr>
          <w:p w14:paraId="35D1863A" w14:textId="77777777" w:rsidR="009171BE" w:rsidRPr="00C00335" w:rsidRDefault="009171BE" w:rsidP="00697525">
            <w:pPr>
              <w:pStyle w:val="TableText"/>
              <w:spacing w:before="40" w:after="40"/>
              <w:jc w:val="center"/>
              <w:rPr>
                <w:szCs w:val="18"/>
              </w:rPr>
            </w:pPr>
            <w:r w:rsidRPr="00C00335">
              <w:rPr>
                <w:szCs w:val="18"/>
              </w:rPr>
              <w:t>15</w:t>
            </w:r>
          </w:p>
        </w:tc>
        <w:tc>
          <w:tcPr>
            <w:tcW w:w="2936" w:type="pct"/>
            <w:tcBorders>
              <w:top w:val="single" w:sz="4" w:space="0" w:color="808080" w:themeColor="background1" w:themeShade="80"/>
              <w:bottom w:val="single" w:sz="4" w:space="0" w:color="808080" w:themeColor="background1" w:themeShade="80"/>
            </w:tcBorders>
          </w:tcPr>
          <w:p w14:paraId="42173430" w14:textId="6FFDCD38"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CD4 350–500 / </w:t>
            </w:r>
            <w:r w:rsidR="00DC18BA" w:rsidRPr="00C00335">
              <w:rPr>
                <w:szCs w:val="18"/>
              </w:rPr>
              <w:t>virally suppressed, which assumes persons are in care and prescribed ART</w:t>
            </w:r>
          </w:p>
        </w:tc>
        <w:tc>
          <w:tcPr>
            <w:tcW w:w="1481" w:type="pct"/>
            <w:tcBorders>
              <w:top w:val="single" w:sz="4" w:space="0" w:color="808080" w:themeColor="background1" w:themeShade="80"/>
              <w:bottom w:val="single" w:sz="4" w:space="0" w:color="808080" w:themeColor="background1" w:themeShade="80"/>
            </w:tcBorders>
          </w:tcPr>
          <w:p w14:paraId="3975CD9E" w14:textId="78F32B32" w:rsidR="009171BE" w:rsidRPr="00C00335" w:rsidRDefault="00D233B3" w:rsidP="00697525">
            <w:pPr>
              <w:pStyle w:val="TableText"/>
              <w:spacing w:before="40" w:after="40"/>
              <w:jc w:val="center"/>
              <w:rPr>
                <w:szCs w:val="18"/>
              </w:rPr>
            </w:pPr>
            <w:r w:rsidRPr="00C00335">
              <w:rPr>
                <w:szCs w:val="18"/>
              </w:rPr>
              <w:t>D5</w:t>
            </w:r>
          </w:p>
        </w:tc>
      </w:tr>
      <w:tr w:rsidR="009171BE" w:rsidRPr="00C00335" w14:paraId="353A83AD" w14:textId="775DEBB4" w:rsidTr="00260D8A">
        <w:trPr>
          <w:cantSplit/>
        </w:trPr>
        <w:tc>
          <w:tcPr>
            <w:tcW w:w="583" w:type="pct"/>
            <w:tcBorders>
              <w:top w:val="single" w:sz="4" w:space="0" w:color="808080" w:themeColor="background1" w:themeShade="80"/>
              <w:bottom w:val="single" w:sz="4" w:space="0" w:color="808080" w:themeColor="background1" w:themeShade="80"/>
            </w:tcBorders>
          </w:tcPr>
          <w:p w14:paraId="3E9731B4" w14:textId="77777777" w:rsidR="009171BE" w:rsidRPr="00C00335" w:rsidRDefault="009171BE" w:rsidP="00697525">
            <w:pPr>
              <w:pStyle w:val="TableText"/>
              <w:spacing w:before="40" w:after="40"/>
              <w:jc w:val="center"/>
              <w:rPr>
                <w:szCs w:val="18"/>
              </w:rPr>
            </w:pPr>
            <w:r w:rsidRPr="00C00335">
              <w:rPr>
                <w:szCs w:val="18"/>
              </w:rPr>
              <w:t>16</w:t>
            </w:r>
          </w:p>
        </w:tc>
        <w:tc>
          <w:tcPr>
            <w:tcW w:w="2936" w:type="pct"/>
            <w:tcBorders>
              <w:top w:val="single" w:sz="4" w:space="0" w:color="808080" w:themeColor="background1" w:themeShade="80"/>
              <w:bottom w:val="single" w:sz="4" w:space="0" w:color="808080" w:themeColor="background1" w:themeShade="80"/>
            </w:tcBorders>
          </w:tcPr>
          <w:p w14:paraId="495AA360" w14:textId="6118ED20" w:rsidR="009171BE" w:rsidRPr="00C00335" w:rsidRDefault="005F5C70" w:rsidP="00803D2D">
            <w:pPr>
              <w:pStyle w:val="TableText"/>
              <w:spacing w:before="40" w:after="40"/>
              <w:rPr>
                <w:szCs w:val="18"/>
              </w:rPr>
            </w:pPr>
            <w:r w:rsidRPr="00C00335">
              <w:rPr>
                <w:szCs w:val="18"/>
              </w:rPr>
              <w:t>HIV-infected</w:t>
            </w:r>
            <w:r w:rsidR="009171BE" w:rsidRPr="00C00335">
              <w:rPr>
                <w:szCs w:val="18"/>
              </w:rPr>
              <w:t xml:space="preserve"> / CD4 200–350 / </w:t>
            </w:r>
            <w:r w:rsidR="002F0073" w:rsidRPr="00C00335">
              <w:rPr>
                <w:szCs w:val="18"/>
              </w:rPr>
              <w:t>unaware of infection</w:t>
            </w:r>
          </w:p>
        </w:tc>
        <w:tc>
          <w:tcPr>
            <w:tcW w:w="1481" w:type="pct"/>
            <w:tcBorders>
              <w:top w:val="single" w:sz="4" w:space="0" w:color="808080" w:themeColor="background1" w:themeShade="80"/>
              <w:bottom w:val="single" w:sz="4" w:space="0" w:color="808080" w:themeColor="background1" w:themeShade="80"/>
            </w:tcBorders>
          </w:tcPr>
          <w:p w14:paraId="69285944" w14:textId="555A386F" w:rsidR="009171BE" w:rsidRPr="00C00335" w:rsidRDefault="00D233B3" w:rsidP="00697525">
            <w:pPr>
              <w:pStyle w:val="TableText"/>
              <w:spacing w:before="40" w:after="40"/>
              <w:jc w:val="center"/>
              <w:rPr>
                <w:szCs w:val="18"/>
              </w:rPr>
            </w:pPr>
            <w:r w:rsidRPr="00C00335">
              <w:rPr>
                <w:szCs w:val="18"/>
              </w:rPr>
              <w:t>E1</w:t>
            </w:r>
          </w:p>
        </w:tc>
      </w:tr>
      <w:tr w:rsidR="009171BE" w:rsidRPr="00C00335" w14:paraId="3D0C315D" w14:textId="4BF56FBA" w:rsidTr="00260D8A">
        <w:trPr>
          <w:cantSplit/>
        </w:trPr>
        <w:tc>
          <w:tcPr>
            <w:tcW w:w="583" w:type="pct"/>
            <w:tcBorders>
              <w:top w:val="single" w:sz="4" w:space="0" w:color="808080" w:themeColor="background1" w:themeShade="80"/>
              <w:bottom w:val="single" w:sz="4" w:space="0" w:color="808080" w:themeColor="background1" w:themeShade="80"/>
            </w:tcBorders>
          </w:tcPr>
          <w:p w14:paraId="20DA499C" w14:textId="77777777" w:rsidR="009171BE" w:rsidRPr="00C00335" w:rsidRDefault="009171BE" w:rsidP="00697525">
            <w:pPr>
              <w:pStyle w:val="TableText"/>
              <w:spacing w:before="40" w:after="40"/>
              <w:jc w:val="center"/>
              <w:rPr>
                <w:szCs w:val="18"/>
              </w:rPr>
            </w:pPr>
            <w:r w:rsidRPr="00C00335">
              <w:rPr>
                <w:szCs w:val="18"/>
              </w:rPr>
              <w:t>17</w:t>
            </w:r>
          </w:p>
        </w:tc>
        <w:tc>
          <w:tcPr>
            <w:tcW w:w="2936" w:type="pct"/>
            <w:tcBorders>
              <w:top w:val="single" w:sz="4" w:space="0" w:color="808080" w:themeColor="background1" w:themeShade="80"/>
              <w:bottom w:val="single" w:sz="4" w:space="0" w:color="808080" w:themeColor="background1" w:themeShade="80"/>
            </w:tcBorders>
          </w:tcPr>
          <w:p w14:paraId="71469D44" w14:textId="48520C53"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CD4 200–350 / </w:t>
            </w:r>
            <w:r w:rsidR="002F0073" w:rsidRPr="00C00335">
              <w:rPr>
                <w:szCs w:val="18"/>
              </w:rPr>
              <w:t>aware,</w:t>
            </w:r>
            <w:r w:rsidR="002F0073" w:rsidRPr="00C00335">
              <w:t xml:space="preserve"> </w:t>
            </w:r>
            <w:r w:rsidR="002F0073"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21CC0D3C" w14:textId="16A670A3" w:rsidR="009171BE" w:rsidRPr="00C00335" w:rsidRDefault="00D233B3" w:rsidP="00697525">
            <w:pPr>
              <w:pStyle w:val="TableText"/>
              <w:spacing w:before="40" w:after="40"/>
              <w:jc w:val="center"/>
              <w:rPr>
                <w:szCs w:val="18"/>
              </w:rPr>
            </w:pPr>
            <w:r w:rsidRPr="00C00335">
              <w:rPr>
                <w:szCs w:val="18"/>
              </w:rPr>
              <w:t>E2</w:t>
            </w:r>
          </w:p>
        </w:tc>
      </w:tr>
      <w:tr w:rsidR="009171BE" w:rsidRPr="00C00335" w14:paraId="252A4FE9" w14:textId="2C248865" w:rsidTr="00260D8A">
        <w:trPr>
          <w:cantSplit/>
        </w:trPr>
        <w:tc>
          <w:tcPr>
            <w:tcW w:w="583" w:type="pct"/>
            <w:tcBorders>
              <w:top w:val="single" w:sz="4" w:space="0" w:color="808080" w:themeColor="background1" w:themeShade="80"/>
              <w:bottom w:val="single" w:sz="4" w:space="0" w:color="808080" w:themeColor="background1" w:themeShade="80"/>
            </w:tcBorders>
          </w:tcPr>
          <w:p w14:paraId="17CE99C6" w14:textId="77777777" w:rsidR="009171BE" w:rsidRPr="00C00335" w:rsidRDefault="009171BE" w:rsidP="00697525">
            <w:pPr>
              <w:pStyle w:val="TableText"/>
              <w:spacing w:before="40" w:after="40"/>
              <w:jc w:val="center"/>
              <w:rPr>
                <w:szCs w:val="18"/>
              </w:rPr>
            </w:pPr>
            <w:r w:rsidRPr="00C00335">
              <w:rPr>
                <w:szCs w:val="18"/>
              </w:rPr>
              <w:t>18</w:t>
            </w:r>
          </w:p>
        </w:tc>
        <w:tc>
          <w:tcPr>
            <w:tcW w:w="2936" w:type="pct"/>
            <w:tcBorders>
              <w:top w:val="single" w:sz="4" w:space="0" w:color="808080" w:themeColor="background1" w:themeShade="80"/>
              <w:bottom w:val="single" w:sz="4" w:space="0" w:color="808080" w:themeColor="background1" w:themeShade="80"/>
            </w:tcBorders>
          </w:tcPr>
          <w:p w14:paraId="6BEE045D" w14:textId="4D768C74"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CD4 200–350 / </w:t>
            </w:r>
            <w:r w:rsidR="002F0073" w:rsidRPr="00C00335">
              <w:rPr>
                <w:szCs w:val="18"/>
              </w:rPr>
              <w:t>linked to HIV care, but not prescribed ART</w:t>
            </w:r>
          </w:p>
        </w:tc>
        <w:tc>
          <w:tcPr>
            <w:tcW w:w="1481" w:type="pct"/>
            <w:tcBorders>
              <w:top w:val="single" w:sz="4" w:space="0" w:color="808080" w:themeColor="background1" w:themeShade="80"/>
              <w:bottom w:val="single" w:sz="4" w:space="0" w:color="808080" w:themeColor="background1" w:themeShade="80"/>
            </w:tcBorders>
          </w:tcPr>
          <w:p w14:paraId="10915D1E" w14:textId="7B24C0FB" w:rsidR="009171BE" w:rsidRPr="00C00335" w:rsidRDefault="00D233B3" w:rsidP="00697525">
            <w:pPr>
              <w:pStyle w:val="TableText"/>
              <w:spacing w:before="40" w:after="40"/>
              <w:jc w:val="center"/>
              <w:rPr>
                <w:szCs w:val="18"/>
              </w:rPr>
            </w:pPr>
            <w:r w:rsidRPr="00C00335">
              <w:rPr>
                <w:szCs w:val="18"/>
              </w:rPr>
              <w:t>E3</w:t>
            </w:r>
          </w:p>
        </w:tc>
      </w:tr>
      <w:tr w:rsidR="009171BE" w:rsidRPr="00C00335" w14:paraId="6E084B17" w14:textId="33ADF3E2" w:rsidTr="00260D8A">
        <w:trPr>
          <w:cantSplit/>
        </w:trPr>
        <w:tc>
          <w:tcPr>
            <w:tcW w:w="583" w:type="pct"/>
            <w:tcBorders>
              <w:top w:val="single" w:sz="4" w:space="0" w:color="808080" w:themeColor="background1" w:themeShade="80"/>
              <w:bottom w:val="single" w:sz="4" w:space="0" w:color="808080" w:themeColor="background1" w:themeShade="80"/>
            </w:tcBorders>
          </w:tcPr>
          <w:p w14:paraId="63485550" w14:textId="77777777" w:rsidR="009171BE" w:rsidRPr="00C00335" w:rsidRDefault="009171BE" w:rsidP="00697525">
            <w:pPr>
              <w:pStyle w:val="TableText"/>
              <w:spacing w:before="40" w:after="40"/>
              <w:jc w:val="center"/>
              <w:rPr>
                <w:szCs w:val="18"/>
              </w:rPr>
            </w:pPr>
            <w:r w:rsidRPr="00C00335">
              <w:rPr>
                <w:szCs w:val="18"/>
              </w:rPr>
              <w:t>19</w:t>
            </w:r>
          </w:p>
        </w:tc>
        <w:tc>
          <w:tcPr>
            <w:tcW w:w="2936" w:type="pct"/>
            <w:tcBorders>
              <w:top w:val="single" w:sz="4" w:space="0" w:color="808080" w:themeColor="background1" w:themeShade="80"/>
              <w:bottom w:val="single" w:sz="4" w:space="0" w:color="808080" w:themeColor="background1" w:themeShade="80"/>
            </w:tcBorders>
          </w:tcPr>
          <w:p w14:paraId="68FDDCB0" w14:textId="0B3D0926"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CD4 200–350 / </w:t>
            </w:r>
            <w:r w:rsidR="002F0073" w:rsidRPr="00C00335">
              <w:rPr>
                <w:szCs w:val="18"/>
              </w:rPr>
              <w:t>prescribed ART, but not virally suppressed</w:t>
            </w:r>
          </w:p>
        </w:tc>
        <w:tc>
          <w:tcPr>
            <w:tcW w:w="1481" w:type="pct"/>
            <w:tcBorders>
              <w:top w:val="single" w:sz="4" w:space="0" w:color="808080" w:themeColor="background1" w:themeShade="80"/>
              <w:bottom w:val="single" w:sz="4" w:space="0" w:color="808080" w:themeColor="background1" w:themeShade="80"/>
            </w:tcBorders>
          </w:tcPr>
          <w:p w14:paraId="3371F07B" w14:textId="5051DE2E" w:rsidR="009171BE" w:rsidRPr="00C00335" w:rsidRDefault="00D233B3" w:rsidP="00697525">
            <w:pPr>
              <w:pStyle w:val="TableText"/>
              <w:spacing w:before="40" w:after="40"/>
              <w:jc w:val="center"/>
              <w:rPr>
                <w:szCs w:val="18"/>
              </w:rPr>
            </w:pPr>
            <w:r w:rsidRPr="00C00335">
              <w:rPr>
                <w:szCs w:val="18"/>
              </w:rPr>
              <w:t>E4</w:t>
            </w:r>
          </w:p>
        </w:tc>
      </w:tr>
    </w:tbl>
    <w:p w14:paraId="511E7A84" w14:textId="2557CC24" w:rsidR="00316E91" w:rsidRPr="00C00335" w:rsidRDefault="00316E91" w:rsidP="00316E91">
      <w:pPr>
        <w:pStyle w:val="Tablecont"/>
      </w:pPr>
      <w:r w:rsidRPr="00C00335">
        <w:t>(continued)</w:t>
      </w:r>
    </w:p>
    <w:p w14:paraId="066E22FD" w14:textId="3D489A64" w:rsidR="00316E91" w:rsidRPr="00C00335" w:rsidRDefault="00316E91" w:rsidP="00316E91">
      <w:pPr>
        <w:pStyle w:val="TableTitlecont"/>
      </w:pPr>
      <w:r w:rsidRPr="00C00335">
        <w:lastRenderedPageBreak/>
        <w:t>Table 7.1.</w:t>
      </w:r>
      <w:r w:rsidRPr="00C00335">
        <w:tab/>
        <w:t>Model Compartments (continued)</w:t>
      </w:r>
    </w:p>
    <w:tbl>
      <w:tblPr>
        <w:tblW w:w="950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1108"/>
        <w:gridCol w:w="5581"/>
        <w:gridCol w:w="2815"/>
      </w:tblGrid>
      <w:tr w:rsidR="00316E91" w:rsidRPr="00C00335" w14:paraId="0BE0772C" w14:textId="77777777" w:rsidTr="00260D8A">
        <w:trPr>
          <w:cantSplit/>
          <w:tblHeader/>
        </w:trPr>
        <w:tc>
          <w:tcPr>
            <w:tcW w:w="583" w:type="pct"/>
            <w:tcBorders>
              <w:top w:val="single" w:sz="12" w:space="0" w:color="auto"/>
              <w:bottom w:val="single" w:sz="6" w:space="0" w:color="auto"/>
            </w:tcBorders>
            <w:shd w:val="clear" w:color="auto" w:fill="auto"/>
            <w:vAlign w:val="bottom"/>
          </w:tcPr>
          <w:p w14:paraId="4A41089E" w14:textId="77777777" w:rsidR="00316E91" w:rsidRPr="00C00335" w:rsidRDefault="00316E91" w:rsidP="00935C54">
            <w:pPr>
              <w:pStyle w:val="TableHeaders"/>
              <w:spacing w:before="40" w:after="40"/>
            </w:pPr>
            <w:r w:rsidRPr="00C00335">
              <w:t>Number</w:t>
            </w:r>
          </w:p>
        </w:tc>
        <w:tc>
          <w:tcPr>
            <w:tcW w:w="2936" w:type="pct"/>
            <w:tcBorders>
              <w:top w:val="single" w:sz="12" w:space="0" w:color="auto"/>
              <w:bottom w:val="single" w:sz="6" w:space="0" w:color="auto"/>
            </w:tcBorders>
            <w:vAlign w:val="bottom"/>
          </w:tcPr>
          <w:p w14:paraId="3BF484E4" w14:textId="77777777" w:rsidR="00316E91" w:rsidRPr="00C00335" w:rsidRDefault="00316E91" w:rsidP="00935C54">
            <w:pPr>
              <w:pStyle w:val="TableHeaders"/>
              <w:spacing w:before="40" w:after="40"/>
            </w:pPr>
            <w:r w:rsidRPr="00C00335">
              <w:t>Description</w:t>
            </w:r>
          </w:p>
        </w:tc>
        <w:tc>
          <w:tcPr>
            <w:tcW w:w="1481" w:type="pct"/>
            <w:tcBorders>
              <w:top w:val="single" w:sz="12" w:space="0" w:color="auto"/>
              <w:bottom w:val="single" w:sz="6" w:space="0" w:color="auto"/>
            </w:tcBorders>
            <w:vAlign w:val="bottom"/>
          </w:tcPr>
          <w:p w14:paraId="2E9B0375" w14:textId="77777777" w:rsidR="00316E91" w:rsidRPr="00C00335" w:rsidRDefault="00316E91" w:rsidP="00935C54">
            <w:pPr>
              <w:pStyle w:val="TableHeaders"/>
              <w:spacing w:before="40" w:after="40"/>
            </w:pPr>
            <w:r w:rsidRPr="00C00335">
              <w:t>Row-Column Designation for Each Compartment</w:t>
            </w:r>
          </w:p>
        </w:tc>
      </w:tr>
      <w:tr w:rsidR="0046162D" w:rsidRPr="00C00335" w14:paraId="478380F9" w14:textId="77777777" w:rsidTr="00260D8A">
        <w:trPr>
          <w:cantSplit/>
        </w:trPr>
        <w:tc>
          <w:tcPr>
            <w:tcW w:w="583" w:type="pct"/>
            <w:tcBorders>
              <w:top w:val="single" w:sz="4" w:space="0" w:color="808080" w:themeColor="background1" w:themeShade="80"/>
              <w:bottom w:val="single" w:sz="4" w:space="0" w:color="808080" w:themeColor="background1" w:themeShade="80"/>
            </w:tcBorders>
          </w:tcPr>
          <w:p w14:paraId="0BD981AD" w14:textId="77777777" w:rsidR="0046162D" w:rsidRPr="00C00335" w:rsidRDefault="0046162D" w:rsidP="00786484">
            <w:pPr>
              <w:pStyle w:val="TableText"/>
              <w:spacing w:before="40" w:after="40"/>
              <w:jc w:val="center"/>
              <w:rPr>
                <w:szCs w:val="18"/>
              </w:rPr>
            </w:pPr>
            <w:r w:rsidRPr="00C00335">
              <w:rPr>
                <w:szCs w:val="18"/>
              </w:rPr>
              <w:t>20</w:t>
            </w:r>
          </w:p>
        </w:tc>
        <w:tc>
          <w:tcPr>
            <w:tcW w:w="2936" w:type="pct"/>
            <w:tcBorders>
              <w:top w:val="single" w:sz="4" w:space="0" w:color="808080" w:themeColor="background1" w:themeShade="80"/>
              <w:bottom w:val="single" w:sz="4" w:space="0" w:color="808080" w:themeColor="background1" w:themeShade="80"/>
            </w:tcBorders>
          </w:tcPr>
          <w:p w14:paraId="32508D22" w14:textId="43C2EFEF" w:rsidR="0046162D" w:rsidRPr="00C00335" w:rsidRDefault="0046162D" w:rsidP="00786484">
            <w:pPr>
              <w:pStyle w:val="TableText"/>
              <w:spacing w:before="40" w:after="40"/>
              <w:rPr>
                <w:szCs w:val="18"/>
              </w:rPr>
            </w:pPr>
            <w:r w:rsidRPr="00C00335">
              <w:rPr>
                <w:szCs w:val="18"/>
              </w:rPr>
              <w:t>HIV-infected / CD4 200–350 / virally suppressed, which assumes persons are in care and prescribed ART</w:t>
            </w:r>
          </w:p>
        </w:tc>
        <w:tc>
          <w:tcPr>
            <w:tcW w:w="1481" w:type="pct"/>
            <w:tcBorders>
              <w:top w:val="single" w:sz="4" w:space="0" w:color="808080" w:themeColor="background1" w:themeShade="80"/>
              <w:bottom w:val="single" w:sz="4" w:space="0" w:color="808080" w:themeColor="background1" w:themeShade="80"/>
            </w:tcBorders>
          </w:tcPr>
          <w:p w14:paraId="57432F89" w14:textId="77777777" w:rsidR="0046162D" w:rsidRPr="00C00335" w:rsidRDefault="0046162D" w:rsidP="00786484">
            <w:pPr>
              <w:pStyle w:val="TableText"/>
              <w:spacing w:before="40" w:after="40"/>
              <w:jc w:val="center"/>
              <w:rPr>
                <w:szCs w:val="18"/>
              </w:rPr>
            </w:pPr>
            <w:r w:rsidRPr="00C00335">
              <w:rPr>
                <w:szCs w:val="18"/>
              </w:rPr>
              <w:t>E5</w:t>
            </w:r>
          </w:p>
        </w:tc>
      </w:tr>
      <w:tr w:rsidR="0046162D" w:rsidRPr="00C00335" w14:paraId="2DBC15F1" w14:textId="77777777" w:rsidTr="00260D8A">
        <w:trPr>
          <w:cantSplit/>
        </w:trPr>
        <w:tc>
          <w:tcPr>
            <w:tcW w:w="583" w:type="pct"/>
            <w:tcBorders>
              <w:top w:val="single" w:sz="4" w:space="0" w:color="808080" w:themeColor="background1" w:themeShade="80"/>
              <w:bottom w:val="single" w:sz="4" w:space="0" w:color="808080" w:themeColor="background1" w:themeShade="80"/>
            </w:tcBorders>
          </w:tcPr>
          <w:p w14:paraId="1AF7A102" w14:textId="77777777" w:rsidR="0046162D" w:rsidRPr="00C00335" w:rsidRDefault="0046162D" w:rsidP="00786484">
            <w:pPr>
              <w:pStyle w:val="TableText"/>
              <w:spacing w:before="40" w:after="40"/>
              <w:jc w:val="center"/>
              <w:rPr>
                <w:szCs w:val="18"/>
              </w:rPr>
            </w:pPr>
            <w:r w:rsidRPr="00C00335">
              <w:rPr>
                <w:szCs w:val="18"/>
              </w:rPr>
              <w:t>21</w:t>
            </w:r>
          </w:p>
        </w:tc>
        <w:tc>
          <w:tcPr>
            <w:tcW w:w="2936" w:type="pct"/>
            <w:tcBorders>
              <w:top w:val="single" w:sz="4" w:space="0" w:color="808080" w:themeColor="background1" w:themeShade="80"/>
              <w:bottom w:val="single" w:sz="4" w:space="0" w:color="808080" w:themeColor="background1" w:themeShade="80"/>
            </w:tcBorders>
          </w:tcPr>
          <w:p w14:paraId="28E88752" w14:textId="24B8F29F" w:rsidR="0046162D" w:rsidRPr="00C00335" w:rsidRDefault="0046162D" w:rsidP="00786484">
            <w:pPr>
              <w:pStyle w:val="TableText"/>
              <w:spacing w:before="40" w:after="40"/>
              <w:rPr>
                <w:szCs w:val="18"/>
              </w:rPr>
            </w:pPr>
            <w:r w:rsidRPr="00C00335">
              <w:rPr>
                <w:szCs w:val="18"/>
              </w:rPr>
              <w:t>HIV-infected / CD4 &lt; 200 / unaware of infection</w:t>
            </w:r>
          </w:p>
        </w:tc>
        <w:tc>
          <w:tcPr>
            <w:tcW w:w="1481" w:type="pct"/>
            <w:tcBorders>
              <w:top w:val="single" w:sz="4" w:space="0" w:color="808080" w:themeColor="background1" w:themeShade="80"/>
              <w:bottom w:val="single" w:sz="4" w:space="0" w:color="808080" w:themeColor="background1" w:themeShade="80"/>
            </w:tcBorders>
          </w:tcPr>
          <w:p w14:paraId="7B9C141A" w14:textId="77777777" w:rsidR="0046162D" w:rsidRPr="00C00335" w:rsidRDefault="0046162D" w:rsidP="00786484">
            <w:pPr>
              <w:pStyle w:val="TableText"/>
              <w:spacing w:before="40" w:after="40"/>
              <w:jc w:val="center"/>
              <w:rPr>
                <w:szCs w:val="18"/>
              </w:rPr>
            </w:pPr>
            <w:r w:rsidRPr="00C00335">
              <w:rPr>
                <w:szCs w:val="18"/>
              </w:rPr>
              <w:t>F1</w:t>
            </w:r>
          </w:p>
        </w:tc>
      </w:tr>
      <w:tr w:rsidR="0046162D" w:rsidRPr="00C00335" w14:paraId="7436D72C" w14:textId="77777777" w:rsidTr="00260D8A">
        <w:trPr>
          <w:cantSplit/>
        </w:trPr>
        <w:tc>
          <w:tcPr>
            <w:tcW w:w="583" w:type="pct"/>
            <w:tcBorders>
              <w:top w:val="single" w:sz="4" w:space="0" w:color="808080" w:themeColor="background1" w:themeShade="80"/>
              <w:bottom w:val="single" w:sz="4" w:space="0" w:color="808080" w:themeColor="background1" w:themeShade="80"/>
            </w:tcBorders>
          </w:tcPr>
          <w:p w14:paraId="23A298FE" w14:textId="77777777" w:rsidR="0046162D" w:rsidRPr="00C00335" w:rsidRDefault="0046162D" w:rsidP="00786484">
            <w:pPr>
              <w:pStyle w:val="TableText"/>
              <w:spacing w:before="40" w:after="40"/>
              <w:jc w:val="center"/>
              <w:rPr>
                <w:szCs w:val="18"/>
              </w:rPr>
            </w:pPr>
            <w:r w:rsidRPr="00C00335">
              <w:rPr>
                <w:szCs w:val="18"/>
              </w:rPr>
              <w:t>22</w:t>
            </w:r>
          </w:p>
        </w:tc>
        <w:tc>
          <w:tcPr>
            <w:tcW w:w="2936" w:type="pct"/>
            <w:tcBorders>
              <w:top w:val="single" w:sz="4" w:space="0" w:color="808080" w:themeColor="background1" w:themeShade="80"/>
              <w:bottom w:val="single" w:sz="4" w:space="0" w:color="808080" w:themeColor="background1" w:themeShade="80"/>
            </w:tcBorders>
          </w:tcPr>
          <w:p w14:paraId="2FD404F7" w14:textId="111BCC15" w:rsidR="0046162D" w:rsidRPr="00C00335" w:rsidRDefault="0046162D" w:rsidP="00786484">
            <w:pPr>
              <w:pStyle w:val="TableText"/>
              <w:spacing w:before="40" w:after="40"/>
              <w:rPr>
                <w:szCs w:val="18"/>
              </w:rPr>
            </w:pPr>
            <w:r w:rsidRPr="00C00335">
              <w:rPr>
                <w:szCs w:val="18"/>
              </w:rPr>
              <w:t>HIV-infected / CD4 &lt; 200 (AIDS) / aware,</w:t>
            </w:r>
            <w:r w:rsidRPr="00C00335">
              <w:t xml:space="preserve"> </w:t>
            </w:r>
            <w:r w:rsidRPr="00C00335">
              <w:rPr>
                <w:szCs w:val="18"/>
              </w:rPr>
              <w:t>but not linked to HIV care</w:t>
            </w:r>
          </w:p>
        </w:tc>
        <w:tc>
          <w:tcPr>
            <w:tcW w:w="1481" w:type="pct"/>
            <w:tcBorders>
              <w:top w:val="single" w:sz="4" w:space="0" w:color="808080" w:themeColor="background1" w:themeShade="80"/>
              <w:bottom w:val="single" w:sz="4" w:space="0" w:color="808080" w:themeColor="background1" w:themeShade="80"/>
            </w:tcBorders>
          </w:tcPr>
          <w:p w14:paraId="73CF5683" w14:textId="77777777" w:rsidR="0046162D" w:rsidRPr="00C00335" w:rsidRDefault="0046162D" w:rsidP="00786484">
            <w:pPr>
              <w:pStyle w:val="TableText"/>
              <w:spacing w:before="40" w:after="40"/>
              <w:jc w:val="center"/>
              <w:rPr>
                <w:szCs w:val="18"/>
              </w:rPr>
            </w:pPr>
            <w:r w:rsidRPr="00C00335">
              <w:rPr>
                <w:szCs w:val="18"/>
              </w:rPr>
              <w:t>F2</w:t>
            </w:r>
          </w:p>
        </w:tc>
      </w:tr>
      <w:tr w:rsidR="0046162D" w:rsidRPr="00C00335" w14:paraId="70143AD4" w14:textId="77777777" w:rsidTr="00260D8A">
        <w:trPr>
          <w:cantSplit/>
        </w:trPr>
        <w:tc>
          <w:tcPr>
            <w:tcW w:w="583" w:type="pct"/>
            <w:tcBorders>
              <w:top w:val="single" w:sz="4" w:space="0" w:color="808080" w:themeColor="background1" w:themeShade="80"/>
              <w:bottom w:val="single" w:sz="4" w:space="0" w:color="808080" w:themeColor="background1" w:themeShade="80"/>
            </w:tcBorders>
          </w:tcPr>
          <w:p w14:paraId="76E9AF4A" w14:textId="77777777" w:rsidR="0046162D" w:rsidRPr="00C00335" w:rsidRDefault="0046162D" w:rsidP="00786484">
            <w:pPr>
              <w:pStyle w:val="TableText"/>
              <w:spacing w:before="40" w:after="40"/>
              <w:jc w:val="center"/>
              <w:rPr>
                <w:szCs w:val="18"/>
              </w:rPr>
            </w:pPr>
            <w:r w:rsidRPr="00C00335">
              <w:rPr>
                <w:szCs w:val="18"/>
              </w:rPr>
              <w:t>23</w:t>
            </w:r>
          </w:p>
        </w:tc>
        <w:tc>
          <w:tcPr>
            <w:tcW w:w="2936" w:type="pct"/>
            <w:tcBorders>
              <w:top w:val="single" w:sz="4" w:space="0" w:color="808080" w:themeColor="background1" w:themeShade="80"/>
              <w:bottom w:val="single" w:sz="4" w:space="0" w:color="808080" w:themeColor="background1" w:themeShade="80"/>
            </w:tcBorders>
          </w:tcPr>
          <w:p w14:paraId="7DF690E8" w14:textId="3AE08F28" w:rsidR="0046162D" w:rsidRPr="00C00335" w:rsidRDefault="0046162D" w:rsidP="00786484">
            <w:pPr>
              <w:pStyle w:val="TableText"/>
              <w:spacing w:before="40" w:after="40"/>
              <w:rPr>
                <w:szCs w:val="18"/>
              </w:rPr>
            </w:pPr>
            <w:r w:rsidRPr="00C00335">
              <w:rPr>
                <w:szCs w:val="18"/>
              </w:rPr>
              <w:t>HIV-infected / CD4 &lt; 200 (AIDS) / linked to HIV care, but not prescribed ART</w:t>
            </w:r>
          </w:p>
        </w:tc>
        <w:tc>
          <w:tcPr>
            <w:tcW w:w="1481" w:type="pct"/>
            <w:tcBorders>
              <w:top w:val="single" w:sz="4" w:space="0" w:color="808080" w:themeColor="background1" w:themeShade="80"/>
              <w:bottom w:val="single" w:sz="4" w:space="0" w:color="808080" w:themeColor="background1" w:themeShade="80"/>
            </w:tcBorders>
          </w:tcPr>
          <w:p w14:paraId="77220B30" w14:textId="77777777" w:rsidR="0046162D" w:rsidRPr="00C00335" w:rsidRDefault="0046162D" w:rsidP="00786484">
            <w:pPr>
              <w:pStyle w:val="TableText"/>
              <w:spacing w:before="40" w:after="40"/>
              <w:jc w:val="center"/>
              <w:rPr>
                <w:szCs w:val="18"/>
              </w:rPr>
            </w:pPr>
            <w:r w:rsidRPr="00C00335">
              <w:rPr>
                <w:szCs w:val="18"/>
              </w:rPr>
              <w:t>F3</w:t>
            </w:r>
          </w:p>
        </w:tc>
      </w:tr>
      <w:tr w:rsidR="009171BE" w:rsidRPr="00C00335" w14:paraId="589124A0" w14:textId="48D910CD" w:rsidTr="00260D8A">
        <w:trPr>
          <w:cantSplit/>
        </w:trPr>
        <w:tc>
          <w:tcPr>
            <w:tcW w:w="583" w:type="pct"/>
            <w:tcBorders>
              <w:top w:val="single" w:sz="4" w:space="0" w:color="808080" w:themeColor="background1" w:themeShade="80"/>
              <w:bottom w:val="single" w:sz="4" w:space="0" w:color="808080" w:themeColor="background1" w:themeShade="80"/>
            </w:tcBorders>
          </w:tcPr>
          <w:p w14:paraId="2923F180" w14:textId="77777777" w:rsidR="009171BE" w:rsidRPr="00C00335" w:rsidRDefault="009171BE" w:rsidP="00697525">
            <w:pPr>
              <w:pStyle w:val="TableText"/>
              <w:spacing w:before="40" w:after="40"/>
              <w:jc w:val="center"/>
              <w:rPr>
                <w:szCs w:val="18"/>
              </w:rPr>
            </w:pPr>
            <w:r w:rsidRPr="00C00335">
              <w:rPr>
                <w:szCs w:val="18"/>
              </w:rPr>
              <w:t>24</w:t>
            </w:r>
          </w:p>
        </w:tc>
        <w:tc>
          <w:tcPr>
            <w:tcW w:w="2936" w:type="pct"/>
            <w:tcBorders>
              <w:top w:val="single" w:sz="4" w:space="0" w:color="808080" w:themeColor="background1" w:themeShade="80"/>
              <w:bottom w:val="single" w:sz="4" w:space="0" w:color="808080" w:themeColor="background1" w:themeShade="80"/>
            </w:tcBorders>
          </w:tcPr>
          <w:p w14:paraId="62F47DF6" w14:textId="5A12DC52"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&lt; 200 (AIDS) / </w:t>
            </w:r>
            <w:r w:rsidR="002F0073" w:rsidRPr="00C00335">
              <w:rPr>
                <w:szCs w:val="18"/>
              </w:rPr>
              <w:t>prescribed ART, but not virally suppressed</w:t>
            </w:r>
          </w:p>
        </w:tc>
        <w:tc>
          <w:tcPr>
            <w:tcW w:w="1481" w:type="pct"/>
            <w:tcBorders>
              <w:top w:val="single" w:sz="4" w:space="0" w:color="808080" w:themeColor="background1" w:themeShade="80"/>
              <w:bottom w:val="single" w:sz="4" w:space="0" w:color="808080" w:themeColor="background1" w:themeShade="80"/>
            </w:tcBorders>
          </w:tcPr>
          <w:p w14:paraId="4A665BDE" w14:textId="276762E3" w:rsidR="009171BE" w:rsidRPr="00C00335" w:rsidRDefault="005F7B71" w:rsidP="00697525">
            <w:pPr>
              <w:pStyle w:val="TableText"/>
              <w:spacing w:before="40" w:after="40"/>
              <w:jc w:val="center"/>
              <w:rPr>
                <w:szCs w:val="18"/>
              </w:rPr>
            </w:pPr>
            <w:r w:rsidRPr="00C00335">
              <w:rPr>
                <w:szCs w:val="18"/>
              </w:rPr>
              <w:t>F4</w:t>
            </w:r>
          </w:p>
        </w:tc>
      </w:tr>
      <w:tr w:rsidR="009171BE" w:rsidRPr="00C00335" w14:paraId="3C71C099" w14:textId="53DF33DB" w:rsidTr="00260D8A">
        <w:trPr>
          <w:cantSplit/>
        </w:trPr>
        <w:tc>
          <w:tcPr>
            <w:tcW w:w="583" w:type="pct"/>
            <w:tcBorders>
              <w:top w:val="single" w:sz="4" w:space="0" w:color="808080" w:themeColor="background1" w:themeShade="80"/>
              <w:bottom w:val="single" w:sz="4" w:space="0" w:color="808080" w:themeColor="background1" w:themeShade="80"/>
            </w:tcBorders>
          </w:tcPr>
          <w:p w14:paraId="5336FB4B" w14:textId="77777777" w:rsidR="009171BE" w:rsidRPr="00C00335" w:rsidRDefault="009171BE" w:rsidP="00697525">
            <w:pPr>
              <w:pStyle w:val="TableText"/>
              <w:spacing w:before="40" w:after="40"/>
              <w:jc w:val="center"/>
              <w:rPr>
                <w:szCs w:val="18"/>
              </w:rPr>
            </w:pPr>
            <w:r w:rsidRPr="00C00335">
              <w:rPr>
                <w:szCs w:val="18"/>
              </w:rPr>
              <w:t>25</w:t>
            </w:r>
          </w:p>
        </w:tc>
        <w:tc>
          <w:tcPr>
            <w:tcW w:w="2936" w:type="pct"/>
            <w:tcBorders>
              <w:top w:val="single" w:sz="4" w:space="0" w:color="808080" w:themeColor="background1" w:themeShade="80"/>
              <w:bottom w:val="single" w:sz="4" w:space="0" w:color="808080" w:themeColor="background1" w:themeShade="80"/>
            </w:tcBorders>
          </w:tcPr>
          <w:p w14:paraId="7F535F08" w14:textId="77296B5D" w:rsidR="009171BE" w:rsidRPr="00C00335" w:rsidRDefault="005F5C70" w:rsidP="00F259E1">
            <w:pPr>
              <w:pStyle w:val="TableText"/>
              <w:spacing w:before="40" w:after="40"/>
              <w:rPr>
                <w:szCs w:val="18"/>
              </w:rPr>
            </w:pPr>
            <w:r w:rsidRPr="00C00335">
              <w:rPr>
                <w:szCs w:val="18"/>
              </w:rPr>
              <w:t>HIV-infected</w:t>
            </w:r>
            <w:r w:rsidR="009171BE" w:rsidRPr="00C00335">
              <w:rPr>
                <w:szCs w:val="18"/>
              </w:rPr>
              <w:t xml:space="preserve"> / CD4 &lt; 200 (AIDS) / </w:t>
            </w:r>
            <w:r w:rsidR="00DC18BA" w:rsidRPr="00C00335">
              <w:rPr>
                <w:szCs w:val="18"/>
              </w:rPr>
              <w:t>virally suppressed, which assumes persons are in care and prescribed ART</w:t>
            </w:r>
          </w:p>
        </w:tc>
        <w:tc>
          <w:tcPr>
            <w:tcW w:w="1481" w:type="pct"/>
            <w:tcBorders>
              <w:top w:val="single" w:sz="4" w:space="0" w:color="808080" w:themeColor="background1" w:themeShade="80"/>
              <w:bottom w:val="single" w:sz="4" w:space="0" w:color="808080" w:themeColor="background1" w:themeShade="80"/>
            </w:tcBorders>
          </w:tcPr>
          <w:p w14:paraId="34D53B17" w14:textId="3748D38E" w:rsidR="009171BE" w:rsidRPr="00C00335" w:rsidRDefault="005F7B71" w:rsidP="00752013">
            <w:pPr>
              <w:pStyle w:val="TableText"/>
              <w:spacing w:before="40" w:after="40"/>
              <w:jc w:val="center"/>
              <w:rPr>
                <w:szCs w:val="18"/>
              </w:rPr>
            </w:pPr>
            <w:r w:rsidRPr="00C00335">
              <w:rPr>
                <w:szCs w:val="18"/>
              </w:rPr>
              <w:t>F5</w:t>
            </w:r>
          </w:p>
        </w:tc>
      </w:tr>
      <w:tr w:rsidR="009171BE" w:rsidRPr="00C00335" w14:paraId="7FC1F092" w14:textId="7348B5B9" w:rsidTr="00260D8A">
        <w:trPr>
          <w:cantSplit/>
        </w:trPr>
        <w:tc>
          <w:tcPr>
            <w:tcW w:w="583" w:type="pct"/>
            <w:tcBorders>
              <w:top w:val="single" w:sz="4" w:space="0" w:color="808080" w:themeColor="background1" w:themeShade="80"/>
              <w:bottom w:val="single" w:sz="4" w:space="0" w:color="808080" w:themeColor="background1" w:themeShade="80"/>
            </w:tcBorders>
          </w:tcPr>
          <w:p w14:paraId="72F68FCF" w14:textId="77777777" w:rsidR="009171BE" w:rsidRPr="00C00335" w:rsidRDefault="009171BE" w:rsidP="00697525">
            <w:pPr>
              <w:pStyle w:val="TableText"/>
              <w:spacing w:before="40" w:after="40"/>
              <w:jc w:val="center"/>
              <w:rPr>
                <w:szCs w:val="18"/>
              </w:rPr>
            </w:pPr>
            <w:r w:rsidRPr="00C00335">
              <w:rPr>
                <w:szCs w:val="18"/>
              </w:rPr>
              <w:t>26</w:t>
            </w:r>
          </w:p>
        </w:tc>
        <w:tc>
          <w:tcPr>
            <w:tcW w:w="2936" w:type="pct"/>
            <w:tcBorders>
              <w:top w:val="single" w:sz="4" w:space="0" w:color="808080" w:themeColor="background1" w:themeShade="80"/>
              <w:bottom w:val="single" w:sz="4" w:space="0" w:color="808080" w:themeColor="background1" w:themeShade="80"/>
            </w:tcBorders>
          </w:tcPr>
          <w:p w14:paraId="77F7FD6B" w14:textId="3810E348" w:rsidR="009171BE" w:rsidRPr="00C00335" w:rsidRDefault="009171BE" w:rsidP="00D5314C">
            <w:pPr>
              <w:pStyle w:val="TableText"/>
              <w:spacing w:before="40" w:after="40"/>
              <w:rPr>
                <w:szCs w:val="18"/>
              </w:rPr>
            </w:pPr>
            <w:r w:rsidRPr="00C00335">
              <w:rPr>
                <w:szCs w:val="18"/>
              </w:rPr>
              <w:t>Death due to non-</w:t>
            </w:r>
            <w:r w:rsidR="00D5314C" w:rsidRPr="00C00335">
              <w:rPr>
                <w:szCs w:val="18"/>
              </w:rPr>
              <w:t>HIV</w:t>
            </w:r>
            <w:r w:rsidRPr="00C00335">
              <w:rPr>
                <w:szCs w:val="18"/>
              </w:rPr>
              <w:t>-related cause</w:t>
            </w:r>
          </w:p>
        </w:tc>
        <w:tc>
          <w:tcPr>
            <w:tcW w:w="1481" w:type="pct"/>
            <w:tcBorders>
              <w:top w:val="single" w:sz="4" w:space="0" w:color="808080" w:themeColor="background1" w:themeShade="80"/>
              <w:bottom w:val="single" w:sz="4" w:space="0" w:color="808080" w:themeColor="background1" w:themeShade="80"/>
            </w:tcBorders>
          </w:tcPr>
          <w:p w14:paraId="47706847" w14:textId="43885A27" w:rsidR="009171BE" w:rsidRPr="00C00335" w:rsidRDefault="00712562" w:rsidP="00752013">
            <w:pPr>
              <w:pStyle w:val="TableText"/>
              <w:spacing w:before="40" w:after="40"/>
              <w:jc w:val="center"/>
              <w:rPr>
                <w:szCs w:val="18"/>
              </w:rPr>
            </w:pPr>
            <w:r w:rsidRPr="00C00335">
              <w:rPr>
                <w:szCs w:val="18"/>
              </w:rPr>
              <w:t>N/A</w:t>
            </w:r>
          </w:p>
        </w:tc>
      </w:tr>
      <w:tr w:rsidR="009171BE" w:rsidRPr="00C00335" w14:paraId="7011D3AD" w14:textId="3E5D3F30" w:rsidTr="00260D8A">
        <w:trPr>
          <w:cantSplit/>
        </w:trPr>
        <w:tc>
          <w:tcPr>
            <w:tcW w:w="583" w:type="pct"/>
            <w:tcBorders>
              <w:top w:val="single" w:sz="4" w:space="0" w:color="808080" w:themeColor="background1" w:themeShade="80"/>
              <w:bottom w:val="single" w:sz="4" w:space="0" w:color="808080" w:themeColor="background1" w:themeShade="80"/>
            </w:tcBorders>
          </w:tcPr>
          <w:p w14:paraId="4E37173C" w14:textId="77777777" w:rsidR="009171BE" w:rsidRPr="00C00335" w:rsidRDefault="009171BE" w:rsidP="00697525">
            <w:pPr>
              <w:pStyle w:val="TableText"/>
              <w:spacing w:before="40" w:after="40"/>
              <w:jc w:val="center"/>
              <w:rPr>
                <w:szCs w:val="18"/>
              </w:rPr>
            </w:pPr>
            <w:r w:rsidRPr="00C00335">
              <w:rPr>
                <w:szCs w:val="18"/>
              </w:rPr>
              <w:t>27</w:t>
            </w:r>
          </w:p>
        </w:tc>
        <w:tc>
          <w:tcPr>
            <w:tcW w:w="2936" w:type="pct"/>
            <w:tcBorders>
              <w:top w:val="single" w:sz="4" w:space="0" w:color="808080" w:themeColor="background1" w:themeShade="80"/>
              <w:bottom w:val="single" w:sz="4" w:space="0" w:color="808080" w:themeColor="background1" w:themeShade="80"/>
            </w:tcBorders>
          </w:tcPr>
          <w:p w14:paraId="32833EED" w14:textId="77777777" w:rsidR="009171BE" w:rsidRPr="00C00335" w:rsidRDefault="009171BE" w:rsidP="00F259E1">
            <w:pPr>
              <w:pStyle w:val="TableText"/>
              <w:spacing w:before="40" w:after="40"/>
              <w:rPr>
                <w:szCs w:val="18"/>
              </w:rPr>
            </w:pPr>
            <w:r w:rsidRPr="00C00335">
              <w:rPr>
                <w:szCs w:val="18"/>
              </w:rPr>
              <w:t>Death from causes related to AIDS</w:t>
            </w:r>
          </w:p>
        </w:tc>
        <w:tc>
          <w:tcPr>
            <w:tcW w:w="1481" w:type="pct"/>
            <w:tcBorders>
              <w:top w:val="single" w:sz="4" w:space="0" w:color="808080" w:themeColor="background1" w:themeShade="80"/>
              <w:bottom w:val="single" w:sz="4" w:space="0" w:color="808080" w:themeColor="background1" w:themeShade="80"/>
            </w:tcBorders>
          </w:tcPr>
          <w:p w14:paraId="1A4DF4A6" w14:textId="41B10313" w:rsidR="009171BE" w:rsidRPr="00C00335" w:rsidRDefault="00712562" w:rsidP="00752013">
            <w:pPr>
              <w:pStyle w:val="TableText"/>
              <w:spacing w:before="40" w:after="40"/>
              <w:jc w:val="center"/>
              <w:rPr>
                <w:szCs w:val="18"/>
              </w:rPr>
            </w:pPr>
            <w:r w:rsidRPr="00C00335">
              <w:rPr>
                <w:szCs w:val="18"/>
              </w:rPr>
              <w:t>N/A</w:t>
            </w:r>
          </w:p>
        </w:tc>
      </w:tr>
    </w:tbl>
    <w:p w14:paraId="1797B054" w14:textId="47EB8770" w:rsidR="002B180E" w:rsidRPr="00C00335" w:rsidRDefault="00697525" w:rsidP="00712562">
      <w:pPr>
        <w:pStyle w:val="Source1"/>
      </w:pPr>
      <w:r w:rsidRPr="00C00335">
        <w:t xml:space="preserve">Note: </w:t>
      </w:r>
      <w:r w:rsidR="00AC6001" w:rsidRPr="00C00335">
        <w:t>ART</w:t>
      </w:r>
      <w:r w:rsidR="00E628BE" w:rsidRPr="00C00335">
        <w:t> = </w:t>
      </w:r>
      <w:r w:rsidR="00AC6001" w:rsidRPr="00C00335">
        <w:t xml:space="preserve">antiretroviral therapy; </w:t>
      </w:r>
      <w:proofErr w:type="spellStart"/>
      <w:r w:rsidR="000E7EEC" w:rsidRPr="00C00335">
        <w:t>PrEP</w:t>
      </w:r>
      <w:proofErr w:type="spellEnd"/>
      <w:r w:rsidR="00E628BE" w:rsidRPr="00C00335">
        <w:t> = </w:t>
      </w:r>
      <w:r w:rsidR="000E7EEC" w:rsidRPr="00C00335">
        <w:t xml:space="preserve">pre-exposure prophylaxis; </w:t>
      </w:r>
      <w:r w:rsidR="00712562" w:rsidRPr="00C00335">
        <w:t xml:space="preserve">N/A </w:t>
      </w:r>
      <w:r w:rsidR="00732A1D" w:rsidRPr="00C00335">
        <w:t>= not applicable</w:t>
      </w:r>
    </w:p>
    <w:p w14:paraId="31543D97" w14:textId="77777777" w:rsidR="00336761" w:rsidRPr="00C00335" w:rsidRDefault="00336761" w:rsidP="00336761">
      <w:pPr>
        <w:pStyle w:val="Heading2"/>
      </w:pPr>
      <w:bookmarkStart w:id="95" w:name="_Toc401148179"/>
      <w:bookmarkStart w:id="96" w:name="_Toc401215323"/>
      <w:bookmarkStart w:id="97" w:name="_Toc403720522"/>
      <w:bookmarkStart w:id="98" w:name="_Toc403720563"/>
      <w:bookmarkStart w:id="99" w:name="_Toc403727668"/>
      <w:bookmarkStart w:id="100" w:name="_Toc403727705"/>
      <w:bookmarkStart w:id="101" w:name="_Toc403731230"/>
      <w:bookmarkStart w:id="102" w:name="_Toc398293126"/>
      <w:bookmarkStart w:id="103" w:name="_Toc89257552"/>
      <w:bookmarkEnd w:id="95"/>
      <w:bookmarkEnd w:id="96"/>
      <w:bookmarkEnd w:id="97"/>
      <w:bookmarkEnd w:id="98"/>
      <w:bookmarkEnd w:id="99"/>
      <w:bookmarkEnd w:id="100"/>
      <w:bookmarkEnd w:id="101"/>
      <w:r w:rsidRPr="00C00335">
        <w:t>Number of Susceptible Individuals</w:t>
      </w:r>
      <w:bookmarkEnd w:id="102"/>
      <w:bookmarkEnd w:id="103"/>
    </w:p>
    <w:p w14:paraId="07CB90BE" w14:textId="0680C22F" w:rsidR="00336761" w:rsidRPr="00C00335" w:rsidRDefault="00336761" w:rsidP="00766A8C">
      <w:pPr>
        <w:pStyle w:val="BodyText"/>
      </w:pPr>
      <w:r w:rsidRPr="00C00335">
        <w:t>The number</w:t>
      </w:r>
      <w:r w:rsidR="00697525" w:rsidRPr="00C00335">
        <w:t>s</w:t>
      </w:r>
      <w:r w:rsidRPr="00C00335">
        <w:t xml:space="preserve"> of susceptible individuals </w:t>
      </w:r>
      <w:r w:rsidR="000E7EEC" w:rsidRPr="00C00335">
        <w:t xml:space="preserve">not on </w:t>
      </w:r>
      <w:proofErr w:type="spellStart"/>
      <w:r w:rsidR="000E7EEC" w:rsidRPr="00C00335">
        <w:t>PrEP</w:t>
      </w:r>
      <w:proofErr w:type="spellEnd"/>
      <w:r w:rsidR="000E7EEC" w:rsidRPr="00C00335">
        <w:t xml:space="preserve"> </w:t>
      </w:r>
      <w:r w:rsidRPr="00C00335">
        <w:t>(</w:t>
      </w:r>
      <w:r w:rsidR="00AC6001" w:rsidRPr="00C00335">
        <w:rPr>
          <w:i/>
          <w:iCs/>
        </w:rPr>
        <w:t>c</w:t>
      </w:r>
      <w:r w:rsidR="00E628BE" w:rsidRPr="00C00335">
        <w:rPr>
          <w:i/>
          <w:iCs/>
        </w:rPr>
        <w:t> = </w:t>
      </w:r>
      <w:r w:rsidR="00AC6001" w:rsidRPr="00C00335">
        <w:t>1</w:t>
      </w:r>
      <w:r w:rsidRPr="00C00335">
        <w:t>)</w:t>
      </w:r>
      <w:r w:rsidR="00BE4D99" w:rsidRPr="00C00335">
        <w:t xml:space="preserve"> and on </w:t>
      </w:r>
      <w:proofErr w:type="spellStart"/>
      <w:r w:rsidR="00BE4D99" w:rsidRPr="00C00335">
        <w:t>PrEP</w:t>
      </w:r>
      <w:proofErr w:type="spellEnd"/>
      <w:r w:rsidR="00BE4D99" w:rsidRPr="00C00335">
        <w:t xml:space="preserve"> (c</w:t>
      </w:r>
      <w:r w:rsidR="00E628BE" w:rsidRPr="00C00335">
        <w:t> = </w:t>
      </w:r>
      <w:r w:rsidR="00BE4D99" w:rsidRPr="00C00335">
        <w:t>2)</w:t>
      </w:r>
      <w:r w:rsidRPr="00C00335">
        <w:t xml:space="preserve"> within each subpopulation </w:t>
      </w:r>
      <w:r w:rsidRPr="00C00335">
        <w:rPr>
          <w:i/>
          <w:iCs/>
        </w:rPr>
        <w:t xml:space="preserve">p </w:t>
      </w:r>
      <w:r w:rsidR="00BE4D99" w:rsidRPr="00C00335">
        <w:t>are</w:t>
      </w:r>
      <w:r w:rsidRPr="00C00335">
        <w:t xml:space="preserve"> determined by Equation</w:t>
      </w:r>
      <w:r w:rsidR="00BE4D99" w:rsidRPr="00C00335">
        <w:t>s</w:t>
      </w:r>
      <w:r w:rsidRPr="00C00335">
        <w:t xml:space="preserve"> </w:t>
      </w:r>
      <w:r w:rsidR="008B30F8" w:rsidRPr="00C00335">
        <w:t>(</w:t>
      </w:r>
      <w:r w:rsidR="00FF381E" w:rsidRPr="00C00335">
        <w:t>7</w:t>
      </w:r>
      <w:r w:rsidR="00F259E1" w:rsidRPr="00C00335">
        <w:t>.</w:t>
      </w:r>
      <w:r w:rsidR="00FF381E" w:rsidRPr="00C00335">
        <w:t>1</w:t>
      </w:r>
      <w:r w:rsidR="008B30F8" w:rsidRPr="00C00335">
        <w:t>)</w:t>
      </w:r>
      <w:r w:rsidR="00BE4D99" w:rsidRPr="00C00335">
        <w:t xml:space="preserve"> and (7.2), respectively</w:t>
      </w:r>
      <w:r w:rsidRPr="00C00335">
        <w:t xml:space="preserve">. </w:t>
      </w:r>
      <w:r w:rsidR="00BE4D99" w:rsidRPr="00C00335">
        <w:t xml:space="preserve">For individuals not on </w:t>
      </w:r>
      <w:proofErr w:type="spellStart"/>
      <w:r w:rsidR="00BE4D99" w:rsidRPr="00C00335">
        <w:t>PrEP</w:t>
      </w:r>
      <w:proofErr w:type="spellEnd"/>
      <w:r w:rsidR="00BE4D99" w:rsidRPr="00C00335">
        <w:t>, t</w:t>
      </w:r>
      <w:r w:rsidRPr="00C00335">
        <w:t>he number of susceptible individuals increases by aging into the observed population</w:t>
      </w:r>
      <w:r w:rsidR="000E7EEC" w:rsidRPr="00C00335">
        <w:t xml:space="preserve"> and susceptible individuals on </w:t>
      </w:r>
      <w:proofErr w:type="spellStart"/>
      <w:r w:rsidR="000E7EEC" w:rsidRPr="00C00335">
        <w:t>PrEP</w:t>
      </w:r>
      <w:proofErr w:type="spellEnd"/>
      <w:r w:rsidR="000E7EEC" w:rsidRPr="00C00335">
        <w:t xml:space="preserve"> </w:t>
      </w:r>
      <w:r w:rsidR="00766A8C" w:rsidRPr="00C00335">
        <w:t>stopping</w:t>
      </w:r>
      <w:r w:rsidR="000E7EEC" w:rsidRPr="00C00335">
        <w:t xml:space="preserve"> </w:t>
      </w:r>
      <w:proofErr w:type="spellStart"/>
      <w:r w:rsidR="000E7EEC" w:rsidRPr="00C00335">
        <w:t>PrEP</w:t>
      </w:r>
      <w:proofErr w:type="spellEnd"/>
      <w:r w:rsidR="007437CC" w:rsidRPr="00C00335">
        <w:t xml:space="preserve"> and</w:t>
      </w:r>
      <w:r w:rsidRPr="00C00335">
        <w:t xml:space="preserve"> decreases due to </w:t>
      </w:r>
      <w:proofErr w:type="spellStart"/>
      <w:r w:rsidR="000E7EEC" w:rsidRPr="00C00335">
        <w:t>PrEP</w:t>
      </w:r>
      <w:proofErr w:type="spellEnd"/>
      <w:r w:rsidR="000E7EEC" w:rsidRPr="00C00335">
        <w:t xml:space="preserve"> initiation</w:t>
      </w:r>
      <w:r w:rsidRPr="00C00335">
        <w:t xml:space="preserve">. </w:t>
      </w:r>
      <w:bookmarkStart w:id="104" w:name="_Hlk54750323"/>
      <w:r w:rsidR="007437CC" w:rsidRPr="00C00335">
        <w:t xml:space="preserve">The number of susceptible individuals on </w:t>
      </w:r>
      <w:proofErr w:type="spellStart"/>
      <w:r w:rsidR="007437CC" w:rsidRPr="00C00335">
        <w:t>PrEP</w:t>
      </w:r>
      <w:proofErr w:type="spellEnd"/>
      <w:r w:rsidR="007437CC" w:rsidRPr="00C00335">
        <w:t xml:space="preserve"> increases due to initiation of </w:t>
      </w:r>
      <w:proofErr w:type="spellStart"/>
      <w:r w:rsidR="007437CC" w:rsidRPr="00C00335">
        <w:t>PrEP</w:t>
      </w:r>
      <w:proofErr w:type="spellEnd"/>
      <w:r w:rsidR="007437CC" w:rsidRPr="00C00335">
        <w:t xml:space="preserve"> and decreases due to </w:t>
      </w:r>
      <w:r w:rsidR="00766A8C" w:rsidRPr="00C00335">
        <w:t>stopping</w:t>
      </w:r>
      <w:r w:rsidR="007437CC" w:rsidRPr="00C00335">
        <w:t xml:space="preserve"> </w:t>
      </w:r>
      <w:proofErr w:type="spellStart"/>
      <w:r w:rsidR="007437CC" w:rsidRPr="00C00335">
        <w:t>PrEP.</w:t>
      </w:r>
      <w:proofErr w:type="spellEnd"/>
      <w:r w:rsidR="007437CC" w:rsidRPr="00C00335">
        <w:t xml:space="preserve"> For both compartments, the number of susceptible individuals decreases by HIV infection</w:t>
      </w:r>
      <w:r w:rsidR="004935EA">
        <w:t xml:space="preserve"> or</w:t>
      </w:r>
      <w:r w:rsidR="004935EA" w:rsidRPr="00C00335">
        <w:t xml:space="preserve"> </w:t>
      </w:r>
      <w:r w:rsidR="007437CC" w:rsidRPr="00C00335">
        <w:t xml:space="preserve">death from causes other than AIDS. </w:t>
      </w:r>
      <w:bookmarkEnd w:id="104"/>
      <w:r w:rsidR="00BE4D99" w:rsidRPr="00C00335">
        <w:t xml:space="preserve">For both compartments, as well as all other </w:t>
      </w:r>
      <w:r w:rsidR="00BE4D99" w:rsidRPr="00C00335">
        <w:rPr>
          <w:i/>
          <w:iCs/>
        </w:rPr>
        <w:t>c</w:t>
      </w:r>
      <w:r w:rsidR="00BE4D99" w:rsidRPr="00C00335">
        <w:t>, a</w:t>
      </w:r>
      <w:r w:rsidRPr="00C00335">
        <w:t>ging also shifts individuals between age groups.</w:t>
      </w:r>
    </w:p>
    <w:p w14:paraId="5AA49B21" w14:textId="467DBFAA" w:rsidR="005D5BE6" w:rsidRPr="00C00335" w:rsidRDefault="005D5BE6" w:rsidP="00F86D5A">
      <w:pPr>
        <w:pStyle w:val="equation"/>
        <w:spacing w:after="360"/>
      </w:pPr>
      <w:r w:rsidRPr="00C00335">
        <w:rPr>
          <w:snapToGrid w:val="0"/>
        </w:rPr>
        <w:tab/>
      </w:r>
      <m:oMath>
        <m:f>
          <m:fPr>
            <m:ctrlPr>
              <w:rPr>
                <w:snapToGrid w:val="0"/>
              </w:rPr>
            </m:ctrlPr>
          </m:fPr>
          <m:num>
            <m:sSubSup>
              <m:sSubSupPr>
                <m:ctrlPr>
                  <w:rPr>
                    <w:snapToGrid w:val="0"/>
                  </w:rPr>
                </m:ctrlPr>
              </m:sSubSupPr>
              <m:e>
                <m:r>
                  <m:t>dX</m:t>
                </m:r>
              </m:e>
              <m:sub>
                <m:r>
                  <m:t>p</m:t>
                </m:r>
              </m:sub>
              <m:sup>
                <m:r>
                  <m:t>c</m:t>
                </m:r>
                <m:r>
                  <m:rPr>
                    <m:sty m:val="p"/>
                  </m:rPr>
                  <m:t>=1</m:t>
                </m:r>
              </m:sup>
            </m:sSubSup>
            <m:r>
              <m:rPr>
                <m:sty m:val="p"/>
              </m:rPr>
              <m:t>(</m:t>
            </m:r>
            <m:r>
              <m:t>t</m:t>
            </m:r>
            <m:r>
              <m:rPr>
                <m:sty m:val="p"/>
              </m:rPr>
              <m:t>)</m:t>
            </m:r>
          </m:num>
          <m:den>
            <m:r>
              <m:t>dt</m:t>
            </m:r>
          </m:den>
        </m:f>
        <m:r>
          <m:rPr>
            <m:sty m:val="p"/>
          </m:rPr>
          <m:t>=</m:t>
        </m:r>
        <m:d>
          <m:dPr>
            <m:begChr m:val="["/>
            <m:endChr m:val="]"/>
            <m:ctrlPr>
              <w:rPr>
                <w:snapToGrid w:val="0"/>
              </w:rPr>
            </m:ctrlPr>
          </m:dPr>
          <m:e>
            <m:sSub>
              <m:sSubPr>
                <m:ctrlPr>
                  <w:rPr>
                    <w:snapToGrid w:val="0"/>
                  </w:rPr>
                </m:ctrlPr>
              </m:sSubPr>
              <m:e>
                <m:r>
                  <m:rPr>
                    <m:sty m:val="p"/>
                  </m:rPr>
                  <m:t>Λ</m:t>
                </m:r>
              </m:e>
              <m:sub>
                <m:r>
                  <m:t>p</m:t>
                </m:r>
              </m:sub>
            </m:sSub>
            <m:r>
              <w:rPr>
                <w:snapToGrid w:val="0"/>
              </w:rPr>
              <m:t>*</m:t>
            </m:r>
            <m:sSub>
              <m:sSubPr>
                <m:ctrlPr>
                  <w:rPr>
                    <w:i/>
                    <w:snapToGrid w:val="0"/>
                  </w:rPr>
                </m:ctrlPr>
              </m:sSubPr>
              <m:e>
                <m:r>
                  <w:rPr>
                    <w:snapToGrid w:val="0"/>
                  </w:rPr>
                  <m:t>f</m:t>
                </m:r>
              </m:e>
              <m:sub>
                <m:r>
                  <w:rPr>
                    <w:snapToGrid w:val="0"/>
                  </w:rPr>
                  <m:t>p</m:t>
                </m:r>
              </m:sub>
            </m:sSub>
          </m:e>
        </m:d>
        <m:nary>
          <m:naryPr>
            <m:chr m:val="∑"/>
            <m:limLoc m:val="undOvr"/>
            <m:ctrlPr>
              <w:rPr>
                <w:snapToGrid w:val="0"/>
              </w:rPr>
            </m:ctrlPr>
          </m:naryPr>
          <m:sub>
            <m:r>
              <m:t>c</m:t>
            </m:r>
            <m:r>
              <m:rPr>
                <m:sty m:val="p"/>
              </m:rPr>
              <m:t>=1</m:t>
            </m:r>
          </m:sub>
          <m:sup>
            <m:r>
              <w:rPr>
                <w:snapToGrid w:val="0"/>
              </w:rPr>
              <m:t>25</m:t>
            </m:r>
          </m:sup>
          <m:e>
            <m:sSubSup>
              <m:sSubSupPr>
                <m:ctrlPr>
                  <w:rPr>
                    <w:i/>
                    <w:snapToGrid w:val="0"/>
                  </w:rPr>
                </m:ctrlPr>
              </m:sSubSupPr>
              <m:e>
                <m:r>
                  <w:rPr>
                    <w:snapToGrid w:val="0"/>
                  </w:rPr>
                  <m:t>X</m:t>
                </m:r>
              </m:e>
              <m:sub>
                <m:r>
                  <w:rPr>
                    <w:snapToGrid w:val="0"/>
                  </w:rPr>
                  <m:t>p</m:t>
                </m:r>
              </m:sub>
              <m:sup>
                <m:r>
                  <w:rPr>
                    <w:snapToGrid w:val="0"/>
                  </w:rPr>
                  <m:t>c</m:t>
                </m:r>
              </m:sup>
            </m:sSubSup>
            <m:r>
              <w:rPr>
                <w:snapToGrid w:val="0"/>
              </w:rPr>
              <m:t>(t=0)</m:t>
            </m:r>
          </m:e>
        </m:nary>
        <m:r>
          <w:rPr>
            <w:snapToGrid w:val="0"/>
          </w:rPr>
          <m:t>+</m:t>
        </m:r>
        <m:d>
          <m:dPr>
            <m:begChr m:val="["/>
            <m:endChr m:val="]"/>
            <m:ctrlPr>
              <w:rPr>
                <w:i/>
                <w:snapToGrid w:val="0"/>
              </w:rPr>
            </m:ctrlPr>
          </m:dPr>
          <m:e>
            <m:sSub>
              <m:sSubPr>
                <m:ctrlPr>
                  <w:rPr>
                    <w:i/>
                    <w:snapToGrid w:val="0"/>
                  </w:rPr>
                </m:ctrlPr>
              </m:sSubPr>
              <m:e>
                <m:r>
                  <w:rPr>
                    <w:snapToGrid w:val="0"/>
                  </w:rPr>
                  <m:t>Y</m:t>
                </m:r>
              </m:e>
              <m:sub>
                <m:r>
                  <w:rPr>
                    <w:snapToGrid w:val="0"/>
                  </w:rPr>
                  <m:t>p</m:t>
                </m:r>
              </m:sub>
            </m:sSub>
          </m:e>
        </m:d>
        <m:sSubSup>
          <m:sSubSupPr>
            <m:ctrlPr>
              <w:rPr>
                <w:i/>
                <w:snapToGrid w:val="0"/>
              </w:rPr>
            </m:ctrlPr>
          </m:sSubSupPr>
          <m:e>
            <m:r>
              <w:rPr>
                <w:snapToGrid w:val="0"/>
              </w:rPr>
              <m:t>X</m:t>
            </m:r>
          </m:e>
          <m:sub>
            <m:r>
              <w:rPr>
                <w:snapToGrid w:val="0"/>
              </w:rPr>
              <m:t>p</m:t>
            </m:r>
          </m:sub>
          <m:sup>
            <m:r>
              <w:rPr>
                <w:snapToGrid w:val="0"/>
              </w:rPr>
              <m:t>c=2</m:t>
            </m:r>
          </m:sup>
        </m:sSubSup>
        <m:d>
          <m:dPr>
            <m:ctrlPr>
              <w:rPr>
                <w:i/>
                <w:snapToGrid w:val="0"/>
              </w:rPr>
            </m:ctrlPr>
          </m:dPr>
          <m:e>
            <m:r>
              <w:rPr>
                <w:snapToGrid w:val="0"/>
              </w:rPr>
              <m:t>t</m:t>
            </m:r>
          </m:e>
        </m:d>
        <m:r>
          <w:rPr>
            <w:snapToGrid w:val="0"/>
          </w:rPr>
          <m:t>-</m:t>
        </m:r>
        <m:d>
          <m:dPr>
            <m:begChr m:val="["/>
            <m:endChr m:val="]"/>
            <m:ctrlPr>
              <w:rPr>
                <w:snapToGrid w:val="0"/>
              </w:rPr>
            </m:ctrlPr>
          </m:dPr>
          <m:e>
            <m:sSub>
              <m:sSubPr>
                <m:ctrlPr>
                  <w:rPr>
                    <w:snapToGrid w:val="0"/>
                  </w:rPr>
                </m:ctrlPr>
              </m:sSubPr>
              <m:e>
                <m:r>
                  <m:rPr>
                    <m:sty m:val="p"/>
                  </m:rPr>
                  <w:rPr>
                    <w:snapToGrid w:val="0"/>
                  </w:rPr>
                  <m:t>Ψ</m:t>
                </m:r>
              </m:e>
              <m:sub>
                <m:r>
                  <w:rPr>
                    <w:snapToGrid w:val="0"/>
                  </w:rPr>
                  <m:t>p</m:t>
                </m:r>
              </m:sub>
            </m:sSub>
            <m:d>
              <m:dPr>
                <m:ctrlPr>
                  <w:rPr>
                    <w:i/>
                    <w:snapToGrid w:val="0"/>
                  </w:rPr>
                </m:ctrlPr>
              </m:dPr>
              <m:e>
                <m:r>
                  <w:rPr>
                    <w:snapToGrid w:val="0"/>
                  </w:rPr>
                  <m:t>t</m:t>
                </m:r>
              </m:e>
            </m:d>
            <m:r>
              <w:rPr>
                <w:snapToGrid w:val="0"/>
              </w:rPr>
              <m:t>+</m:t>
            </m:r>
            <m:sSub>
              <m:sSubPr>
                <m:ctrlPr>
                  <w:rPr>
                    <w:i/>
                    <w:snapToGrid w:val="0"/>
                  </w:rPr>
                </m:ctrlPr>
              </m:sSubPr>
              <m:e>
                <m:r>
                  <w:rPr>
                    <w:snapToGrid w:val="0"/>
                  </w:rPr>
                  <m:t>λ</m:t>
                </m:r>
              </m:e>
              <m:sub>
                <m:r>
                  <w:rPr>
                    <w:snapToGrid w:val="0"/>
                  </w:rPr>
                  <m:t>p</m:t>
                </m:r>
                <m:d>
                  <m:dPr>
                    <m:ctrlPr>
                      <w:rPr>
                        <w:i/>
                        <w:snapToGrid w:val="0"/>
                      </w:rPr>
                    </m:ctrlPr>
                  </m:dPr>
                  <m:e>
                    <m:r>
                      <w:rPr>
                        <w:snapToGrid w:val="0"/>
                      </w:rPr>
                      <m:t>t</m:t>
                    </m:r>
                  </m:e>
                </m:d>
              </m:sub>
            </m:sSub>
            <m:r>
              <w:rPr>
                <w:snapToGrid w:val="0"/>
              </w:rPr>
              <m:t>+</m:t>
            </m:r>
            <m:sSub>
              <m:sSubPr>
                <m:ctrlPr>
                  <w:rPr>
                    <w:i/>
                    <w:snapToGrid w:val="0"/>
                  </w:rPr>
                </m:ctrlPr>
              </m:sSubPr>
              <m:e>
                <m:r>
                  <w:rPr>
                    <w:snapToGrid w:val="0"/>
                  </w:rPr>
                  <m:t>μ</m:t>
                </m:r>
              </m:e>
              <m:sub>
                <m:r>
                  <w:rPr>
                    <w:snapToGrid w:val="0"/>
                  </w:rPr>
                  <m:t>p</m:t>
                </m:r>
              </m:sub>
            </m:sSub>
            <m:r>
              <w:rPr>
                <w:snapToGrid w:val="0"/>
              </w:rPr>
              <m:t>+</m:t>
            </m:r>
            <m:sSubSup>
              <m:sSubSupPr>
                <m:ctrlPr>
                  <w:rPr>
                    <w:i/>
                    <w:snapToGrid w:val="0"/>
                  </w:rPr>
                </m:ctrlPr>
              </m:sSubSupPr>
              <m:e>
                <m:r>
                  <w:rPr>
                    <w:snapToGrid w:val="0"/>
                  </w:rPr>
                  <m:t>δ</m:t>
                </m:r>
              </m:e>
              <m:sub>
                <m:r>
                  <w:rPr>
                    <w:snapToGrid w:val="0"/>
                  </w:rPr>
                  <m:t>p</m:t>
                </m:r>
              </m:sub>
              <m:sup>
                <m:r>
                  <w:rPr>
                    <w:snapToGrid w:val="0"/>
                  </w:rPr>
                  <m:t>-</m:t>
                </m:r>
              </m:sup>
            </m:sSubSup>
          </m:e>
        </m:d>
        <m:sSubSup>
          <m:sSubSupPr>
            <m:ctrlPr>
              <w:rPr>
                <w:i/>
                <w:snapToGrid w:val="0"/>
              </w:rPr>
            </m:ctrlPr>
          </m:sSubSupPr>
          <m:e>
            <m:r>
              <w:rPr>
                <w:snapToGrid w:val="0"/>
              </w:rPr>
              <m:t>X</m:t>
            </m:r>
          </m:e>
          <m:sub>
            <m:r>
              <w:rPr>
                <w:snapToGrid w:val="0"/>
              </w:rPr>
              <m:t>p</m:t>
            </m:r>
          </m:sub>
          <m:sup>
            <m:r>
              <w:rPr>
                <w:snapToGrid w:val="0"/>
              </w:rPr>
              <m:t>c=1</m:t>
            </m:r>
          </m:sup>
        </m:sSubSup>
        <m:d>
          <m:dPr>
            <m:ctrlPr>
              <w:rPr>
                <w:i/>
                <w:snapToGrid w:val="0"/>
              </w:rPr>
            </m:ctrlPr>
          </m:dPr>
          <m:e>
            <m:r>
              <w:rPr>
                <w:snapToGrid w:val="0"/>
              </w:rPr>
              <m:t>t</m:t>
            </m:r>
          </m:e>
        </m:d>
        <m:r>
          <w:rPr>
            <w:snapToGrid w:val="0"/>
          </w:rPr>
          <m:t>+</m:t>
        </m:r>
        <m:d>
          <m:dPr>
            <m:begChr m:val="["/>
            <m:endChr m:val="]"/>
            <m:ctrlPr>
              <w:rPr>
                <w:i/>
                <w:snapToGrid w:val="0"/>
              </w:rPr>
            </m:ctrlPr>
          </m:dPr>
          <m:e>
            <m:sSubSup>
              <m:sSubSupPr>
                <m:ctrlPr>
                  <w:rPr>
                    <w:i/>
                    <w:snapToGrid w:val="0"/>
                  </w:rPr>
                </m:ctrlPr>
              </m:sSubSupPr>
              <m:e>
                <m:r>
                  <w:rPr>
                    <w:snapToGrid w:val="0"/>
                  </w:rPr>
                  <m:t>δ</m:t>
                </m:r>
              </m:e>
              <m:sub>
                <m:r>
                  <w:rPr>
                    <w:snapToGrid w:val="0"/>
                  </w:rPr>
                  <m:t>p</m:t>
                </m:r>
              </m:sub>
              <m:sup>
                <m:r>
                  <w:rPr>
                    <w:snapToGrid w:val="0"/>
                  </w:rPr>
                  <m:t>+</m:t>
                </m:r>
              </m:sup>
            </m:sSubSup>
          </m:e>
        </m:d>
        <m:sSubSup>
          <m:sSubSupPr>
            <m:ctrlPr>
              <w:rPr>
                <w:i/>
                <w:snapToGrid w:val="0"/>
              </w:rPr>
            </m:ctrlPr>
          </m:sSubSupPr>
          <m:e>
            <m:r>
              <w:rPr>
                <w:snapToGrid w:val="0"/>
              </w:rPr>
              <m:t>X</m:t>
            </m:r>
          </m:e>
          <m:sub>
            <m:r>
              <w:rPr>
                <w:snapToGrid w:val="0"/>
              </w:rPr>
              <m:t>p-1</m:t>
            </m:r>
          </m:sub>
          <m:sup>
            <m:r>
              <w:rPr>
                <w:snapToGrid w:val="0"/>
              </w:rPr>
              <m:t>c=1</m:t>
            </m:r>
          </m:sup>
        </m:sSubSup>
        <m:r>
          <w:rPr>
            <w:snapToGrid w:val="0"/>
          </w:rPr>
          <m:t>(t)</m:t>
        </m:r>
      </m:oMath>
      <w:r w:rsidRPr="0023643C">
        <w:rPr>
          <w:snapToGrid w:val="0"/>
        </w:rPr>
        <w:tab/>
        <w:t>(7.1)</w:t>
      </w:r>
    </w:p>
    <w:p w14:paraId="22B4F524" w14:textId="6FECDFEA" w:rsidR="003F334F" w:rsidRPr="00C00335" w:rsidRDefault="003F334F" w:rsidP="00F86D5A">
      <w:pPr>
        <w:pStyle w:val="equation"/>
      </w:pPr>
      <w:r w:rsidRPr="00C00335">
        <w:tab/>
      </w:r>
      <m:oMath>
        <m:f>
          <m:fPr>
            <m:ctrlPr>
              <w:rPr>
                <w:i/>
              </w:rPr>
            </m:ctrlPr>
          </m:fPr>
          <m:num>
            <m:sSubSup>
              <m:sSubSupPr>
                <m:ctrlPr>
                  <w:rPr>
                    <w:i/>
                  </w:rPr>
                </m:ctrlPr>
              </m:sSubSupPr>
              <m:e>
                <m:r>
                  <m:t>dX</m:t>
                </m:r>
              </m:e>
              <m:sub>
                <m:r>
                  <m:t>p</m:t>
                </m:r>
              </m:sub>
              <m:sup>
                <m:r>
                  <m:t>c=2</m:t>
                </m:r>
              </m:sup>
            </m:sSubSup>
            <m:r>
              <m:t>(t)</m:t>
            </m:r>
          </m:num>
          <m:den>
            <m:r>
              <m:t>dt</m:t>
            </m:r>
          </m:den>
        </m:f>
        <m:r>
          <m:t>=</m:t>
        </m:r>
        <m:d>
          <m:dPr>
            <m:begChr m:val="["/>
            <m:endChr m:val="]"/>
            <m:ctrlPr>
              <w:rPr>
                <w:i/>
              </w:rPr>
            </m:ctrlPr>
          </m:dPr>
          <m:e>
            <m:sSub>
              <m:sSubPr>
                <m:ctrlPr/>
              </m:sSubPr>
              <m:e>
                <m:r>
                  <m:rPr>
                    <m:sty m:val="p"/>
                  </m:rPr>
                  <m:t>Ψ</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
              <m:sSubPr>
                <m:ctrlPr>
                  <w:rPr>
                    <w:i/>
                  </w:rPr>
                </m:ctrlPr>
              </m:sSubPr>
              <m:e>
                <m:r>
                  <m:t>Y</m:t>
                </m:r>
              </m:e>
              <m:sub>
                <m:r>
                  <m:t>p</m:t>
                </m:r>
              </m:sub>
            </m:sSub>
            <m:r>
              <m:t>+</m:t>
            </m:r>
            <m:d>
              <m:dPr>
                <m:ctrlPr>
                  <w:rPr>
                    <w:i/>
                  </w:rPr>
                </m:ctrlPr>
              </m:dPr>
              <m:e>
                <m:r>
                  <m:t>1-</m:t>
                </m:r>
                <m:sSub>
                  <m:sSubPr>
                    <m:ctrlPr>
                      <w:rPr>
                        <w:i/>
                      </w:rPr>
                    </m:ctrlPr>
                  </m:sSubPr>
                  <m:e>
                    <m:r>
                      <m:t>i</m:t>
                    </m:r>
                  </m:e>
                  <m:sub>
                    <m:r>
                      <m:t>p</m:t>
                    </m:r>
                  </m:sub>
                </m:sSub>
              </m:e>
            </m:d>
            <m:sSub>
              <m:sSubPr>
                <m:ctrlPr>
                  <w:rPr>
                    <w:i/>
                  </w:rPr>
                </m:ctrlPr>
              </m:sSubPr>
              <m:e>
                <m:r>
                  <m:t>λ</m:t>
                </m:r>
              </m:e>
              <m:sub>
                <m:r>
                  <m:t>p</m:t>
                </m:r>
              </m:sub>
            </m:sSub>
            <m:d>
              <m:dPr>
                <m:ctrlPr>
                  <w:rPr>
                    <w:i/>
                  </w:rPr>
                </m:ctrlPr>
              </m:dPr>
              <m:e>
                <m:r>
                  <m:t>t</m:t>
                </m:r>
              </m:e>
            </m:d>
            <m:r>
              <m:t>+</m:t>
            </m:r>
            <m:sSub>
              <m:sSubPr>
                <m:ctrlPr>
                  <w:rPr>
                    <w:i/>
                  </w:rPr>
                </m:ctrlPr>
              </m:sSubPr>
              <m:e>
                <m:r>
                  <m:t>μ</m:t>
                </m:r>
              </m:e>
              <m:sub>
                <m:r>
                  <m:t>p</m:t>
                </m:r>
              </m:sub>
            </m:sSub>
            <m:r>
              <m:t>+</m:t>
            </m:r>
            <m:sSubSup>
              <m:sSubSupPr>
                <m:ctrlPr>
                  <w:rPr>
                    <w:i/>
                  </w:rPr>
                </m:ctrlPr>
              </m:sSubSupPr>
              <m:e>
                <m:r>
                  <m:t>δ</m:t>
                </m:r>
              </m:e>
              <m:sub>
                <m:r>
                  <m:t>p</m:t>
                </m:r>
              </m:sub>
              <m:sup>
                <m:r>
                  <m:t>-</m:t>
                </m:r>
              </m:sup>
            </m:sSubSup>
          </m:e>
        </m:d>
        <m:sSubSup>
          <m:sSubSupPr>
            <m:ctrlPr>
              <w:rPr>
                <w:i/>
              </w:rPr>
            </m:ctrlPr>
          </m:sSubSupPr>
          <m:e>
            <m:r>
              <m:t>X</m:t>
            </m:r>
          </m:e>
          <m:sub>
            <m:r>
              <m:t>p</m:t>
            </m:r>
          </m:sub>
          <m:sup>
            <m:r>
              <m:t>c=2</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c=2</m:t>
            </m:r>
          </m:sup>
        </m:sSubSup>
        <m:r>
          <m:t>(t)</m:t>
        </m:r>
      </m:oMath>
      <w:r w:rsidRPr="00C00335">
        <w:tab/>
        <w:t>(7.2)</w:t>
      </w:r>
    </w:p>
    <w:p w14:paraId="5EBCB8BC" w14:textId="77777777" w:rsidR="00336761" w:rsidRPr="00C00335" w:rsidRDefault="00336761" w:rsidP="00F259E1">
      <w:pPr>
        <w:pStyle w:val="BodyText"/>
        <w:keepNext/>
      </w:pPr>
      <w:r w:rsidRPr="00C00335">
        <w:t>where</w:t>
      </w:r>
    </w:p>
    <w:bookmarkStart w:id="105" w:name="_Toc398293127"/>
    <w:p w14:paraId="0907F957" w14:textId="1DE5D2F8" w:rsidR="00751172" w:rsidRPr="00C00335" w:rsidRDefault="00184438" w:rsidP="002B1372">
      <w:pPr>
        <w:pStyle w:val="bullets"/>
      </w:pPr>
      <w:r w:rsidRPr="00C00335">
        <w:rPr>
          <w:position w:val="-14"/>
        </w:rPr>
        <w:object w:dxaOrig="639" w:dyaOrig="400" w14:anchorId="7C26DB3F">
          <v:shape id="_x0000_i1043" type="#_x0000_t75" style="width:28.5pt;height:22.5pt" o:ole="">
            <v:imagedata r:id="rId83" o:title=""/>
          </v:shape>
          <o:OLEObject Type="Embed" ProgID="Equation.3" ShapeID="_x0000_i1043" DrawAspect="Content" ObjectID="_1700043735" r:id="rId84"/>
        </w:object>
      </w:r>
      <w:r w:rsidR="00751172" w:rsidRPr="00C00335">
        <w:t xml:space="preserve"> = </w:t>
      </w:r>
      <w:r w:rsidR="006B19E7" w:rsidRPr="00C00335">
        <w:t>n</w:t>
      </w:r>
      <w:r w:rsidR="00751172" w:rsidRPr="00C00335">
        <w:t xml:space="preserve">umber of individuals in the population in compartment </w:t>
      </w:r>
      <w:r w:rsidR="00751172" w:rsidRPr="00C00335">
        <w:rPr>
          <w:i/>
          <w:iCs/>
        </w:rPr>
        <w:t>c</w:t>
      </w:r>
      <w:r w:rsidR="00751172" w:rsidRPr="00C00335">
        <w:t xml:space="preserve"> and demographic subpopulation </w:t>
      </w:r>
      <w:proofErr w:type="spellStart"/>
      <w:r w:rsidR="00751172" w:rsidRPr="00C00335">
        <w:rPr>
          <w:i/>
          <w:iCs/>
        </w:rPr>
        <w:t>p</w:t>
      </w:r>
      <w:r w:rsidR="00751172" w:rsidRPr="00C00335">
        <w:rPr>
          <w:iCs/>
        </w:rPr>
        <w:t xml:space="preserve"> </w:t>
      </w:r>
      <w:r w:rsidR="00751172" w:rsidRPr="00C00335">
        <w:t>at</w:t>
      </w:r>
      <w:proofErr w:type="spellEnd"/>
      <w:r w:rsidR="00751172" w:rsidRPr="00C00335">
        <w:t xml:space="preserve"> time </w:t>
      </w:r>
      <w:proofErr w:type="gramStart"/>
      <w:r w:rsidR="00751172" w:rsidRPr="00C00335">
        <w:rPr>
          <w:i/>
        </w:rPr>
        <w:t>t</w:t>
      </w:r>
      <w:r w:rsidR="00751172" w:rsidRPr="00C00335">
        <w:t>;</w:t>
      </w:r>
      <w:proofErr w:type="gramEnd"/>
    </w:p>
    <w:p w14:paraId="11F52772" w14:textId="280A8B4F" w:rsidR="00336761" w:rsidRPr="0023643C" w:rsidRDefault="00184438" w:rsidP="002B1372">
      <w:pPr>
        <w:pStyle w:val="bullets"/>
      </w:pPr>
      <w:r w:rsidRPr="00C00335">
        <w:rPr>
          <w:position w:val="-14"/>
        </w:rPr>
        <w:object w:dxaOrig="360" w:dyaOrig="400" w14:anchorId="79B5F825">
          <v:shape id="_x0000_i1044" type="#_x0000_t75" style="width:22.5pt;height:22.5pt" o:ole="">
            <v:imagedata r:id="rId85" o:title=""/>
          </v:shape>
          <o:OLEObject Type="Embed" ProgID="Equation.3" ShapeID="_x0000_i1044" DrawAspect="Content" ObjectID="_1700043736" r:id="rId86"/>
        </w:object>
      </w:r>
      <w:r w:rsidR="00336761" w:rsidRPr="00C00335">
        <w:t> = </w:t>
      </w:r>
      <w:r w:rsidR="006B19E7" w:rsidRPr="00C00335">
        <w:t>constant rate of aging into the</w:t>
      </w:r>
      <w:r w:rsidR="000E7EEC" w:rsidRPr="00C00335">
        <w:t xml:space="preserve"> youngest age group in the</w:t>
      </w:r>
      <w:r w:rsidR="006B19E7" w:rsidRPr="00C00335">
        <w:t xml:space="preserve"> modeled population per </w:t>
      </w:r>
      <w:r w:rsidR="006B19E7" w:rsidRPr="0023643C">
        <w:t xml:space="preserve">person </w:t>
      </w:r>
      <w:r w:rsidR="00B6581D" w:rsidRPr="0023643C">
        <w:t>(based on the size and distribution</w:t>
      </w:r>
      <w:r w:rsidR="000E7EEC" w:rsidRPr="0023643C">
        <w:t xml:space="preserve"> of that youngest group</w:t>
      </w:r>
      <w:r w:rsidR="00B6581D" w:rsidRPr="0023643C">
        <w:t xml:space="preserve"> </w:t>
      </w:r>
      <w:r w:rsidR="005879EA" w:rsidRPr="0023643C">
        <w:t xml:space="preserve">at </w:t>
      </w:r>
      <w:r w:rsidR="00AC6001" w:rsidRPr="0023643C">
        <w:rPr>
          <w:i/>
        </w:rPr>
        <w:t>t</w:t>
      </w:r>
      <w:r w:rsidR="00AC6001" w:rsidRPr="0023643C">
        <w:t xml:space="preserve"> = 0)</w:t>
      </w:r>
      <w:r w:rsidR="005879EA" w:rsidRPr="0023643C">
        <w:t xml:space="preserve"> </w:t>
      </w:r>
      <w:r w:rsidR="006B19E7" w:rsidRPr="0023643C">
        <w:t xml:space="preserve">in subpopulation </w:t>
      </w:r>
      <w:proofErr w:type="gramStart"/>
      <w:r w:rsidR="006B19E7" w:rsidRPr="0023643C">
        <w:rPr>
          <w:i/>
        </w:rPr>
        <w:t>p</w:t>
      </w:r>
      <w:r w:rsidR="0006550C" w:rsidRPr="0023643C">
        <w:t>;</w:t>
      </w:r>
      <w:proofErr w:type="gramEnd"/>
    </w:p>
    <w:p w14:paraId="378F16F6" w14:textId="49ABB5AF" w:rsidR="004935EA" w:rsidRPr="0023643C" w:rsidRDefault="004935EA" w:rsidP="002B1372">
      <w:pPr>
        <w:pStyle w:val="bullets"/>
      </w:pPr>
      <w:proofErr w:type="spellStart"/>
      <w:r w:rsidRPr="0023643C">
        <w:t>f</w:t>
      </w:r>
      <w:r w:rsidRPr="0023643C">
        <w:rPr>
          <w:vertAlign w:val="subscript"/>
        </w:rPr>
        <w:t>p</w:t>
      </w:r>
      <w:proofErr w:type="spellEnd"/>
      <w:r w:rsidRPr="0023643C">
        <w:t xml:space="preserve"> = Relative adjustment to rate of aging into the youngest age group of the model for all p in the youngest age group (j = 1 if the youngest age group is 13</w:t>
      </w:r>
      <w:r w:rsidR="00192A14" w:rsidRPr="0023643C">
        <w:t>–</w:t>
      </w:r>
      <w:r w:rsidRPr="0023643C">
        <w:t>17 and j = 2 if youngest age group is 18</w:t>
      </w:r>
      <w:r w:rsidR="00192A14" w:rsidRPr="0023643C">
        <w:t>–</w:t>
      </w:r>
      <w:r w:rsidRPr="0023643C">
        <w:t>24).</w:t>
      </w:r>
    </w:p>
    <w:p w14:paraId="04F6F3AB" w14:textId="58C04EBD" w:rsidR="009A2918" w:rsidRPr="00C00335" w:rsidRDefault="009A2918" w:rsidP="002B1372">
      <w:pPr>
        <w:pStyle w:val="bullets"/>
      </w:pPr>
      <w:proofErr w:type="spellStart"/>
      <w:r w:rsidRPr="00C00335">
        <w:lastRenderedPageBreak/>
        <w:t>Y</w:t>
      </w:r>
      <w:r w:rsidRPr="00C00335">
        <w:rPr>
          <w:vertAlign w:val="subscript"/>
        </w:rPr>
        <w:t>p</w:t>
      </w:r>
      <w:proofErr w:type="spellEnd"/>
      <w:r w:rsidRPr="00C00335">
        <w:t xml:space="preserve"> = </w:t>
      </w:r>
      <w:r w:rsidR="00341EDC" w:rsidRPr="00C00335">
        <w:t>a</w:t>
      </w:r>
      <w:r w:rsidRPr="00C00335">
        <w:t xml:space="preserve">nnual probability of </w:t>
      </w:r>
      <w:r w:rsidR="00766A8C" w:rsidRPr="00C00335">
        <w:t>stopping</w:t>
      </w:r>
      <w:r w:rsidRPr="00C00335">
        <w:t xml:space="preserve"> </w:t>
      </w:r>
      <w:proofErr w:type="spellStart"/>
      <w:r w:rsidRPr="00C00335">
        <w:t>PrEP</w:t>
      </w:r>
      <w:proofErr w:type="spellEnd"/>
      <w:r w:rsidRPr="00C00335">
        <w:t xml:space="preserve"> if susceptible and on </w:t>
      </w:r>
      <w:proofErr w:type="spellStart"/>
      <w:r w:rsidRPr="00C00335">
        <w:t>PrEP</w:t>
      </w:r>
      <w:proofErr w:type="spellEnd"/>
      <w:r w:rsidRPr="00C00335">
        <w:t xml:space="preserve"> for subpopulation </w:t>
      </w:r>
      <w:proofErr w:type="gramStart"/>
      <w:r w:rsidRPr="00C00335">
        <w:rPr>
          <w:i/>
          <w:iCs/>
        </w:rPr>
        <w:t>p</w:t>
      </w:r>
      <w:r w:rsidRPr="00C00335">
        <w:t>;</w:t>
      </w:r>
      <w:proofErr w:type="gramEnd"/>
    </w:p>
    <w:p w14:paraId="10EEA3E4" w14:textId="7951BE86" w:rsidR="006264E7" w:rsidRPr="00C00335" w:rsidRDefault="009A2918" w:rsidP="002B1372">
      <w:pPr>
        <w:pStyle w:val="bullets"/>
      </w:pPr>
      <w:proofErr w:type="spellStart"/>
      <w:r w:rsidRPr="00C00335">
        <w:t>Ψ</w:t>
      </w:r>
      <w:r w:rsidR="006264E7" w:rsidRPr="00C00335">
        <w:rPr>
          <w:vertAlign w:val="subscript"/>
        </w:rPr>
        <w:t>p</w:t>
      </w:r>
      <w:proofErr w:type="spellEnd"/>
      <w:r w:rsidR="006264E7" w:rsidRPr="00C00335">
        <w:t xml:space="preserve">(t) = </w:t>
      </w:r>
      <w:r w:rsidR="00341EDC" w:rsidRPr="00C00335">
        <w:t>a</w:t>
      </w:r>
      <w:r w:rsidR="006264E7" w:rsidRPr="00C00335">
        <w:t xml:space="preserve">nnual probability of initiating </w:t>
      </w:r>
      <w:proofErr w:type="spellStart"/>
      <w:r w:rsidR="006264E7" w:rsidRPr="00C00335">
        <w:t>PrEP</w:t>
      </w:r>
      <w:proofErr w:type="spellEnd"/>
      <w:r w:rsidR="006264E7" w:rsidRPr="00C00335">
        <w:t xml:space="preserve">, given eligible, for subpopulation </w:t>
      </w:r>
      <w:proofErr w:type="spellStart"/>
      <w:r w:rsidR="006264E7" w:rsidRPr="00C00335">
        <w:rPr>
          <w:i/>
          <w:iCs/>
        </w:rPr>
        <w:t>p</w:t>
      </w:r>
      <w:r w:rsidR="006264E7" w:rsidRPr="00C00335">
        <w:t xml:space="preserve"> at</w:t>
      </w:r>
      <w:proofErr w:type="spellEnd"/>
      <w:r w:rsidR="006264E7" w:rsidRPr="00C00335">
        <w:t xml:space="preserve"> time </w:t>
      </w:r>
      <w:proofErr w:type="gramStart"/>
      <w:r w:rsidR="006264E7" w:rsidRPr="00C00335">
        <w:rPr>
          <w:i/>
          <w:iCs/>
        </w:rPr>
        <w:t>t</w:t>
      </w:r>
      <w:r w:rsidR="006264E7" w:rsidRPr="00C00335">
        <w:t>;</w:t>
      </w:r>
      <w:proofErr w:type="gramEnd"/>
    </w:p>
    <w:p w14:paraId="08912E73" w14:textId="5C2077EF" w:rsidR="00E36915" w:rsidRPr="00C00335" w:rsidRDefault="00425360" w:rsidP="002B1372">
      <w:pPr>
        <w:pStyle w:val="bullets"/>
      </w:pPr>
      <w:proofErr w:type="spellStart"/>
      <w:r w:rsidRPr="00C00335">
        <w:rPr>
          <w:i/>
        </w:rPr>
        <w:t>i</w:t>
      </w:r>
      <w:r w:rsidRPr="00C00335">
        <w:rPr>
          <w:vertAlign w:val="subscript"/>
        </w:rPr>
        <w:t>p</w:t>
      </w:r>
      <w:proofErr w:type="spellEnd"/>
      <w:r w:rsidRPr="00C00335">
        <w:t xml:space="preserve"> = </w:t>
      </w:r>
      <w:r w:rsidR="00341EDC" w:rsidRPr="00C00335">
        <w:t>p</w:t>
      </w:r>
      <w:r w:rsidR="00E36915" w:rsidRPr="00C00335">
        <w:t>ercent</w:t>
      </w:r>
      <w:r w:rsidR="00697525" w:rsidRPr="00C00335">
        <w:t>age</w:t>
      </w:r>
      <w:r w:rsidR="00E36915" w:rsidRPr="00C00335">
        <w:t xml:space="preserve"> reduction in the annual rate of HIV transmission </w:t>
      </w:r>
      <w:proofErr w:type="spellStart"/>
      <w:r w:rsidR="00E36915" w:rsidRPr="00C00335">
        <w:t>if</w:t>
      </w:r>
      <w:proofErr w:type="spellEnd"/>
      <w:r w:rsidR="00E36915" w:rsidRPr="00C00335">
        <w:t xml:space="preserve"> </w:t>
      </w:r>
      <w:r w:rsidR="005F5C70" w:rsidRPr="00C00335">
        <w:t>HIV-uninfected</w:t>
      </w:r>
      <w:r w:rsidR="00E36915" w:rsidRPr="00C00335">
        <w:t xml:space="preserve"> individual </w:t>
      </w:r>
      <w:r w:rsidRPr="00C00335">
        <w:t xml:space="preserve">in subpopulation </w:t>
      </w:r>
      <w:r w:rsidRPr="00C00335">
        <w:rPr>
          <w:i/>
          <w:iCs/>
        </w:rPr>
        <w:t>p</w:t>
      </w:r>
      <w:r w:rsidRPr="00C00335">
        <w:t xml:space="preserve"> </w:t>
      </w:r>
      <w:r w:rsidR="00E36915" w:rsidRPr="00C00335">
        <w:t xml:space="preserve">is on </w:t>
      </w:r>
      <w:proofErr w:type="spellStart"/>
      <w:proofErr w:type="gramStart"/>
      <w:r w:rsidR="00E36915" w:rsidRPr="00C00335">
        <w:t>PrEP</w:t>
      </w:r>
      <w:proofErr w:type="spellEnd"/>
      <w:r w:rsidRPr="00C00335">
        <w:t>;</w:t>
      </w:r>
      <w:proofErr w:type="gramEnd"/>
    </w:p>
    <w:p w14:paraId="4D77657F" w14:textId="3FD4B731" w:rsidR="004F4E6D" w:rsidRPr="00C00335" w:rsidRDefault="00CC2C24" w:rsidP="002B1372">
      <w:pPr>
        <w:pStyle w:val="bullets"/>
      </w:pPr>
      <w:r w:rsidRPr="00C00335">
        <w:rPr>
          <w:position w:val="-14"/>
        </w:rPr>
        <w:object w:dxaOrig="320" w:dyaOrig="380" w14:anchorId="1ECFA178">
          <v:shape id="_x0000_i1045" type="#_x0000_t75" style="width:14.25pt;height:14.25pt" o:ole="">
            <v:imagedata r:id="rId87" o:title=""/>
          </v:shape>
          <o:OLEObject Type="Embed" ProgID="Equation.3" ShapeID="_x0000_i1045" DrawAspect="Content" ObjectID="_1700043737" r:id="rId88"/>
        </w:object>
      </w:r>
      <w:r w:rsidR="00336761" w:rsidRPr="00C00335">
        <w:t xml:space="preserve"> = mortality rate </w:t>
      </w:r>
      <w:r w:rsidR="00F86D5A" w:rsidRPr="00C00335">
        <w:t>among uninfected individuals in</w:t>
      </w:r>
      <w:r w:rsidR="00336761" w:rsidRPr="00C00335">
        <w:t xml:space="preserve"> subpopulation </w:t>
      </w:r>
      <w:proofErr w:type="gramStart"/>
      <w:r w:rsidR="00336761" w:rsidRPr="00C00335">
        <w:rPr>
          <w:i/>
          <w:iCs/>
        </w:rPr>
        <w:t>p</w:t>
      </w:r>
      <w:r w:rsidR="0006550C" w:rsidRPr="00C00335">
        <w:t>;</w:t>
      </w:r>
      <w:proofErr w:type="gramEnd"/>
    </w:p>
    <w:p w14:paraId="20DC665E" w14:textId="60819B95" w:rsidR="00B20622" w:rsidRPr="00C00335" w:rsidRDefault="00184438" w:rsidP="002B1372">
      <w:pPr>
        <w:pStyle w:val="bullets"/>
      </w:pPr>
      <w:r w:rsidRPr="00C00335">
        <w:rPr>
          <w:position w:val="-14"/>
        </w:rPr>
        <w:object w:dxaOrig="320" w:dyaOrig="400" w14:anchorId="1E724852">
          <v:shape id="_x0000_i1046" type="#_x0000_t75" style="width:14.25pt;height:22.5pt" o:ole="">
            <v:imagedata r:id="rId89" o:title=""/>
          </v:shape>
          <o:OLEObject Type="Embed" ProgID="Equation.3" ShapeID="_x0000_i1046" DrawAspect="Content" ObjectID="_1700043738" r:id="rId90"/>
        </w:object>
      </w:r>
      <w:r w:rsidR="00336761" w:rsidRPr="00C00335">
        <w:t xml:space="preserve"> </w:t>
      </w:r>
      <w:r w:rsidR="00B20622" w:rsidRPr="00C00335">
        <w:t xml:space="preserve">= aging rates into (+) subpopulation </w:t>
      </w:r>
      <w:r w:rsidR="00B20622" w:rsidRPr="00C00335">
        <w:rPr>
          <w:i/>
          <w:iCs/>
        </w:rPr>
        <w:t>p</w:t>
      </w:r>
      <w:r w:rsidR="00B20622" w:rsidRPr="00C00335">
        <w:t xml:space="preserve"> for all </w:t>
      </w:r>
      <w:r w:rsidR="00B20622" w:rsidRPr="00C00335">
        <w:rPr>
          <w:i/>
          <w:iCs/>
        </w:rPr>
        <w:t>p</w:t>
      </w:r>
      <w:r w:rsidR="00B20622" w:rsidRPr="00C00335">
        <w:t xml:space="preserve"> in age groups older than the youngest age group included in the population (</w:t>
      </w:r>
      <w:r w:rsidR="00B20622" w:rsidRPr="00C00335">
        <w:rPr>
          <w:i/>
          <w:iCs/>
        </w:rPr>
        <w:t>j</w:t>
      </w:r>
      <w:r w:rsidR="00B20622" w:rsidRPr="00C00335">
        <w:t xml:space="preserve"> = 2, 3, 4, </w:t>
      </w:r>
      <w:r w:rsidR="004935EA">
        <w:t>5, 6, 7</w:t>
      </w:r>
      <w:r w:rsidR="004935EA" w:rsidRPr="00C00335">
        <w:t xml:space="preserve"> if youngest age group is 13</w:t>
      </w:r>
      <w:r w:rsidR="00192A14">
        <w:t>–</w:t>
      </w:r>
      <w:r w:rsidR="004935EA" w:rsidRPr="00C00335">
        <w:t xml:space="preserve">17 and </w:t>
      </w:r>
      <w:r w:rsidR="004935EA" w:rsidRPr="00C00335">
        <w:rPr>
          <w:i/>
          <w:iCs/>
        </w:rPr>
        <w:t>j</w:t>
      </w:r>
      <w:r w:rsidR="004935EA" w:rsidRPr="00C00335">
        <w:t xml:space="preserve"> = 3, 4, 5</w:t>
      </w:r>
      <w:r w:rsidR="004935EA">
        <w:t>, 6, 7</w:t>
      </w:r>
      <w:r w:rsidR="004935EA" w:rsidRPr="00C00335">
        <w:t xml:space="preserve"> if youngest age group is 18</w:t>
      </w:r>
      <w:r w:rsidR="00192A14">
        <w:t>–</w:t>
      </w:r>
      <w:r w:rsidR="004935EA" w:rsidRPr="00C00335">
        <w:t>24)</w:t>
      </w:r>
      <w:r w:rsidR="00E36915" w:rsidRPr="00C00335">
        <w:t>; and</w:t>
      </w:r>
      <w:r w:rsidR="004935EA">
        <w:t xml:space="preserve"> </w:t>
      </w:r>
    </w:p>
    <w:p w14:paraId="424FD90C" w14:textId="593284C0" w:rsidR="00336761" w:rsidRPr="00C00335" w:rsidRDefault="00184438" w:rsidP="002B1372">
      <w:pPr>
        <w:pStyle w:val="bullets"/>
      </w:pPr>
      <w:r w:rsidRPr="00C00335">
        <w:rPr>
          <w:position w:val="-14"/>
        </w:rPr>
        <w:object w:dxaOrig="320" w:dyaOrig="400" w14:anchorId="214D2F75">
          <v:shape id="_x0000_i1047" type="#_x0000_t75" style="width:14.25pt;height:22.5pt" o:ole="">
            <v:imagedata r:id="rId91" o:title=""/>
          </v:shape>
          <o:OLEObject Type="Embed" ProgID="Equation.3" ShapeID="_x0000_i1047" DrawAspect="Content" ObjectID="_1700043739" r:id="rId92"/>
        </w:object>
      </w:r>
      <w:r w:rsidR="00336761" w:rsidRPr="00C00335">
        <w:t xml:space="preserve"> = aging rates out of subpopulation </w:t>
      </w:r>
      <w:r w:rsidR="00336761" w:rsidRPr="00C00335">
        <w:rPr>
          <w:i/>
          <w:iCs/>
        </w:rPr>
        <w:t>p</w:t>
      </w:r>
      <w:r w:rsidR="004935EA">
        <w:rPr>
          <w:i/>
          <w:iCs/>
        </w:rPr>
        <w:t xml:space="preserve"> </w:t>
      </w:r>
      <w:r w:rsidR="004935EA">
        <w:rPr>
          <w:iCs/>
        </w:rPr>
        <w:t xml:space="preserve">for all p in age groups younger than the oldest age group (j = 1, 2, 3, 4, 5, 6 </w:t>
      </w:r>
      <w:r w:rsidR="004935EA" w:rsidRPr="00C00335">
        <w:t>if youngest age group is 13</w:t>
      </w:r>
      <w:r w:rsidR="00192A14">
        <w:t>–</w:t>
      </w:r>
      <w:r w:rsidR="004935EA" w:rsidRPr="00C00335">
        <w:t xml:space="preserve">17 and </w:t>
      </w:r>
      <w:r w:rsidR="004935EA" w:rsidRPr="00C00335">
        <w:rPr>
          <w:i/>
          <w:iCs/>
        </w:rPr>
        <w:t>j</w:t>
      </w:r>
      <w:r w:rsidR="004935EA" w:rsidRPr="00C00335">
        <w:t xml:space="preserve"> = </w:t>
      </w:r>
      <w:r w:rsidR="004935EA">
        <w:t xml:space="preserve">2, </w:t>
      </w:r>
      <w:r w:rsidR="004935EA" w:rsidRPr="00C00335">
        <w:t>3, 4, 5</w:t>
      </w:r>
      <w:r w:rsidR="004935EA">
        <w:t>, 6</w:t>
      </w:r>
      <w:r w:rsidR="004935EA" w:rsidRPr="00C00335">
        <w:t xml:space="preserve"> if youngest age group is 18</w:t>
      </w:r>
      <w:r w:rsidR="00192A14">
        <w:t>–</w:t>
      </w:r>
      <w:r w:rsidR="004935EA" w:rsidRPr="00C00335">
        <w:t>24</w:t>
      </w:r>
      <w:r w:rsidR="004935EA">
        <w:rPr>
          <w:iCs/>
        </w:rPr>
        <w:t>)</w:t>
      </w:r>
      <w:r w:rsidR="00697525" w:rsidRPr="00C00335">
        <w:t>.</w:t>
      </w:r>
    </w:p>
    <w:p w14:paraId="0C468458" w14:textId="77777777" w:rsidR="00336761" w:rsidRPr="00C00335" w:rsidRDefault="00336761" w:rsidP="00336761">
      <w:pPr>
        <w:pStyle w:val="Heading2"/>
      </w:pPr>
      <w:bookmarkStart w:id="106" w:name="_Toc89257553"/>
      <w:r w:rsidRPr="00C00335">
        <w:t>Individuals with Acute HIV Infection</w:t>
      </w:r>
      <w:bookmarkEnd w:id="105"/>
      <w:bookmarkEnd w:id="106"/>
    </w:p>
    <w:p w14:paraId="79BB6593" w14:textId="76B1FCC2" w:rsidR="00336761" w:rsidRPr="00C00335" w:rsidRDefault="00336761" w:rsidP="00697525">
      <w:pPr>
        <w:pStyle w:val="BodyText"/>
      </w:pPr>
      <w:r w:rsidRPr="00C00335">
        <w:t>The numbers of individuals with acute HIV infections (</w:t>
      </w:r>
      <w:r w:rsidRPr="00C00335">
        <w:rPr>
          <w:i/>
          <w:iCs/>
        </w:rPr>
        <w:t>c = </w:t>
      </w:r>
      <w:r w:rsidR="00054A68" w:rsidRPr="00C00335">
        <w:t xml:space="preserve">3, </w:t>
      </w:r>
      <w:r w:rsidR="005879EA" w:rsidRPr="00C00335">
        <w:t>4</w:t>
      </w:r>
      <w:r w:rsidR="00CF2CDB" w:rsidRPr="00C00335">
        <w:t>, 5</w:t>
      </w:r>
      <w:r w:rsidRPr="00C00335">
        <w:t xml:space="preserve">) within each subpopulation </w:t>
      </w:r>
      <w:r w:rsidRPr="00C00335">
        <w:rPr>
          <w:i/>
          <w:iCs/>
        </w:rPr>
        <w:t xml:space="preserve">p </w:t>
      </w:r>
      <w:r w:rsidRPr="00C00335">
        <w:t xml:space="preserve">are determined by Equations </w:t>
      </w:r>
      <w:r w:rsidR="008B30F8" w:rsidRPr="00C00335">
        <w:t>(</w:t>
      </w:r>
      <w:r w:rsidR="00FF381E" w:rsidRPr="00C00335">
        <w:t>7</w:t>
      </w:r>
      <w:r w:rsidR="00F259E1" w:rsidRPr="00C00335">
        <w:t>.</w:t>
      </w:r>
      <w:r w:rsidR="007437CC" w:rsidRPr="00C00335">
        <w:t>3</w:t>
      </w:r>
      <w:r w:rsidR="008B30F8" w:rsidRPr="00C00335">
        <w:t>)</w:t>
      </w:r>
      <w:r w:rsidRPr="00C00335">
        <w:t xml:space="preserve"> through </w:t>
      </w:r>
      <w:r w:rsidR="008B30F8" w:rsidRPr="00C00335">
        <w:t>(</w:t>
      </w:r>
      <w:r w:rsidR="00FF381E" w:rsidRPr="00C00335">
        <w:t>7</w:t>
      </w:r>
      <w:r w:rsidR="00F259E1" w:rsidRPr="00C00335">
        <w:t>.</w:t>
      </w:r>
      <w:r w:rsidR="007437CC" w:rsidRPr="00C00335">
        <w:t>5</w:t>
      </w:r>
      <w:r w:rsidR="008B30F8" w:rsidRPr="00C00335">
        <w:t>)</w:t>
      </w:r>
      <w:r w:rsidRPr="00C00335">
        <w:t>, corresponding to continuum-of-care stages</w:t>
      </w:r>
      <w:r w:rsidR="00391295" w:rsidRPr="00C00335">
        <w:t xml:space="preserve"> (</w:t>
      </w:r>
      <w:r w:rsidR="00391295" w:rsidRPr="00C00335">
        <w:rPr>
          <w:i/>
          <w:iCs/>
        </w:rPr>
        <w:t>r</w:t>
      </w:r>
      <w:r w:rsidR="00391295" w:rsidRPr="00C00335">
        <w:t>)</w:t>
      </w:r>
      <w:r w:rsidRPr="00C00335">
        <w:t xml:space="preserve"> </w:t>
      </w:r>
      <w:r w:rsidR="005879EA" w:rsidRPr="00C00335">
        <w:t xml:space="preserve">1 </w:t>
      </w:r>
      <w:r w:rsidRPr="00C00335">
        <w:t xml:space="preserve">to </w:t>
      </w:r>
      <w:r w:rsidR="00AC6001" w:rsidRPr="00C00335">
        <w:t>3</w:t>
      </w:r>
      <w:r w:rsidRPr="00C00335">
        <w:t>, respectively. The numbers of individuals calculated in these equations vary in the factors that increase or decrease their values</w:t>
      </w:r>
      <w:r w:rsidR="00AC6001" w:rsidRPr="00C00335">
        <w:t xml:space="preserve"> based on their continuum status</w:t>
      </w:r>
      <w:r w:rsidRPr="00C00335">
        <w:t xml:space="preserve">; hence, the equations vary in the same way. Transitions that increase the values include HIV infection, </w:t>
      </w:r>
      <w:r w:rsidR="00CF2CDB" w:rsidRPr="00C00335">
        <w:t>diagnosis</w:t>
      </w:r>
      <w:r w:rsidRPr="00C00335">
        <w:t>,</w:t>
      </w:r>
      <w:r w:rsidR="00AC6001" w:rsidRPr="00C00335">
        <w:t xml:space="preserve"> and</w:t>
      </w:r>
      <w:r w:rsidRPr="00C00335">
        <w:t xml:space="preserve"> linkage to or departure from HIV care</w:t>
      </w:r>
      <w:r w:rsidR="00AC6001" w:rsidRPr="00C00335">
        <w:t>.</w:t>
      </w:r>
      <w:r w:rsidRPr="00C00335">
        <w:t xml:space="preserve"> Transitions that decrease the values include HIV progression, testing and notification of results, linkage to HIV care, </w:t>
      </w:r>
      <w:r w:rsidR="00AC6001" w:rsidRPr="00C00335">
        <w:t xml:space="preserve">ART </w:t>
      </w:r>
      <w:r w:rsidR="008101D3" w:rsidRPr="00C00335">
        <w:t>prescription</w:t>
      </w:r>
      <w:r w:rsidR="00AC6001" w:rsidRPr="00C00335">
        <w:t>,</w:t>
      </w:r>
      <w:r w:rsidR="008101D3" w:rsidRPr="00C00335">
        <w:t xml:space="preserve"> </w:t>
      </w:r>
      <w:r w:rsidR="004935EA">
        <w:t xml:space="preserve">and </w:t>
      </w:r>
      <w:r w:rsidRPr="00C00335">
        <w:t>death from causes other than AIDS. Aging also shifts individuals among age groups.</w:t>
      </w:r>
    </w:p>
    <w:p w14:paraId="4537FEE3" w14:textId="32BCC6BC" w:rsidR="003F334F" w:rsidRPr="00C00335" w:rsidRDefault="0022374F" w:rsidP="00F86D5A">
      <w:pPr>
        <w:pStyle w:val="equation"/>
        <w:spacing w:after="360"/>
      </w:pPr>
      <w:r w:rsidRPr="00C00335">
        <w:tab/>
      </w:r>
      <m:oMath>
        <m:f>
          <m:fPr>
            <m:ctrlPr>
              <w:rPr>
                <w:i/>
              </w:rPr>
            </m:ctrlPr>
          </m:fPr>
          <m:num>
            <m:sSubSup>
              <m:sSubSupPr>
                <m:ctrlPr>
                  <w:rPr>
                    <w:i/>
                  </w:rPr>
                </m:ctrlPr>
              </m:sSubSupPr>
              <m:e>
                <m:r>
                  <m:t>dX</m:t>
                </m:r>
              </m:e>
              <m:sub>
                <m:r>
                  <m:t>p</m:t>
                </m:r>
              </m:sub>
              <m:sup>
                <m:r>
                  <m:t>c=3</m:t>
                </m:r>
              </m:sup>
            </m:sSubSup>
            <m:d>
              <m:dPr>
                <m:ctrlPr>
                  <w:rPr>
                    <w:i/>
                  </w:rPr>
                </m:ctrlPr>
              </m:dPr>
              <m:e>
                <m:r>
                  <m:t>t</m:t>
                </m:r>
              </m:e>
            </m:d>
          </m:num>
          <m:den>
            <m:r>
              <m:t>dt</m:t>
            </m:r>
          </m:den>
        </m:f>
        <m:r>
          <m:t>=</m:t>
        </m:r>
        <m:d>
          <m:dPr>
            <m:begChr m:val="["/>
            <m:endChr m:val="]"/>
            <m:ctrlPr>
              <w:rPr>
                <w:i/>
              </w:rPr>
            </m:ctrlPr>
          </m:dPr>
          <m:e>
            <m:sSub>
              <m:sSubPr>
                <m:ctrlPr>
                  <w:rPr>
                    <w:i/>
                  </w:rPr>
                </m:ctrlPr>
              </m:sSubPr>
              <m:e>
                <m:r>
                  <m:t>λ</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ctrlPr>
              <w:rPr>
                <w:i/>
              </w:rPr>
            </m:ctrlPr>
          </m:dPr>
          <m:e>
            <m:sSubSup>
              <m:sSubSupPr>
                <m:ctrlPr>
                  <w:rPr>
                    <w:i/>
                  </w:rPr>
                </m:ctrlPr>
              </m:sSubSupPr>
              <m:e>
                <m:r>
                  <m:t>ω</m:t>
                </m:r>
              </m:e>
              <m:sub>
                <m:r>
                  <m:t>p</m:t>
                </m:r>
              </m:sub>
              <m:sup>
                <m:r>
                  <m:t>c=3</m:t>
                </m:r>
              </m:sup>
            </m:sSubSup>
            <m:d>
              <m:dPr>
                <m:ctrlPr>
                  <w:rPr>
                    <w:i/>
                  </w:rPr>
                </m:ctrlPr>
              </m:dPr>
              <m:e>
                <m:r>
                  <m:t>t</m:t>
                </m:r>
              </m:e>
            </m:d>
            <m:r>
              <m:t>+</m:t>
            </m:r>
            <m:sSubSup>
              <m:sSubSupPr>
                <m:ctrlPr>
                  <w:rPr>
                    <w:i/>
                  </w:rPr>
                </m:ctrlPr>
              </m:sSubSupPr>
              <m:e>
                <m:r>
                  <m:t>τ</m:t>
                </m:r>
              </m:e>
              <m:sub>
                <m:r>
                  <m:t>p</m:t>
                </m:r>
              </m:sub>
              <m:sup>
                <m:r>
                  <m:t>c=3</m:t>
                </m:r>
              </m:sup>
            </m:sSubSup>
            <m:d>
              <m:dPr>
                <m:ctrlPr>
                  <w:rPr>
                    <w:i/>
                  </w:rPr>
                </m:ctrlPr>
              </m:dPr>
              <m:e>
                <m:r>
                  <m:t>t</m:t>
                </m:r>
              </m:e>
            </m:d>
            <m:r>
              <m:t>+</m:t>
            </m:r>
            <m:r>
              <m:rPr>
                <m:sty m:val="p"/>
              </m:rPr>
              <w:rPr>
                <w:position w:val="-14"/>
              </w:rPr>
              <w:object w:dxaOrig="620" w:dyaOrig="420" w14:anchorId="36DF8F48">
                <v:shape id="_x0000_i1049" type="#_x0000_t75" style="width:28.5pt;height:22.5pt" o:ole="">
                  <v:imagedata r:id="rId93" o:title=""/>
                </v:shape>
                <o:OLEObject Type="Embed" ProgID="Equation.3" ShapeID="_x0000_i1049" DrawAspect="Content" ObjectID="_1700043740" r:id="rId94"/>
              </w:object>
            </m:r>
            <m:r>
              <m:t>+</m:t>
            </m:r>
            <m:sSubSup>
              <m:sSubSupPr>
                <m:ctrlPr>
                  <w:rPr>
                    <w:i/>
                  </w:rPr>
                </m:ctrlPr>
              </m:sSubSupPr>
              <m:e>
                <m:r>
                  <m:t>δ</m:t>
                </m:r>
              </m:e>
              <m:sub>
                <m:r>
                  <m:t>p</m:t>
                </m:r>
              </m:sub>
              <m:sup>
                <m:r>
                  <m:t>-</m:t>
                </m:r>
              </m:sup>
            </m:sSubSup>
          </m:e>
        </m:d>
        <m:sSubSup>
          <m:sSubSupPr>
            <m:ctrlPr>
              <w:rPr>
                <w:i/>
              </w:rPr>
            </m:ctrlPr>
          </m:sSubSupPr>
          <m:e>
            <m:r>
              <m:t>X</m:t>
            </m:r>
          </m:e>
          <m:sub>
            <m:r>
              <m:t>p</m:t>
            </m:r>
          </m:sub>
          <m:sup>
            <m:r>
              <m:t>c=3</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c=3</m:t>
            </m:r>
          </m:sup>
        </m:sSubSup>
        <m:r>
          <m:t>(t)</m:t>
        </m:r>
      </m:oMath>
      <w:r w:rsidRPr="00C00335">
        <w:tab/>
        <w:t>(7.3)</w:t>
      </w:r>
    </w:p>
    <w:p w14:paraId="114CABA4" w14:textId="6C57315E" w:rsidR="0022374F" w:rsidRPr="00C00335" w:rsidRDefault="0022374F" w:rsidP="00F86D5A">
      <w:pPr>
        <w:pStyle w:val="equation"/>
        <w:tabs>
          <w:tab w:val="left" w:pos="2160"/>
        </w:tabs>
        <w:spacing w:after="360"/>
      </w:pPr>
      <w:r w:rsidRPr="00C00335">
        <w:tab/>
      </w:r>
      <m:oMath>
        <m:f>
          <m:fPr>
            <m:ctrlPr>
              <w:rPr>
                <w:i/>
              </w:rPr>
            </m:ctrlPr>
          </m:fPr>
          <m:num>
            <m:sSubSup>
              <m:sSubSupPr>
                <m:ctrlPr>
                  <w:rPr>
                    <w:i/>
                  </w:rPr>
                </m:ctrlPr>
              </m:sSubSupPr>
              <m:e>
                <m:r>
                  <m:t>dX</m:t>
                </m:r>
              </m:e>
              <m:sub>
                <m:r>
                  <m:t>p</m:t>
                </m:r>
              </m:sub>
              <m:sup>
                <m:r>
                  <m:t>c=4</m:t>
                </m:r>
              </m:sup>
            </m:sSubSup>
            <m:d>
              <m:dPr>
                <m:ctrlPr>
                  <w:rPr>
                    <w:i/>
                  </w:rPr>
                </m:ctrlPr>
              </m:dPr>
              <m:e>
                <m:r>
                  <m:t>t</m:t>
                </m:r>
              </m:e>
            </m:d>
          </m:num>
          <m:den>
            <m:r>
              <m:t>dt</m:t>
            </m:r>
          </m:den>
        </m:f>
        <m:r>
          <m:t>=</m:t>
        </m:r>
        <m:d>
          <m:dPr>
            <m:begChr m:val="["/>
            <m:endChr m:val="]"/>
            <m:ctrlPr>
              <w:rPr>
                <w:i/>
              </w:rPr>
            </m:ctrlPr>
          </m:dPr>
          <m:e>
            <m:sSubSup>
              <m:sSubSupPr>
                <m:ctrlPr>
                  <w:rPr>
                    <w:i/>
                  </w:rPr>
                </m:ctrlPr>
              </m:sSubSupPr>
              <m:e>
                <m:r>
                  <m:t>τ</m:t>
                </m:r>
              </m:e>
              <m:sub>
                <m:r>
                  <m:t>p</m:t>
                </m:r>
              </m:sub>
              <m:sup>
                <m:r>
                  <m:t>c=3</m:t>
                </m:r>
              </m:sup>
            </m:sSubSup>
            <m:d>
              <m:dPr>
                <m:ctrlPr>
                  <w:rPr>
                    <w:i/>
                  </w:rPr>
                </m:ctrlPr>
              </m:dPr>
              <m:e>
                <m:r>
                  <m:t>t</m:t>
                </m:r>
              </m:e>
            </m:d>
          </m:e>
        </m:d>
        <m:d>
          <m:dPr>
            <m:begChr m:val="["/>
            <m:endChr m:val="]"/>
            <m:ctrlPr>
              <w:rPr>
                <w:i/>
              </w:rPr>
            </m:ctrlPr>
          </m:dPr>
          <m:e>
            <m:r>
              <m:t>1-</m:t>
            </m:r>
            <m:sSub>
              <m:sSubPr>
                <m:ctrlPr>
                  <w:rPr>
                    <w:i/>
                  </w:rPr>
                </m:ctrlPr>
              </m:sSubPr>
              <m:e>
                <m:r>
                  <m:t>κ</m:t>
                </m:r>
              </m:e>
              <m:sub>
                <m:r>
                  <m:t>p</m:t>
                </m:r>
              </m:sub>
            </m:sSub>
            <m:d>
              <m:dPr>
                <m:ctrlPr>
                  <w:rPr>
                    <w:i/>
                  </w:rPr>
                </m:ctrlPr>
              </m:dPr>
              <m:e>
                <m:r>
                  <m:t>t</m:t>
                </m:r>
              </m:e>
            </m:d>
          </m:e>
        </m:d>
        <m:sSubSup>
          <m:sSubSupPr>
            <m:ctrlPr>
              <w:rPr>
                <w:i/>
              </w:rPr>
            </m:ctrlPr>
          </m:sSubSupPr>
          <m:e>
            <m:r>
              <m:t>X</m:t>
            </m:r>
          </m:e>
          <m:sub>
            <m:r>
              <m:t>p</m:t>
            </m:r>
          </m:sub>
          <m:sup>
            <m:r>
              <m:t>c=3</m:t>
            </m:r>
          </m:sup>
        </m:sSubSup>
        <m:d>
          <m:dPr>
            <m:ctrlPr>
              <w:rPr>
                <w:i/>
              </w:rPr>
            </m:ctrlPr>
          </m:dPr>
          <m:e>
            <m:r>
              <m:t>t</m:t>
            </m:r>
          </m:e>
        </m:d>
        <m:r>
          <m:t>+</m:t>
        </m:r>
        <m:d>
          <m:dPr>
            <m:begChr m:val="["/>
            <m:endChr m:val="]"/>
            <m:ctrlPr>
              <w:rPr>
                <w:i/>
              </w:rPr>
            </m:ctrlPr>
          </m:dPr>
          <m:e>
            <m:sSub>
              <m:sSubPr>
                <m:ctrlPr>
                  <w:rPr>
                    <w:i/>
                  </w:rPr>
                </m:ctrlPr>
              </m:sSubPr>
              <m:e>
                <m:r>
                  <m:t>e</m:t>
                </m:r>
              </m:e>
              <m:sub>
                <m:r>
                  <m:t>p</m:t>
                </m:r>
              </m:sub>
            </m:sSub>
            <m:d>
              <m:dPr>
                <m:ctrlPr>
                  <w:rPr>
                    <w:i/>
                  </w:rPr>
                </m:ctrlPr>
              </m:dPr>
              <m:e>
                <m:r>
                  <m:t>t</m:t>
                </m:r>
              </m:e>
            </m:d>
          </m:e>
        </m:d>
        <m:sSubSup>
          <m:sSubSupPr>
            <m:ctrlPr>
              <w:rPr>
                <w:i/>
              </w:rPr>
            </m:ctrlPr>
          </m:sSubSupPr>
          <m:e>
            <m:r>
              <m:t>X</m:t>
            </m:r>
          </m:e>
          <m:sub>
            <m:r>
              <m:t>p</m:t>
            </m:r>
          </m:sub>
          <m:sup>
            <m:r>
              <m:t>c=5</m:t>
            </m:r>
          </m:sup>
        </m:sSubSup>
        <m:d>
          <m:dPr>
            <m:ctrlPr>
              <w:rPr>
                <w:i/>
              </w:rPr>
            </m:ctrlPr>
          </m:dPr>
          <m:e>
            <m:r>
              <m:t>t</m:t>
            </m:r>
          </m:e>
        </m:d>
        <m:r>
          <m:t>-</m:t>
        </m:r>
        <m:r>
          <m:rPr>
            <m:sty m:val="p"/>
          </m:rPr>
          <w:br/>
        </m:r>
      </m:oMath>
      <w:r w:rsidRPr="00C00335">
        <w:tab/>
      </w:r>
      <m:oMath>
        <m:d>
          <m:dPr>
            <m:begChr m:val="["/>
            <m:endChr m:val="]"/>
            <m:ctrlPr>
              <w:rPr>
                <w:i/>
              </w:rPr>
            </m:ctrlPr>
          </m:dPr>
          <m:e>
            <m:sSubSup>
              <m:sSubSupPr>
                <m:ctrlPr>
                  <w:rPr>
                    <w:i/>
                  </w:rPr>
                </m:ctrlPr>
              </m:sSubSupPr>
              <m:e>
                <m:r>
                  <m:rPr>
                    <m:scr m:val="script"/>
                  </m:rPr>
                  <m:t>l</m:t>
                </m:r>
              </m:e>
              <m:sub>
                <m:r>
                  <m:t>p</m:t>
                </m:r>
              </m:sub>
              <m:sup>
                <m:r>
                  <m:t>c=4</m:t>
                </m:r>
              </m:sup>
            </m:sSubSup>
            <m:d>
              <m:dPr>
                <m:ctrlPr>
                  <w:rPr>
                    <w:i/>
                  </w:rPr>
                </m:ctrlPr>
              </m:dPr>
              <m:e>
                <m:r>
                  <m:t>t</m:t>
                </m:r>
              </m:e>
            </m:d>
            <m:r>
              <m:t>+</m:t>
            </m:r>
            <m:sSubSup>
              <m:sSubSupPr>
                <m:ctrlPr>
                  <w:rPr>
                    <w:i/>
                  </w:rPr>
                </m:ctrlPr>
              </m:sSubSupPr>
              <m:e>
                <m:r>
                  <m:t>ω</m:t>
                </m:r>
              </m:e>
              <m:sub>
                <m:r>
                  <m:t>p</m:t>
                </m:r>
              </m:sub>
              <m:sup>
                <m:r>
                  <m:t>c=4</m:t>
                </m:r>
              </m:sup>
            </m:sSubSup>
            <m:d>
              <m:dPr>
                <m:ctrlPr>
                  <w:rPr>
                    <w:i/>
                  </w:rPr>
                </m:ctrlPr>
              </m:dPr>
              <m:e>
                <m:r>
                  <m:t>t</m:t>
                </m:r>
              </m:e>
            </m:d>
            <m:r>
              <m:t>+</m:t>
            </m:r>
            <m:r>
              <m:rPr>
                <m:sty m:val="p"/>
              </m:rPr>
              <w:rPr>
                <w:position w:val="-14"/>
              </w:rPr>
              <w:object w:dxaOrig="620" w:dyaOrig="420" w14:anchorId="5E00D700">
                <v:shape id="_x0000_i1051" type="#_x0000_t75" style="width:28.5pt;height:22.5pt" o:ole="">
                  <v:imagedata r:id="rId93" o:title=""/>
                </v:shape>
                <o:OLEObject Type="Embed" ProgID="Equation.3" ShapeID="_x0000_i1051" DrawAspect="Content" ObjectID="_1700043741" r:id="rId95"/>
              </w:object>
            </m:r>
            <m:r>
              <m:t>+</m:t>
            </m:r>
            <m:sSubSup>
              <m:sSubSupPr>
                <m:ctrlPr>
                  <w:rPr>
                    <w:i/>
                  </w:rPr>
                </m:ctrlPr>
              </m:sSubSupPr>
              <m:e>
                <m:r>
                  <m:t>δ</m:t>
                </m:r>
              </m:e>
              <m:sub>
                <m:r>
                  <m:t>p</m:t>
                </m:r>
              </m:sub>
              <m:sup>
                <m:r>
                  <m:t>-</m:t>
                </m:r>
              </m:sup>
            </m:sSubSup>
          </m:e>
        </m:d>
        <m:sSubSup>
          <m:sSubSupPr>
            <m:ctrlPr>
              <w:rPr>
                <w:i/>
              </w:rPr>
            </m:ctrlPr>
          </m:sSubSupPr>
          <m:e>
            <m:r>
              <m:t>X</m:t>
            </m:r>
          </m:e>
          <m:sub>
            <m:r>
              <m:t>p</m:t>
            </m:r>
          </m:sub>
          <m:sup>
            <m:r>
              <m:t>c=4</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c=4</m:t>
            </m:r>
          </m:sup>
        </m:sSubSup>
        <m:r>
          <m:t>(t)</m:t>
        </m:r>
      </m:oMath>
      <w:r w:rsidRPr="00C00335">
        <w:tab/>
        <w:t>(7.4)</w:t>
      </w:r>
    </w:p>
    <w:p w14:paraId="64C1A9E9" w14:textId="680DC155" w:rsidR="0022374F" w:rsidRPr="00C00335" w:rsidRDefault="00747E9D" w:rsidP="0014376C">
      <w:pPr>
        <w:pStyle w:val="equation"/>
        <w:spacing w:after="360"/>
      </w:pPr>
      <m:oMathPara>
        <m:oMath>
          <m:f>
            <m:fPr>
              <m:ctrlPr>
                <w:rPr>
                  <w:i/>
                </w:rPr>
              </m:ctrlPr>
            </m:fPr>
            <m:num>
              <m:sSubSup>
                <m:sSubSupPr>
                  <m:ctrlPr>
                    <w:rPr>
                      <w:i/>
                    </w:rPr>
                  </m:ctrlPr>
                </m:sSubSupPr>
                <m:e>
                  <m:r>
                    <m:t>dX</m:t>
                  </m:r>
                </m:e>
                <m:sub>
                  <m:r>
                    <m:t>p</m:t>
                  </m:r>
                </m:sub>
                <m:sup>
                  <m:r>
                    <m:t>c=5</m:t>
                  </m:r>
                </m:sup>
              </m:sSubSup>
              <m:d>
                <m:dPr>
                  <m:ctrlPr>
                    <w:rPr>
                      <w:i/>
                    </w:rPr>
                  </m:ctrlPr>
                </m:dPr>
                <m:e>
                  <m:r>
                    <m:t>t</m:t>
                  </m:r>
                </m:e>
              </m:d>
            </m:num>
            <m:den>
              <m:r>
                <m:t>dt</m:t>
              </m:r>
            </m:den>
          </m:f>
          <m:r>
            <m:t>=</m:t>
          </m:r>
          <m:d>
            <m:dPr>
              <m:begChr m:val="["/>
              <m:endChr m:val="]"/>
              <m:ctrlPr>
                <w:rPr>
                  <w:i/>
                </w:rPr>
              </m:ctrlPr>
            </m:dPr>
            <m:e>
              <m:d>
                <m:dPr>
                  <m:ctrlPr>
                    <w:rPr>
                      <w:i/>
                    </w:rPr>
                  </m:ctrlPr>
                </m:dPr>
                <m:e>
                  <m:r>
                    <m:t>1-</m:t>
                  </m:r>
                  <m:sSub>
                    <m:sSubPr>
                      <m:ctrlPr>
                        <w:rPr>
                          <w:i/>
                        </w:rPr>
                      </m:ctrlPr>
                    </m:sSubPr>
                    <m:e>
                      <m:r>
                        <m:t>i</m:t>
                      </m:r>
                    </m:e>
                    <m:sub>
                      <m:r>
                        <m:t>p</m:t>
                      </m:r>
                    </m:sub>
                  </m:sSub>
                </m:e>
              </m:d>
              <m:sSub>
                <m:sSubPr>
                  <m:ctrlPr>
                    <w:rPr>
                      <w:i/>
                    </w:rPr>
                  </m:ctrlPr>
                </m:sSubPr>
                <m:e>
                  <m:r>
                    <m:t>λ</m:t>
                  </m:r>
                </m:e>
                <m:sub>
                  <m:r>
                    <m:t>p</m:t>
                  </m:r>
                </m:sub>
              </m:sSub>
              <m:d>
                <m:dPr>
                  <m:ctrlPr>
                    <w:rPr>
                      <w:i/>
                    </w:rPr>
                  </m:ctrlPr>
                </m:dPr>
                <m:e>
                  <m:r>
                    <m:t>t</m:t>
                  </m:r>
                </m:e>
              </m:d>
            </m:e>
          </m:d>
          <m:sSubSup>
            <m:sSubSupPr>
              <m:ctrlPr>
                <w:rPr>
                  <w:i/>
                </w:rPr>
              </m:ctrlPr>
            </m:sSubSupPr>
            <m:e>
              <m:r>
                <m:t>X</m:t>
              </m:r>
            </m:e>
            <m:sub>
              <m:r>
                <m:t>p</m:t>
              </m:r>
            </m:sub>
            <m:sup>
              <m:r>
                <m:t>c=2</m:t>
              </m:r>
            </m:sup>
          </m:sSubSup>
          <m:r>
            <m:t>+</m:t>
          </m:r>
          <m:d>
            <m:dPr>
              <m:begChr m:val="["/>
              <m:endChr m:val="]"/>
              <m:ctrlPr>
                <w:rPr>
                  <w:i/>
                </w:rPr>
              </m:ctrlPr>
            </m:dPr>
            <m:e>
              <m:sSubSup>
                <m:sSubSupPr>
                  <m:ctrlPr>
                    <w:rPr>
                      <w:i/>
                    </w:rPr>
                  </m:ctrlPr>
                </m:sSubSupPr>
                <m:e>
                  <m:r>
                    <m:t>τ</m:t>
                  </m:r>
                </m:e>
                <m:sub>
                  <m:r>
                    <m:t>p</m:t>
                  </m:r>
                </m:sub>
                <m:sup>
                  <m:r>
                    <m:t>c=3</m:t>
                  </m:r>
                </m:sup>
              </m:sSubSup>
              <m:d>
                <m:dPr>
                  <m:ctrlPr>
                    <w:rPr>
                      <w:i/>
                    </w:rPr>
                  </m:ctrlPr>
                </m:dPr>
                <m:e>
                  <m:r>
                    <m:t>t</m:t>
                  </m:r>
                </m:e>
              </m:d>
            </m:e>
          </m:d>
          <m:d>
            <m:dPr>
              <m:begChr m:val="["/>
              <m:endChr m:val="]"/>
              <m:ctrlPr>
                <w:rPr>
                  <w:i/>
                </w:rPr>
              </m:ctrlPr>
            </m:dPr>
            <m:e>
              <m:sSub>
                <m:sSubPr>
                  <m:ctrlPr>
                    <w:rPr>
                      <w:i/>
                    </w:rPr>
                  </m:ctrlPr>
                </m:sSubPr>
                <m:e>
                  <m:r>
                    <m:t>κ</m:t>
                  </m:r>
                </m:e>
                <m:sub>
                  <m:r>
                    <m:t>p</m:t>
                  </m:r>
                </m:sub>
              </m:sSub>
              <m:d>
                <m:dPr>
                  <m:ctrlPr>
                    <w:rPr>
                      <w:i/>
                    </w:rPr>
                  </m:ctrlPr>
                </m:dPr>
                <m:e>
                  <m:r>
                    <m:t>t</m:t>
                  </m:r>
                </m:e>
              </m:d>
            </m:e>
          </m:d>
          <m:sSubSup>
            <m:sSubSupPr>
              <m:ctrlPr>
                <w:rPr>
                  <w:i/>
                </w:rPr>
              </m:ctrlPr>
            </m:sSubSupPr>
            <m:e>
              <m:r>
                <m:t>X</m:t>
              </m:r>
            </m:e>
            <m:sub>
              <m:r>
                <m:t>p</m:t>
              </m:r>
            </m:sub>
            <m:sup>
              <m:r>
                <m:t>c=3</m:t>
              </m:r>
            </m:sup>
          </m:sSubSup>
          <m:d>
            <m:dPr>
              <m:ctrlPr>
                <w:rPr>
                  <w:i/>
                </w:rPr>
              </m:ctrlPr>
            </m:dPr>
            <m:e>
              <m:r>
                <m:t>t</m:t>
              </m:r>
            </m:e>
          </m:d>
          <m:r>
            <m:t>+</m:t>
          </m:r>
          <m:d>
            <m:dPr>
              <m:begChr m:val="["/>
              <m:endChr m:val="]"/>
              <m:ctrlPr>
                <w:rPr>
                  <w:i/>
                </w:rPr>
              </m:ctrlPr>
            </m:dPr>
            <m:e>
              <m:sSubSup>
                <m:sSubSupPr>
                  <m:ctrlPr>
                    <w:rPr>
                      <w:i/>
                    </w:rPr>
                  </m:ctrlPr>
                </m:sSubSupPr>
                <m:e>
                  <m:r>
                    <m:rPr>
                      <m:scr m:val="script"/>
                    </m:rPr>
                    <m:t>l</m:t>
                  </m:r>
                </m:e>
                <m:sub>
                  <m:r>
                    <m:t>p</m:t>
                  </m:r>
                </m:sub>
                <m:sup>
                  <m:r>
                    <m:t>c=4</m:t>
                  </m:r>
                </m:sup>
              </m:sSubSup>
              <m:d>
                <m:dPr>
                  <m:ctrlPr>
                    <w:rPr>
                      <w:i/>
                    </w:rPr>
                  </m:ctrlPr>
                </m:dPr>
                <m:e>
                  <m:r>
                    <m:t>t</m:t>
                  </m:r>
                </m:e>
              </m:d>
            </m:e>
          </m:d>
          <m:sSubSup>
            <m:sSubSupPr>
              <m:ctrlPr>
                <w:rPr>
                  <w:i/>
                </w:rPr>
              </m:ctrlPr>
            </m:sSubSupPr>
            <m:e>
              <m:r>
                <m:t>X</m:t>
              </m:r>
            </m:e>
            <m:sub>
              <m:r>
                <m:t>p</m:t>
              </m:r>
            </m:sub>
            <m:sup>
              <m:r>
                <m:t>c=4</m:t>
              </m:r>
            </m:sup>
          </m:sSubSup>
          <m:d>
            <m:dPr>
              <m:ctrlPr>
                <w:rPr>
                  <w:i/>
                </w:rPr>
              </m:ctrlPr>
            </m:dPr>
            <m:e>
              <m:r>
                <m:t>t</m:t>
              </m:r>
            </m:e>
          </m:d>
          <m:r>
            <m:t>-</m:t>
          </m:r>
          <m:r>
            <m:rPr>
              <m:sty m:val="p"/>
            </m:rPr>
            <w:br/>
          </m:r>
        </m:oMath>
      </m:oMathPara>
      <w:r w:rsidR="009C25E0" w:rsidRPr="00C00335">
        <w:tab/>
      </w:r>
      <m:oMath>
        <m:d>
          <m:dPr>
            <m:begChr m:val="["/>
            <m:endChr m:val="]"/>
            <m:ctrlPr>
              <w:rPr>
                <w:i/>
              </w:rPr>
            </m:ctrlPr>
          </m:dPr>
          <m:e>
            <m:sSub>
              <m:sSubPr>
                <m:ctrlPr>
                  <w:rPr>
                    <w:i/>
                  </w:rPr>
                </m:ctrlPr>
              </m:sSubPr>
              <m:e>
                <m:r>
                  <m:t>e</m:t>
                </m:r>
              </m:e>
              <m:sub>
                <m:r>
                  <m:t>p</m:t>
                </m:r>
              </m:sub>
            </m:sSub>
            <m:d>
              <m:dPr>
                <m:ctrlPr>
                  <w:rPr>
                    <w:i/>
                  </w:rPr>
                </m:ctrlPr>
              </m:dPr>
              <m:e>
                <m:r>
                  <m:t>t</m:t>
                </m:r>
              </m:e>
            </m:d>
            <m:r>
              <m:t>+</m:t>
            </m:r>
            <m:sSubSup>
              <m:sSubSupPr>
                <m:ctrlPr>
                  <w:rPr>
                    <w:i/>
                  </w:rPr>
                </m:ctrlPr>
              </m:sSubSupPr>
              <m:e>
                <m:r>
                  <m:t>γ</m:t>
                </m:r>
              </m:e>
              <m:sub>
                <m:r>
                  <m:t>p</m:t>
                </m:r>
              </m:sub>
              <m:sup>
                <m:r>
                  <m:t>c=5</m:t>
                </m:r>
              </m:sup>
            </m:sSubSup>
            <m:d>
              <m:dPr>
                <m:ctrlPr>
                  <w:rPr>
                    <w:i/>
                  </w:rPr>
                </m:ctrlPr>
              </m:dPr>
              <m:e>
                <m:r>
                  <m:t>t</m:t>
                </m:r>
              </m:e>
            </m:d>
            <m:r>
              <m:t>+</m:t>
            </m:r>
            <m:sSubSup>
              <m:sSubSupPr>
                <m:ctrlPr>
                  <w:rPr>
                    <w:i/>
                  </w:rPr>
                </m:ctrlPr>
              </m:sSubSupPr>
              <m:e>
                <m:r>
                  <m:t>ω</m:t>
                </m:r>
              </m:e>
              <m:sub>
                <m:r>
                  <m:t>p</m:t>
                </m:r>
              </m:sub>
              <m:sup>
                <m:r>
                  <m:t>c=5</m:t>
                </m:r>
              </m:sup>
            </m:sSubSup>
            <m:d>
              <m:dPr>
                <m:ctrlPr>
                  <w:rPr>
                    <w:i/>
                  </w:rPr>
                </m:ctrlPr>
              </m:dPr>
              <m:e>
                <m:r>
                  <m:t>t</m:t>
                </m:r>
              </m:e>
            </m:d>
            <m:r>
              <m:t>+</m:t>
            </m:r>
            <m:r>
              <m:rPr>
                <m:sty m:val="p"/>
              </m:rPr>
              <w:rPr>
                <w:position w:val="-14"/>
              </w:rPr>
              <w:object w:dxaOrig="620" w:dyaOrig="420" w14:anchorId="5653EE70">
                <v:shape id="_x0000_i1053" type="#_x0000_t75" style="width:28.5pt;height:22.5pt" o:ole="">
                  <v:imagedata r:id="rId93" o:title=""/>
                </v:shape>
                <o:OLEObject Type="Embed" ProgID="Equation.3" ShapeID="_x0000_i1053" DrawAspect="Content" ObjectID="_1700043742" r:id="rId96"/>
              </w:object>
            </m:r>
            <m:r>
              <m:t>+</m:t>
            </m:r>
            <m:sSubSup>
              <m:sSubSupPr>
                <m:ctrlPr>
                  <w:rPr>
                    <w:i/>
                  </w:rPr>
                </m:ctrlPr>
              </m:sSubSupPr>
              <m:e>
                <m:r>
                  <m:t>δ</m:t>
                </m:r>
              </m:e>
              <m:sub>
                <m:r>
                  <m:t>p</m:t>
                </m:r>
              </m:sub>
              <m:sup>
                <m:r>
                  <m:t>-</m:t>
                </m:r>
              </m:sup>
            </m:sSubSup>
          </m:e>
        </m:d>
        <m:sSubSup>
          <m:sSubSupPr>
            <m:ctrlPr>
              <w:rPr>
                <w:i/>
              </w:rPr>
            </m:ctrlPr>
          </m:sSubSupPr>
          <m:e>
            <m:r>
              <m:t>X</m:t>
            </m:r>
          </m:e>
          <m:sub>
            <m:r>
              <m:t>p</m:t>
            </m:r>
          </m:sub>
          <m:sup>
            <m:r>
              <m:t>c=5</m:t>
            </m:r>
          </m:sup>
        </m:sSubSup>
        <m:d>
          <m:dPr>
            <m:ctrlPr>
              <w:rPr>
                <w:i/>
              </w:rPr>
            </m:ctrlPr>
          </m:dPr>
          <m:e>
            <m:r>
              <m:t>t</m:t>
            </m:r>
          </m:e>
        </m:d>
        <m:r>
          <m:t>+</m:t>
        </m:r>
        <m:sSubSup>
          <m:sSubSupPr>
            <m:ctrlPr>
              <w:rPr>
                <w:i/>
              </w:rPr>
            </m:ctrlPr>
          </m:sSubSupPr>
          <m:e>
            <m:d>
              <m:dPr>
                <m:begChr m:val="["/>
                <m:endChr m:val="]"/>
                <m:ctrlPr>
                  <w:rPr>
                    <w:i/>
                  </w:rPr>
                </m:ctrlPr>
              </m:dPr>
              <m:e>
                <m:sSubSup>
                  <m:sSubSupPr>
                    <m:ctrlPr>
                      <w:rPr>
                        <w:i/>
                      </w:rPr>
                    </m:ctrlPr>
                  </m:sSubSupPr>
                  <m:e>
                    <m:r>
                      <m:t>δ</m:t>
                    </m:r>
                  </m:e>
                  <m:sub>
                    <m:r>
                      <m:t>p</m:t>
                    </m:r>
                  </m:sub>
                  <m:sup>
                    <m:r>
                      <m:t>+</m:t>
                    </m:r>
                  </m:sup>
                </m:sSubSup>
              </m:e>
            </m:d>
            <m:r>
              <m:t>X</m:t>
            </m:r>
          </m:e>
          <m:sub>
            <m:r>
              <m:t>p-1</m:t>
            </m:r>
          </m:sub>
          <m:sup>
            <m:r>
              <m:t>c=5</m:t>
            </m:r>
          </m:sup>
        </m:sSubSup>
        <m:r>
          <m:t>(t)</m:t>
        </m:r>
      </m:oMath>
      <w:r w:rsidR="009C25E0" w:rsidRPr="00C00335">
        <w:tab/>
        <w:t>(7.5)</w:t>
      </w:r>
    </w:p>
    <w:p w14:paraId="2C53CE5B" w14:textId="77777777" w:rsidR="00336761" w:rsidRPr="00C00335" w:rsidRDefault="00336761" w:rsidP="00F259E1">
      <w:pPr>
        <w:pStyle w:val="BodyText"/>
        <w:keepNext/>
      </w:pPr>
      <w:r w:rsidRPr="00C00335">
        <w:t>where</w:t>
      </w:r>
    </w:p>
    <w:p w14:paraId="26204D5B" w14:textId="72BEC027" w:rsidR="000F420A" w:rsidRPr="00C00335" w:rsidRDefault="00747E9D" w:rsidP="002B1372">
      <w:pPr>
        <w:pStyle w:val="bullets"/>
      </w:pPr>
      <m:oMath>
        <m:sSubSup>
          <m:sSubSupPr>
            <m:ctrlPr>
              <w:rPr>
                <w:rFonts w:ascii="Cambria Math" w:hAnsi="Cambria Math"/>
                <w:i/>
              </w:rPr>
            </m:ctrlPr>
          </m:sSubSupPr>
          <m:e>
            <m:r>
              <w:rPr>
                <w:rFonts w:ascii="Cambria Math"/>
              </w:rPr>
              <m:t>ω</m:t>
            </m:r>
          </m:e>
          <m:sub>
            <m:r>
              <w:rPr>
                <w:rFonts w:ascii="Cambria Math"/>
              </w:rPr>
              <m:t>p</m:t>
            </m:r>
          </m:sub>
          <m:sup>
            <m:r>
              <w:rPr>
                <w:rFonts w:ascii="Cambria Math"/>
              </w:rPr>
              <m:t>c</m:t>
            </m:r>
          </m:sup>
        </m:sSubSup>
      </m:oMath>
      <w:r w:rsidR="00336761" w:rsidRPr="00C00335">
        <w:t> = rate of</w:t>
      </w:r>
      <w:r w:rsidR="005879EA" w:rsidRPr="00C00335">
        <w:t xml:space="preserve"> natural history</w:t>
      </w:r>
      <w:r w:rsidR="00336761" w:rsidRPr="00C00335">
        <w:t xml:space="preserve"> HIV progression </w:t>
      </w:r>
      <w:r w:rsidR="00AC6001" w:rsidRPr="00C00335">
        <w:t xml:space="preserve">from compartment </w:t>
      </w:r>
      <w:r w:rsidR="00AC6001" w:rsidRPr="00C00335">
        <w:rPr>
          <w:i/>
        </w:rPr>
        <w:t xml:space="preserve">c </w:t>
      </w:r>
      <w:r w:rsidR="00336761" w:rsidRPr="00C00335">
        <w:t>to the next disease stage</w:t>
      </w:r>
      <w:r w:rsidR="00AC6001" w:rsidRPr="00C00335">
        <w:t xml:space="preserve"> if not </w:t>
      </w:r>
      <w:r w:rsidR="000965E6" w:rsidRPr="00C00335">
        <w:t>prescribed ART</w:t>
      </w:r>
      <w:r w:rsidR="004935EA" w:rsidRPr="004935EA">
        <w:t xml:space="preserve"> </w:t>
      </w:r>
      <w:r w:rsidR="004935EA">
        <w:t xml:space="preserve">for subpopulation </w:t>
      </w:r>
      <w:proofErr w:type="gramStart"/>
      <w:r w:rsidR="004935EA">
        <w:t>p</w:t>
      </w:r>
      <w:r w:rsidR="0006550C" w:rsidRPr="00C00335">
        <w:t>;</w:t>
      </w:r>
      <w:proofErr w:type="gramEnd"/>
    </w:p>
    <w:p w14:paraId="40445CCC" w14:textId="69355AC8" w:rsidR="00336761" w:rsidRPr="00C00335" w:rsidRDefault="00184438" w:rsidP="002B1372">
      <w:pPr>
        <w:pStyle w:val="bullets"/>
      </w:pPr>
      <w:r w:rsidRPr="00C00335">
        <w:rPr>
          <w:position w:val="-14"/>
        </w:rPr>
        <w:object w:dxaOrig="560" w:dyaOrig="400" w14:anchorId="67B0F03B">
          <v:shape id="_x0000_i1054" type="#_x0000_t75" style="width:21.75pt;height:22.5pt" o:ole="">
            <v:imagedata r:id="rId97" o:title=""/>
          </v:shape>
          <o:OLEObject Type="Embed" ProgID="Equation.3" ShapeID="_x0000_i1054" DrawAspect="Content" ObjectID="_1700043743" r:id="rId98"/>
        </w:object>
      </w:r>
      <w:r w:rsidR="00336761" w:rsidRPr="00C00335">
        <w:t> = </w:t>
      </w:r>
      <w:r w:rsidR="00BE4D99" w:rsidRPr="00C00335">
        <w:t xml:space="preserve">diagnosis </w:t>
      </w:r>
      <w:r w:rsidR="00336761" w:rsidRPr="00C00335">
        <w:t xml:space="preserve">rate from unaware </w:t>
      </w:r>
      <w:r w:rsidR="00D6628E" w:rsidRPr="00C00335">
        <w:t xml:space="preserve">compartment </w:t>
      </w:r>
      <w:r w:rsidR="00D6628E" w:rsidRPr="00C00335">
        <w:rPr>
          <w:i/>
        </w:rPr>
        <w:t xml:space="preserve">c </w:t>
      </w:r>
      <w:r w:rsidR="00D6628E" w:rsidRPr="00C00335">
        <w:t>to aware</w:t>
      </w:r>
      <w:r w:rsidR="00D6628E" w:rsidRPr="00C00335">
        <w:rPr>
          <w:i/>
        </w:rPr>
        <w:t xml:space="preserve"> </w:t>
      </w:r>
      <w:r w:rsidR="00336761" w:rsidRPr="00C00335">
        <w:t xml:space="preserve">for subpopulation </w:t>
      </w:r>
      <w:proofErr w:type="spellStart"/>
      <w:r w:rsidR="00336761" w:rsidRPr="00C00335">
        <w:rPr>
          <w:i/>
          <w:iCs/>
        </w:rPr>
        <w:t>p</w:t>
      </w:r>
      <w:r w:rsidR="00A245BC" w:rsidRPr="00C00335">
        <w:rPr>
          <w:iCs/>
        </w:rPr>
        <w:t xml:space="preserve"> at</w:t>
      </w:r>
      <w:proofErr w:type="spellEnd"/>
      <w:r w:rsidR="00A245BC" w:rsidRPr="00C00335">
        <w:rPr>
          <w:iCs/>
        </w:rPr>
        <w:t xml:space="preserve"> time </w:t>
      </w:r>
      <w:r w:rsidR="00D6628E" w:rsidRPr="00C00335">
        <w:rPr>
          <w:i/>
          <w:iCs/>
        </w:rPr>
        <w:t>t</w:t>
      </w:r>
      <w:r w:rsidR="00BE4D99" w:rsidRPr="00C00335">
        <w:t xml:space="preserve">, for </w:t>
      </w:r>
      <w:r w:rsidR="00BE4D99" w:rsidRPr="00C00335">
        <w:rPr>
          <w:i/>
        </w:rPr>
        <w:t>c</w:t>
      </w:r>
      <w:r w:rsidR="00BE4D99" w:rsidRPr="00C00335">
        <w:t xml:space="preserve"> = {3</w:t>
      </w:r>
      <w:r w:rsidR="004F4E6D" w:rsidRPr="00C00335">
        <w:t>,</w:t>
      </w:r>
      <w:r w:rsidR="00BE4D99" w:rsidRPr="00C00335">
        <w:t xml:space="preserve"> 6, 11, 16, 21</w:t>
      </w:r>
      <w:proofErr w:type="gramStart"/>
      <w:r w:rsidR="00BE4D99" w:rsidRPr="00C00335">
        <w:t>}</w:t>
      </w:r>
      <w:r w:rsidR="0006550C" w:rsidRPr="00C00335">
        <w:t>;</w:t>
      </w:r>
      <w:proofErr w:type="gramEnd"/>
    </w:p>
    <w:p w14:paraId="5568558F" w14:textId="77777777" w:rsidR="00F86D5A" w:rsidRPr="00C00335" w:rsidRDefault="00751A9E" w:rsidP="002B1372">
      <w:pPr>
        <w:pStyle w:val="bullets"/>
      </w:pPr>
      <w:r w:rsidRPr="00C00335">
        <w:rPr>
          <w:position w:val="-14"/>
        </w:rPr>
        <w:object w:dxaOrig="620" w:dyaOrig="420" w14:anchorId="26E5B548">
          <v:shape id="_x0000_i1055" type="#_x0000_t75" style="width:28.5pt;height:22.5pt" o:ole="">
            <v:imagedata r:id="rId99" o:title=""/>
          </v:shape>
          <o:OLEObject Type="Embed" ProgID="Equation.3" ShapeID="_x0000_i1055" DrawAspect="Content" ObjectID="_1700043744" r:id="rId100"/>
        </w:object>
      </w:r>
      <w:r w:rsidR="00F86D5A" w:rsidRPr="00C00335">
        <w:t xml:space="preserve"> = mortality rate if HIV-infected, by compartment </w:t>
      </w:r>
      <w:r w:rsidR="00F86D5A" w:rsidRPr="00C00335">
        <w:rPr>
          <w:i/>
          <w:iCs/>
        </w:rPr>
        <w:t>c</w:t>
      </w:r>
      <w:r w:rsidR="00F86D5A" w:rsidRPr="00C00335">
        <w:t xml:space="preserve"> and subpopulation </w:t>
      </w:r>
      <w:proofErr w:type="spellStart"/>
      <w:r w:rsidR="00F86D5A" w:rsidRPr="00C00335">
        <w:rPr>
          <w:i/>
          <w:iCs/>
        </w:rPr>
        <w:t>p</w:t>
      </w:r>
      <w:r w:rsidR="00F86D5A" w:rsidRPr="00C00335">
        <w:t xml:space="preserve"> at</w:t>
      </w:r>
      <w:proofErr w:type="spellEnd"/>
      <w:r w:rsidR="00F86D5A" w:rsidRPr="00C00335">
        <w:t xml:space="preserve"> time </w:t>
      </w:r>
      <w:proofErr w:type="gramStart"/>
      <w:r w:rsidR="00F86D5A" w:rsidRPr="00C00335">
        <w:rPr>
          <w:i/>
        </w:rPr>
        <w:t>t</w:t>
      </w:r>
      <w:r w:rsidR="00F86D5A" w:rsidRPr="00C00335">
        <w:t>;</w:t>
      </w:r>
      <w:proofErr w:type="gramEnd"/>
    </w:p>
    <w:p w14:paraId="19A8D58E" w14:textId="39BFF0CE" w:rsidR="00336761" w:rsidRPr="00C00335" w:rsidRDefault="00935C54" w:rsidP="002B1372">
      <w:pPr>
        <w:pStyle w:val="bullets"/>
      </w:pPr>
      <w:r w:rsidRPr="00C00335">
        <w:rPr>
          <w:position w:val="-12"/>
        </w:rPr>
        <w:object w:dxaOrig="540" w:dyaOrig="380" w14:anchorId="09FD00E5">
          <v:shape id="_x0000_i1056" type="#_x0000_t75" style="width:28.5pt;height:14.25pt" o:ole="">
            <v:imagedata r:id="rId101" o:title=""/>
          </v:shape>
          <o:OLEObject Type="Embed" ProgID="Equation.3" ShapeID="_x0000_i1056" DrawAspect="Content" ObjectID="_1700043745" r:id="rId102"/>
        </w:object>
      </w:r>
      <w:r w:rsidR="00336761" w:rsidRPr="00C00335">
        <w:t xml:space="preserve"> = rate of ART </w:t>
      </w:r>
      <w:r w:rsidR="008101D3" w:rsidRPr="00C00335">
        <w:t>prescription</w:t>
      </w:r>
      <w:r w:rsidR="00336761" w:rsidRPr="00C00335">
        <w:t xml:space="preserve"> if </w:t>
      </w:r>
      <w:r w:rsidR="009E34D9" w:rsidRPr="00C00335">
        <w:t>linked to HIV care</w:t>
      </w:r>
      <w:r w:rsidR="00315C31" w:rsidRPr="00C00335">
        <w:t xml:space="preserve">, by </w:t>
      </w:r>
      <w:r w:rsidR="00D6628E" w:rsidRPr="00C00335">
        <w:t xml:space="preserve">compartment c </w:t>
      </w:r>
      <w:r w:rsidR="00315C31" w:rsidRPr="00C00335">
        <w:t>and</w:t>
      </w:r>
      <w:r w:rsidR="00336761" w:rsidRPr="00C00335">
        <w:t xml:space="preserve"> subpopulation </w:t>
      </w:r>
      <w:proofErr w:type="spellStart"/>
      <w:r w:rsidR="00336761" w:rsidRPr="00C00335">
        <w:rPr>
          <w:i/>
          <w:iCs/>
        </w:rPr>
        <w:t>p</w:t>
      </w:r>
      <w:r w:rsidR="00A245BC" w:rsidRPr="00C00335">
        <w:rPr>
          <w:iCs/>
        </w:rPr>
        <w:t xml:space="preserve"> at</w:t>
      </w:r>
      <w:proofErr w:type="spellEnd"/>
      <w:r w:rsidR="00A245BC" w:rsidRPr="00C00335">
        <w:rPr>
          <w:iCs/>
        </w:rPr>
        <w:t xml:space="preserve"> time </w:t>
      </w:r>
      <w:r w:rsidR="00A245BC" w:rsidRPr="00C00335">
        <w:rPr>
          <w:i/>
          <w:iCs/>
        </w:rPr>
        <w:t>t</w:t>
      </w:r>
      <w:r w:rsidR="00D41DE4" w:rsidRPr="00C00335">
        <w:t xml:space="preserve">, for </w:t>
      </w:r>
      <w:r w:rsidR="00D41DE4" w:rsidRPr="00C00335">
        <w:rPr>
          <w:i/>
        </w:rPr>
        <w:t>c</w:t>
      </w:r>
      <w:r w:rsidR="00D41DE4" w:rsidRPr="00C00335">
        <w:t xml:space="preserve"> = {8, 13, 18, 23</w:t>
      </w:r>
      <w:proofErr w:type="gramStart"/>
      <w:r w:rsidR="00D41DE4" w:rsidRPr="00C00335">
        <w:t>}</w:t>
      </w:r>
      <w:r w:rsidR="0006550C" w:rsidRPr="00C00335">
        <w:t>;</w:t>
      </w:r>
      <w:proofErr w:type="gramEnd"/>
    </w:p>
    <w:p w14:paraId="7D155B16" w14:textId="49452364" w:rsidR="000F420A" w:rsidRPr="00C00335" w:rsidRDefault="00935C54" w:rsidP="002B1372">
      <w:pPr>
        <w:pStyle w:val="bullets"/>
      </w:pPr>
      <w:r w:rsidRPr="00C00335">
        <w:rPr>
          <w:position w:val="-12"/>
        </w:rPr>
        <w:object w:dxaOrig="560" w:dyaOrig="380" w14:anchorId="4A181587">
          <v:shape id="_x0000_i1057" type="#_x0000_t75" style="width:28.5pt;height:14.25pt" o:ole="">
            <v:imagedata r:id="rId103" o:title=""/>
          </v:shape>
          <o:OLEObject Type="Embed" ProgID="Equation.3" ShapeID="_x0000_i1057" DrawAspect="Content" ObjectID="_1700043746" r:id="rId104"/>
        </w:object>
      </w:r>
      <w:r w:rsidR="004D7E5A" w:rsidRPr="00C00335">
        <w:t xml:space="preserve">= rate of departure from HIV care if </w:t>
      </w:r>
      <w:r w:rsidR="009E34D9" w:rsidRPr="00C00335">
        <w:t>linked to HIV care</w:t>
      </w:r>
      <w:r w:rsidR="004D7E5A" w:rsidRPr="00C00335">
        <w:t xml:space="preserve">, by </w:t>
      </w:r>
      <w:r w:rsidR="004D7E5A" w:rsidRPr="00C00335">
        <w:rPr>
          <w:iCs/>
        </w:rPr>
        <w:t xml:space="preserve">demographic subpopulation </w:t>
      </w:r>
      <w:proofErr w:type="spellStart"/>
      <w:r w:rsidR="004D7E5A" w:rsidRPr="00C00335">
        <w:rPr>
          <w:i/>
          <w:iCs/>
        </w:rPr>
        <w:t>p</w:t>
      </w:r>
      <w:r w:rsidR="00712562" w:rsidRPr="00C00335">
        <w:t xml:space="preserve"> </w:t>
      </w:r>
      <w:r w:rsidR="004D7E5A" w:rsidRPr="00C00335">
        <w:t>at</w:t>
      </w:r>
      <w:proofErr w:type="spellEnd"/>
      <w:r w:rsidR="004D7E5A" w:rsidRPr="00C00335">
        <w:t xml:space="preserve"> time </w:t>
      </w:r>
      <w:r w:rsidR="004D7E5A" w:rsidRPr="00C00335">
        <w:rPr>
          <w:i/>
          <w:iCs/>
        </w:rPr>
        <w:t>t</w:t>
      </w:r>
      <w:r w:rsidR="00D41DE4" w:rsidRPr="00C00335">
        <w:t xml:space="preserve">, for </w:t>
      </w:r>
      <w:r w:rsidR="00D41DE4" w:rsidRPr="00C00335">
        <w:rPr>
          <w:i/>
        </w:rPr>
        <w:t>c</w:t>
      </w:r>
      <w:r w:rsidR="00D41DE4" w:rsidRPr="00C00335">
        <w:t xml:space="preserve"> = {5, 8, 13, 18, 23</w:t>
      </w:r>
      <w:proofErr w:type="gramStart"/>
      <w:r w:rsidR="00D41DE4" w:rsidRPr="00C00335">
        <w:t>}</w:t>
      </w:r>
      <w:r w:rsidR="0006550C" w:rsidRPr="00C00335">
        <w:t>;</w:t>
      </w:r>
      <w:proofErr w:type="gramEnd"/>
    </w:p>
    <w:p w14:paraId="3754452B" w14:textId="1CE40AFC" w:rsidR="001E77C7" w:rsidRPr="00C00335" w:rsidRDefault="00935C54" w:rsidP="002B1372">
      <w:pPr>
        <w:pStyle w:val="bullets"/>
      </w:pPr>
      <w:r w:rsidRPr="00C00335">
        <w:rPr>
          <w:position w:val="-12"/>
        </w:rPr>
        <w:object w:dxaOrig="520" w:dyaOrig="380" w14:anchorId="18FEA8B3">
          <v:shape id="_x0000_i1058" type="#_x0000_t75" style="width:21.75pt;height:14.25pt" o:ole="">
            <v:imagedata r:id="rId105" o:title=""/>
          </v:shape>
          <o:OLEObject Type="Embed" ProgID="Equation.3" ShapeID="_x0000_i1058" DrawAspect="Content" ObjectID="_1700043747" r:id="rId106"/>
        </w:object>
      </w:r>
      <w:r w:rsidR="00336761" w:rsidRPr="00C00335">
        <w:t> = </w:t>
      </w:r>
      <w:r w:rsidR="004D7E5A" w:rsidRPr="00C00335">
        <w:t>percentage of newly diagnos</w:t>
      </w:r>
      <w:r w:rsidR="007437CC" w:rsidRPr="00C00335">
        <w:t>ed</w:t>
      </w:r>
      <w:r w:rsidR="004D7E5A" w:rsidRPr="00C00335">
        <w:t xml:space="preserve"> individuals in subpopulation </w:t>
      </w:r>
      <w:r w:rsidR="004D7E5A" w:rsidRPr="00C00335">
        <w:rPr>
          <w:i/>
          <w:iCs/>
        </w:rPr>
        <w:t>p</w:t>
      </w:r>
      <w:r w:rsidR="004D7E5A" w:rsidRPr="00C00335">
        <w:t xml:space="preserve"> who immediately link to care at diagnosis at time </w:t>
      </w:r>
      <w:r w:rsidR="004D7E5A" w:rsidRPr="00C00335">
        <w:rPr>
          <w:i/>
        </w:rPr>
        <w:t>t</w:t>
      </w:r>
      <w:r w:rsidR="001E77C7" w:rsidRPr="00C00335">
        <w:t>; and</w:t>
      </w:r>
    </w:p>
    <w:p w14:paraId="36EE44EF" w14:textId="16151A5A" w:rsidR="00336761" w:rsidRPr="00C00335" w:rsidRDefault="00621210" w:rsidP="002B1372">
      <w:pPr>
        <w:pStyle w:val="bullets"/>
      </w:pPr>
      <w:r w:rsidRPr="00C00335">
        <w:rPr>
          <w:position w:val="-14"/>
        </w:rPr>
        <w:object w:dxaOrig="639" w:dyaOrig="420" w14:anchorId="7C9A8788">
          <v:shape id="_x0000_i1059" type="#_x0000_t75" style="width:28.5pt;height:22.5pt" o:ole="">
            <v:imagedata r:id="rId107" o:title=""/>
          </v:shape>
          <o:OLEObject Type="Embed" ProgID="Equation.3" ShapeID="_x0000_i1059" DrawAspect="Content" ObjectID="_1700043748" r:id="rId108"/>
        </w:object>
      </w:r>
      <w:r w:rsidR="00AC6001" w:rsidRPr="00C00335">
        <w:t xml:space="preserve">= </w:t>
      </w:r>
      <w:r w:rsidR="001E77C7" w:rsidRPr="00C00335">
        <w:t>rate of linkage to HIV care among aware (not newly diagnosed) individuals</w:t>
      </w:r>
      <w:r w:rsidR="004D7E5A" w:rsidRPr="00C00335">
        <w:t xml:space="preserve"> in compartment </w:t>
      </w:r>
      <w:r w:rsidR="004D7E5A" w:rsidRPr="00C00335">
        <w:rPr>
          <w:i/>
        </w:rPr>
        <w:t>c</w:t>
      </w:r>
      <w:r w:rsidR="001E77C7" w:rsidRPr="00C00335">
        <w:t xml:space="preserve"> </w:t>
      </w:r>
      <w:r w:rsidR="002D5C5C" w:rsidRPr="00C00335">
        <w:t>for</w:t>
      </w:r>
      <w:r w:rsidR="001E77C7" w:rsidRPr="00C00335">
        <w:t xml:space="preserve"> subpopulation </w:t>
      </w:r>
      <w:proofErr w:type="spellStart"/>
      <w:r w:rsidR="001E77C7" w:rsidRPr="00C00335">
        <w:rPr>
          <w:i/>
          <w:iCs/>
        </w:rPr>
        <w:t>p</w:t>
      </w:r>
      <w:r w:rsidR="00673916" w:rsidRPr="00C00335">
        <w:rPr>
          <w:iCs/>
        </w:rPr>
        <w:t xml:space="preserve"> at</w:t>
      </w:r>
      <w:proofErr w:type="spellEnd"/>
      <w:r w:rsidR="00673916" w:rsidRPr="00C00335">
        <w:rPr>
          <w:iCs/>
        </w:rPr>
        <w:t xml:space="preserve"> time </w:t>
      </w:r>
      <w:r w:rsidR="004D7E5A" w:rsidRPr="00C00335">
        <w:rPr>
          <w:i/>
          <w:iCs/>
        </w:rPr>
        <w:t>t</w:t>
      </w:r>
      <w:r w:rsidR="00D41DE4" w:rsidRPr="00C00335">
        <w:t xml:space="preserve">, for </w:t>
      </w:r>
      <w:r w:rsidR="00D41DE4" w:rsidRPr="00C00335">
        <w:rPr>
          <w:i/>
        </w:rPr>
        <w:t>c</w:t>
      </w:r>
      <w:r w:rsidR="00D41DE4" w:rsidRPr="00C00335">
        <w:t xml:space="preserve"> = {4, 7, 12, 17, 22}</w:t>
      </w:r>
      <w:r w:rsidR="0052684D" w:rsidRPr="00C00335">
        <w:rPr>
          <w:iCs/>
        </w:rPr>
        <w:t>.</w:t>
      </w:r>
    </w:p>
    <w:p w14:paraId="6DD75525" w14:textId="77777777" w:rsidR="000F420A" w:rsidRPr="00C00335" w:rsidRDefault="00336761" w:rsidP="00336761">
      <w:pPr>
        <w:pStyle w:val="Heading2"/>
      </w:pPr>
      <w:bookmarkStart w:id="107" w:name="_Toc398293128"/>
      <w:bookmarkStart w:id="108" w:name="_Toc89257554"/>
      <w:r w:rsidRPr="00C00335">
        <w:t xml:space="preserve">Individuals with </w:t>
      </w:r>
      <w:r w:rsidR="00726B26" w:rsidRPr="00C00335">
        <w:t xml:space="preserve">Chronic </w:t>
      </w:r>
      <w:r w:rsidRPr="00C00335">
        <w:t>HIV Infection and CD4 ≥ 200</w:t>
      </w:r>
      <w:bookmarkEnd w:id="107"/>
      <w:bookmarkEnd w:id="108"/>
    </w:p>
    <w:p w14:paraId="78EA61DA" w14:textId="13AD61BD" w:rsidR="00336761" w:rsidRPr="00C00335" w:rsidRDefault="00336761" w:rsidP="00492BF2">
      <w:pPr>
        <w:pStyle w:val="BodyText"/>
      </w:pPr>
      <w:r w:rsidRPr="00C00335">
        <w:t xml:space="preserve">The numbers of individuals with </w:t>
      </w:r>
      <w:r w:rsidR="00726B26" w:rsidRPr="00C00335">
        <w:t xml:space="preserve">chronic </w:t>
      </w:r>
      <w:r w:rsidRPr="00C00335">
        <w:t>HIV infection and CD4 ≥ 200 (</w:t>
      </w:r>
      <w:r w:rsidRPr="00C00335">
        <w:rPr>
          <w:i/>
          <w:iCs/>
        </w:rPr>
        <w:t>c</w:t>
      </w:r>
      <w:r w:rsidR="00E628BE" w:rsidRPr="00C00335">
        <w:rPr>
          <w:i/>
          <w:iCs/>
        </w:rPr>
        <w:t> = </w:t>
      </w:r>
      <w:r w:rsidR="00731B40" w:rsidRPr="00C00335">
        <w:t>6</w:t>
      </w:r>
      <w:r w:rsidRPr="00C00335">
        <w:t xml:space="preserve"> to </w:t>
      </w:r>
      <w:r w:rsidR="00731B40" w:rsidRPr="00C00335">
        <w:t>20</w:t>
      </w:r>
      <w:r w:rsidRPr="00C00335">
        <w:t>), by demographic subpopulation</w:t>
      </w:r>
      <w:r w:rsidR="00B72C75" w:rsidRPr="00C00335">
        <w:t xml:space="preserve"> </w:t>
      </w:r>
      <w:r w:rsidR="00B72C75" w:rsidRPr="00C00335">
        <w:rPr>
          <w:i/>
        </w:rPr>
        <w:t>p</w:t>
      </w:r>
      <w:r w:rsidRPr="00C00335">
        <w:t xml:space="preserve">, are determined by Equations </w:t>
      </w:r>
      <w:r w:rsidR="008B30F8" w:rsidRPr="00C00335">
        <w:t>(</w:t>
      </w:r>
      <w:r w:rsidR="00FF381E" w:rsidRPr="00C00335">
        <w:t>7</w:t>
      </w:r>
      <w:r w:rsidR="00F259E1" w:rsidRPr="00C00335">
        <w:t>.</w:t>
      </w:r>
      <w:r w:rsidR="00731B40" w:rsidRPr="00C00335">
        <w:t>6</w:t>
      </w:r>
      <w:r w:rsidR="008B30F8" w:rsidRPr="00C00335">
        <w:t>)</w:t>
      </w:r>
      <w:r w:rsidRPr="00C00335">
        <w:t xml:space="preserve"> through </w:t>
      </w:r>
      <w:r w:rsidR="008B30F8" w:rsidRPr="00C00335">
        <w:t>(</w:t>
      </w:r>
      <w:r w:rsidR="005B0687" w:rsidRPr="00C00335">
        <w:t>7</w:t>
      </w:r>
      <w:r w:rsidR="00F259E1" w:rsidRPr="00C00335">
        <w:t>.</w:t>
      </w:r>
      <w:r w:rsidR="00726B26" w:rsidRPr="00C00335">
        <w:t>15</w:t>
      </w:r>
      <w:r w:rsidR="008B30F8" w:rsidRPr="00C00335">
        <w:t>)</w:t>
      </w:r>
      <w:r w:rsidRPr="00C00335">
        <w:t>, corresponding to continuum-of-care stages</w:t>
      </w:r>
      <w:r w:rsidR="00731B40" w:rsidRPr="00C00335">
        <w:t xml:space="preserve"> (</w:t>
      </w:r>
      <w:r w:rsidR="00731B40" w:rsidRPr="00C00335">
        <w:rPr>
          <w:i/>
          <w:iCs/>
        </w:rPr>
        <w:t>r</w:t>
      </w:r>
      <w:r w:rsidR="00731B40" w:rsidRPr="00C00335">
        <w:t>)</w:t>
      </w:r>
      <w:r w:rsidRPr="00C00335">
        <w:t xml:space="preserve"> </w:t>
      </w:r>
      <w:r w:rsidR="002D5C5C" w:rsidRPr="00C00335">
        <w:t xml:space="preserve">1 </w:t>
      </w:r>
      <w:r w:rsidRPr="00C00335">
        <w:t xml:space="preserve">to </w:t>
      </w:r>
      <w:r w:rsidR="002D5C5C" w:rsidRPr="00C00335">
        <w:t>5</w:t>
      </w:r>
      <w:r w:rsidRPr="00C00335">
        <w:t xml:space="preserve">, respectively. </w:t>
      </w:r>
      <w:r w:rsidR="00B1520C" w:rsidRPr="00C00335">
        <w:t>Across these compartments, t</w:t>
      </w:r>
      <w:r w:rsidRPr="00C00335">
        <w:t xml:space="preserve">ransitions that </w:t>
      </w:r>
      <w:r w:rsidR="00621210" w:rsidRPr="00C00335">
        <w:t xml:space="preserve">can </w:t>
      </w:r>
      <w:r w:rsidRPr="00C00335">
        <w:t xml:space="preserve">increase the </w:t>
      </w:r>
      <w:r w:rsidR="00621210" w:rsidRPr="00C00335">
        <w:t xml:space="preserve">number of individuals in </w:t>
      </w:r>
      <w:r w:rsidR="00B1520C" w:rsidRPr="00C00335">
        <w:t>a particular compartment</w:t>
      </w:r>
      <w:r w:rsidRPr="00C00335">
        <w:t xml:space="preserve"> include </w:t>
      </w:r>
      <w:r w:rsidR="00B1520C" w:rsidRPr="00C00335">
        <w:t xml:space="preserve">HIV progression, </w:t>
      </w:r>
      <w:r w:rsidRPr="00C00335">
        <w:t>testing and notification of results, linkage to or departure from HIV care,</w:t>
      </w:r>
      <w:r w:rsidR="002D5C5C" w:rsidRPr="00C00335">
        <w:t xml:space="preserve"> ART </w:t>
      </w:r>
      <w:r w:rsidR="008101D3" w:rsidRPr="00C00335">
        <w:t>prescription</w:t>
      </w:r>
      <w:r w:rsidR="00B1520C" w:rsidRPr="00C00335">
        <w:t xml:space="preserve"> (resulting in VLS or not)</w:t>
      </w:r>
      <w:r w:rsidR="002D5C5C" w:rsidRPr="00C00335">
        <w:t>, loss of ART, and loss of viral suppression</w:t>
      </w:r>
      <w:r w:rsidRPr="00C00335">
        <w:t xml:space="preserve">. Transitions that </w:t>
      </w:r>
      <w:r w:rsidR="00492BF2" w:rsidRPr="00C00335">
        <w:t xml:space="preserve">can </w:t>
      </w:r>
      <w:r w:rsidRPr="00C00335">
        <w:t xml:space="preserve">decrease the </w:t>
      </w:r>
      <w:r w:rsidR="00492BF2" w:rsidRPr="00C00335">
        <w:t xml:space="preserve">number of </w:t>
      </w:r>
      <w:r w:rsidR="0080425B">
        <w:t>people with HIV (</w:t>
      </w:r>
      <w:r w:rsidR="0079728B">
        <w:t>PWH</w:t>
      </w:r>
      <w:r w:rsidR="0080425B">
        <w:t>)</w:t>
      </w:r>
      <w:r w:rsidR="00492BF2" w:rsidRPr="00C00335">
        <w:t xml:space="preserve"> in any of these compartments </w:t>
      </w:r>
      <w:r w:rsidRPr="00C00335">
        <w:t>include HIV progression, testing and notification of results, linkage to</w:t>
      </w:r>
      <w:r w:rsidR="002D5C5C" w:rsidRPr="00C00335">
        <w:t xml:space="preserve"> or departure from</w:t>
      </w:r>
      <w:r w:rsidRPr="00C00335">
        <w:t xml:space="preserve"> HIV care, </w:t>
      </w:r>
      <w:r w:rsidR="002D5C5C" w:rsidRPr="00C00335">
        <w:t xml:space="preserve">ART </w:t>
      </w:r>
      <w:r w:rsidR="008101D3" w:rsidRPr="00C00335">
        <w:t>prescription</w:t>
      </w:r>
      <w:r w:rsidR="00B1520C" w:rsidRPr="00C00335">
        <w:t xml:space="preserve"> (resulting in VLS or not)</w:t>
      </w:r>
      <w:r w:rsidR="002D5C5C" w:rsidRPr="00C00335">
        <w:t xml:space="preserve">, loss of ART, loss of viral suppression, </w:t>
      </w:r>
      <w:r w:rsidRPr="00C00335">
        <w:t xml:space="preserve">death from causes other than AIDS, </w:t>
      </w:r>
      <w:r w:rsidR="004935EA">
        <w:t xml:space="preserve">and </w:t>
      </w:r>
      <w:r w:rsidRPr="00C00335">
        <w:t xml:space="preserve">death if </w:t>
      </w:r>
      <w:r w:rsidR="000965E6" w:rsidRPr="00C00335">
        <w:t>prescribed ART</w:t>
      </w:r>
      <w:r w:rsidRPr="00C00335">
        <w:t>. Aging also shifts individuals among age groups.</w:t>
      </w:r>
    </w:p>
    <w:p w14:paraId="52B8DA4F" w14:textId="3D71EE24" w:rsidR="002D5C5C" w:rsidRPr="00C00335" w:rsidRDefault="003741C2" w:rsidP="002F71EB">
      <w:pPr>
        <w:pStyle w:val="equation"/>
        <w:rPr>
          <w:i/>
        </w:rPr>
      </w:pPr>
      <w:r w:rsidRPr="00C00335">
        <w:rPr>
          <w:i/>
        </w:rPr>
        <w:t>Equations for CD4 &gt; 500</w:t>
      </w:r>
      <w:r w:rsidR="002F71EB" w:rsidRPr="00C00335">
        <w:rPr>
          <w:i/>
        </w:rPr>
        <w:t xml:space="preserve"> (</w:t>
      </w:r>
      <w:r w:rsidRPr="00C00335">
        <w:rPr>
          <w:i/>
        </w:rPr>
        <w:t>h =</w:t>
      </w:r>
      <w:r w:rsidR="00726B26" w:rsidRPr="00C00335">
        <w:rPr>
          <w:i/>
        </w:rPr>
        <w:t xml:space="preserve"> </w:t>
      </w:r>
      <w:r w:rsidRPr="00C00335">
        <w:rPr>
          <w:i/>
        </w:rPr>
        <w:t>2</w:t>
      </w:r>
      <w:r w:rsidR="002F71EB" w:rsidRPr="00C00335">
        <w:rPr>
          <w:i/>
        </w:rPr>
        <w:t>)</w:t>
      </w:r>
      <w:r w:rsidR="00731B40" w:rsidRPr="00C00335">
        <w:rPr>
          <w:i/>
        </w:rPr>
        <w:t>:</w:t>
      </w:r>
    </w:p>
    <w:p w14:paraId="07024EA4" w14:textId="74727FDA" w:rsidR="00A3127C" w:rsidRPr="00C00335" w:rsidRDefault="00E47B37" w:rsidP="00C16178">
      <w:pPr>
        <w:pStyle w:val="equation"/>
        <w:spacing w:after="360"/>
      </w:pPr>
      <w:r w:rsidRPr="00C00335">
        <w:rPr>
          <w:i/>
        </w:rPr>
        <w:tab/>
      </w:r>
      <m:oMath>
        <m:f>
          <m:fPr>
            <m:ctrlPr>
              <w:rPr>
                <w:i/>
              </w:rPr>
            </m:ctrlPr>
          </m:fPr>
          <m:num>
            <m:sSubSup>
              <m:sSubSupPr>
                <m:ctrlPr>
                  <w:rPr>
                    <w:i/>
                  </w:rPr>
                </m:ctrlPr>
              </m:sSubSupPr>
              <m:e>
                <m:r>
                  <m:t>dX</m:t>
                </m:r>
              </m:e>
              <m:sub>
                <m:r>
                  <m:t>p</m:t>
                </m:r>
              </m:sub>
              <m:sup>
                <m:r>
                  <m:t>c=6</m:t>
                </m:r>
              </m:sup>
            </m:sSubSup>
            <m:r>
              <m:t>(t)</m:t>
            </m:r>
          </m:num>
          <m:den>
            <m:r>
              <m:t>dt</m:t>
            </m:r>
          </m:den>
        </m:f>
        <m:r>
          <m:t>=</m:t>
        </m:r>
        <m:d>
          <m:dPr>
            <m:begChr m:val="["/>
            <m:endChr m:val="]"/>
            <m:ctrlPr>
              <w:rPr>
                <w:i/>
              </w:rPr>
            </m:ctrlPr>
          </m:dPr>
          <m:e>
            <m:sSubSup>
              <m:sSubSupPr>
                <m:ctrlPr>
                  <w:rPr>
                    <w:i/>
                  </w:rPr>
                </m:ctrlPr>
              </m:sSubSupPr>
              <m:e>
                <m:r>
                  <m:t>ω</m:t>
                </m:r>
              </m:e>
              <m:sub>
                <m:r>
                  <m:t>p</m:t>
                </m:r>
              </m:sub>
              <m:sup>
                <m:r>
                  <m:t>c=3</m:t>
                </m:r>
              </m:sup>
            </m:sSubSup>
          </m:e>
        </m:d>
        <m:sSubSup>
          <m:sSubSupPr>
            <m:ctrlPr>
              <w:rPr>
                <w:i/>
              </w:rPr>
            </m:ctrlPr>
          </m:sSubSupPr>
          <m:e>
            <m:r>
              <m:t>X</m:t>
            </m:r>
          </m:e>
          <m:sub>
            <m:r>
              <m:t>p</m:t>
            </m:r>
          </m:sub>
          <m:sup>
            <m:r>
              <m:t>c=3</m:t>
            </m:r>
          </m:sup>
        </m:sSubSup>
        <m:d>
          <m:dPr>
            <m:ctrlPr>
              <w:rPr>
                <w:i/>
              </w:rPr>
            </m:ctrlPr>
          </m:dPr>
          <m:e>
            <m:r>
              <m:t>t</m:t>
            </m:r>
          </m:e>
        </m:d>
        <m:r>
          <m:t>-</m:t>
        </m:r>
        <m:d>
          <m:dPr>
            <m:begChr m:val="["/>
            <m:endChr m:val="]"/>
            <m:ctrlPr>
              <w:rPr>
                <w:i/>
              </w:rPr>
            </m:ctrlPr>
          </m:dPr>
          <m:e>
            <m:sSubSup>
              <m:sSubSupPr>
                <m:ctrlPr>
                  <w:rPr>
                    <w:i/>
                  </w:rPr>
                </m:ctrlPr>
              </m:sSubSupPr>
              <m:e>
                <m:r>
                  <m:t>ω</m:t>
                </m:r>
              </m:e>
              <m:sub>
                <m:r>
                  <m:t>p</m:t>
                </m:r>
              </m:sub>
              <m:sup>
                <m:r>
                  <m:t>c=6</m:t>
                </m:r>
              </m:sup>
            </m:sSubSup>
            <m:r>
              <m:t>+</m:t>
            </m:r>
            <m:sSubSup>
              <m:sSubSupPr>
                <m:ctrlPr>
                  <w:rPr>
                    <w:i/>
                  </w:rPr>
                </m:ctrlPr>
              </m:sSubSupPr>
              <m:e>
                <m:r>
                  <m:t>τ</m:t>
                </m:r>
              </m:e>
              <m:sub>
                <m:r>
                  <m:t>p</m:t>
                </m:r>
              </m:sub>
              <m:sup>
                <m:r>
                  <m:t>c=6</m:t>
                </m:r>
              </m:sup>
            </m:sSubSup>
            <m:d>
              <m:dPr>
                <m:ctrlPr>
                  <w:rPr>
                    <w:i/>
                  </w:rPr>
                </m:ctrlPr>
              </m:dPr>
              <m:e>
                <m:r>
                  <m:t>t</m:t>
                </m:r>
              </m:e>
            </m:d>
            <m:r>
              <m:t>+</m:t>
            </m:r>
            <m:r>
              <m:rPr>
                <m:sty m:val="p"/>
              </m:rPr>
              <w:rPr>
                <w:position w:val="-14"/>
              </w:rPr>
              <w:object w:dxaOrig="740" w:dyaOrig="400" w14:anchorId="26433696">
                <v:shape id="_x0000_i1061" type="#_x0000_t75" style="width:36pt;height:22.5pt" o:ole="">
                  <v:imagedata r:id="rId109" o:title=""/>
                </v:shape>
                <o:OLEObject Type="Embed" ProgID="Equation.3" ShapeID="_x0000_i1061" DrawAspect="Content" ObjectID="_1700043749" r:id="rId110"/>
              </w:object>
            </m:r>
            <m:r>
              <m:t>+</m:t>
            </m:r>
            <m:sSubSup>
              <m:sSubSupPr>
                <m:ctrlPr>
                  <w:rPr>
                    <w:i/>
                  </w:rPr>
                </m:ctrlPr>
              </m:sSubSupPr>
              <m:e>
                <m:r>
                  <m:t>δ</m:t>
                </m:r>
              </m:e>
              <m:sub>
                <m:r>
                  <m:t>p</m:t>
                </m:r>
              </m:sub>
              <m:sup>
                <m:r>
                  <m:t>-</m:t>
                </m:r>
              </m:sup>
            </m:sSubSup>
          </m:e>
        </m:d>
        <m:sSubSup>
          <m:sSubSupPr>
            <m:ctrlPr>
              <w:rPr>
                <w:i/>
              </w:rPr>
            </m:ctrlPr>
          </m:sSubSupPr>
          <m:e>
            <m:r>
              <m:t>X</m:t>
            </m:r>
          </m:e>
          <m:sub>
            <m:r>
              <m:t>p</m:t>
            </m:r>
          </m:sub>
          <m:sup>
            <m:r>
              <m:t>c=6</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c=6</m:t>
            </m:r>
          </m:sup>
        </m:sSubSup>
        <m:r>
          <m:t>(t)</m:t>
        </m:r>
      </m:oMath>
      <w:r w:rsidRPr="00C00335">
        <w:tab/>
        <w:t>(7.6)</w:t>
      </w:r>
    </w:p>
    <w:p w14:paraId="12F9167D" w14:textId="05DDE9B5" w:rsidR="00143653" w:rsidRPr="00C00335" w:rsidRDefault="00747E9D" w:rsidP="0056377C">
      <w:pPr>
        <w:pStyle w:val="equation"/>
        <w:spacing w:after="360"/>
        <w:jc w:val="both"/>
      </w:pPr>
      <m:oMathPara>
        <m:oMath>
          <m:f>
            <m:fPr>
              <m:ctrlPr>
                <w:rPr>
                  <w:i/>
                </w:rPr>
              </m:ctrlPr>
            </m:fPr>
            <m:num>
              <m:sSubSup>
                <m:sSubSupPr>
                  <m:ctrlPr>
                    <w:rPr>
                      <w:i/>
                    </w:rPr>
                  </m:ctrlPr>
                </m:sSubSupPr>
                <m:e>
                  <m:r>
                    <m:t>dX</m:t>
                  </m:r>
                </m:e>
                <m:sub>
                  <m:r>
                    <m:t>p</m:t>
                  </m:r>
                </m:sub>
                <m:sup>
                  <m:r>
                    <m:t>c=7</m:t>
                  </m:r>
                </m:sup>
              </m:sSubSup>
              <m:d>
                <m:dPr>
                  <m:ctrlPr>
                    <w:rPr>
                      <w:i/>
                    </w:rPr>
                  </m:ctrlPr>
                </m:dPr>
                <m:e>
                  <m:r>
                    <m:t>t</m:t>
                  </m:r>
                </m:e>
              </m:d>
            </m:num>
            <m:den>
              <m:r>
                <m:t>dt</m:t>
              </m:r>
            </m:den>
          </m:f>
          <m:r>
            <m:t>=</m:t>
          </m:r>
          <m:d>
            <m:dPr>
              <m:begChr m:val="["/>
              <m:endChr m:val="]"/>
              <m:ctrlPr>
                <w:rPr>
                  <w:i/>
                </w:rPr>
              </m:ctrlPr>
            </m:dPr>
            <m:e>
              <m:sSubSup>
                <m:sSubSupPr>
                  <m:ctrlPr>
                    <w:rPr>
                      <w:i/>
                    </w:rPr>
                  </m:ctrlPr>
                </m:sSubSupPr>
                <m:e>
                  <m:r>
                    <m:t>ω</m:t>
                  </m:r>
                </m:e>
                <m:sub>
                  <m:r>
                    <m:t>p</m:t>
                  </m:r>
                </m:sub>
                <m:sup>
                  <m:r>
                    <m:t>c=4</m:t>
                  </m:r>
                </m:sup>
              </m:sSubSup>
              <m:d>
                <m:dPr>
                  <m:ctrlPr>
                    <w:rPr>
                      <w:i/>
                    </w:rPr>
                  </m:ctrlPr>
                </m:dPr>
                <m:e>
                  <m:r>
                    <m:t>t</m:t>
                  </m:r>
                </m:e>
              </m:d>
            </m:e>
          </m:d>
          <m:sSubSup>
            <m:sSubSupPr>
              <m:ctrlPr>
                <w:rPr>
                  <w:i/>
                </w:rPr>
              </m:ctrlPr>
            </m:sSubSupPr>
            <m:e>
              <m:r>
                <m:t>X</m:t>
              </m:r>
            </m:e>
            <m:sub>
              <m:r>
                <m:t>p</m:t>
              </m:r>
            </m:sub>
            <m:sup>
              <m:r>
                <m:t>c=4</m:t>
              </m:r>
            </m:sup>
          </m:sSubSup>
          <m:d>
            <m:dPr>
              <m:ctrlPr>
                <w:rPr>
                  <w:i/>
                </w:rPr>
              </m:ctrlPr>
            </m:dPr>
            <m:e>
              <m:r>
                <m:t>t</m:t>
              </m:r>
            </m:e>
          </m:d>
          <m:r>
            <m:t>+</m:t>
          </m:r>
          <m:d>
            <m:dPr>
              <m:begChr m:val="["/>
              <m:endChr m:val="]"/>
              <m:ctrlPr>
                <w:rPr>
                  <w:i/>
                </w:rPr>
              </m:ctrlPr>
            </m:dPr>
            <m:e>
              <m:sSubSup>
                <m:sSubSupPr>
                  <m:ctrlPr>
                    <w:rPr>
                      <w:i/>
                    </w:rPr>
                  </m:ctrlPr>
                </m:sSubSupPr>
                <m:e>
                  <m:r>
                    <m:t>τ</m:t>
                  </m:r>
                </m:e>
                <m:sub>
                  <m:r>
                    <m:t>p</m:t>
                  </m:r>
                </m:sub>
                <m:sup>
                  <m:r>
                    <m:t>c=6</m:t>
                  </m:r>
                </m:sup>
              </m:sSubSup>
              <m:d>
                <m:dPr>
                  <m:ctrlPr>
                    <w:rPr>
                      <w:i/>
                    </w:rPr>
                  </m:ctrlPr>
                </m:dPr>
                <m:e>
                  <m:r>
                    <m:t>t</m:t>
                  </m:r>
                </m:e>
              </m:d>
            </m:e>
          </m:d>
          <m:d>
            <m:dPr>
              <m:begChr m:val="["/>
              <m:endChr m:val="]"/>
              <m:ctrlPr>
                <w:rPr>
                  <w:i/>
                </w:rPr>
              </m:ctrlPr>
            </m:dPr>
            <m:e>
              <m:r>
                <m:t>1-</m:t>
              </m:r>
              <m:sSub>
                <m:sSubPr>
                  <m:ctrlPr>
                    <w:rPr>
                      <w:i/>
                    </w:rPr>
                  </m:ctrlPr>
                </m:sSubPr>
                <m:e>
                  <m:r>
                    <m:t>κ</m:t>
                  </m:r>
                </m:e>
                <m:sub>
                  <m:r>
                    <m:t>p</m:t>
                  </m:r>
                </m:sub>
              </m:sSub>
              <m:d>
                <m:dPr>
                  <m:ctrlPr>
                    <w:rPr>
                      <w:i/>
                    </w:rPr>
                  </m:ctrlPr>
                </m:dPr>
                <m:e>
                  <m:r>
                    <m:t>t</m:t>
                  </m:r>
                </m:e>
              </m:d>
            </m:e>
          </m:d>
          <m:sSubSup>
            <m:sSubSupPr>
              <m:ctrlPr>
                <w:rPr>
                  <w:i/>
                </w:rPr>
              </m:ctrlPr>
            </m:sSubSupPr>
            <m:e>
              <m:r>
                <m:t>X</m:t>
              </m:r>
            </m:e>
            <m:sub>
              <m:r>
                <m:t>p</m:t>
              </m:r>
            </m:sub>
            <m:sup>
              <m:r>
                <m:t>c=6</m:t>
              </m:r>
            </m:sup>
          </m:sSubSup>
          <m:d>
            <m:dPr>
              <m:ctrlPr>
                <w:rPr>
                  <w:i/>
                </w:rPr>
              </m:ctrlPr>
            </m:dPr>
            <m:e>
              <m:r>
                <m:t>t</m:t>
              </m:r>
            </m:e>
          </m:d>
          <m:r>
            <m:rPr>
              <m:sty m:val="p"/>
            </m:rPr>
            <m:t xml:space="preserve"> </m:t>
          </m:r>
          <m:r>
            <m:rPr>
              <m:sty m:val="p"/>
            </m:rPr>
            <w:br/>
          </m:r>
        </m:oMath>
      </m:oMathPara>
      <w:r w:rsidR="00E47B37" w:rsidRPr="00C00335">
        <w:tab/>
      </w:r>
      <m:oMath>
        <m:r>
          <m:t>+</m:t>
        </m:r>
        <m:d>
          <m:dPr>
            <m:begChr m:val="["/>
            <m:endChr m:val="]"/>
            <m:ctrlPr>
              <w:rPr>
                <w:i/>
              </w:rPr>
            </m:ctrlPr>
          </m:dPr>
          <m:e>
            <m:sSub>
              <m:sSubPr>
                <m:ctrlPr>
                  <w:rPr>
                    <w:i/>
                  </w:rPr>
                </m:ctrlPr>
              </m:sSubPr>
              <m:e>
                <m:r>
                  <m:t>e</m:t>
                </m:r>
              </m:e>
              <m:sub>
                <m:r>
                  <m:t>p</m:t>
                </m:r>
              </m:sub>
            </m:sSub>
            <m:d>
              <m:dPr>
                <m:ctrlPr>
                  <w:rPr>
                    <w:i/>
                  </w:rPr>
                </m:ctrlPr>
              </m:dPr>
              <m:e>
                <m:r>
                  <m:t>t</m:t>
                </m:r>
              </m:e>
            </m:d>
          </m:e>
        </m:d>
        <m:sSubSup>
          <m:sSubSupPr>
            <m:ctrlPr>
              <w:rPr>
                <w:i/>
              </w:rPr>
            </m:ctrlPr>
          </m:sSubSupPr>
          <m:e>
            <m:r>
              <m:t>X</m:t>
            </m:r>
          </m:e>
          <m:sub>
            <m:r>
              <m:t>p</m:t>
            </m:r>
          </m:sub>
          <m:sup>
            <m:r>
              <m:t>c=8</m:t>
            </m:r>
          </m:sup>
        </m:sSubSup>
        <m:d>
          <m:dPr>
            <m:ctrlPr>
              <w:rPr>
                <w:i/>
              </w:rPr>
            </m:ctrlPr>
          </m:dPr>
          <m:e>
            <m:r>
              <m:t>t</m:t>
            </m:r>
          </m:e>
        </m:d>
        <m:r>
          <m:t>-</m:t>
        </m:r>
        <m:d>
          <m:dPr>
            <m:begChr m:val="["/>
            <m:endChr m:val="]"/>
            <m:ctrlPr>
              <w:rPr>
                <w:i/>
              </w:rPr>
            </m:ctrlPr>
          </m:dPr>
          <m:e>
            <m:sSubSup>
              <m:sSubSupPr>
                <m:ctrlPr>
                  <w:rPr>
                    <w:i/>
                  </w:rPr>
                </m:ctrlPr>
              </m:sSubSupPr>
              <m:e>
                <m:r>
                  <m:rPr>
                    <m:scr m:val="script"/>
                  </m:rPr>
                  <m:t>l</m:t>
                </m:r>
              </m:e>
              <m:sub>
                <m:r>
                  <m:t>p</m:t>
                </m:r>
              </m:sub>
              <m:sup>
                <m:r>
                  <m:t>c=7</m:t>
                </m:r>
              </m:sup>
            </m:sSubSup>
            <m:d>
              <m:dPr>
                <m:ctrlPr>
                  <w:rPr>
                    <w:i/>
                  </w:rPr>
                </m:ctrlPr>
              </m:dPr>
              <m:e>
                <m:r>
                  <m:t>t</m:t>
                </m:r>
              </m:e>
            </m:d>
            <m:r>
              <m:t>+</m:t>
            </m:r>
            <m:sSubSup>
              <m:sSubSupPr>
                <m:ctrlPr>
                  <w:rPr>
                    <w:i/>
                  </w:rPr>
                </m:ctrlPr>
              </m:sSubSupPr>
              <m:e>
                <m:r>
                  <m:t>ω</m:t>
                </m:r>
              </m:e>
              <m:sub>
                <m:r>
                  <m:t>p</m:t>
                </m:r>
              </m:sub>
              <m:sup>
                <m:r>
                  <m:t>c=7</m:t>
                </m:r>
              </m:sup>
            </m:sSubSup>
            <m:d>
              <m:dPr>
                <m:ctrlPr>
                  <w:rPr>
                    <w:i/>
                  </w:rPr>
                </m:ctrlPr>
              </m:dPr>
              <m:e>
                <m:r>
                  <m:t>t</m:t>
                </m:r>
              </m:e>
            </m:d>
            <m:r>
              <m:t>+</m:t>
            </m:r>
            <m:r>
              <m:rPr>
                <m:sty m:val="p"/>
              </m:rPr>
              <w:rPr>
                <w:position w:val="-14"/>
              </w:rPr>
              <w:object w:dxaOrig="720" w:dyaOrig="400" w14:anchorId="6DD8C26D">
                <v:shape id="_x0000_i1063" type="#_x0000_t75" style="width:36pt;height:22.5pt" o:ole="">
                  <v:imagedata r:id="rId111" o:title=""/>
                </v:shape>
                <o:OLEObject Type="Embed" ProgID="Equation.3" ShapeID="_x0000_i1063" DrawAspect="Content" ObjectID="_1700043750" r:id="rId112"/>
              </w:object>
            </m:r>
            <m:r>
              <m:t>+</m:t>
            </m:r>
            <m:sSubSup>
              <m:sSubSupPr>
                <m:ctrlPr>
                  <w:rPr>
                    <w:i/>
                  </w:rPr>
                </m:ctrlPr>
              </m:sSubSupPr>
              <m:e>
                <m:r>
                  <m:t>δ</m:t>
                </m:r>
              </m:e>
              <m:sub>
                <m:r>
                  <m:t>p</m:t>
                </m:r>
              </m:sub>
              <m:sup>
                <m:r>
                  <m:t>-</m:t>
                </m:r>
              </m:sup>
            </m:sSubSup>
          </m:e>
        </m:d>
        <m:sSubSup>
          <m:sSubSupPr>
            <m:ctrlPr>
              <w:rPr>
                <w:i/>
              </w:rPr>
            </m:ctrlPr>
          </m:sSubSupPr>
          <m:e>
            <m:r>
              <m:t>X</m:t>
            </m:r>
          </m:e>
          <m:sub>
            <m:r>
              <m:t>p</m:t>
            </m:r>
          </m:sub>
          <m:sup>
            <m:r>
              <m:t>c=7</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c=7</m:t>
            </m:r>
          </m:sup>
        </m:sSubSup>
        <m:d>
          <m:dPr>
            <m:ctrlPr>
              <w:rPr>
                <w:i/>
              </w:rPr>
            </m:ctrlPr>
          </m:dPr>
          <m:e>
            <m:r>
              <m:t>t</m:t>
            </m:r>
          </m:e>
        </m:d>
        <m:r>
          <m:t xml:space="preserve"> </m:t>
        </m:r>
      </m:oMath>
      <w:r w:rsidR="00E47B37" w:rsidRPr="00C00335">
        <w:tab/>
        <w:t>(7.7)</w:t>
      </w:r>
    </w:p>
    <w:p w14:paraId="20114A0D" w14:textId="2AAFCF21" w:rsidR="005D5BE6" w:rsidRPr="00C00335" w:rsidRDefault="00747E9D" w:rsidP="00841835">
      <w:pPr>
        <w:pStyle w:val="equation"/>
        <w:keepNext/>
        <w:keepLines/>
        <w:spacing w:after="360"/>
        <w:jc w:val="both"/>
      </w:pPr>
      <m:oMathPara>
        <m:oMath>
          <m:f>
            <m:fPr>
              <m:ctrlPr>
                <w:rPr>
                  <w:i/>
                </w:rPr>
              </m:ctrlPr>
            </m:fPr>
            <m:num>
              <m:sSubSup>
                <m:sSubSupPr>
                  <m:ctrlPr>
                    <w:rPr>
                      <w:i/>
                    </w:rPr>
                  </m:ctrlPr>
                </m:sSubSupPr>
                <m:e>
                  <m:r>
                    <m:t>dX</m:t>
                  </m:r>
                </m:e>
                <m:sub>
                  <m:r>
                    <m:t>p</m:t>
                  </m:r>
                </m:sub>
                <m:sup>
                  <m:r>
                    <m:t>c=8</m:t>
                  </m:r>
                </m:sup>
              </m:sSubSup>
              <m:d>
                <m:dPr>
                  <m:ctrlPr>
                    <w:rPr>
                      <w:i/>
                    </w:rPr>
                  </m:ctrlPr>
                </m:dPr>
                <m:e>
                  <m:r>
                    <m:t>t</m:t>
                  </m:r>
                </m:e>
              </m:d>
            </m:num>
            <m:den>
              <m:r>
                <m:t>dt</m:t>
              </m:r>
            </m:den>
          </m:f>
          <m:r>
            <m:t>=</m:t>
          </m:r>
          <m:sSubSup>
            <m:sSubSupPr>
              <m:ctrlPr>
                <w:rPr>
                  <w:i/>
                </w:rPr>
              </m:ctrlPr>
            </m:sSubSupPr>
            <m:e>
              <m:r>
                <m:t>ω</m:t>
              </m:r>
            </m:e>
            <m:sub>
              <m:r>
                <m:t>p</m:t>
              </m:r>
            </m:sub>
            <m:sup>
              <m:r>
                <m:t>c=5</m:t>
              </m:r>
            </m:sup>
          </m:sSubSup>
          <m:sSubSup>
            <m:sSubSupPr>
              <m:ctrlPr>
                <w:rPr>
                  <w:i/>
                </w:rPr>
              </m:ctrlPr>
            </m:sSubSupPr>
            <m:e>
              <m:r>
                <m:t>X</m:t>
              </m:r>
            </m:e>
            <m:sub>
              <m:r>
                <m:t>p</m:t>
              </m:r>
            </m:sub>
            <m:sup>
              <m:r>
                <m:t>c=5</m:t>
              </m:r>
            </m:sup>
          </m:sSubSup>
          <m:d>
            <m:dPr>
              <m:ctrlPr>
                <w:rPr>
                  <w:i/>
                </w:rPr>
              </m:ctrlPr>
            </m:dPr>
            <m:e>
              <m:r>
                <m:t>t</m:t>
              </m:r>
            </m:e>
          </m:d>
          <m:r>
            <m:t>+</m:t>
          </m:r>
          <m:sSubSup>
            <m:sSubSupPr>
              <m:ctrlPr>
                <w:rPr>
                  <w:i/>
                </w:rPr>
              </m:ctrlPr>
            </m:sSubSupPr>
            <m:e>
              <m:r>
                <m:t>τ</m:t>
              </m:r>
            </m:e>
            <m:sub>
              <m:r>
                <m:t>p</m:t>
              </m:r>
            </m:sub>
            <m:sup>
              <m:r>
                <m:t>c=6</m:t>
              </m:r>
            </m:sup>
          </m:sSubSup>
          <m:d>
            <m:dPr>
              <m:ctrlPr>
                <w:rPr>
                  <w:i/>
                </w:rPr>
              </m:ctrlPr>
            </m:dPr>
            <m:e>
              <m:r>
                <m:t>t</m:t>
              </m:r>
            </m:e>
          </m:d>
          <m:sSub>
            <m:sSubPr>
              <m:ctrlPr>
                <w:rPr>
                  <w:i/>
                </w:rPr>
              </m:ctrlPr>
            </m:sSubPr>
            <m:e>
              <m:r>
                <m:t>κ</m:t>
              </m:r>
            </m:e>
            <m:sub>
              <m:r>
                <m:t>p</m:t>
              </m:r>
            </m:sub>
          </m:sSub>
          <m:d>
            <m:dPr>
              <m:ctrlPr>
                <w:rPr>
                  <w:i/>
                </w:rPr>
              </m:ctrlPr>
            </m:dPr>
            <m:e>
              <m:r>
                <m:t>t</m:t>
              </m:r>
            </m:e>
          </m:d>
          <m:sSubSup>
            <m:sSubSupPr>
              <m:ctrlPr>
                <w:rPr>
                  <w:i/>
                </w:rPr>
              </m:ctrlPr>
            </m:sSubSupPr>
            <m:e>
              <m:r>
                <m:t>X</m:t>
              </m:r>
            </m:e>
            <m:sub>
              <m:r>
                <m:t>p</m:t>
              </m:r>
            </m:sub>
            <m:sup>
              <m:r>
                <m:t>c=6</m:t>
              </m:r>
            </m:sup>
          </m:sSubSup>
          <m:d>
            <m:dPr>
              <m:ctrlPr>
                <w:rPr>
                  <w:i/>
                </w:rPr>
              </m:ctrlPr>
            </m:dPr>
            <m:e>
              <m:r>
                <m:t>t</m:t>
              </m:r>
            </m:e>
          </m:d>
          <m:r>
            <m:t>+</m:t>
          </m:r>
          <m:sSubSup>
            <m:sSubSupPr>
              <m:ctrlPr>
                <w:rPr>
                  <w:i/>
                </w:rPr>
              </m:ctrlPr>
            </m:sSubSupPr>
            <m:e>
              <m:r>
                <m:rPr>
                  <m:scr m:val="script"/>
                </m:rPr>
                <m:t>l</m:t>
              </m:r>
            </m:e>
            <m:sub>
              <m:r>
                <m:t>p</m:t>
              </m:r>
            </m:sub>
            <m:sup>
              <m:r>
                <m:t>c=7</m:t>
              </m:r>
            </m:sup>
          </m:sSubSup>
          <m:d>
            <m:dPr>
              <m:ctrlPr>
                <w:rPr>
                  <w:i/>
                </w:rPr>
              </m:ctrlPr>
            </m:dPr>
            <m:e>
              <m:r>
                <m:t>t</m:t>
              </m:r>
            </m:e>
          </m:d>
          <m:sSubSup>
            <m:sSubSupPr>
              <m:ctrlPr>
                <w:rPr>
                  <w:i/>
                </w:rPr>
              </m:ctrlPr>
            </m:sSubSupPr>
            <m:e>
              <m:r>
                <m:t>X</m:t>
              </m:r>
            </m:e>
            <m:sub>
              <m:r>
                <m:t>p</m:t>
              </m:r>
            </m:sub>
            <m:sup>
              <m:r>
                <m:t>c=7</m:t>
              </m:r>
            </m:sup>
          </m:sSubSup>
          <m:d>
            <m:dPr>
              <m:ctrlPr>
                <w:rPr>
                  <w:i/>
                </w:rPr>
              </m:ctrlPr>
            </m:dPr>
            <m:e>
              <m:r>
                <m:t>t</m:t>
              </m:r>
            </m:e>
          </m:d>
          <m:r>
            <m:t xml:space="preserve"> </m:t>
          </m:r>
          <m:r>
            <m:rPr>
              <m:sty m:val="p"/>
            </m:rPr>
            <w:br/>
          </m:r>
        </m:oMath>
      </m:oMathPara>
      <w:r w:rsidR="000F0E6D" w:rsidRPr="00C00335">
        <w:tab/>
      </w:r>
      <m:oMath>
        <m:r>
          <m:t>+</m:t>
        </m:r>
        <m:d>
          <m:dPr>
            <m:begChr m:val="["/>
            <m:endChr m:val="]"/>
            <m:ctrlPr>
              <w:rPr>
                <w:i/>
              </w:rPr>
            </m:ctrlPr>
          </m:dPr>
          <m:e>
            <m:sSub>
              <m:sSubPr>
                <m:ctrlPr>
                  <w:rPr>
                    <w:i/>
                  </w:rPr>
                </m:ctrlPr>
              </m:sSubPr>
              <m:e>
                <m:r>
                  <m:t>ε</m:t>
                </m:r>
              </m:e>
              <m:sub>
                <m:r>
                  <m:t>p</m:t>
                </m:r>
              </m:sub>
            </m:sSub>
            <m:d>
              <m:dPr>
                <m:ctrlPr>
                  <w:rPr>
                    <w:i/>
                  </w:rPr>
                </m:ctrlPr>
              </m:dPr>
              <m:e>
                <m:r>
                  <m:t>t</m:t>
                </m:r>
              </m:e>
            </m:d>
          </m:e>
        </m:d>
        <m:sSubSup>
          <m:sSubSupPr>
            <m:ctrlPr>
              <w:rPr>
                <w:i/>
              </w:rPr>
            </m:ctrlPr>
          </m:sSubSupPr>
          <m:e>
            <m:r>
              <m:t>X</m:t>
            </m:r>
          </m:e>
          <m:sub>
            <m:r>
              <m:t>p</m:t>
            </m:r>
          </m:sub>
          <m:sup>
            <m:r>
              <m:t>c=9</m:t>
            </m:r>
          </m:sup>
        </m:sSubSup>
        <m:d>
          <m:dPr>
            <m:ctrlPr>
              <w:rPr>
                <w:i/>
              </w:rPr>
            </m:ctrlPr>
          </m:dPr>
          <m:e>
            <m:r>
              <m:t>t</m:t>
            </m:r>
          </m:e>
        </m:d>
        <m:r>
          <m:t>-</m:t>
        </m:r>
        <m:d>
          <m:dPr>
            <m:begChr m:val="["/>
            <m:endChr m:val="]"/>
            <m:ctrlPr>
              <w:rPr>
                <w:i/>
              </w:rPr>
            </m:ctrlPr>
          </m:dPr>
          <m:e>
            <m:sSub>
              <m:sSubPr>
                <m:ctrlPr>
                  <w:rPr>
                    <w:i/>
                  </w:rPr>
                </m:ctrlPr>
              </m:sSubPr>
              <m:e>
                <m:r>
                  <m:t>e</m:t>
                </m:r>
              </m:e>
              <m:sub>
                <m:r>
                  <m:t>p</m:t>
                </m:r>
              </m:sub>
            </m:sSub>
            <m:d>
              <m:dPr>
                <m:ctrlPr>
                  <w:rPr>
                    <w:i/>
                  </w:rPr>
                </m:ctrlPr>
              </m:dPr>
              <m:e>
                <m:r>
                  <m:t>t</m:t>
                </m:r>
              </m:e>
            </m:d>
            <m:r>
              <m:t>+</m:t>
            </m:r>
            <m:sSubSup>
              <m:sSubSupPr>
                <m:ctrlPr>
                  <w:rPr>
                    <w:i/>
                  </w:rPr>
                </m:ctrlPr>
              </m:sSubSupPr>
              <m:e>
                <m:r>
                  <m:t>γ</m:t>
                </m:r>
              </m:e>
              <m:sub>
                <m:r>
                  <m:t>p</m:t>
                </m:r>
              </m:sub>
              <m:sup>
                <m:r>
                  <m:t>c=8</m:t>
                </m:r>
              </m:sup>
            </m:sSubSup>
            <m:d>
              <m:dPr>
                <m:ctrlPr>
                  <w:rPr>
                    <w:i/>
                  </w:rPr>
                </m:ctrlPr>
              </m:dPr>
              <m:e>
                <m:r>
                  <m:t>t</m:t>
                </m:r>
              </m:e>
            </m:d>
            <m:r>
              <m:t>+</m:t>
            </m:r>
            <m:sSubSup>
              <m:sSubSupPr>
                <m:ctrlPr>
                  <w:rPr>
                    <w:i/>
                  </w:rPr>
                </m:ctrlPr>
              </m:sSubSupPr>
              <m:e>
                <m:r>
                  <m:t>ω</m:t>
                </m:r>
              </m:e>
              <m:sub>
                <m:r>
                  <m:t>p</m:t>
                </m:r>
              </m:sub>
              <m:sup>
                <m:r>
                  <m:t>c=8</m:t>
                </m:r>
              </m:sup>
            </m:sSubSup>
            <m:r>
              <m:t>+</m:t>
            </m:r>
            <m:r>
              <m:rPr>
                <m:sty m:val="p"/>
              </m:rPr>
              <w:rPr>
                <w:position w:val="-14"/>
              </w:rPr>
              <w:object w:dxaOrig="720" w:dyaOrig="400" w14:anchorId="77A5A404">
                <v:shape id="_x0000_i1065" type="#_x0000_t75" style="width:36pt;height:22.5pt" o:ole="">
                  <v:imagedata r:id="rId113" o:title=""/>
                </v:shape>
                <o:OLEObject Type="Embed" ProgID="Equation.3" ShapeID="_x0000_i1065" DrawAspect="Content" ObjectID="_1700043751" r:id="rId114"/>
              </w:object>
            </m:r>
            <m:r>
              <m:t>+</m:t>
            </m:r>
            <m:sSubSup>
              <m:sSubSupPr>
                <m:ctrlPr>
                  <w:rPr>
                    <w:i/>
                  </w:rPr>
                </m:ctrlPr>
              </m:sSubSupPr>
              <m:e>
                <m:r>
                  <m:t>δ</m:t>
                </m:r>
              </m:e>
              <m:sub>
                <m:r>
                  <m:t>p</m:t>
                </m:r>
              </m:sub>
              <m:sup>
                <m:r>
                  <m:t>-</m:t>
                </m:r>
              </m:sup>
            </m:sSubSup>
          </m:e>
        </m:d>
        <m:sSubSup>
          <m:sSubSupPr>
            <m:ctrlPr>
              <w:rPr>
                <w:i/>
              </w:rPr>
            </m:ctrlPr>
          </m:sSubSupPr>
          <m:e>
            <m:r>
              <m:t>X</m:t>
            </m:r>
          </m:e>
          <m:sub>
            <m:r>
              <m:t>p</m:t>
            </m:r>
          </m:sub>
          <m:sup>
            <m:r>
              <m:t>c=8</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c=8</m:t>
            </m:r>
          </m:sup>
        </m:sSubSup>
        <m:r>
          <m:t>(t)</m:t>
        </m:r>
      </m:oMath>
      <w:r w:rsidR="000F0E6D" w:rsidRPr="00C00335">
        <w:tab/>
        <w:t>(7.8)</w:t>
      </w:r>
    </w:p>
    <w:p w14:paraId="5AF52E66" w14:textId="35AA0100" w:rsidR="005D5BE6" w:rsidRPr="00C00335" w:rsidRDefault="00747E9D" w:rsidP="0056377C">
      <w:pPr>
        <w:pStyle w:val="equation"/>
        <w:tabs>
          <w:tab w:val="left" w:pos="360"/>
        </w:tabs>
        <w:spacing w:after="360"/>
        <w:jc w:val="both"/>
      </w:pPr>
      <m:oMathPara>
        <m:oMath>
          <m:f>
            <m:fPr>
              <m:ctrlPr>
                <w:rPr>
                  <w:i/>
                </w:rPr>
              </m:ctrlPr>
            </m:fPr>
            <m:num>
              <m:sSubSup>
                <m:sSubSupPr>
                  <m:ctrlPr>
                    <w:rPr>
                      <w:i/>
                    </w:rPr>
                  </m:ctrlPr>
                </m:sSubSupPr>
                <m:e>
                  <m:r>
                    <m:t>dX</m:t>
                  </m:r>
                </m:e>
                <m:sub>
                  <m:r>
                    <m:t>p</m:t>
                  </m:r>
                </m:sub>
                <m:sup>
                  <m:r>
                    <m:t>c=9</m:t>
                  </m:r>
                </m:sup>
              </m:sSubSup>
              <m:d>
                <m:dPr>
                  <m:ctrlPr>
                    <w:rPr>
                      <w:i/>
                    </w:rPr>
                  </m:ctrlPr>
                </m:dPr>
                <m:e>
                  <m:r>
                    <m:t>t</m:t>
                  </m:r>
                </m:e>
              </m:d>
            </m:num>
            <m:den>
              <m:r>
                <m:t>dt</m:t>
              </m:r>
            </m:den>
          </m:f>
          <m:r>
            <m:t>=</m:t>
          </m:r>
          <m:d>
            <m:dPr>
              <m:begChr m:val="["/>
              <m:endChr m:val="]"/>
              <m:ctrlPr>
                <w:rPr>
                  <w:i/>
                </w:rPr>
              </m:ctrlPr>
            </m:dPr>
            <m:e>
              <m:r>
                <m:t>1-u</m:t>
              </m:r>
            </m:e>
          </m:d>
          <m:d>
            <m:dPr>
              <m:begChr m:val="["/>
              <m:endChr m:val="]"/>
              <m:ctrlPr>
                <w:rPr>
                  <w:i/>
                </w:rPr>
              </m:ctrlPr>
            </m:dPr>
            <m:e>
              <m:sSubSup>
                <m:sSubSupPr>
                  <m:ctrlPr>
                    <w:rPr>
                      <w:i/>
                    </w:rPr>
                  </m:ctrlPr>
                </m:sSubSupPr>
                <m:e>
                  <m:r>
                    <m:t>γ</m:t>
                  </m:r>
                </m:e>
                <m:sub>
                  <m:r>
                    <m:t>p</m:t>
                  </m:r>
                </m:sub>
                <m:sup>
                  <m:r>
                    <m:t>c=5</m:t>
                  </m:r>
                </m:sup>
              </m:sSubSup>
              <m:d>
                <m:dPr>
                  <m:ctrlPr>
                    <w:rPr>
                      <w:i/>
                    </w:rPr>
                  </m:ctrlPr>
                </m:dPr>
                <m:e>
                  <m:r>
                    <m:t>t</m:t>
                  </m:r>
                </m:e>
              </m:d>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r>
                <m:t>1-u</m:t>
              </m:r>
            </m:e>
          </m:d>
          <m:d>
            <m:dPr>
              <m:begChr m:val="["/>
              <m:endChr m:val="]"/>
              <m:ctrlPr>
                <w:rPr>
                  <w:i/>
                </w:rPr>
              </m:ctrlPr>
            </m:dPr>
            <m:e>
              <m:sSubSup>
                <m:sSubSupPr>
                  <m:ctrlPr>
                    <w:rPr>
                      <w:i/>
                    </w:rPr>
                  </m:ctrlPr>
                </m:sSubSupPr>
                <m:e>
                  <m:r>
                    <m:t>γ</m:t>
                  </m:r>
                </m:e>
                <m:sub>
                  <m:r>
                    <m:t>p</m:t>
                  </m:r>
                </m:sub>
                <m:sup>
                  <m:r>
                    <m:t>c=8</m:t>
                  </m:r>
                </m:sup>
              </m:sSubSup>
              <m:d>
                <m:dPr>
                  <m:ctrlPr>
                    <w:rPr>
                      <w:i/>
                    </w:rPr>
                  </m:ctrlPr>
                </m:dPr>
                <m:e>
                  <m:r>
                    <m:t>t</m:t>
                  </m:r>
                </m:e>
              </m:d>
            </m:e>
          </m:d>
          <m:sSubSup>
            <m:sSubSupPr>
              <m:ctrlPr>
                <w:rPr>
                  <w:i/>
                </w:rPr>
              </m:ctrlPr>
            </m:sSubSupPr>
            <m:e>
              <m:r>
                <m:t>X</m:t>
              </m:r>
            </m:e>
            <m:sub>
              <m:r>
                <m:t>p</m:t>
              </m:r>
            </m:sub>
            <m:sup>
              <m:r>
                <m:t>c=8</m:t>
              </m:r>
            </m:sup>
          </m:sSubSup>
          <m:d>
            <m:dPr>
              <m:ctrlPr>
                <w:rPr>
                  <w:i/>
                </w:rPr>
              </m:ctrlPr>
            </m:dPr>
            <m:e>
              <m:r>
                <m:t>t</m:t>
              </m:r>
            </m:e>
          </m:d>
          <m:r>
            <m:t>+</m:t>
          </m:r>
          <m:d>
            <m:dPr>
              <m:begChr m:val="["/>
              <m:endChr m:val="]"/>
              <m:ctrlPr>
                <w:rPr>
                  <w:i/>
                </w:rPr>
              </m:ctrlPr>
            </m:dPr>
            <m:e>
              <m:sSub>
                <m:sSubPr>
                  <m:ctrlPr>
                    <w:rPr>
                      <w:i/>
                    </w:rPr>
                  </m:ctrlPr>
                </m:sSubPr>
                <m:e>
                  <m:r>
                    <m:t>η</m:t>
                  </m:r>
                </m:e>
                <m:sub>
                  <m:r>
                    <m:t>p</m:t>
                  </m:r>
                </m:sub>
              </m:sSub>
              <m:d>
                <m:dPr>
                  <m:ctrlPr>
                    <w:rPr>
                      <w:i/>
                    </w:rPr>
                  </m:ctrlPr>
                </m:dPr>
                <m:e>
                  <m:r>
                    <m:t>t</m:t>
                  </m:r>
                </m:e>
              </m:d>
            </m:e>
          </m:d>
          <m:sSubSup>
            <m:sSubSupPr>
              <m:ctrlPr>
                <w:rPr>
                  <w:i/>
                </w:rPr>
              </m:ctrlPr>
            </m:sSubSupPr>
            <m:e>
              <m:r>
                <m:t>X</m:t>
              </m:r>
            </m:e>
            <m:sub>
              <m:r>
                <m:t>p</m:t>
              </m:r>
            </m:sub>
            <m:sup>
              <m:r>
                <m:t>c=10</m:t>
              </m:r>
            </m:sup>
          </m:sSubSup>
          <m:d>
            <m:dPr>
              <m:ctrlPr>
                <w:rPr>
                  <w:i/>
                </w:rPr>
              </m:ctrlPr>
            </m:dPr>
            <m:e>
              <m:r>
                <m:t>t</m:t>
              </m:r>
            </m:e>
          </m:d>
          <m:r>
            <m:rPr>
              <m:sty m:val="p"/>
            </m:rPr>
            <w:br/>
          </m:r>
        </m:oMath>
      </m:oMathPara>
      <w:r w:rsidR="009C25E0" w:rsidRPr="00C00335">
        <w:tab/>
      </w:r>
      <w:r w:rsidR="00DB0635" w:rsidRPr="00C00335">
        <w:tab/>
      </w:r>
      <m:oMath>
        <m:r>
          <m:t>-</m:t>
        </m:r>
        <m:d>
          <m:dPr>
            <m:begChr m:val="["/>
            <m:endChr m:val="]"/>
            <m:ctrlPr>
              <w:rPr>
                <w:i/>
              </w:rPr>
            </m:ctrlPr>
          </m:dPr>
          <m:e>
            <m:d>
              <m:dPr>
                <m:ctrlPr>
                  <w:rPr>
                    <w:i/>
                  </w:rPr>
                </m:ctrlPr>
              </m:dPr>
              <m:e>
                <m:sSub>
                  <m:sSubPr>
                    <m:ctrlPr>
                      <w:rPr>
                        <w:i/>
                      </w:rPr>
                    </m:ctrlPr>
                  </m:sSubPr>
                  <m:e>
                    <m:r>
                      <m:t>ε</m:t>
                    </m:r>
                  </m:e>
                  <m:sub>
                    <m:r>
                      <m:t>p</m:t>
                    </m:r>
                  </m:sub>
                </m:sSub>
                <m:d>
                  <m:dPr>
                    <m:ctrlPr/>
                  </m:dPr>
                  <m:e>
                    <m:r>
                      <m:rPr>
                        <m:sty m:val="p"/>
                      </m:rPr>
                      <m:t>t</m:t>
                    </m:r>
                  </m:e>
                </m:d>
              </m:e>
            </m:d>
            <m:r>
              <m:rPr>
                <m:sty m:val="p"/>
              </m:rPr>
              <m:t>+</m:t>
            </m:r>
            <m:d>
              <m:dPr>
                <m:ctrlPr>
                  <w:rPr>
                    <w:i/>
                  </w:rPr>
                </m:ctrlPr>
              </m:dPr>
              <m:e>
                <m:sSub>
                  <m:sSubPr>
                    <m:ctrlPr>
                      <w:rPr>
                        <w:i/>
                      </w:rPr>
                    </m:ctrlPr>
                  </m:sSubPr>
                  <m:e>
                    <m:r>
                      <m:t>ζ</m:t>
                    </m:r>
                  </m:e>
                  <m:sub>
                    <m:r>
                      <m:t>p</m:t>
                    </m:r>
                  </m:sub>
                </m:sSub>
                <m:d>
                  <m:dPr>
                    <m:ctrlPr>
                      <w:rPr>
                        <w:i/>
                      </w:rPr>
                    </m:ctrlPr>
                  </m:dPr>
                  <m:e>
                    <m:r>
                      <m:t>t</m:t>
                    </m:r>
                  </m:e>
                </m:d>
              </m:e>
            </m:d>
            <m:r>
              <m:rPr>
                <m:sty m:val="p"/>
              </m:rPr>
              <m:t>+</m:t>
            </m:r>
            <m:sSubSup>
              <m:sSubSupPr>
                <m:ctrlPr>
                  <w:rPr>
                    <w:i/>
                  </w:rPr>
                </m:ctrlPr>
              </m:sSubSupPr>
              <m:e>
                <m:r>
                  <m:t>H</m:t>
                </m:r>
              </m:e>
              <m:sub>
                <m:r>
                  <m:t>p</m:t>
                </m:r>
              </m:sub>
              <m:sup>
                <m:r>
                  <m:t>c=9</m:t>
                </m:r>
              </m:sup>
            </m:sSubSup>
            <m:r>
              <m:rPr>
                <m:sty m:val="p"/>
              </m:rPr>
              <m:t>+</m:t>
            </m:r>
            <m:sSubSup>
              <m:sSubSupPr>
                <m:ctrlPr/>
              </m:sSubSupPr>
              <m:e>
                <m:r>
                  <m:t>σ</m:t>
                </m:r>
              </m:e>
              <m:sub>
                <m:r>
                  <m:t>p</m:t>
                </m:r>
              </m:sub>
              <m:sup>
                <m:r>
                  <m:t>c=9</m:t>
                </m:r>
              </m:sup>
            </m:sSubSup>
            <m:d>
              <m:dPr>
                <m:ctrlPr/>
              </m:dPr>
              <m:e>
                <m:r>
                  <m:rPr>
                    <m:sty m:val="p"/>
                  </m:rPr>
                  <m:t>t</m:t>
                </m:r>
              </m:e>
            </m:d>
            <m:r>
              <m:rPr>
                <m:sty m:val="p"/>
              </m:rPr>
              <m:t>+</m:t>
            </m:r>
            <m:sSubSup>
              <m:sSubSupPr>
                <m:ctrlPr/>
              </m:sSubSupPr>
              <m:e>
                <m:r>
                  <m:t>δ</m:t>
                </m:r>
              </m:e>
              <m:sub>
                <m:r>
                  <m:t>p</m:t>
                </m:r>
              </m:sub>
              <m:sup>
                <m:r>
                  <m:t>-</m:t>
                </m:r>
              </m:sup>
            </m:sSubSup>
          </m:e>
        </m:d>
        <m:sSubSup>
          <m:sSubSupPr>
            <m:ctrlPr/>
          </m:sSubSupPr>
          <m:e>
            <m:r>
              <m:t>X</m:t>
            </m:r>
          </m:e>
          <m:sub>
            <m:r>
              <m:t>p</m:t>
            </m:r>
          </m:sub>
          <m:sup>
            <m:r>
              <m:t>c=9</m:t>
            </m:r>
          </m:sup>
        </m:sSubSup>
        <m:d>
          <m:dPr>
            <m:ctrlPr/>
          </m:dPr>
          <m:e>
            <m:r>
              <m:rPr>
                <m:sty m:val="p"/>
              </m:rPr>
              <m:t>t</m:t>
            </m:r>
          </m:e>
        </m:d>
        <m:r>
          <m:rPr>
            <m:sty m:val="p"/>
          </m:rPr>
          <m:t>+</m:t>
        </m:r>
        <m:d>
          <m:dPr>
            <m:begChr m:val="["/>
            <m:endChr m:val="]"/>
            <m:ctrlPr/>
          </m:dPr>
          <m:e>
            <m:sSubSup>
              <m:sSubSupPr>
                <m:ctrlPr/>
              </m:sSubSupPr>
              <m:e>
                <m:r>
                  <m:t>δ</m:t>
                </m:r>
              </m:e>
              <m:sub>
                <m:r>
                  <m:t>p</m:t>
                </m:r>
              </m:sub>
              <m:sup>
                <m:r>
                  <m:t>+</m:t>
                </m:r>
              </m:sup>
            </m:sSubSup>
          </m:e>
        </m:d>
        <m:sSubSup>
          <m:sSubSupPr>
            <m:ctrlPr/>
          </m:sSubSupPr>
          <m:e>
            <m:r>
              <m:t>X</m:t>
            </m:r>
          </m:e>
          <m:sub>
            <m:r>
              <m:t>p-1</m:t>
            </m:r>
          </m:sub>
          <m:sup>
            <m:r>
              <m:t>c=9</m:t>
            </m:r>
          </m:sup>
        </m:sSubSup>
        <m:r>
          <m:rPr>
            <m:sty m:val="p"/>
          </m:rPr>
          <m:t>(t)</m:t>
        </m:r>
      </m:oMath>
      <w:r w:rsidR="00143653" w:rsidRPr="00C00335">
        <w:tab/>
        <w:t>(7.9)</w:t>
      </w:r>
    </w:p>
    <w:p w14:paraId="4CBB3807" w14:textId="55F538F0" w:rsidR="00143653" w:rsidRPr="00C00335" w:rsidRDefault="0056377C" w:rsidP="0056377C">
      <w:pPr>
        <w:pStyle w:val="equation"/>
        <w:spacing w:after="360"/>
        <w:jc w:val="both"/>
      </w:pPr>
      <w:r w:rsidRPr="00C00335">
        <w:tab/>
      </w:r>
      <m:oMath>
        <m:f>
          <m:fPr>
            <m:ctrlPr>
              <w:rPr>
                <w:i/>
              </w:rPr>
            </m:ctrlPr>
          </m:fPr>
          <m:num>
            <m:sSubSup>
              <m:sSubSupPr>
                <m:ctrlPr>
                  <w:rPr>
                    <w:i/>
                  </w:rPr>
                </m:ctrlPr>
              </m:sSubSupPr>
              <m:e>
                <m:r>
                  <m:t>dX</m:t>
                </m:r>
              </m:e>
              <m:sub>
                <m:r>
                  <m:t>p</m:t>
                </m:r>
              </m:sub>
              <m:sup>
                <m:r>
                  <m:t>c=10</m:t>
                </m:r>
              </m:sup>
            </m:sSubSup>
            <m:d>
              <m:dPr>
                <m:ctrlPr>
                  <w:rPr>
                    <w:i/>
                  </w:rPr>
                </m:ctrlPr>
              </m:dPr>
              <m:e>
                <m:r>
                  <m:t>t</m:t>
                </m:r>
              </m:e>
            </m:d>
          </m:num>
          <m:den>
            <m:r>
              <m:t>dt</m:t>
            </m:r>
          </m:den>
        </m:f>
        <m:r>
          <m:t>=</m:t>
        </m:r>
        <m:d>
          <m:dPr>
            <m:begChr m:val="["/>
            <m:endChr m:val="]"/>
            <m:ctrlPr>
              <w:rPr>
                <w:i/>
              </w:rPr>
            </m:ctrlPr>
          </m:dPr>
          <m:e>
            <m:r>
              <m:t>u</m:t>
            </m:r>
          </m:e>
        </m:d>
        <m:d>
          <m:dPr>
            <m:begChr m:val="["/>
            <m:endChr m:val="]"/>
            <m:ctrlPr>
              <w:rPr>
                <w:i/>
              </w:rPr>
            </m:ctrlPr>
          </m:dPr>
          <m:e>
            <m:sSubSup>
              <m:sSubSupPr>
                <m:ctrlPr>
                  <w:rPr>
                    <w:i/>
                  </w:rPr>
                </m:ctrlPr>
              </m:sSubSupPr>
              <m:e>
                <m:r>
                  <m:t>γ</m:t>
                </m:r>
              </m:e>
              <m:sub>
                <m:r>
                  <m:t>p</m:t>
                </m:r>
              </m:sub>
              <m:sup>
                <m:r>
                  <m:t>c=5</m:t>
                </m:r>
              </m:sup>
            </m:sSubSup>
            <m:d>
              <m:dPr>
                <m:ctrlPr>
                  <w:rPr>
                    <w:i/>
                  </w:rPr>
                </m:ctrlPr>
              </m:dPr>
              <m:e>
                <m:r>
                  <m:t>t</m:t>
                </m:r>
              </m:e>
            </m:d>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r>
              <m:t>u</m:t>
            </m:r>
          </m:e>
        </m:d>
        <m:d>
          <m:dPr>
            <m:begChr m:val="["/>
            <m:endChr m:val="]"/>
            <m:ctrlPr>
              <w:rPr>
                <w:i/>
              </w:rPr>
            </m:ctrlPr>
          </m:dPr>
          <m:e>
            <m:sSubSup>
              <m:sSubSupPr>
                <m:ctrlPr>
                  <w:rPr>
                    <w:i/>
                  </w:rPr>
                </m:ctrlPr>
              </m:sSubSupPr>
              <m:e>
                <m:r>
                  <m:t>γ</m:t>
                </m:r>
              </m:e>
              <m:sub>
                <m:r>
                  <m:t>p</m:t>
                </m:r>
              </m:sub>
              <m:sup>
                <m:r>
                  <m:t>c=8</m:t>
                </m:r>
              </m:sup>
            </m:sSubSup>
            <m:d>
              <m:dPr>
                <m:ctrlPr>
                  <w:rPr>
                    <w:i/>
                  </w:rPr>
                </m:ctrlPr>
              </m:dPr>
              <m:e>
                <m:r>
                  <m:t>t</m:t>
                </m:r>
              </m:e>
            </m:d>
          </m:e>
        </m:d>
        <m:sSubSup>
          <m:sSubSupPr>
            <m:ctrlPr>
              <w:rPr>
                <w:i/>
              </w:rPr>
            </m:ctrlPr>
          </m:sSubSupPr>
          <m:e>
            <m:r>
              <m:t>X</m:t>
            </m:r>
          </m:e>
          <m:sub>
            <m:r>
              <m:t>p</m:t>
            </m:r>
          </m:sub>
          <m:sup>
            <m:r>
              <m:t>c=8</m:t>
            </m:r>
          </m:sup>
        </m:sSubSup>
        <m:d>
          <m:dPr>
            <m:ctrlPr>
              <w:rPr>
                <w:i/>
              </w:rPr>
            </m:ctrlPr>
          </m:dPr>
          <m:e>
            <m:r>
              <m:t>t</m:t>
            </m:r>
          </m:e>
        </m:d>
        <m:r>
          <m:rPr>
            <m:sty m:val="p"/>
          </m:rPr>
          <w:br/>
        </m:r>
      </m:oMath>
      <w:r w:rsidRPr="00C00335">
        <w:tab/>
      </w:r>
      <m:oMath>
        <m:r>
          <m:t>+</m:t>
        </m:r>
        <m:d>
          <m:dPr>
            <m:begChr m:val="["/>
            <m:endChr m:val="]"/>
            <m:ctrlPr>
              <w:rPr>
                <w:i/>
              </w:rPr>
            </m:ctrlPr>
          </m:dPr>
          <m:e>
            <m:d>
              <m:dPr>
                <m:ctrlPr>
                  <w:rPr>
                    <w:i/>
                  </w:rPr>
                </m:ctrlPr>
              </m:dPr>
              <m:e>
                <m:sSub>
                  <m:sSubPr>
                    <m:ctrlPr>
                      <w:rPr>
                        <w:i/>
                      </w:rPr>
                    </m:ctrlPr>
                  </m:sSubPr>
                  <m:e>
                    <m:r>
                      <m:t>ζ</m:t>
                    </m:r>
                  </m:e>
                  <m:sub>
                    <m:r>
                      <m:t>p</m:t>
                    </m:r>
                  </m:sub>
                </m:sSub>
                <m:d>
                  <m:dPr>
                    <m:ctrlPr>
                      <w:rPr>
                        <w:i/>
                      </w:rPr>
                    </m:ctrlPr>
                  </m:dPr>
                  <m:e>
                    <m:r>
                      <m:t>t</m:t>
                    </m:r>
                  </m:e>
                </m:d>
              </m:e>
            </m:d>
          </m:e>
        </m:d>
        <m:sSubSup>
          <m:sSubSupPr>
            <m:ctrlPr>
              <w:rPr>
                <w:i/>
              </w:rPr>
            </m:ctrlPr>
          </m:sSubSupPr>
          <m:e>
            <m:r>
              <m:t>X</m:t>
            </m:r>
          </m:e>
          <m:sub>
            <m:r>
              <m:t>p</m:t>
            </m:r>
          </m:sub>
          <m:sup>
            <m:r>
              <m:t>c=9</m:t>
            </m:r>
          </m:sup>
        </m:sSubSup>
        <m:d>
          <m:dPr>
            <m:ctrlPr>
              <w:rPr>
                <w:i/>
              </w:rPr>
            </m:ctrlPr>
          </m:dPr>
          <m:e>
            <m:r>
              <m:t>t</m:t>
            </m:r>
          </m:e>
        </m:d>
        <m:r>
          <m:t>+</m:t>
        </m:r>
        <m:d>
          <m:dPr>
            <m:begChr m:val="["/>
            <m:endChr m:val="]"/>
            <m:ctrlPr>
              <w:rPr>
                <w:i/>
              </w:rPr>
            </m:ctrlPr>
          </m:dPr>
          <m:e>
            <m:sSubSup>
              <m:sSubSupPr>
                <m:ctrlPr>
                  <w:rPr>
                    <w:i/>
                  </w:rPr>
                </m:ctrlPr>
              </m:sSubSupPr>
              <m:e>
                <m:r>
                  <m:t>ϑ</m:t>
                </m:r>
              </m:e>
              <m:sub>
                <m:r>
                  <m:t>p</m:t>
                </m:r>
              </m:sub>
              <m:sup>
                <m:r>
                  <m:t>c=15</m:t>
                </m:r>
              </m:sup>
            </m:sSubSup>
          </m:e>
        </m:d>
        <m:sSubSup>
          <m:sSubSupPr>
            <m:ctrlPr>
              <w:rPr>
                <w:i/>
              </w:rPr>
            </m:ctrlPr>
          </m:sSubSupPr>
          <m:e>
            <m:r>
              <m:t>X</m:t>
            </m:r>
          </m:e>
          <m:sub>
            <m:r>
              <m:t>p</m:t>
            </m:r>
          </m:sub>
          <m:sup>
            <m:r>
              <m:t>c=15</m:t>
            </m:r>
          </m:sup>
        </m:sSubSup>
        <m:d>
          <m:dPr>
            <m:ctrlPr>
              <w:rPr>
                <w:i/>
              </w:rPr>
            </m:ctrlPr>
          </m:dPr>
          <m:e>
            <m:r>
              <m:t>t</m:t>
            </m:r>
          </m:e>
        </m:d>
        <m:r>
          <m:rPr>
            <m:sty m:val="p"/>
          </m:rPr>
          <w:br/>
        </m:r>
      </m:oMath>
      <w:r w:rsidR="00F31CBE" w:rsidRPr="00C00335">
        <w:tab/>
      </w:r>
      <m:oMath>
        <m:r>
          <m:t>-</m:t>
        </m:r>
        <m:d>
          <m:dPr>
            <m:begChr m:val="["/>
            <m:endChr m:val="]"/>
            <m:ctrlPr>
              <w:rPr>
                <w:i/>
              </w:rPr>
            </m:ctrlPr>
          </m:dPr>
          <m:e>
            <m:sSup>
              <m:sSupPr>
                <m:ctrlPr>
                  <w:rPr>
                    <w:i/>
                  </w:rPr>
                </m:ctrlPr>
              </m:sSupPr>
              <m:e>
                <m:r>
                  <m:t>B</m:t>
                </m:r>
              </m:e>
              <m:sup>
                <m:r>
                  <m:t>c=10</m:t>
                </m:r>
              </m:sup>
            </m:sSup>
            <m:r>
              <m:t>+</m:t>
            </m:r>
            <m:sSub>
              <m:sSubPr>
                <m:ctrlPr>
                  <w:rPr>
                    <w:i/>
                  </w:rPr>
                </m:ctrlPr>
              </m:sSubPr>
              <m:e>
                <m:r>
                  <m:t>η</m:t>
                </m:r>
              </m:e>
              <m:sub>
                <m:r>
                  <m:t>p</m:t>
                </m:r>
              </m:sub>
            </m:sSub>
            <m:d>
              <m:dPr>
                <m:ctrlPr>
                  <w:rPr>
                    <w:i/>
                  </w:rPr>
                </m:ctrlPr>
              </m:dPr>
              <m:e>
                <m:r>
                  <m:t>t</m:t>
                </m:r>
              </m:e>
            </m:d>
            <m:r>
              <m:t>+</m:t>
            </m:r>
            <m:sSubSup>
              <m:sSubSupPr>
                <m:ctrlPr>
                  <w:rPr>
                    <w:i/>
                  </w:rPr>
                </m:ctrlPr>
              </m:sSubSupPr>
              <m:e>
                <m:r>
                  <m:t>σ</m:t>
                </m:r>
              </m:e>
              <m:sub>
                <m:r>
                  <m:t>p</m:t>
                </m:r>
              </m:sub>
              <m:sup>
                <m:r>
                  <m:t>c=10</m:t>
                </m:r>
              </m:sup>
            </m:sSubSup>
            <m:d>
              <m:dPr>
                <m:ctrlPr>
                  <w:rPr>
                    <w:i/>
                  </w:rPr>
                </m:ctrlPr>
              </m:dPr>
              <m:e>
                <m:r>
                  <m:t>t</m:t>
                </m:r>
              </m:e>
            </m:d>
            <m:r>
              <m:t>+</m:t>
            </m:r>
            <m:sSubSup>
              <m:sSubSupPr>
                <m:ctrlPr>
                  <w:rPr>
                    <w:i/>
                  </w:rPr>
                </m:ctrlPr>
              </m:sSubSupPr>
              <m:e>
                <m:r>
                  <m:t>δ</m:t>
                </m:r>
              </m:e>
              <m:sub>
                <m:r>
                  <m:t>p</m:t>
                </m:r>
              </m:sub>
              <m:sup>
                <m:r>
                  <m:t>-</m:t>
                </m:r>
              </m:sup>
            </m:sSubSup>
          </m:e>
        </m:d>
        <m:sSubSup>
          <m:sSubSupPr>
            <m:ctrlPr>
              <w:rPr>
                <w:i/>
              </w:rPr>
            </m:ctrlPr>
          </m:sSubSupPr>
          <m:e>
            <m:r>
              <m:t>X</m:t>
            </m:r>
          </m:e>
          <m:sub>
            <m:r>
              <m:t>p</m:t>
            </m:r>
          </m:sub>
          <m:sup>
            <m:r>
              <m:t>c=10</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c=10</m:t>
            </m:r>
          </m:sup>
        </m:sSubSup>
        <m:r>
          <m:t>(t)</m:t>
        </m:r>
      </m:oMath>
      <w:r w:rsidR="00F31CBE" w:rsidRPr="00C00335">
        <w:tab/>
        <w:t>(7.10)</w:t>
      </w:r>
    </w:p>
    <w:p w14:paraId="5B97EC30" w14:textId="29CB972B" w:rsidR="00336761" w:rsidRPr="00C00335" w:rsidRDefault="003741C2" w:rsidP="00184438">
      <w:pPr>
        <w:pStyle w:val="equation"/>
        <w:keepNext/>
      </w:pPr>
      <w:r w:rsidRPr="00C00335">
        <w:rPr>
          <w:i/>
        </w:rPr>
        <w:t>Equations for CD4 200</w:t>
      </w:r>
      <w:r w:rsidR="00C320F6" w:rsidRPr="00C00335">
        <w:rPr>
          <w:i/>
        </w:rPr>
        <w:t>–</w:t>
      </w:r>
      <w:r w:rsidRPr="00C00335">
        <w:rPr>
          <w:i/>
        </w:rPr>
        <w:t xml:space="preserve">500 </w:t>
      </w:r>
      <w:r w:rsidR="00731B40" w:rsidRPr="00C00335">
        <w:rPr>
          <w:i/>
        </w:rPr>
        <w:t>(</w:t>
      </w:r>
      <w:r w:rsidRPr="00C00335">
        <w:rPr>
          <w:i/>
        </w:rPr>
        <w:t>h =3 or 4</w:t>
      </w:r>
      <w:r w:rsidR="00731B40" w:rsidRPr="00C00335">
        <w:rPr>
          <w:i/>
        </w:rPr>
        <w:t>):</w:t>
      </w:r>
      <w:r w:rsidR="00467D83" w:rsidRPr="00C00335">
        <w:rPr>
          <w:b/>
        </w:rPr>
        <w:tab/>
      </w:r>
      <w:r w:rsidR="00336761" w:rsidRPr="00C00335">
        <w:tab/>
      </w:r>
    </w:p>
    <w:p w14:paraId="1700ACDE" w14:textId="09F5EBA0" w:rsidR="00361ECB" w:rsidRPr="00C00335" w:rsidRDefault="00F31CBE" w:rsidP="00841835">
      <w:pPr>
        <w:pStyle w:val="equation"/>
        <w:keepNext/>
      </w:pPr>
      <w:r w:rsidRPr="00C00335">
        <w:tab/>
      </w:r>
      <m:oMath>
        <m:f>
          <m:fPr>
            <m:ctrlPr>
              <w:rPr>
                <w:i/>
              </w:rPr>
            </m:ctrlPr>
          </m:fPr>
          <m:num>
            <m:sSubSup>
              <m:sSubSupPr>
                <m:ctrlPr>
                  <w:rPr>
                    <w:i/>
                  </w:rPr>
                </m:ctrlPr>
              </m:sSubSupPr>
              <m:e>
                <m:r>
                  <m:t>dX</m:t>
                </m:r>
              </m:e>
              <m:sub>
                <m:r>
                  <m:t>p</m:t>
                </m:r>
              </m:sub>
              <m:sup>
                <m:r>
                  <m:t>c</m:t>
                </m:r>
              </m:sup>
            </m:sSubSup>
            <m:r>
              <m:t>(t)</m:t>
            </m:r>
          </m:num>
          <m:den>
            <m:r>
              <m:t>dt</m:t>
            </m:r>
          </m:den>
        </m:f>
        <m:r>
          <m:t>=</m:t>
        </m:r>
        <m:d>
          <m:dPr>
            <m:begChr m:val="["/>
            <m:endChr m:val="]"/>
            <m:ctrlPr>
              <w:rPr>
                <w:i/>
              </w:rPr>
            </m:ctrlPr>
          </m:dPr>
          <m:e>
            <m:sSubSup>
              <m:sSubSupPr>
                <m:ctrlPr>
                  <w:rPr>
                    <w:i/>
                  </w:rPr>
                </m:ctrlPr>
              </m:sSubSupPr>
              <m:e>
                <m:r>
                  <m:t>ω</m:t>
                </m:r>
              </m:e>
              <m:sub>
                <m:r>
                  <m:t>p</m:t>
                </m:r>
              </m:sub>
              <m:sup>
                <m:r>
                  <m:t>c-5</m:t>
                </m:r>
              </m:sup>
            </m:sSub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sSubSup>
              <m:sSubSupPr>
                <m:ctrlPr>
                  <w:rPr>
                    <w:i/>
                  </w:rPr>
                </m:ctrlPr>
              </m:sSubSupPr>
              <m:e>
                <m:r>
                  <m:t>ω</m:t>
                </m:r>
              </m:e>
              <m:sub>
                <m:r>
                  <m:t>p</m:t>
                </m:r>
              </m:sub>
              <m:sup>
                <m:r>
                  <m:t>c</m:t>
                </m:r>
              </m:sup>
            </m:sSubSup>
            <m:r>
              <m:t>+</m:t>
            </m:r>
            <m:sSubSup>
              <m:sSubSupPr>
                <m:ctrlPr>
                  <w:rPr>
                    <w:i/>
                  </w:rPr>
                </m:ctrlPr>
              </m:sSubSupPr>
              <m:e>
                <m:r>
                  <m:t>τ</m:t>
                </m:r>
              </m:e>
              <m:sub>
                <m:r>
                  <m:t>p</m:t>
                </m:r>
              </m:sub>
              <m:sup>
                <m:r>
                  <m:t>c</m:t>
                </m:r>
              </m:sup>
            </m:sSubSup>
            <m:d>
              <m:dPr>
                <m:ctrlPr>
                  <w:rPr>
                    <w:i/>
                  </w:rPr>
                </m:ctrlPr>
              </m:dPr>
              <m:e>
                <m:r>
                  <m:t>t</m:t>
                </m:r>
              </m:e>
            </m:d>
            <m:r>
              <m:t>+</m:t>
            </m:r>
            <m:r>
              <m:rPr>
                <m:sty m:val="p"/>
              </m:rPr>
              <w:rPr>
                <w:position w:val="-14"/>
              </w:rPr>
              <w:object w:dxaOrig="620" w:dyaOrig="420" w14:anchorId="4155391E">
                <v:shape id="_x0000_i1067" type="#_x0000_t75" style="width:28.5pt;height:22.5pt" o:ole="">
                  <v:imagedata r:id="rId93" o:title=""/>
                </v:shape>
                <o:OLEObject Type="Embed" ProgID="Equation.3" ShapeID="_x0000_i1067" DrawAspect="Content" ObjectID="_1700043752" r:id="rId115"/>
              </w:object>
            </m:r>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r>
          <m:t>(t)</m:t>
        </m:r>
      </m:oMath>
      <w:r w:rsidR="00841835">
        <w:br/>
      </w:r>
      <w:r w:rsidR="00952E82" w:rsidRPr="00C00335">
        <w:tab/>
      </w:r>
      <w:r w:rsidR="00336761" w:rsidRPr="00C00335">
        <w:t>for c = {</w:t>
      </w:r>
      <w:r w:rsidR="006C2165" w:rsidRPr="00C00335">
        <w:t>1</w:t>
      </w:r>
      <w:r w:rsidR="00361ECB" w:rsidRPr="00C00335">
        <w:t>1</w:t>
      </w:r>
      <w:r w:rsidR="006C2165" w:rsidRPr="00C00335">
        <w:t>, 1</w:t>
      </w:r>
      <w:r w:rsidR="00361ECB" w:rsidRPr="00C00335">
        <w:t>6</w:t>
      </w:r>
      <w:r w:rsidRPr="00C00335">
        <w:t>}</w:t>
      </w:r>
      <w:r w:rsidRPr="00C00335">
        <w:tab/>
        <w:t>(7.11)</w:t>
      </w:r>
    </w:p>
    <w:p w14:paraId="0886A6C9" w14:textId="1E8E238F" w:rsidR="00336761" w:rsidRPr="00C00335" w:rsidRDefault="00747E9D" w:rsidP="009E6267">
      <w:pPr>
        <w:pStyle w:val="equation"/>
        <w:tabs>
          <w:tab w:val="left" w:pos="360"/>
        </w:tabs>
        <w:spacing w:after="360"/>
      </w:pPr>
      <m:oMathPara>
        <m:oMath>
          <m:f>
            <m:fPr>
              <m:ctrlPr>
                <w:rPr>
                  <w:i/>
                </w:rPr>
              </m:ctrlPr>
            </m:fPr>
            <m:num>
              <m:sSubSup>
                <m:sSubSupPr>
                  <m:ctrlPr>
                    <w:rPr>
                      <w:i/>
                    </w:rPr>
                  </m:ctrlPr>
                </m:sSubSupPr>
                <m:e>
                  <m:r>
                    <m:t>dX</m:t>
                  </m:r>
                </m:e>
                <m:sub>
                  <m:r>
                    <m:t>p</m:t>
                  </m:r>
                </m:sub>
                <m:sup>
                  <m:r>
                    <m:t>c</m:t>
                  </m:r>
                </m:sup>
              </m:sSubSup>
              <m:d>
                <m:dPr>
                  <m:ctrlPr>
                    <w:rPr>
                      <w:i/>
                    </w:rPr>
                  </m:ctrlPr>
                </m:dPr>
                <m:e>
                  <m:r>
                    <m:t>t</m:t>
                  </m:r>
                </m:e>
              </m:d>
            </m:num>
            <m:den>
              <m:r>
                <m:t>dt</m:t>
              </m:r>
            </m:den>
          </m:f>
          <m:r>
            <m:t>=</m:t>
          </m:r>
          <m:d>
            <m:dPr>
              <m:begChr m:val="["/>
              <m:endChr m:val="]"/>
              <m:ctrlPr>
                <w:rPr>
                  <w:i/>
                </w:rPr>
              </m:ctrlPr>
            </m:dPr>
            <m:e>
              <m:sSubSup>
                <m:sSubSupPr>
                  <m:ctrlPr>
                    <w:rPr>
                      <w:i/>
                    </w:rPr>
                  </m:ctrlPr>
                </m:sSubSupPr>
                <m:e>
                  <m:r>
                    <m:t>ω</m:t>
                  </m:r>
                </m:e>
                <m:sub>
                  <m:r>
                    <m:t>p</m:t>
                  </m:r>
                </m:sub>
                <m:sup>
                  <m:r>
                    <m:t>c-5</m:t>
                  </m:r>
                </m:sup>
              </m:sSub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sSubSup>
                <m:sSubSupPr>
                  <m:ctrlPr>
                    <w:rPr>
                      <w:i/>
                    </w:rPr>
                  </m:ctrlPr>
                </m:sSubSupPr>
                <m:e>
                  <m:r>
                    <m:t>τ</m:t>
                  </m:r>
                </m:e>
                <m:sub>
                  <m:r>
                    <m:t>p</m:t>
                  </m:r>
                </m:sub>
                <m:sup>
                  <m:r>
                    <m:t>c-1</m:t>
                  </m:r>
                </m:sup>
              </m:sSubSup>
              <m:d>
                <m:dPr>
                  <m:ctrlPr>
                    <w:rPr>
                      <w:i/>
                    </w:rPr>
                  </m:ctrlPr>
                </m:dPr>
                <m:e>
                  <m:r>
                    <m:t>t</m:t>
                  </m:r>
                </m:e>
              </m:d>
            </m:e>
          </m:d>
          <m:d>
            <m:dPr>
              <m:begChr m:val="["/>
              <m:endChr m:val="]"/>
              <m:ctrlPr>
                <w:rPr>
                  <w:i/>
                </w:rPr>
              </m:ctrlPr>
            </m:dPr>
            <m:e>
              <m:r>
                <m:t>1-</m:t>
              </m:r>
              <m:sSub>
                <m:sSubPr>
                  <m:ctrlPr>
                    <w:rPr>
                      <w:i/>
                    </w:rPr>
                  </m:ctrlPr>
                </m:sSubPr>
                <m:e>
                  <m:r>
                    <m:t>κ</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
                <m:sSubPr>
                  <m:ctrlPr>
                    <w:rPr>
                      <w:i/>
                    </w:rPr>
                  </m:ctrlPr>
                </m:sSubPr>
                <m:e>
                  <m:r>
                    <m:t>e</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rPr>
              <m:sty m:val="p"/>
            </m:rPr>
            <w:br/>
          </m:r>
        </m:oMath>
      </m:oMathPara>
      <w:r w:rsidR="009E6267" w:rsidRPr="00C00335">
        <w:tab/>
      </w:r>
      <w:r w:rsidR="00D054DC" w:rsidRPr="00C00335">
        <w:tab/>
      </w:r>
      <m:oMath>
        <m:r>
          <m:t>-</m:t>
        </m:r>
        <m:d>
          <m:dPr>
            <m:begChr m:val="["/>
            <m:endChr m:val="]"/>
            <m:ctrlPr>
              <w:rPr>
                <w:i/>
              </w:rPr>
            </m:ctrlPr>
          </m:dPr>
          <m:e>
            <m:sSubSup>
              <m:sSubSupPr>
                <m:ctrlPr>
                  <w:rPr>
                    <w:i/>
                  </w:rPr>
                </m:ctrlPr>
              </m:sSubSupPr>
              <m:e>
                <m:r>
                  <m:rPr>
                    <m:scr m:val="script"/>
                  </m:rPr>
                  <m:t>l</m:t>
                </m:r>
              </m:e>
              <m:sub>
                <m:r>
                  <m:t>p</m:t>
                </m:r>
              </m:sub>
              <m:sup>
                <m:r>
                  <m:t>c</m:t>
                </m:r>
              </m:sup>
            </m:sSubSup>
            <m:d>
              <m:dPr>
                <m:ctrlPr>
                  <w:rPr>
                    <w:i/>
                  </w:rPr>
                </m:ctrlPr>
              </m:dPr>
              <m:e>
                <m:r>
                  <m:t>t</m:t>
                </m:r>
              </m:e>
            </m:d>
            <m:r>
              <m:t>+</m:t>
            </m:r>
            <m:sSubSup>
              <m:sSubSupPr>
                <m:ctrlPr>
                  <w:rPr>
                    <w:i/>
                  </w:rPr>
                </m:ctrlPr>
              </m:sSubSupPr>
              <m:e>
                <m:r>
                  <m:t>ω</m:t>
                </m:r>
              </m:e>
              <m:sub>
                <m:r>
                  <m:t>p</m:t>
                </m:r>
              </m:sub>
              <m:sup>
                <m:r>
                  <m:t>c</m:t>
                </m:r>
              </m:sup>
            </m:sSubSup>
            <m:r>
              <m:t>+</m:t>
            </m:r>
            <m:r>
              <m:rPr>
                <m:sty m:val="p"/>
              </m:rPr>
              <w:rPr>
                <w:position w:val="-14"/>
              </w:rPr>
              <w:object w:dxaOrig="620" w:dyaOrig="420" w14:anchorId="66C930F7">
                <v:shape id="_x0000_i1069" type="#_x0000_t75" style="width:28.5pt;height:22.5pt" o:ole="">
                  <v:imagedata r:id="rId93" o:title=""/>
                </v:shape>
                <o:OLEObject Type="Embed" ProgID="Equation.3" ShapeID="_x0000_i1069" DrawAspect="Content" ObjectID="_1700043753" r:id="rId116"/>
              </w:object>
            </m:r>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r>
          <m:t>(t)</m:t>
        </m:r>
      </m:oMath>
      <w:r w:rsidR="00484078" w:rsidRPr="00C00335">
        <w:br/>
      </w:r>
      <w:r w:rsidR="00484078" w:rsidRPr="00C00335">
        <w:tab/>
      </w:r>
      <w:r w:rsidR="005F5254" w:rsidRPr="00C00335">
        <w:tab/>
      </w:r>
      <w:r w:rsidR="00EE5B9C" w:rsidRPr="00C00335">
        <w:t>for c = {</w:t>
      </w:r>
      <w:r w:rsidR="00361ECB" w:rsidRPr="00C00335">
        <w:t>12, 17</w:t>
      </w:r>
      <w:r w:rsidR="009B4E5F" w:rsidRPr="00C00335">
        <w:t>}</w:t>
      </w:r>
      <w:r w:rsidR="00336761" w:rsidRPr="00C00335">
        <w:tab/>
        <w:t>(</w:t>
      </w:r>
      <w:r w:rsidR="005B0687" w:rsidRPr="00C00335">
        <w:t>7</w:t>
      </w:r>
      <w:r w:rsidR="00F259E1" w:rsidRPr="00C00335">
        <w:t>.</w:t>
      </w:r>
      <w:r w:rsidR="00BA1F4C" w:rsidRPr="00C00335">
        <w:t>1</w:t>
      </w:r>
      <w:r w:rsidR="00731B40" w:rsidRPr="00C00335">
        <w:t>2</w:t>
      </w:r>
      <w:r w:rsidR="00336761" w:rsidRPr="00C00335">
        <w:t>)</w:t>
      </w:r>
    </w:p>
    <w:p w14:paraId="60103674" w14:textId="154C1792" w:rsidR="000F420A" w:rsidRPr="00C00335" w:rsidRDefault="00467D83" w:rsidP="00841835">
      <w:pPr>
        <w:pStyle w:val="equation"/>
        <w:ind w:left="720"/>
      </w:pPr>
      <w:r w:rsidRPr="00C00335">
        <w:tab/>
      </w:r>
      <m:oMath>
        <m:f>
          <m:fPr>
            <m:ctrlPr>
              <w:rPr>
                <w:i/>
              </w:rPr>
            </m:ctrlPr>
          </m:fPr>
          <m:num>
            <m:sSubSup>
              <m:sSubSupPr>
                <m:ctrlPr>
                  <w:rPr>
                    <w:i/>
                  </w:rPr>
                </m:ctrlPr>
              </m:sSubSupPr>
              <m:e>
                <m:r>
                  <m:t>dX</m:t>
                </m:r>
              </m:e>
              <m:sub>
                <m:r>
                  <m:t>p</m:t>
                </m:r>
              </m:sub>
              <m:sup>
                <m:r>
                  <m:t>c</m:t>
                </m:r>
              </m:sup>
            </m:sSubSup>
            <m:d>
              <m:dPr>
                <m:ctrlPr>
                  <w:rPr>
                    <w:i/>
                  </w:rPr>
                </m:ctrlPr>
              </m:dPr>
              <m:e>
                <m:r>
                  <m:t>t</m:t>
                </m:r>
              </m:e>
            </m:d>
          </m:num>
          <m:den>
            <m:r>
              <m:t>dt</m:t>
            </m:r>
          </m:den>
        </m:f>
        <m:r>
          <m:t>=</m:t>
        </m:r>
        <m:d>
          <m:dPr>
            <m:begChr m:val="["/>
            <m:endChr m:val="]"/>
            <m:ctrlPr>
              <w:rPr>
                <w:i/>
              </w:rPr>
            </m:ctrlPr>
          </m:dPr>
          <m:e>
            <m:sSubSup>
              <m:sSubSupPr>
                <m:ctrlPr>
                  <w:rPr>
                    <w:i/>
                  </w:rPr>
                </m:ctrlPr>
              </m:sSubSupPr>
              <m:e>
                <m:r>
                  <m:t>ω</m:t>
                </m:r>
              </m:e>
              <m:sub>
                <m:r>
                  <m:t>p</m:t>
                </m:r>
              </m:sub>
              <m:sup>
                <m:r>
                  <m:t>c-5</m:t>
                </m:r>
              </m:sup>
            </m:sSub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sSubSup>
              <m:sSubSupPr>
                <m:ctrlPr>
                  <w:rPr>
                    <w:i/>
                  </w:rPr>
                </m:ctrlPr>
              </m:sSubSupPr>
              <m:e>
                <m:r>
                  <m:t>τ</m:t>
                </m:r>
              </m:e>
              <m:sub>
                <m:r>
                  <m:t>p</m:t>
                </m:r>
              </m:sub>
              <m:sup>
                <m:r>
                  <m:t>c-2</m:t>
                </m:r>
              </m:sup>
            </m:sSubSup>
            <m:d>
              <m:dPr>
                <m:ctrlPr>
                  <w:rPr>
                    <w:i/>
                  </w:rPr>
                </m:ctrlPr>
              </m:dPr>
              <m:e>
                <m:r>
                  <m:t>t</m:t>
                </m:r>
              </m:e>
            </m:d>
          </m:e>
        </m:d>
        <m:d>
          <m:dPr>
            <m:begChr m:val="["/>
            <m:endChr m:val="]"/>
            <m:ctrlPr>
              <w:rPr>
                <w:i/>
              </w:rPr>
            </m:ctrlPr>
          </m:dPr>
          <m:e>
            <m:sSub>
              <m:sSubPr>
                <m:ctrlPr>
                  <w:rPr>
                    <w:i/>
                  </w:rPr>
                </m:ctrlPr>
              </m:sSubPr>
              <m:e>
                <m:r>
                  <m:t>κ</m:t>
                </m:r>
              </m:e>
              <m:sub>
                <m:r>
                  <m:t>p</m:t>
                </m:r>
              </m:sub>
            </m:sSub>
            <m:d>
              <m:dPr>
                <m:ctrlPr>
                  <w:rPr>
                    <w:i/>
                  </w:rPr>
                </m:ctrlPr>
              </m:dPr>
              <m:e>
                <m:r>
                  <m:t>t</m:t>
                </m:r>
              </m:e>
            </m:d>
          </m:e>
        </m:d>
        <m:sSubSup>
          <m:sSubSupPr>
            <m:ctrlPr>
              <w:rPr>
                <w:i/>
              </w:rPr>
            </m:ctrlPr>
          </m:sSubSupPr>
          <m:e>
            <m:r>
              <m:t>X</m:t>
            </m:r>
          </m:e>
          <m:sub>
            <m:r>
              <m:t>p</m:t>
            </m:r>
          </m:sub>
          <m:sup>
            <m:r>
              <m:t>c-2</m:t>
            </m:r>
          </m:sup>
        </m:sSubSup>
        <m:d>
          <m:dPr>
            <m:ctrlPr>
              <w:rPr>
                <w:i/>
              </w:rPr>
            </m:ctrlPr>
          </m:dPr>
          <m:e>
            <m:r>
              <m:t>t</m:t>
            </m:r>
          </m:e>
        </m:d>
        <m:r>
          <m:t>+</m:t>
        </m:r>
        <m:d>
          <m:dPr>
            <m:begChr m:val="["/>
            <m:endChr m:val="]"/>
            <m:ctrlPr>
              <w:rPr>
                <w:i/>
              </w:rPr>
            </m:ctrlPr>
          </m:dPr>
          <m:e>
            <m:sSubSup>
              <m:sSubSupPr>
                <m:ctrlPr>
                  <w:rPr>
                    <w:i/>
                  </w:rPr>
                </m:ctrlPr>
              </m:sSubSupPr>
              <m:e>
                <m:r>
                  <m:rPr>
                    <m:scr m:val="script"/>
                  </m:rPr>
                  <m:t>l</m:t>
                </m:r>
              </m:e>
              <m:sub>
                <m:r>
                  <m:t>p</m:t>
                </m:r>
              </m:sub>
              <m:sup>
                <m:r>
                  <m:t>c-1</m:t>
                </m:r>
              </m:sup>
            </m:sSubSup>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
              <m:sSubPr>
                <m:ctrlPr>
                  <w:rPr>
                    <w:i/>
                  </w:rPr>
                </m:ctrlPr>
              </m:sSubPr>
              <m:e>
                <m:r>
                  <m:t>ε</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rPr>
            <m:sty m:val="p"/>
          </m:rPr>
          <w:br/>
        </m:r>
      </m:oMath>
      <m:oMathPara>
        <m:oMath>
          <m:r>
            <m:t>-</m:t>
          </m:r>
          <m:d>
            <m:dPr>
              <m:begChr m:val="["/>
              <m:endChr m:val="]"/>
              <m:ctrlPr>
                <w:rPr>
                  <w:i/>
                </w:rPr>
              </m:ctrlPr>
            </m:dPr>
            <m:e>
              <m:sSub>
                <m:sSubPr>
                  <m:ctrlPr>
                    <w:rPr>
                      <w:i/>
                    </w:rPr>
                  </m:ctrlPr>
                </m:sSubPr>
                <m:e>
                  <m:r>
                    <m:t>e</m:t>
                  </m:r>
                </m:e>
                <m:sub>
                  <m:r>
                    <m:t>p</m:t>
                  </m:r>
                </m:sub>
              </m:sSub>
              <m:d>
                <m:dPr>
                  <m:ctrlPr>
                    <w:rPr>
                      <w:i/>
                    </w:rPr>
                  </m:ctrlPr>
                </m:dPr>
                <m:e>
                  <m:r>
                    <m:t>t</m:t>
                  </m:r>
                </m:e>
              </m:d>
              <m:r>
                <m:t>+</m:t>
              </m:r>
              <m:sSubSup>
                <m:sSubSupPr>
                  <m:ctrlPr>
                    <w:rPr>
                      <w:i/>
                    </w:rPr>
                  </m:ctrlPr>
                </m:sSubSupPr>
                <m:e>
                  <m:r>
                    <m:t>γ</m:t>
                  </m:r>
                </m:e>
                <m:sub>
                  <m:r>
                    <m:t>p</m:t>
                  </m:r>
                </m:sub>
                <m:sup>
                  <m:r>
                    <m:t>c</m:t>
                  </m:r>
                </m:sup>
              </m:sSubSup>
              <m:d>
                <m:dPr>
                  <m:ctrlPr>
                    <w:rPr>
                      <w:i/>
                    </w:rPr>
                  </m:ctrlPr>
                </m:dPr>
                <m:e>
                  <m:r>
                    <m:t>t</m:t>
                  </m:r>
                </m:e>
              </m:d>
              <m:r>
                <m:t>+</m:t>
              </m:r>
              <m:sSubSup>
                <m:sSubSupPr>
                  <m:ctrlPr>
                    <w:rPr>
                      <w:i/>
                    </w:rPr>
                  </m:ctrlPr>
                </m:sSubSupPr>
                <m:e>
                  <m:r>
                    <m:t>ω</m:t>
                  </m:r>
                </m:e>
                <m:sub>
                  <m:r>
                    <m:t>p</m:t>
                  </m:r>
                </m:sub>
                <m:sup>
                  <m:r>
                    <m:t>c</m:t>
                  </m:r>
                </m:sup>
              </m:sSubSup>
              <m:r>
                <m:t>+</m:t>
              </m:r>
              <m:r>
                <m:rPr>
                  <m:sty m:val="p"/>
                </m:rPr>
                <w:rPr>
                  <w:position w:val="-14"/>
                </w:rPr>
                <w:object w:dxaOrig="620" w:dyaOrig="420" w14:anchorId="449E7376">
                  <v:shape id="_x0000_i1071" type="#_x0000_t75" style="width:28.5pt;height:22.5pt" o:ole="">
                    <v:imagedata r:id="rId93" o:title=""/>
                  </v:shape>
                  <o:OLEObject Type="Embed" ProgID="Equation.3" ShapeID="_x0000_i1071" DrawAspect="Content" ObjectID="_1700043754" r:id="rId117"/>
                </w:object>
              </m:r>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d>
            <m:dPr>
              <m:ctrlPr>
                <w:rPr>
                  <w:i/>
                </w:rPr>
              </m:ctrlPr>
            </m:dPr>
            <m:e>
              <m:r>
                <m:t>t</m:t>
              </m:r>
            </m:e>
          </m:d>
          <m:r>
            <m:rPr>
              <m:sty m:val="p"/>
            </m:rPr>
            <w:br/>
          </m:r>
        </m:oMath>
      </m:oMathPara>
      <w:r w:rsidR="00016965" w:rsidRPr="00C00335">
        <w:tab/>
      </w:r>
      <w:r w:rsidR="00AF6BF4" w:rsidRPr="00C00335">
        <w:t>for c = {</w:t>
      </w:r>
      <w:r w:rsidR="00361ECB" w:rsidRPr="00C00335">
        <w:t>13, 18</w:t>
      </w:r>
      <w:r w:rsidR="00AF6BF4" w:rsidRPr="00C00335">
        <w:t>}</w:t>
      </w:r>
      <w:r w:rsidR="00336761" w:rsidRPr="00C00335">
        <w:tab/>
        <w:t>(</w:t>
      </w:r>
      <w:r w:rsidR="005B0687" w:rsidRPr="00C00335">
        <w:t>7</w:t>
      </w:r>
      <w:r w:rsidR="00F259E1" w:rsidRPr="00C00335">
        <w:t>.</w:t>
      </w:r>
      <w:r w:rsidR="005B0687" w:rsidRPr="00C00335">
        <w:t>1</w:t>
      </w:r>
      <w:r w:rsidR="00731B40" w:rsidRPr="00C00335">
        <w:t>3</w:t>
      </w:r>
      <w:r w:rsidR="00336761" w:rsidRPr="00C00335">
        <w:t>)</w:t>
      </w:r>
    </w:p>
    <w:p w14:paraId="3FD60B35" w14:textId="2330EFE4" w:rsidR="00BA1F4C" w:rsidRPr="00C00335" w:rsidRDefault="0056377C" w:rsidP="00841835">
      <w:pPr>
        <w:pStyle w:val="equation"/>
        <w:spacing w:after="360"/>
      </w:pPr>
      <w:r w:rsidRPr="00C00335">
        <w:tab/>
      </w:r>
      <m:oMath>
        <m:f>
          <m:fPr>
            <m:ctrlPr>
              <w:rPr>
                <w:i/>
              </w:rPr>
            </m:ctrlPr>
          </m:fPr>
          <m:num>
            <m:sSubSup>
              <m:sSubSupPr>
                <m:ctrlPr>
                  <w:rPr>
                    <w:i/>
                  </w:rPr>
                </m:ctrlPr>
              </m:sSubSupPr>
              <m:e>
                <m:r>
                  <m:t>dX</m:t>
                </m:r>
              </m:e>
              <m:sub>
                <m:r>
                  <m:t>p</m:t>
                </m:r>
              </m:sub>
              <m:sup>
                <m:r>
                  <m:t>c</m:t>
                </m:r>
              </m:sup>
            </m:sSubSup>
            <m:d>
              <m:dPr>
                <m:ctrlPr>
                  <w:rPr>
                    <w:i/>
                  </w:rPr>
                </m:ctrlPr>
              </m:dPr>
              <m:e>
                <m:r>
                  <m:t>t</m:t>
                </m:r>
              </m:e>
            </m:d>
          </m:num>
          <m:den>
            <m:r>
              <m:t>dt</m:t>
            </m:r>
          </m:den>
        </m:f>
        <m:r>
          <m:t>=</m:t>
        </m:r>
        <m:d>
          <m:dPr>
            <m:begChr m:val="["/>
            <m:endChr m:val="]"/>
            <m:ctrlPr>
              <w:rPr>
                <w:i/>
              </w:rPr>
            </m:ctrlPr>
          </m:dPr>
          <m:e>
            <m:sSup>
              <m:sSupPr>
                <m:ctrlPr>
                  <w:rPr>
                    <w:i/>
                  </w:rPr>
                </m:ctrlPr>
              </m:sSupPr>
              <m:e>
                <m:r>
                  <m:t>H</m:t>
                </m:r>
              </m:e>
              <m:sup>
                <m:r>
                  <m:t>c-5</m:t>
                </m:r>
              </m:sup>
            </m:s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r>
              <m:t>1-u</m:t>
            </m:r>
          </m:e>
        </m:d>
        <m:r>
          <m:t>[</m:t>
        </m:r>
        <m:sSubSup>
          <m:sSubSupPr>
            <m:ctrlPr>
              <w:rPr>
                <w:i/>
              </w:rPr>
            </m:ctrlPr>
          </m:sSubSupPr>
          <m:e>
            <m:r>
              <m:t>γ</m:t>
            </m:r>
          </m:e>
          <m:sub>
            <m:r>
              <m:t>p</m:t>
            </m:r>
          </m:sub>
          <m:sup>
            <m:r>
              <m:t>c-1</m:t>
            </m:r>
          </m:sup>
        </m:sSubSup>
        <m:d>
          <m:dPr>
            <m:ctrlPr>
              <w:rPr>
                <w:i/>
              </w:rPr>
            </m:ctrlPr>
          </m:dPr>
          <m:e>
            <m:r>
              <m:t>t</m:t>
            </m:r>
          </m:e>
        </m:d>
        <m:r>
          <m:t>]</m:t>
        </m:r>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
              <m:sSubPr>
                <m:ctrlPr>
                  <w:rPr>
                    <w:i/>
                  </w:rPr>
                </m:ctrlPr>
              </m:sSubPr>
              <m:e>
                <m:r>
                  <m:t>η</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rPr>
            <m:sty m:val="p"/>
          </m:rPr>
          <w:br/>
        </m:r>
      </m:oMath>
      <w:r w:rsidRPr="00C00335">
        <w:tab/>
      </w:r>
      <m:oMath>
        <m:r>
          <m:t>-</m:t>
        </m:r>
        <m:d>
          <m:dPr>
            <m:begChr m:val="["/>
            <m:endChr m:val="]"/>
            <m:ctrlPr>
              <w:rPr>
                <w:i/>
              </w:rPr>
            </m:ctrlPr>
          </m:dPr>
          <m:e>
            <m:sSub>
              <m:sSubPr>
                <m:ctrlPr>
                  <w:rPr>
                    <w:i/>
                  </w:rPr>
                </m:ctrlPr>
              </m:sSubPr>
              <m:e>
                <m:r>
                  <m:t>ζ</m:t>
                </m:r>
              </m:e>
              <m:sub>
                <m:r>
                  <m:t>p</m:t>
                </m:r>
              </m:sub>
            </m:sSub>
            <m:d>
              <m:dPr>
                <m:ctrlPr>
                  <w:rPr>
                    <w:i/>
                  </w:rPr>
                </m:ctrlPr>
              </m:dPr>
              <m:e>
                <m:r>
                  <m:t>t</m:t>
                </m:r>
              </m:e>
            </m:d>
            <m:r>
              <m:t>+</m:t>
            </m:r>
            <m:sSubSup>
              <m:sSubSupPr>
                <m:ctrlPr>
                  <w:rPr>
                    <w:i/>
                  </w:rPr>
                </m:ctrlPr>
              </m:sSubSupPr>
              <m:e>
                <m:r>
                  <m:t>γ</m:t>
                </m:r>
              </m:e>
              <m:sub>
                <m:r>
                  <m:t>p</m:t>
                </m:r>
              </m:sub>
              <m:sup>
                <m:r>
                  <m:t>c</m:t>
                </m:r>
              </m:sup>
            </m:sSubSup>
            <m:r>
              <m:t>+</m:t>
            </m:r>
            <m:sSubSup>
              <m:sSubSupPr>
                <m:ctrlPr>
                  <w:rPr>
                    <w:i/>
                  </w:rPr>
                </m:ctrlPr>
              </m:sSubSupPr>
              <m:e>
                <m:r>
                  <m:t>H</m:t>
                </m:r>
              </m:e>
              <m:sub>
                <m:r>
                  <m:t>p</m:t>
                </m:r>
              </m:sub>
              <m:sup>
                <m:r>
                  <m:t>c</m:t>
                </m:r>
              </m:sup>
            </m:sSubSup>
            <m:r>
              <m:t>+</m:t>
            </m:r>
            <m:sSubSup>
              <m:sSubSupPr>
                <m:ctrlPr>
                  <w:rPr>
                    <w:i/>
                  </w:rPr>
                </m:ctrlPr>
              </m:sSubSupPr>
              <m:e>
                <m:r>
                  <m:t>σ</m:t>
                </m:r>
              </m:e>
              <m:sub>
                <m:r>
                  <m:t>p</m:t>
                </m:r>
              </m:sub>
              <m:sup>
                <m:r>
                  <m:t>c</m:t>
                </m:r>
              </m:sup>
            </m:sSubSup>
            <m:d>
              <m:dPr>
                <m:ctrlPr>
                  <w:rPr>
                    <w:i/>
                  </w:rPr>
                </m:ctrlPr>
              </m:dPr>
              <m:e>
                <m:r>
                  <m:t>t</m:t>
                </m:r>
              </m:e>
            </m:d>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r>
          <m:t>(t)</m:t>
        </m:r>
      </m:oMath>
      <w:r w:rsidR="00841835">
        <w:br/>
      </w:r>
      <w:r w:rsidR="005F5254" w:rsidRPr="00C00335">
        <w:tab/>
      </w:r>
      <w:r w:rsidR="00AF6BF4" w:rsidRPr="00C00335">
        <w:t>f</w:t>
      </w:r>
      <w:r w:rsidR="00EE5B9C" w:rsidRPr="00C00335">
        <w:t>or c = {</w:t>
      </w:r>
      <w:r w:rsidR="00361ECB" w:rsidRPr="00C00335">
        <w:t>14, 19</w:t>
      </w:r>
      <w:r w:rsidR="00EE5B9C" w:rsidRPr="00C00335">
        <w:t>}</w:t>
      </w:r>
      <w:r w:rsidR="004F4E6D" w:rsidRPr="00C00335">
        <w:tab/>
      </w:r>
      <w:r w:rsidR="00BA1F4C" w:rsidRPr="00C00335">
        <w:t>(7.1</w:t>
      </w:r>
      <w:r w:rsidR="00731B40" w:rsidRPr="00C00335">
        <w:t>4</w:t>
      </w:r>
      <w:r w:rsidR="00BA1F4C" w:rsidRPr="00C00335">
        <w:t>)</w:t>
      </w:r>
    </w:p>
    <w:p w14:paraId="1A8B72EB" w14:textId="06F120F9" w:rsidR="00336761" w:rsidRPr="00C00335" w:rsidRDefault="00747E9D" w:rsidP="0056029C">
      <w:pPr>
        <w:pStyle w:val="equation"/>
        <w:spacing w:after="360"/>
      </w:pPr>
      <m:oMathPara>
        <m:oMath>
          <m:f>
            <m:fPr>
              <m:ctrlPr>
                <w:rPr>
                  <w:i/>
                </w:rPr>
              </m:ctrlPr>
            </m:fPr>
            <m:num>
              <m:sSubSup>
                <m:sSubSupPr>
                  <m:ctrlPr>
                    <w:rPr>
                      <w:i/>
                    </w:rPr>
                  </m:ctrlPr>
                </m:sSubSupPr>
                <m:e>
                  <m:r>
                    <m:t>dX</m:t>
                  </m:r>
                </m:e>
                <m:sub>
                  <m:r>
                    <m:t>p</m:t>
                  </m:r>
                </m:sub>
                <m:sup>
                  <m:r>
                    <m:t>c</m:t>
                  </m:r>
                </m:sup>
              </m:sSubSup>
              <m:d>
                <m:dPr>
                  <m:ctrlPr>
                    <w:rPr>
                      <w:i/>
                    </w:rPr>
                  </m:ctrlPr>
                </m:dPr>
                <m:e>
                  <m:r>
                    <m:t>t</m:t>
                  </m:r>
                </m:e>
              </m:d>
            </m:num>
            <m:den>
              <m:r>
                <m:t>dt</m:t>
              </m:r>
            </m:den>
          </m:f>
          <m:r>
            <m:t>=</m:t>
          </m:r>
          <m:d>
            <m:dPr>
              <m:begChr m:val="["/>
              <m:endChr m:val="]"/>
              <m:ctrlPr>
                <w:rPr>
                  <w:i/>
                </w:rPr>
              </m:ctrlPr>
            </m:dPr>
            <m:e>
              <m:sSup>
                <m:sSupPr>
                  <m:ctrlPr>
                    <w:rPr>
                      <w:i/>
                    </w:rPr>
                  </m:ctrlPr>
                </m:sSupPr>
                <m:e>
                  <m:r>
                    <m:t>B</m:t>
                  </m:r>
                </m:e>
                <m:sup>
                  <m:r>
                    <m:t>c-5</m:t>
                  </m:r>
                </m:sup>
              </m:sSup>
            </m:e>
          </m:d>
          <m:sSubSup>
            <m:sSubSupPr>
              <m:ctrlPr>
                <w:rPr>
                  <w:i/>
                </w:rPr>
              </m:ctrlPr>
            </m:sSubSupPr>
            <m:e>
              <m:r>
                <m:t>X</m:t>
              </m:r>
            </m:e>
            <m:sub>
              <m:r>
                <m:t>p</m:t>
              </m:r>
            </m:sub>
            <m:sup>
              <m:r>
                <m:t>c-5</m:t>
              </m:r>
            </m:sup>
          </m:sSubSup>
          <m:d>
            <m:dPr>
              <m:ctrlPr>
                <w:rPr>
                  <w:i/>
                </w:rPr>
              </m:ctrlPr>
            </m:dPr>
            <m:e>
              <m:r>
                <m:t>t</m:t>
              </m:r>
            </m:e>
          </m:d>
          <m:r>
            <m:t>+</m:t>
          </m:r>
          <m:d>
            <m:dPr>
              <m:begChr m:val="["/>
              <m:endChr m:val="]"/>
              <m:ctrlPr>
                <w:rPr>
                  <w:i/>
                </w:rPr>
              </m:ctrlPr>
            </m:dPr>
            <m:e>
              <m:r>
                <m:t>u</m:t>
              </m:r>
            </m:e>
          </m:d>
          <m:d>
            <m:dPr>
              <m:begChr m:val="["/>
              <m:endChr m:val="]"/>
              <m:ctrlPr>
                <w:rPr>
                  <w:i/>
                </w:rPr>
              </m:ctrlPr>
            </m:dPr>
            <m:e>
              <m:sSubSup>
                <m:sSubSupPr>
                  <m:ctrlPr>
                    <w:rPr>
                      <w:i/>
                    </w:rPr>
                  </m:ctrlPr>
                </m:sSubSupPr>
                <m:e>
                  <m:r>
                    <m:t>γ</m:t>
                  </m:r>
                </m:e>
                <m:sub>
                  <m:r>
                    <m:t>p</m:t>
                  </m:r>
                </m:sub>
                <m:sup>
                  <m:r>
                    <m:t>c-2</m:t>
                  </m:r>
                </m:sup>
              </m:sSubSup>
              <m:d>
                <m:dPr>
                  <m:ctrlPr>
                    <w:rPr>
                      <w:i/>
                    </w:rPr>
                  </m:ctrlPr>
                </m:dPr>
                <m:e>
                  <m:r>
                    <m:t>t</m:t>
                  </m:r>
                </m:e>
              </m:d>
            </m:e>
          </m:d>
          <m:sSubSup>
            <m:sSubSupPr>
              <m:ctrlPr>
                <w:rPr>
                  <w:i/>
                </w:rPr>
              </m:ctrlPr>
            </m:sSubSupPr>
            <m:e>
              <m:r>
                <m:t>X</m:t>
              </m:r>
            </m:e>
            <m:sub>
              <m:r>
                <m:t>p</m:t>
              </m:r>
            </m:sub>
            <m:sup>
              <m:r>
                <m:t>c-2</m:t>
              </m:r>
            </m:sup>
          </m:sSubSup>
          <m:d>
            <m:dPr>
              <m:ctrlPr>
                <w:rPr>
                  <w:i/>
                </w:rPr>
              </m:ctrlPr>
            </m:dPr>
            <m:e>
              <m:r>
                <m:t>t</m:t>
              </m:r>
            </m:e>
          </m:d>
          <m:r>
            <m:t>+</m:t>
          </m:r>
          <m:d>
            <m:dPr>
              <m:begChr m:val="["/>
              <m:endChr m:val="]"/>
              <m:ctrlPr>
                <w:rPr>
                  <w:i/>
                </w:rPr>
              </m:ctrlPr>
            </m:dPr>
            <m:e>
              <m:sSub>
                <m:sSubPr>
                  <m:ctrlPr>
                    <w:rPr>
                      <w:i/>
                    </w:rPr>
                  </m:ctrlPr>
                </m:sSubPr>
                <m:e>
                  <m:r>
                    <m:t>ζ</m:t>
                  </m:r>
                </m:e>
                <m:sub>
                  <m:r>
                    <m:t>p</m:t>
                  </m:r>
                </m:sub>
              </m:sSub>
              <m:d>
                <m:dPr>
                  <m:ctrlPr>
                    <w:rPr>
                      <w:i/>
                    </w:rPr>
                  </m:ctrlPr>
                </m:dPr>
                <m:e>
                  <m:r>
                    <m:t>t</m:t>
                  </m:r>
                </m:e>
              </m:d>
            </m:e>
          </m:d>
          <m:sSubSup>
            <m:sSubSupPr>
              <m:ctrlPr>
                <w:rPr>
                  <w:i/>
                </w:rPr>
              </m:ctrlPr>
            </m:sSubSupPr>
            <m:e>
              <m:r>
                <m:t>X</m:t>
              </m:r>
            </m:e>
            <m:sub>
              <m:r>
                <m:t>p</m:t>
              </m:r>
            </m:sub>
            <m:sup>
              <m:r>
                <m:t>c-1</m:t>
              </m:r>
            </m:sup>
          </m:sSubSup>
          <m:d>
            <m:dPr>
              <m:ctrlPr>
                <w:rPr>
                  <w:i/>
                </w:rPr>
              </m:ctrlPr>
            </m:dPr>
            <m:e>
              <m:r>
                <m:t>t</m:t>
              </m:r>
            </m:e>
          </m:d>
          <m:r>
            <m:t>+</m:t>
          </m:r>
          <m:d>
            <m:dPr>
              <m:begChr m:val="["/>
              <m:endChr m:val="]"/>
              <m:ctrlPr>
                <w:rPr>
                  <w:i/>
                </w:rPr>
              </m:ctrlPr>
            </m:dPr>
            <m:e>
              <m:sSubSup>
                <m:sSubSupPr>
                  <m:ctrlPr>
                    <w:rPr>
                      <w:i/>
                    </w:rPr>
                  </m:ctrlPr>
                </m:sSubSupPr>
                <m:e>
                  <m:r>
                    <m:t>ϑ</m:t>
                  </m:r>
                </m:e>
                <m:sub>
                  <m:r>
                    <m:t>p</m:t>
                  </m:r>
                </m:sub>
                <m:sup>
                  <m:r>
                    <m:t>c+5</m:t>
                  </m:r>
                </m:sup>
              </m:sSubSup>
            </m:e>
          </m:d>
          <m:sSubSup>
            <m:sSubSupPr>
              <m:ctrlPr>
                <w:rPr>
                  <w:i/>
                </w:rPr>
              </m:ctrlPr>
            </m:sSubSupPr>
            <m:e>
              <m:r>
                <m:t>X</m:t>
              </m:r>
            </m:e>
            <m:sub>
              <m:r>
                <m:t>p</m:t>
              </m:r>
            </m:sub>
            <m:sup>
              <m:r>
                <m:t>c+5</m:t>
              </m:r>
            </m:sup>
          </m:sSubSup>
          <m:d>
            <m:dPr>
              <m:ctrlPr>
                <w:rPr>
                  <w:i/>
                </w:rPr>
              </m:ctrlPr>
            </m:dPr>
            <m:e>
              <m:r>
                <m:t>t</m:t>
              </m:r>
            </m:e>
          </m:d>
          <m:r>
            <m:rPr>
              <m:sty m:val="p"/>
            </m:rPr>
            <w:br/>
          </m:r>
        </m:oMath>
        <m:oMath>
          <m:r>
            <m:t>-</m:t>
          </m:r>
          <m:d>
            <m:dPr>
              <m:begChr m:val="["/>
              <m:endChr m:val="]"/>
              <m:ctrlPr>
                <w:rPr>
                  <w:i/>
                </w:rPr>
              </m:ctrlPr>
            </m:dPr>
            <m:e>
              <m:sSup>
                <m:sSupPr>
                  <m:ctrlPr>
                    <w:rPr>
                      <w:i/>
                    </w:rPr>
                  </m:ctrlPr>
                </m:sSupPr>
                <m:e>
                  <m:r>
                    <m:t>B</m:t>
                  </m:r>
                </m:e>
                <m:sup>
                  <m:r>
                    <m:t>c</m:t>
                  </m:r>
                </m:sup>
              </m:sSup>
              <m:r>
                <m:t>+</m:t>
              </m:r>
              <m:sSub>
                <m:sSubPr>
                  <m:ctrlPr>
                    <w:rPr>
                      <w:i/>
                    </w:rPr>
                  </m:ctrlPr>
                </m:sSubPr>
                <m:e>
                  <m:r>
                    <m:t>η</m:t>
                  </m:r>
                </m:e>
                <m:sub>
                  <m:r>
                    <m:t>p</m:t>
                  </m:r>
                </m:sub>
              </m:sSub>
              <m:d>
                <m:dPr>
                  <m:ctrlPr>
                    <w:rPr>
                      <w:i/>
                    </w:rPr>
                  </m:ctrlPr>
                </m:dPr>
                <m:e>
                  <m:r>
                    <m:t>t</m:t>
                  </m:r>
                </m:e>
              </m:d>
              <m:r>
                <m:t>+</m:t>
              </m:r>
              <m:sSubSup>
                <m:sSubSupPr>
                  <m:ctrlPr>
                    <w:rPr>
                      <w:i/>
                    </w:rPr>
                  </m:ctrlPr>
                </m:sSubSupPr>
                <m:e>
                  <m:r>
                    <m:t>ϑ</m:t>
                  </m:r>
                </m:e>
                <m:sub>
                  <m:r>
                    <m:t>p</m:t>
                  </m:r>
                </m:sub>
                <m:sup>
                  <m:r>
                    <m:t>c</m:t>
                  </m:r>
                </m:sup>
              </m:sSubSup>
              <m:r>
                <m:t>+</m:t>
              </m:r>
              <m:sSubSup>
                <m:sSubSupPr>
                  <m:ctrlPr>
                    <w:rPr>
                      <w:i/>
                    </w:rPr>
                  </m:ctrlPr>
                </m:sSubSupPr>
                <m:e>
                  <m:r>
                    <m:t>σ</m:t>
                  </m:r>
                </m:e>
                <m:sub>
                  <m:r>
                    <m:t>p</m:t>
                  </m:r>
                </m:sub>
                <m:sup>
                  <m:r>
                    <m:t>c</m:t>
                  </m:r>
                </m:sup>
              </m:sSubSup>
              <m:d>
                <m:dPr>
                  <m:ctrlPr>
                    <w:rPr>
                      <w:i/>
                    </w:rPr>
                  </m:ctrlPr>
                </m:dPr>
                <m:e>
                  <m:r>
                    <m:t>t</m:t>
                  </m:r>
                </m:e>
              </m:d>
              <m:r>
                <m:t>+</m:t>
              </m:r>
              <m:sSubSup>
                <m:sSubSupPr>
                  <m:ctrlPr>
                    <w:rPr>
                      <w:i/>
                    </w:rPr>
                  </m:ctrlPr>
                </m:sSubSupPr>
                <m:e>
                  <m:r>
                    <m:t>δ</m:t>
                  </m:r>
                </m:e>
                <m:sub>
                  <m:r>
                    <m:t>p</m:t>
                  </m:r>
                </m:sub>
                <m:sup>
                  <m:r>
                    <m:t>-</m:t>
                  </m:r>
                </m:sup>
              </m:sSubSup>
            </m:e>
          </m:d>
          <m:sSubSup>
            <m:sSubSupPr>
              <m:ctrlPr>
                <w:rPr>
                  <w:i/>
                </w:rPr>
              </m:ctrlPr>
            </m:sSubSupPr>
            <m:e>
              <m:r>
                <m:t>X</m:t>
              </m:r>
            </m:e>
            <m:sub>
              <m:r>
                <m:t>p</m:t>
              </m:r>
            </m:sub>
            <m:sup>
              <m:r>
                <m:t>c</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m:t>
              </m:r>
            </m:sup>
          </m:sSubSup>
          <m:r>
            <m:t>(t)</m:t>
          </m:r>
          <m:r>
            <m:rPr>
              <m:sty m:val="p"/>
            </m:rPr>
            <w:br/>
          </m:r>
        </m:oMath>
      </m:oMathPara>
      <w:r w:rsidR="00952E82" w:rsidRPr="00C00335">
        <w:tab/>
      </w:r>
      <w:r w:rsidR="006C2165" w:rsidRPr="00C00335">
        <w:t>for c = {1</w:t>
      </w:r>
      <w:r w:rsidR="00361ECB" w:rsidRPr="00C00335">
        <w:t>5</w:t>
      </w:r>
      <w:r w:rsidR="006C2165" w:rsidRPr="00C00335">
        <w:t xml:space="preserve">, </w:t>
      </w:r>
      <w:r w:rsidR="00361ECB" w:rsidRPr="00C00335">
        <w:t>20</w:t>
      </w:r>
      <w:r w:rsidR="006C2165" w:rsidRPr="00C00335">
        <w:t>}</w:t>
      </w:r>
      <w:r w:rsidR="00336761" w:rsidRPr="00C00335">
        <w:tab/>
        <w:t>(</w:t>
      </w:r>
      <w:r w:rsidR="005B0687" w:rsidRPr="00C00335">
        <w:t>7</w:t>
      </w:r>
      <w:r w:rsidR="00F259E1" w:rsidRPr="00C00335">
        <w:t>.</w:t>
      </w:r>
      <w:r w:rsidR="00BA1F4C" w:rsidRPr="00C00335">
        <w:t>1</w:t>
      </w:r>
      <w:r w:rsidR="00731B40" w:rsidRPr="00C00335">
        <w:t>5</w:t>
      </w:r>
      <w:r w:rsidR="00336761" w:rsidRPr="00C00335">
        <w:t>)</w:t>
      </w:r>
    </w:p>
    <w:p w14:paraId="72C461E2" w14:textId="77777777" w:rsidR="00D6628E" w:rsidRPr="00C00335" w:rsidRDefault="00D6628E" w:rsidP="00361ECB">
      <w:pPr>
        <w:pStyle w:val="BodyText"/>
        <w:keepNext/>
      </w:pPr>
      <w:r w:rsidRPr="00C00335">
        <w:lastRenderedPageBreak/>
        <w:t>where</w:t>
      </w:r>
    </w:p>
    <w:p w14:paraId="6362593A" w14:textId="6C6F80E7" w:rsidR="00CA2B81" w:rsidRPr="00C00335" w:rsidRDefault="00F1655F" w:rsidP="002B1372">
      <w:pPr>
        <w:pStyle w:val="bullets"/>
      </w:pPr>
      <w:r w:rsidRPr="00C00335">
        <w:rPr>
          <w:position w:val="-12"/>
        </w:rPr>
        <w:object w:dxaOrig="540" w:dyaOrig="320" w14:anchorId="7A91DF8D">
          <v:shape id="_x0000_i1072" type="#_x0000_t75" style="width:21.75pt;height:14.25pt" o:ole="">
            <v:imagedata r:id="rId118" o:title=""/>
          </v:shape>
          <o:OLEObject Type="Embed" ProgID="Equation.3" ShapeID="_x0000_i1072" DrawAspect="Content" ObjectID="_1700043755" r:id="rId119"/>
        </w:object>
      </w:r>
      <w:r w:rsidR="003827AF" w:rsidRPr="00C00335">
        <w:t xml:space="preserve">= </w:t>
      </w:r>
      <w:r w:rsidR="00BF425D" w:rsidRPr="00C00335">
        <w:t xml:space="preserve">annual </w:t>
      </w:r>
      <w:r w:rsidR="00341EDC" w:rsidRPr="00C00335">
        <w:t>r</w:t>
      </w:r>
      <w:r w:rsidR="00E573F8" w:rsidRPr="00C00335">
        <w:t xml:space="preserve">ate of </w:t>
      </w:r>
      <w:r w:rsidR="0047287B" w:rsidRPr="00C00335">
        <w:t xml:space="preserve">dropping off </w:t>
      </w:r>
      <w:r w:rsidR="00E573F8" w:rsidRPr="00C00335">
        <w:t xml:space="preserve">of ART if </w:t>
      </w:r>
      <w:r w:rsidR="00280171">
        <w:t>ART-not-VLS</w:t>
      </w:r>
      <w:r w:rsidR="003827AF" w:rsidRPr="00C00335">
        <w:t xml:space="preserve">, by demographic subpopulation </w:t>
      </w:r>
      <w:proofErr w:type="spellStart"/>
      <w:r w:rsidR="003827AF" w:rsidRPr="00C00335">
        <w:rPr>
          <w:i/>
        </w:rPr>
        <w:t>p</w:t>
      </w:r>
      <w:r w:rsidR="003827AF" w:rsidRPr="00C00335">
        <w:t xml:space="preserve"> at</w:t>
      </w:r>
      <w:proofErr w:type="spellEnd"/>
      <w:r w:rsidR="003827AF" w:rsidRPr="00C00335">
        <w:t xml:space="preserve"> time </w:t>
      </w:r>
      <w:proofErr w:type="gramStart"/>
      <w:r w:rsidR="003827AF" w:rsidRPr="00C00335">
        <w:rPr>
          <w:i/>
        </w:rPr>
        <w:t>t</w:t>
      </w:r>
      <w:r w:rsidR="001063EA" w:rsidRPr="00C00335">
        <w:rPr>
          <w:i/>
        </w:rPr>
        <w:t>;</w:t>
      </w:r>
      <w:proofErr w:type="gramEnd"/>
    </w:p>
    <w:p w14:paraId="4F05EF32" w14:textId="37247CF1" w:rsidR="00CA2B81" w:rsidRPr="00C00335" w:rsidRDefault="00747E9D" w:rsidP="002B1372">
      <w:pPr>
        <w:pStyle w:val="bullets"/>
      </w:pPr>
      <m:oMath>
        <m:sSub>
          <m:sSubPr>
            <m:ctrlPr>
              <w:rPr>
                <w:rFonts w:ascii="Cambria Math" w:hAnsi="Cambria Math"/>
                <w:i/>
              </w:rPr>
            </m:ctrlPr>
          </m:sSubPr>
          <m:e>
            <m:r>
              <w:rPr>
                <w:rFonts w:ascii="Cambria Math" w:hAnsi="Cambria Math"/>
              </w:rPr>
              <m:t>ζ</m:t>
            </m:r>
          </m:e>
          <m:sub>
            <m:r>
              <w:rPr>
                <w:rFonts w:ascii="Cambria Math" w:hAnsi="Cambria Math"/>
              </w:rPr>
              <m:t>p</m:t>
            </m:r>
          </m:sub>
        </m:sSub>
        <m:d>
          <m:dPr>
            <m:ctrlPr>
              <w:rPr>
                <w:rFonts w:ascii="Cambria Math" w:hAnsi="Cambria Math"/>
                <w:i/>
              </w:rPr>
            </m:ctrlPr>
          </m:dPr>
          <m:e>
            <m:r>
              <w:rPr>
                <w:rFonts w:ascii="Cambria Math" w:hAnsi="Cambria Math"/>
              </w:rPr>
              <m:t>t</m:t>
            </m:r>
          </m:e>
        </m:d>
      </m:oMath>
      <w:r w:rsidR="003827AF" w:rsidRPr="00C00335">
        <w:t xml:space="preserve">= </w:t>
      </w:r>
      <w:r w:rsidR="00BF425D" w:rsidRPr="00C00335">
        <w:t xml:space="preserve">annual </w:t>
      </w:r>
      <w:r w:rsidR="00341EDC" w:rsidRPr="00C00335">
        <w:t>r</w:t>
      </w:r>
      <w:r w:rsidR="003827AF" w:rsidRPr="00C00335">
        <w:t>ate</w:t>
      </w:r>
      <w:r w:rsidR="004E4790" w:rsidRPr="00C00335">
        <w:t xml:space="preserve"> of </w:t>
      </w:r>
      <w:r w:rsidR="00140583" w:rsidRPr="00C00335">
        <w:t xml:space="preserve">becoming </w:t>
      </w:r>
      <w:r w:rsidR="004E4790" w:rsidRPr="00C00335">
        <w:t>VLS</w:t>
      </w:r>
      <w:r w:rsidR="00140583" w:rsidRPr="00C00335">
        <w:t xml:space="preserve"> if ART-not-VLS</w:t>
      </w:r>
      <w:r w:rsidR="00E573F8" w:rsidRPr="00C00335">
        <w:t xml:space="preserve">, </w:t>
      </w:r>
      <w:r w:rsidR="003827AF" w:rsidRPr="00C00335">
        <w:t xml:space="preserve">by demographic subpopulation </w:t>
      </w:r>
      <w:proofErr w:type="spellStart"/>
      <w:r w:rsidR="003827AF" w:rsidRPr="00C00335">
        <w:rPr>
          <w:i/>
        </w:rPr>
        <w:t>p</w:t>
      </w:r>
      <w:r w:rsidR="003827AF" w:rsidRPr="00C00335">
        <w:t xml:space="preserve"> at</w:t>
      </w:r>
      <w:proofErr w:type="spellEnd"/>
      <w:r w:rsidR="003827AF" w:rsidRPr="00C00335">
        <w:t xml:space="preserve"> time </w:t>
      </w:r>
      <w:proofErr w:type="gramStart"/>
      <w:r w:rsidR="003827AF" w:rsidRPr="00C00335">
        <w:rPr>
          <w:i/>
        </w:rPr>
        <w:t>t</w:t>
      </w:r>
      <w:r w:rsidR="001063EA" w:rsidRPr="00C00335">
        <w:rPr>
          <w:i/>
        </w:rPr>
        <w:t>;</w:t>
      </w:r>
      <w:proofErr w:type="gramEnd"/>
    </w:p>
    <w:p w14:paraId="33B3C183" w14:textId="6FB4C54A" w:rsidR="00CA2B81" w:rsidRPr="00C00335" w:rsidRDefault="00747E9D" w:rsidP="002B1372">
      <w:pPr>
        <w:pStyle w:val="bullets"/>
      </w:pPr>
      <m:oMath>
        <m:sSubSup>
          <m:sSubSupPr>
            <m:ctrlPr>
              <w:rPr>
                <w:rFonts w:ascii="Cambria Math" w:hAnsi="Cambria Math"/>
                <w:i/>
              </w:rPr>
            </m:ctrlPr>
          </m:sSubSupPr>
          <m:e>
            <m:r>
              <w:rPr>
                <w:rFonts w:ascii="Cambria Math"/>
              </w:rPr>
              <m:t>H</m:t>
            </m:r>
          </m:e>
          <m:sub>
            <m:r>
              <w:rPr>
                <w:rFonts w:ascii="Cambria Math"/>
              </w:rPr>
              <m:t>p</m:t>
            </m:r>
          </m:sub>
          <m:sup>
            <m:r>
              <w:rPr>
                <w:rFonts w:ascii="Cambria Math"/>
              </w:rPr>
              <m:t>c</m:t>
            </m:r>
          </m:sup>
        </m:sSubSup>
      </m:oMath>
      <w:r w:rsidR="00CF52A2" w:rsidRPr="00C00335">
        <w:t xml:space="preserve"> </w:t>
      </w:r>
      <w:r w:rsidR="003827AF" w:rsidRPr="00C00335">
        <w:t xml:space="preserve">= </w:t>
      </w:r>
      <w:r w:rsidR="00341EDC" w:rsidRPr="00C00335">
        <w:t>r</w:t>
      </w:r>
      <w:r w:rsidR="003827AF" w:rsidRPr="00C00335">
        <w:t xml:space="preserve">ate of HIV progression to the next disease stage from compartment </w:t>
      </w:r>
      <w:r w:rsidR="003827AF" w:rsidRPr="00C00335">
        <w:rPr>
          <w:i/>
        </w:rPr>
        <w:t xml:space="preserve">c, </w:t>
      </w:r>
      <w:r w:rsidR="003827AF" w:rsidRPr="00C00335">
        <w:t xml:space="preserve">if </w:t>
      </w:r>
      <w:r w:rsidR="000965E6" w:rsidRPr="00C00335">
        <w:t xml:space="preserve">prescribed </w:t>
      </w:r>
      <w:r w:rsidR="00280171">
        <w:t>ART-not-VLS</w:t>
      </w:r>
      <w:r w:rsidR="004935EA">
        <w:t xml:space="preserve">, by demographic subpopulation </w:t>
      </w:r>
      <w:proofErr w:type="gramStart"/>
      <w:r w:rsidR="004935EA">
        <w:t>p</w:t>
      </w:r>
      <w:r w:rsidR="001063EA" w:rsidRPr="00C00335">
        <w:t>;</w:t>
      </w:r>
      <w:proofErr w:type="gramEnd"/>
    </w:p>
    <w:p w14:paraId="12138C85" w14:textId="68B1A468" w:rsidR="00CA2B81" w:rsidRPr="00C00335" w:rsidRDefault="00CF52A2" w:rsidP="002B1372">
      <w:pPr>
        <w:pStyle w:val="bullets"/>
      </w:pPr>
      <w:r w:rsidRPr="00C00335">
        <w:t xml:space="preserve">u </w:t>
      </w:r>
      <w:r w:rsidR="003827AF" w:rsidRPr="00C00335">
        <w:t xml:space="preserve">= </w:t>
      </w:r>
      <w:r w:rsidR="00341EDC" w:rsidRPr="00C00335">
        <w:t>p</w:t>
      </w:r>
      <w:r w:rsidR="003827AF" w:rsidRPr="00C00335">
        <w:t>ercentage of individuals who become VLS</w:t>
      </w:r>
      <w:r w:rsidRPr="00C00335">
        <w:t xml:space="preserve"> among those who are prescribed </w:t>
      </w:r>
      <w:proofErr w:type="gramStart"/>
      <w:r w:rsidRPr="00C00335">
        <w:t>ART</w:t>
      </w:r>
      <w:r w:rsidR="001063EA" w:rsidRPr="00C00335">
        <w:t>;</w:t>
      </w:r>
      <w:proofErr w:type="gramEnd"/>
    </w:p>
    <w:p w14:paraId="13027A33" w14:textId="02435244" w:rsidR="00BA1F4C" w:rsidRPr="00C00335" w:rsidRDefault="00F1655F" w:rsidP="002B1372">
      <w:pPr>
        <w:pStyle w:val="bullets"/>
      </w:pPr>
      <w:r w:rsidRPr="00C00335">
        <w:rPr>
          <w:position w:val="-12"/>
        </w:rPr>
        <w:object w:dxaOrig="540" w:dyaOrig="320" w14:anchorId="5366BFDE">
          <v:shape id="_x0000_i1073" type="#_x0000_t75" style="width:28.5pt;height:14.25pt" o:ole="">
            <v:imagedata r:id="rId120" o:title=""/>
          </v:shape>
          <o:OLEObject Type="Embed" ProgID="Equation.3" ShapeID="_x0000_i1073" DrawAspect="Content" ObjectID="_1700043756" r:id="rId121"/>
        </w:object>
      </w:r>
      <w:r w:rsidR="00BA1F4C" w:rsidRPr="00C00335">
        <w:t xml:space="preserve">= rate of loss of viral load suppression if VLS, by demographic subpopulation </w:t>
      </w:r>
      <w:proofErr w:type="spellStart"/>
      <w:r w:rsidR="00BA1F4C" w:rsidRPr="00C00335">
        <w:rPr>
          <w:i/>
        </w:rPr>
        <w:t>p</w:t>
      </w:r>
      <w:r w:rsidR="00BA1F4C" w:rsidRPr="00C00335">
        <w:t xml:space="preserve"> at</w:t>
      </w:r>
      <w:proofErr w:type="spellEnd"/>
      <w:r w:rsidR="00BA1F4C" w:rsidRPr="00C00335">
        <w:t xml:space="preserve"> </w:t>
      </w:r>
      <w:proofErr w:type="gramStart"/>
      <w:r w:rsidR="00BA1F4C" w:rsidRPr="00C00335">
        <w:t>time</w:t>
      </w:r>
      <w:r w:rsidR="001063EA" w:rsidRPr="00C00335">
        <w:t>;</w:t>
      </w:r>
      <w:proofErr w:type="gramEnd"/>
    </w:p>
    <w:p w14:paraId="6116ACA0" w14:textId="01FD1322" w:rsidR="00B72C75" w:rsidRPr="00C00335" w:rsidRDefault="00F1655F" w:rsidP="002B1372">
      <w:pPr>
        <w:pStyle w:val="bullets"/>
      </w:pPr>
      <w:r w:rsidRPr="00C00335">
        <w:rPr>
          <w:position w:val="-4"/>
        </w:rPr>
        <w:object w:dxaOrig="300" w:dyaOrig="300" w14:anchorId="27DB9066">
          <v:shape id="_x0000_i1074" type="#_x0000_t75" style="width:14.25pt;height:14.25pt" o:ole="">
            <v:imagedata r:id="rId122" o:title=""/>
          </v:shape>
          <o:OLEObject Type="Embed" ProgID="Equation.3" ShapeID="_x0000_i1074" DrawAspect="Content" ObjectID="_1700043757" r:id="rId123"/>
        </w:object>
      </w:r>
      <w:r w:rsidR="003827AF" w:rsidRPr="00C00335">
        <w:t xml:space="preserve">= </w:t>
      </w:r>
      <w:r w:rsidR="00341EDC" w:rsidRPr="00C00335">
        <w:t>r</w:t>
      </w:r>
      <w:r w:rsidR="003827AF" w:rsidRPr="00C00335">
        <w:t xml:space="preserve">ate of HIV progression to the next disease stage from compartment </w:t>
      </w:r>
      <w:r w:rsidR="003827AF" w:rsidRPr="00C00335">
        <w:rPr>
          <w:i/>
        </w:rPr>
        <w:t xml:space="preserve">c, </w:t>
      </w:r>
      <w:r w:rsidR="003827AF" w:rsidRPr="00C00335">
        <w:t>if VLS</w:t>
      </w:r>
      <w:r w:rsidR="001063EA" w:rsidRPr="00C00335">
        <w:t>; and</w:t>
      </w:r>
    </w:p>
    <w:p w14:paraId="3DE95582" w14:textId="342BEFDA" w:rsidR="00BA1F4C" w:rsidRPr="00C00335" w:rsidRDefault="00747E9D" w:rsidP="002B1372">
      <w:pPr>
        <w:pStyle w:val="bullets"/>
      </w:pPr>
      <m:oMath>
        <m:sSubSup>
          <m:sSubSupPr>
            <m:ctrlPr>
              <w:rPr>
                <w:rFonts w:ascii="Cambria Math" w:hAnsi="Cambria Math"/>
                <w:i/>
              </w:rPr>
            </m:ctrlPr>
          </m:sSubSupPr>
          <m:e>
            <m:r>
              <w:rPr>
                <w:rFonts w:ascii="Cambria Math"/>
              </w:rPr>
              <m:t>ϑ</m:t>
            </m:r>
          </m:e>
          <m:sub>
            <m:r>
              <w:rPr>
                <w:rFonts w:ascii="Cambria Math"/>
              </w:rPr>
              <m:t>p</m:t>
            </m:r>
          </m:sub>
          <m:sup>
            <m:r>
              <w:rPr>
                <w:rFonts w:ascii="Cambria Math"/>
              </w:rPr>
              <m:t>c</m:t>
            </m:r>
          </m:sup>
        </m:sSubSup>
      </m:oMath>
      <w:r w:rsidR="00BA1F4C" w:rsidRPr="00C00335">
        <w:t xml:space="preserve">= </w:t>
      </w:r>
      <w:r w:rsidR="00341EDC" w:rsidRPr="00C00335">
        <w:t>r</w:t>
      </w:r>
      <w:r w:rsidR="00BA1F4C" w:rsidRPr="00C00335">
        <w:t xml:space="preserve">ate of HIV progression to the previous disease stage from compartment </w:t>
      </w:r>
      <w:r w:rsidR="00BA1F4C" w:rsidRPr="00C00335">
        <w:rPr>
          <w:i/>
        </w:rPr>
        <w:t>c</w:t>
      </w:r>
      <w:r w:rsidR="00BA1F4C" w:rsidRPr="00C00335">
        <w:t>, if VLS</w:t>
      </w:r>
      <w:r w:rsidR="004935EA">
        <w:t>, by demographic subpopulation p</w:t>
      </w:r>
      <w:r w:rsidR="001063EA" w:rsidRPr="00C00335">
        <w:t>.</w:t>
      </w:r>
    </w:p>
    <w:p w14:paraId="0EB14CB8" w14:textId="77777777" w:rsidR="00336761" w:rsidRPr="00C00335" w:rsidRDefault="00336761" w:rsidP="00336761">
      <w:pPr>
        <w:pStyle w:val="Heading2"/>
      </w:pPr>
      <w:bookmarkStart w:id="109" w:name="_Toc398293129"/>
      <w:bookmarkStart w:id="110" w:name="_Toc89257555"/>
      <w:r w:rsidRPr="00C00335">
        <w:t xml:space="preserve">Individuals </w:t>
      </w:r>
      <w:r w:rsidR="00D63BB9" w:rsidRPr="00C00335">
        <w:t>w</w:t>
      </w:r>
      <w:r w:rsidRPr="00C00335">
        <w:t>ith AIDS (CD4 &lt; 200) (</w:t>
      </w:r>
      <w:r w:rsidRPr="00C00335">
        <w:rPr>
          <w:i/>
          <w:iCs/>
        </w:rPr>
        <w:t>h</w:t>
      </w:r>
      <w:r w:rsidRPr="00C00335">
        <w:t> = 5)</w:t>
      </w:r>
      <w:bookmarkEnd w:id="109"/>
      <w:bookmarkEnd w:id="110"/>
    </w:p>
    <w:p w14:paraId="408088D5" w14:textId="081B0230" w:rsidR="004F4E6D" w:rsidRPr="00C00335" w:rsidRDefault="00336761" w:rsidP="0012168B">
      <w:pPr>
        <w:pStyle w:val="BodyText"/>
      </w:pPr>
      <w:r w:rsidRPr="00C00335">
        <w:t>The numbers of individuals with AIDS (</w:t>
      </w:r>
      <w:r w:rsidR="007031C9" w:rsidRPr="00C00335">
        <w:rPr>
          <w:i/>
          <w:iCs/>
        </w:rPr>
        <w:t>c</w:t>
      </w:r>
      <w:r w:rsidRPr="00C00335">
        <w:t> = </w:t>
      </w:r>
      <w:r w:rsidR="00B72C75" w:rsidRPr="00C00335">
        <w:t>2</w:t>
      </w:r>
      <w:r w:rsidR="00952E82" w:rsidRPr="00C00335">
        <w:t>1</w:t>
      </w:r>
      <w:r w:rsidR="00B72C75" w:rsidRPr="00C00335">
        <w:t xml:space="preserve"> to 2</w:t>
      </w:r>
      <w:r w:rsidR="00952E82" w:rsidRPr="00C00335">
        <w:t>5</w:t>
      </w:r>
      <w:r w:rsidRPr="00C00335">
        <w:t>), by demographic subpopulation</w:t>
      </w:r>
      <w:r w:rsidR="00B72C75" w:rsidRPr="00C00335">
        <w:t xml:space="preserve"> </w:t>
      </w:r>
      <w:r w:rsidR="00B72C75" w:rsidRPr="00C00335">
        <w:rPr>
          <w:i/>
        </w:rPr>
        <w:t>p</w:t>
      </w:r>
      <w:r w:rsidRPr="00C00335">
        <w:t xml:space="preserve">, are determined by Equations </w:t>
      </w:r>
      <w:r w:rsidR="008B30F8" w:rsidRPr="00C00335">
        <w:t>(</w:t>
      </w:r>
      <w:r w:rsidR="00936A10" w:rsidRPr="00C00335">
        <w:t>7.</w:t>
      </w:r>
      <w:r w:rsidRPr="00C00335">
        <w:t>1</w:t>
      </w:r>
      <w:r w:rsidR="00BA1F4C" w:rsidRPr="00C00335">
        <w:t>6</w:t>
      </w:r>
      <w:r w:rsidR="008B30F8" w:rsidRPr="00C00335">
        <w:t>)</w:t>
      </w:r>
      <w:r w:rsidRPr="00C00335">
        <w:t xml:space="preserve"> through </w:t>
      </w:r>
      <w:r w:rsidR="008B30F8" w:rsidRPr="00C00335">
        <w:t>(</w:t>
      </w:r>
      <w:r w:rsidR="00936A10" w:rsidRPr="00C00335">
        <w:t>7.</w:t>
      </w:r>
      <w:r w:rsidR="00BA1F4C" w:rsidRPr="00C00335">
        <w:t>20</w:t>
      </w:r>
      <w:r w:rsidR="008B30F8" w:rsidRPr="00C00335">
        <w:t>)</w:t>
      </w:r>
      <w:r w:rsidRPr="00C00335">
        <w:t>, corresponding to continuum-of-care stages</w:t>
      </w:r>
      <w:r w:rsidR="00952E82" w:rsidRPr="00C00335">
        <w:t xml:space="preserve"> (</w:t>
      </w:r>
      <w:r w:rsidR="00952E82" w:rsidRPr="00C00335">
        <w:rPr>
          <w:i/>
          <w:iCs/>
        </w:rPr>
        <w:t>r</w:t>
      </w:r>
      <w:r w:rsidR="00952E82" w:rsidRPr="00C00335">
        <w:t>)</w:t>
      </w:r>
      <w:r w:rsidRPr="00C00335">
        <w:rPr>
          <w:i/>
          <w:iCs/>
        </w:rPr>
        <w:t xml:space="preserve"> </w:t>
      </w:r>
      <w:r w:rsidR="00B72C75" w:rsidRPr="00C00335">
        <w:t>1 to 5</w:t>
      </w:r>
      <w:r w:rsidRPr="00C00335">
        <w:t xml:space="preserve">, respectively. </w:t>
      </w:r>
      <w:r w:rsidR="00492BF2" w:rsidRPr="00C00335">
        <w:t>Across these compartments, transitions that can increase the number of individuals in a particular compartment</w:t>
      </w:r>
      <w:r w:rsidR="00492BF2" w:rsidRPr="00C00335" w:rsidDel="00492BF2">
        <w:t xml:space="preserve"> </w:t>
      </w:r>
      <w:r w:rsidRPr="00C00335">
        <w:t xml:space="preserve">include HIV progression, testing and notification of results, linkage to or departure from HIV care, </w:t>
      </w:r>
      <w:r w:rsidR="00B72C75" w:rsidRPr="00C00335">
        <w:t xml:space="preserve">ART </w:t>
      </w:r>
      <w:r w:rsidR="00952E82" w:rsidRPr="00C00335">
        <w:t>prescription</w:t>
      </w:r>
      <w:r w:rsidR="00492BF2" w:rsidRPr="00C00335">
        <w:t xml:space="preserve"> (resulting in VLS or not)</w:t>
      </w:r>
      <w:r w:rsidR="00B72C75" w:rsidRPr="00C00335">
        <w:t>, loss of ART, and loss of viral suppression</w:t>
      </w:r>
      <w:r w:rsidRPr="00C00335">
        <w:t xml:space="preserve">. Transitions that decrease the </w:t>
      </w:r>
      <w:r w:rsidR="00492BF2" w:rsidRPr="00C00335">
        <w:t xml:space="preserve">number of </w:t>
      </w:r>
      <w:r w:rsidR="0079728B">
        <w:t>PWH</w:t>
      </w:r>
      <w:r w:rsidR="00492BF2" w:rsidRPr="00C00335">
        <w:t xml:space="preserve"> in any of these compartments </w:t>
      </w:r>
      <w:r w:rsidRPr="00C00335">
        <w:t>include testing and notification of results, linkage to</w:t>
      </w:r>
      <w:r w:rsidR="00B72C75" w:rsidRPr="00C00335">
        <w:t xml:space="preserve"> and departure from</w:t>
      </w:r>
      <w:r w:rsidRPr="00C00335">
        <w:t xml:space="preserve"> HIV care, </w:t>
      </w:r>
      <w:r w:rsidR="00124B2F">
        <w:t xml:space="preserve">and </w:t>
      </w:r>
      <w:r w:rsidRPr="00C00335">
        <w:t>death from AIDS. Aging also shifts individuals among age groups. These equations differ from the other sets of equations in that they include AIDS-related mortality.</w:t>
      </w:r>
    </w:p>
    <w:p w14:paraId="69014A92" w14:textId="5B64FFCC" w:rsidR="00987410" w:rsidRPr="00C00335" w:rsidRDefault="00987410" w:rsidP="00751A9E">
      <w:pPr>
        <w:pStyle w:val="equation"/>
        <w:spacing w:after="360"/>
        <w:rPr>
          <w:sz w:val="22"/>
        </w:rPr>
      </w:pPr>
      <w:r w:rsidRPr="00C00335">
        <w:rPr>
          <w:snapToGrid w:val="0"/>
          <w:sz w:val="22"/>
        </w:rPr>
        <w:tab/>
      </w:r>
      <m:oMath>
        <m:f>
          <m:fPr>
            <m:ctrlPr>
              <w:rPr>
                <w:snapToGrid w:val="0"/>
              </w:rPr>
            </m:ctrlPr>
          </m:fPr>
          <m:num>
            <m:sSubSup>
              <m:sSubSupPr>
                <m:ctrlPr>
                  <w:rPr>
                    <w:snapToGrid w:val="0"/>
                  </w:rPr>
                </m:ctrlPr>
              </m:sSubSupPr>
              <m:e>
                <m:r>
                  <m:t>dX</m:t>
                </m:r>
              </m:e>
              <m:sub>
                <m:r>
                  <m:t>p</m:t>
                </m:r>
              </m:sub>
              <m:sup>
                <m:r>
                  <m:t>c</m:t>
                </m:r>
                <m:r>
                  <m:rPr>
                    <m:sty m:val="p"/>
                  </m:rPr>
                  <m:t>=21</m:t>
                </m:r>
              </m:sup>
            </m:sSubSup>
            <m:d>
              <m:dPr>
                <m:ctrlPr/>
              </m:dPr>
              <m:e>
                <m:r>
                  <m:t>t</m:t>
                </m:r>
              </m:e>
            </m:d>
          </m:num>
          <m:den>
            <m:r>
              <m:t>dt</m:t>
            </m:r>
          </m:den>
        </m:f>
        <m:r>
          <m:rPr>
            <m:sty m:val="p"/>
          </m:rPr>
          <m:t>=</m:t>
        </m:r>
        <m:sSubSup>
          <m:sSubSupPr>
            <m:ctrlPr>
              <w:rPr>
                <w:i/>
              </w:rPr>
            </m:ctrlPr>
          </m:sSubSupPr>
          <m:e>
            <m:r>
              <m:t>ω</m:t>
            </m:r>
          </m:e>
          <m:sub>
            <m:r>
              <m:t>p</m:t>
            </m:r>
          </m:sub>
          <m:sup>
            <m:r>
              <m:t>c=16</m:t>
            </m:r>
          </m:sup>
        </m:sSubSup>
        <m:sSubSup>
          <m:sSubSupPr>
            <m:ctrlPr>
              <w:rPr>
                <w:snapToGrid w:val="0"/>
              </w:rPr>
            </m:ctrlPr>
          </m:sSubSupPr>
          <m:e>
            <m:r>
              <m:t>X</m:t>
            </m:r>
          </m:e>
          <m:sub>
            <m:r>
              <m:t>p</m:t>
            </m:r>
          </m:sub>
          <m:sup>
            <m:r>
              <m:t>c</m:t>
            </m:r>
            <m:r>
              <m:rPr>
                <m:sty m:val="p"/>
              </m:rPr>
              <m:t>=16</m:t>
            </m:r>
          </m:sup>
        </m:sSubSup>
        <m:d>
          <m:dPr>
            <m:ctrlPr/>
          </m:dPr>
          <m:e>
            <m:r>
              <m:t>t</m:t>
            </m:r>
          </m:e>
        </m:d>
        <m:r>
          <m:rPr>
            <m:sty m:val="p"/>
          </m:rPr>
          <m:t>-[</m:t>
        </m:r>
        <m:sSubSup>
          <m:sSubSupPr>
            <m:ctrlPr>
              <w:rPr>
                <w:snapToGrid w:val="0"/>
              </w:rPr>
            </m:ctrlPr>
          </m:sSubSupPr>
          <m:e>
            <m:r>
              <m:t>τ</m:t>
            </m:r>
          </m:e>
          <m:sub>
            <m:r>
              <m:t>p</m:t>
            </m:r>
          </m:sub>
          <m:sup>
            <m:r>
              <m:t>c</m:t>
            </m:r>
            <m:r>
              <m:rPr>
                <m:sty m:val="p"/>
              </m:rPr>
              <m:t>=21</m:t>
            </m:r>
          </m:sup>
        </m:sSubSup>
        <m:d>
          <m:dPr>
            <m:ctrlPr/>
          </m:dPr>
          <m:e>
            <m:r>
              <m:t>t</m:t>
            </m:r>
          </m:e>
        </m:d>
        <m:r>
          <m:rPr>
            <m:sty m:val="p"/>
          </m:rPr>
          <m:t>+</m:t>
        </m:r>
        <m:sSubSup>
          <m:sSubSupPr>
            <m:ctrlPr>
              <w:rPr>
                <w:i/>
              </w:rPr>
            </m:ctrlPr>
          </m:sSubSupPr>
          <m:e>
            <m:r>
              <m:t>σ</m:t>
            </m:r>
          </m:e>
          <m:sub>
            <m:r>
              <m:t>p</m:t>
            </m:r>
          </m:sub>
          <m:sup>
            <m:r>
              <m:t>c=21</m:t>
            </m:r>
          </m:sup>
        </m:sSubSup>
        <m:d>
          <m:dPr>
            <m:ctrlPr>
              <w:rPr>
                <w:i/>
              </w:rPr>
            </m:ctrlPr>
          </m:dPr>
          <m:e>
            <m:r>
              <m:t>t</m:t>
            </m:r>
          </m:e>
        </m:d>
        <m:r>
          <m:rPr>
            <m:sty m:val="p"/>
          </m:rPr>
          <m:t>+</m:t>
        </m:r>
        <m:sSubSup>
          <m:sSubSupPr>
            <m:ctrlPr>
              <w:rPr>
                <w:snapToGrid w:val="0"/>
              </w:rPr>
            </m:ctrlPr>
          </m:sSubSupPr>
          <m:e>
            <m:r>
              <m:t>δ</m:t>
            </m:r>
          </m:e>
          <m:sub>
            <m:r>
              <m:t>p</m:t>
            </m:r>
          </m:sub>
          <m:sup>
            <m:r>
              <m:rPr>
                <m:sty m:val="p"/>
              </m:rPr>
              <m:t>-</m:t>
            </m:r>
          </m:sup>
        </m:sSubSup>
        <m:sSubSup>
          <m:sSubSupPr>
            <m:ctrlPr>
              <w:rPr>
                <w:snapToGrid w:val="0"/>
              </w:rPr>
            </m:ctrlPr>
          </m:sSubSupPr>
          <m:e>
            <m:r>
              <m:t>]X</m:t>
            </m:r>
          </m:e>
          <m:sub>
            <m:r>
              <m:t>p</m:t>
            </m:r>
          </m:sub>
          <m:sup>
            <m:r>
              <m:t>c</m:t>
            </m:r>
            <m:r>
              <m:rPr>
                <m:sty m:val="p"/>
              </m:rPr>
              <m:t>=21</m:t>
            </m:r>
          </m:sup>
        </m:sSubSup>
        <m:d>
          <m:dPr>
            <m:ctrlPr/>
          </m:dPr>
          <m:e>
            <m:r>
              <m:t>t</m:t>
            </m:r>
          </m:e>
        </m:d>
        <m:r>
          <m:rPr>
            <m:sty m:val="p"/>
          </m:rPr>
          <m:t>+</m:t>
        </m:r>
        <m:sSubSup>
          <m:sSubSupPr>
            <m:ctrlPr>
              <w:rPr>
                <w:snapToGrid w:val="0"/>
              </w:rPr>
            </m:ctrlPr>
          </m:sSubSupPr>
          <m:e>
            <m:r>
              <m:t>[δ</m:t>
            </m:r>
          </m:e>
          <m:sub>
            <m:r>
              <m:t>p</m:t>
            </m:r>
          </m:sub>
          <m:sup>
            <m:r>
              <m:rPr>
                <m:sty m:val="p"/>
              </m:rPr>
              <m:t>+</m:t>
            </m:r>
          </m:sup>
        </m:sSubSup>
        <m:r>
          <w:rPr>
            <w:snapToGrid w:val="0"/>
          </w:rPr>
          <m:t>]</m:t>
        </m:r>
        <m:sSubSup>
          <m:sSubSupPr>
            <m:ctrlPr>
              <w:rPr>
                <w:snapToGrid w:val="0"/>
              </w:rPr>
            </m:ctrlPr>
          </m:sSubSupPr>
          <m:e>
            <m:r>
              <m:t>X</m:t>
            </m:r>
          </m:e>
          <m:sub>
            <m:r>
              <m:t>p</m:t>
            </m:r>
            <m:r>
              <m:rPr>
                <m:sty m:val="p"/>
              </m:rPr>
              <m:t>-1</m:t>
            </m:r>
          </m:sub>
          <m:sup>
            <m:r>
              <m:t>c</m:t>
            </m:r>
            <m:r>
              <m:rPr>
                <m:sty m:val="p"/>
              </m:rPr>
              <m:t>=21</m:t>
            </m:r>
          </m:sup>
        </m:sSubSup>
        <m:d>
          <m:dPr>
            <m:ctrlPr/>
          </m:dPr>
          <m:e>
            <m:r>
              <m:t>t</m:t>
            </m:r>
          </m:e>
        </m:d>
      </m:oMath>
      <w:r w:rsidRPr="00C00335">
        <w:rPr>
          <w:sz w:val="22"/>
        </w:rPr>
        <w:tab/>
        <w:t>(7.16)</w:t>
      </w:r>
    </w:p>
    <w:p w14:paraId="0BD497C3" w14:textId="4CB60967" w:rsidR="00987410" w:rsidRPr="00C00335" w:rsidRDefault="00747E9D" w:rsidP="00751A9E">
      <w:pPr>
        <w:pStyle w:val="equation"/>
        <w:tabs>
          <w:tab w:val="left" w:pos="270"/>
        </w:tabs>
        <w:spacing w:after="360"/>
      </w:pPr>
      <m:oMathPara>
        <m:oMath>
          <m:f>
            <m:fPr>
              <m:ctrlPr>
                <w:rPr>
                  <w:i/>
                </w:rPr>
              </m:ctrlPr>
            </m:fPr>
            <m:num>
              <m:sSubSup>
                <m:sSubSupPr>
                  <m:ctrlPr>
                    <w:rPr>
                      <w:i/>
                    </w:rPr>
                  </m:ctrlPr>
                </m:sSubSupPr>
                <m:e>
                  <m:r>
                    <m:t>dX</m:t>
                  </m:r>
                </m:e>
                <m:sub>
                  <m:r>
                    <m:t>p</m:t>
                  </m:r>
                </m:sub>
                <m:sup>
                  <m:r>
                    <m:t>c=22</m:t>
                  </m:r>
                </m:sup>
              </m:sSubSup>
              <m:d>
                <m:dPr>
                  <m:ctrlPr>
                    <w:rPr>
                      <w:i/>
                    </w:rPr>
                  </m:ctrlPr>
                </m:dPr>
                <m:e>
                  <m:r>
                    <m:t>t</m:t>
                  </m:r>
                </m:e>
              </m:d>
            </m:num>
            <m:den>
              <m:r>
                <m:t>dt</m:t>
              </m:r>
            </m:den>
          </m:f>
          <m:r>
            <m:t>=</m:t>
          </m:r>
          <m:d>
            <m:dPr>
              <m:begChr m:val="["/>
              <m:endChr m:val="]"/>
              <m:ctrlPr>
                <w:rPr>
                  <w:i/>
                </w:rPr>
              </m:ctrlPr>
            </m:dPr>
            <m:e>
              <m:sSubSup>
                <m:sSubSupPr>
                  <m:ctrlPr>
                    <w:rPr>
                      <w:i/>
                    </w:rPr>
                  </m:ctrlPr>
                </m:sSubSupPr>
                <m:e>
                  <m:r>
                    <m:t>τ</m:t>
                  </m:r>
                </m:e>
                <m:sub>
                  <m:r>
                    <m:t>p</m:t>
                  </m:r>
                </m:sub>
                <m:sup>
                  <m:r>
                    <m:t>c=21</m:t>
                  </m:r>
                </m:sup>
              </m:sSubSup>
              <m:d>
                <m:dPr>
                  <m:ctrlPr>
                    <w:rPr>
                      <w:i/>
                    </w:rPr>
                  </m:ctrlPr>
                </m:dPr>
                <m:e>
                  <m:r>
                    <m:t>t</m:t>
                  </m:r>
                </m:e>
              </m:d>
            </m:e>
          </m:d>
          <m:d>
            <m:dPr>
              <m:begChr m:val="["/>
              <m:endChr m:val="]"/>
              <m:ctrlPr>
                <w:rPr>
                  <w:i/>
                </w:rPr>
              </m:ctrlPr>
            </m:dPr>
            <m:e>
              <m:r>
                <m:t>1-</m:t>
              </m:r>
              <m:sSub>
                <m:sSubPr>
                  <m:ctrlPr>
                    <w:rPr>
                      <w:i/>
                    </w:rPr>
                  </m:ctrlPr>
                </m:sSubPr>
                <m:e>
                  <m:r>
                    <m:t>κ</m:t>
                  </m:r>
                </m:e>
                <m:sub>
                  <m:r>
                    <m:t>p</m:t>
                  </m:r>
                </m:sub>
              </m:sSub>
              <m:d>
                <m:dPr>
                  <m:ctrlPr>
                    <w:rPr>
                      <w:i/>
                    </w:rPr>
                  </m:ctrlPr>
                </m:dPr>
                <m:e>
                  <m:r>
                    <m:t>t</m:t>
                  </m:r>
                </m:e>
              </m:d>
            </m:e>
          </m:d>
          <m:sSubSup>
            <m:sSubSupPr>
              <m:ctrlPr>
                <w:rPr>
                  <w:i/>
                </w:rPr>
              </m:ctrlPr>
            </m:sSubSupPr>
            <m:e>
              <m:r>
                <m:t>X</m:t>
              </m:r>
            </m:e>
            <m:sub>
              <m:r>
                <m:t>p</m:t>
              </m:r>
            </m:sub>
            <m:sup>
              <m:r>
                <m:t>c=21</m:t>
              </m:r>
            </m:sup>
          </m:sSubSup>
          <m:d>
            <m:dPr>
              <m:ctrlPr>
                <w:rPr>
                  <w:i/>
                </w:rPr>
              </m:ctrlPr>
            </m:dPr>
            <m:e>
              <m:r>
                <m:t>t</m:t>
              </m:r>
            </m:e>
          </m:d>
          <m:r>
            <m:t>+</m:t>
          </m:r>
          <m:d>
            <m:dPr>
              <m:begChr m:val="["/>
              <m:endChr m:val="]"/>
              <m:ctrlPr>
                <w:rPr>
                  <w:i/>
                </w:rPr>
              </m:ctrlPr>
            </m:dPr>
            <m:e>
              <m:sSubSup>
                <m:sSubSupPr>
                  <m:ctrlPr>
                    <w:rPr>
                      <w:i/>
                    </w:rPr>
                  </m:ctrlPr>
                </m:sSubSupPr>
                <m:e>
                  <m:r>
                    <m:t>ω</m:t>
                  </m:r>
                </m:e>
                <m:sub>
                  <m:r>
                    <m:t>p</m:t>
                  </m:r>
                </m:sub>
                <m:sup>
                  <m:r>
                    <m:t>c=17</m:t>
                  </m:r>
                </m:sup>
              </m:sSubSup>
            </m:e>
          </m:d>
          <m:sSubSup>
            <m:sSubSupPr>
              <m:ctrlPr>
                <w:rPr>
                  <w:i/>
                </w:rPr>
              </m:ctrlPr>
            </m:sSubSupPr>
            <m:e>
              <m:r>
                <m:t>X</m:t>
              </m:r>
            </m:e>
            <m:sub>
              <m:r>
                <m:t>p</m:t>
              </m:r>
            </m:sub>
            <m:sup>
              <m:r>
                <m:t>c=17</m:t>
              </m:r>
            </m:sup>
          </m:sSubSup>
          <m:d>
            <m:dPr>
              <m:ctrlPr>
                <w:rPr>
                  <w:i/>
                </w:rPr>
              </m:ctrlPr>
            </m:dPr>
            <m:e>
              <m:r>
                <m:t>t</m:t>
              </m:r>
            </m:e>
          </m:d>
          <m:r>
            <m:rPr>
              <m:sty m:val="p"/>
            </m:rPr>
            <w:br/>
          </m:r>
        </m:oMath>
      </m:oMathPara>
      <w:r w:rsidR="006A4A25" w:rsidRPr="00C00335">
        <w:tab/>
      </w:r>
      <w:r w:rsidR="002F0FFB" w:rsidRPr="00C00335">
        <w:tab/>
      </w:r>
      <m:oMath>
        <m:r>
          <m:t>+</m:t>
        </m:r>
        <m:d>
          <m:dPr>
            <m:begChr m:val="["/>
            <m:endChr m:val="]"/>
            <m:ctrlPr>
              <w:rPr>
                <w:i/>
              </w:rPr>
            </m:ctrlPr>
          </m:dPr>
          <m:e>
            <m:sSub>
              <m:sSubPr>
                <m:ctrlPr>
                  <w:rPr>
                    <w:i/>
                  </w:rPr>
                </m:ctrlPr>
              </m:sSubPr>
              <m:e>
                <m:r>
                  <m:t>e</m:t>
                </m:r>
              </m:e>
              <m:sub>
                <m:r>
                  <m:t>p</m:t>
                </m:r>
              </m:sub>
            </m:sSub>
            <m:d>
              <m:dPr>
                <m:ctrlPr>
                  <w:rPr>
                    <w:i/>
                  </w:rPr>
                </m:ctrlPr>
              </m:dPr>
              <m:e>
                <m:r>
                  <m:t>t</m:t>
                </m:r>
              </m:e>
            </m:d>
          </m:e>
        </m:d>
        <m:sSubSup>
          <m:sSubSupPr>
            <m:ctrlPr>
              <w:rPr>
                <w:i/>
              </w:rPr>
            </m:ctrlPr>
          </m:sSubSupPr>
          <m:e>
            <m:r>
              <m:t>X</m:t>
            </m:r>
          </m:e>
          <m:sub>
            <m:r>
              <m:t>p</m:t>
            </m:r>
          </m:sub>
          <m:sup>
            <m:r>
              <m:t>c=23</m:t>
            </m:r>
          </m:sup>
        </m:sSubSup>
        <m:d>
          <m:dPr>
            <m:ctrlPr>
              <w:rPr>
                <w:i/>
              </w:rPr>
            </m:ctrlPr>
          </m:dPr>
          <m:e>
            <m:r>
              <m:t>t</m:t>
            </m:r>
          </m:e>
        </m:d>
        <m:r>
          <m:t>-</m:t>
        </m:r>
        <m:d>
          <m:dPr>
            <m:ctrlPr>
              <w:rPr>
                <w:i/>
              </w:rPr>
            </m:ctrlPr>
          </m:dPr>
          <m:e>
            <m:sSubSup>
              <m:sSubSupPr>
                <m:ctrlPr>
                  <w:rPr>
                    <w:i/>
                  </w:rPr>
                </m:ctrlPr>
              </m:sSubSupPr>
              <m:e>
                <m:r>
                  <m:rPr>
                    <m:scr m:val="script"/>
                  </m:rPr>
                  <m:t>l</m:t>
                </m:r>
              </m:e>
              <m:sub>
                <m:r>
                  <m:t>p</m:t>
                </m:r>
              </m:sub>
              <m:sup>
                <m:r>
                  <m:t>c=22</m:t>
                </m:r>
              </m:sup>
            </m:sSubSup>
            <m:d>
              <m:dPr>
                <m:ctrlPr>
                  <w:rPr>
                    <w:i/>
                  </w:rPr>
                </m:ctrlPr>
              </m:dPr>
              <m:e>
                <m:r>
                  <m:t>t</m:t>
                </m:r>
              </m:e>
            </m:d>
            <m:r>
              <m:t>+</m:t>
            </m:r>
            <m:sSubSup>
              <m:sSubSupPr>
                <m:ctrlPr>
                  <w:rPr>
                    <w:i/>
                  </w:rPr>
                </m:ctrlPr>
              </m:sSubSupPr>
              <m:e>
                <m:r>
                  <m:t>σ</m:t>
                </m:r>
              </m:e>
              <m:sub>
                <m:r>
                  <m:t>p</m:t>
                </m:r>
              </m:sub>
              <m:sup>
                <m:r>
                  <m:t>c=22</m:t>
                </m:r>
              </m:sup>
            </m:sSubSup>
            <m:d>
              <m:dPr>
                <m:ctrlPr>
                  <w:rPr>
                    <w:i/>
                  </w:rPr>
                </m:ctrlPr>
              </m:dPr>
              <m:e>
                <m:r>
                  <m:t>t</m:t>
                </m:r>
              </m:e>
            </m:d>
            <m:r>
              <m:t>+</m:t>
            </m:r>
            <m:sSubSup>
              <m:sSubSupPr>
                <m:ctrlPr>
                  <w:rPr>
                    <w:i/>
                  </w:rPr>
                </m:ctrlPr>
              </m:sSubSupPr>
              <m:e>
                <m:r>
                  <m:t>δ</m:t>
                </m:r>
              </m:e>
              <m:sub>
                <m:r>
                  <m:t>p</m:t>
                </m:r>
              </m:sub>
              <m:sup>
                <m:r>
                  <m:t>-</m:t>
                </m:r>
              </m:sup>
            </m:sSubSup>
          </m:e>
        </m:d>
        <m:sSubSup>
          <m:sSubSupPr>
            <m:ctrlPr>
              <w:rPr>
                <w:i/>
              </w:rPr>
            </m:ctrlPr>
          </m:sSubSupPr>
          <m:e>
            <m:r>
              <m:t>X</m:t>
            </m:r>
          </m:e>
          <m:sub>
            <m:r>
              <m:t>p</m:t>
            </m:r>
          </m:sub>
          <m:sup>
            <m:r>
              <m:t>c=22</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c=22</m:t>
            </m:r>
          </m:sup>
        </m:sSubSup>
        <m:r>
          <m:t>(t)</m:t>
        </m:r>
      </m:oMath>
      <w:r w:rsidR="002F0FFB" w:rsidRPr="00C00335">
        <w:tab/>
        <w:t>(7.17)</w:t>
      </w:r>
    </w:p>
    <w:p w14:paraId="577BC684" w14:textId="7E939B84" w:rsidR="00530191" w:rsidRPr="00C00335" w:rsidRDefault="00747E9D" w:rsidP="00751A9E">
      <w:pPr>
        <w:pStyle w:val="equation"/>
        <w:tabs>
          <w:tab w:val="left" w:pos="1260"/>
        </w:tabs>
        <w:spacing w:after="360"/>
      </w:pPr>
      <m:oMathPara>
        <m:oMath>
          <m:f>
            <m:fPr>
              <m:ctrlPr>
                <w:rPr>
                  <w:i/>
                </w:rPr>
              </m:ctrlPr>
            </m:fPr>
            <m:num>
              <m:sSubSup>
                <m:sSubSupPr>
                  <m:ctrlPr>
                    <w:rPr>
                      <w:i/>
                    </w:rPr>
                  </m:ctrlPr>
                </m:sSubSupPr>
                <m:e>
                  <m:r>
                    <m:t>dX</m:t>
                  </m:r>
                </m:e>
                <m:sub>
                  <m:r>
                    <m:t>p</m:t>
                  </m:r>
                </m:sub>
                <m:sup>
                  <m:r>
                    <m:t>c=23</m:t>
                  </m:r>
                </m:sup>
              </m:sSubSup>
              <m:d>
                <m:dPr>
                  <m:ctrlPr>
                    <w:rPr>
                      <w:i/>
                    </w:rPr>
                  </m:ctrlPr>
                </m:dPr>
                <m:e>
                  <m:r>
                    <m:t>t</m:t>
                  </m:r>
                </m:e>
              </m:d>
            </m:num>
            <m:den>
              <m:r>
                <m:t>dt</m:t>
              </m:r>
            </m:den>
          </m:f>
          <m:r>
            <m:t>=</m:t>
          </m:r>
          <m:d>
            <m:dPr>
              <m:begChr m:val="["/>
              <m:endChr m:val="]"/>
              <m:ctrlPr>
                <w:rPr>
                  <w:i/>
                </w:rPr>
              </m:ctrlPr>
            </m:dPr>
            <m:e>
              <m:sSubSup>
                <m:sSubSupPr>
                  <m:ctrlPr>
                    <w:rPr>
                      <w:i/>
                    </w:rPr>
                  </m:ctrlPr>
                </m:sSubSupPr>
                <m:e>
                  <m:r>
                    <m:t>τ</m:t>
                  </m:r>
                </m:e>
                <m:sub>
                  <m:r>
                    <m:t>p</m:t>
                  </m:r>
                </m:sub>
                <m:sup>
                  <m:r>
                    <m:t>c=21</m:t>
                  </m:r>
                </m:sup>
              </m:sSubSup>
            </m:e>
          </m:d>
          <m:r>
            <m:t xml:space="preserve"> </m:t>
          </m:r>
          <m:d>
            <m:dPr>
              <m:begChr m:val="["/>
              <m:endChr m:val="]"/>
              <m:ctrlPr>
                <w:rPr>
                  <w:i/>
                </w:rPr>
              </m:ctrlPr>
            </m:dPr>
            <m:e>
              <m:sSub>
                <m:sSubPr>
                  <m:ctrlPr>
                    <w:rPr>
                      <w:i/>
                    </w:rPr>
                  </m:ctrlPr>
                </m:sSubPr>
                <m:e>
                  <m:r>
                    <m:t>κ</m:t>
                  </m:r>
                </m:e>
                <m:sub>
                  <m:r>
                    <m:t>p</m:t>
                  </m:r>
                </m:sub>
              </m:sSub>
              <m:d>
                <m:dPr>
                  <m:ctrlPr>
                    <w:rPr>
                      <w:i/>
                    </w:rPr>
                  </m:ctrlPr>
                </m:dPr>
                <m:e>
                  <m:r>
                    <m:t>t</m:t>
                  </m:r>
                </m:e>
              </m:d>
            </m:e>
          </m:d>
          <m:sSubSup>
            <m:sSubSupPr>
              <m:ctrlPr>
                <w:rPr>
                  <w:i/>
                </w:rPr>
              </m:ctrlPr>
            </m:sSubSupPr>
            <m:e>
              <m:r>
                <m:t>X</m:t>
              </m:r>
            </m:e>
            <m:sub>
              <m:r>
                <m:t>p</m:t>
              </m:r>
            </m:sub>
            <m:sup>
              <m:r>
                <m:t>c=21</m:t>
              </m:r>
            </m:sup>
          </m:sSubSup>
          <m:d>
            <m:dPr>
              <m:ctrlPr>
                <w:rPr>
                  <w:i/>
                </w:rPr>
              </m:ctrlPr>
            </m:dPr>
            <m:e>
              <m:r>
                <m:t>t</m:t>
              </m:r>
            </m:e>
          </m:d>
          <m:r>
            <m:t>+</m:t>
          </m:r>
          <m:d>
            <m:dPr>
              <m:begChr m:val="["/>
              <m:endChr m:val="]"/>
              <m:ctrlPr>
                <w:rPr>
                  <w:i/>
                </w:rPr>
              </m:ctrlPr>
            </m:dPr>
            <m:e>
              <m:sSubSup>
                <m:sSubSupPr>
                  <m:ctrlPr>
                    <w:rPr>
                      <w:i/>
                    </w:rPr>
                  </m:ctrlPr>
                </m:sSubSupPr>
                <m:e>
                  <m:r>
                    <m:rPr>
                      <m:scr m:val="script"/>
                    </m:rPr>
                    <m:t>l</m:t>
                  </m:r>
                </m:e>
                <m:sub>
                  <m:r>
                    <m:t>p</m:t>
                  </m:r>
                </m:sub>
                <m:sup>
                  <m:r>
                    <m:t>c=221</m:t>
                  </m:r>
                </m:sup>
              </m:sSubSup>
              <m:d>
                <m:dPr>
                  <m:ctrlPr>
                    <w:rPr>
                      <w:i/>
                    </w:rPr>
                  </m:ctrlPr>
                </m:dPr>
                <m:e>
                  <m:r>
                    <m:t>t</m:t>
                  </m:r>
                </m:e>
              </m:d>
            </m:e>
          </m:d>
          <m:sSubSup>
            <m:sSubSupPr>
              <m:ctrlPr>
                <w:rPr>
                  <w:i/>
                </w:rPr>
              </m:ctrlPr>
            </m:sSubSupPr>
            <m:e>
              <m:r>
                <m:t>X</m:t>
              </m:r>
            </m:e>
            <m:sub>
              <m:r>
                <m:t>p</m:t>
              </m:r>
            </m:sub>
            <m:sup>
              <m:r>
                <m:t>c=22</m:t>
              </m:r>
            </m:sup>
          </m:sSubSup>
          <m:d>
            <m:dPr>
              <m:ctrlPr>
                <w:rPr>
                  <w:i/>
                </w:rPr>
              </m:ctrlPr>
            </m:dPr>
            <m:e>
              <m:r>
                <m:t>t</m:t>
              </m:r>
            </m:e>
          </m:d>
          <m:r>
            <m:t>+</m:t>
          </m:r>
          <m:d>
            <m:dPr>
              <m:begChr m:val="["/>
              <m:endChr m:val="]"/>
              <m:ctrlPr>
                <w:rPr>
                  <w:i/>
                </w:rPr>
              </m:ctrlPr>
            </m:dPr>
            <m:e>
              <m:sSubSup>
                <m:sSubSupPr>
                  <m:ctrlPr>
                    <w:rPr>
                      <w:i/>
                    </w:rPr>
                  </m:ctrlPr>
                </m:sSubSupPr>
                <m:e>
                  <m:r>
                    <m:t>ω</m:t>
                  </m:r>
                </m:e>
                <m:sub>
                  <m:r>
                    <m:t>p</m:t>
                  </m:r>
                </m:sub>
                <m:sup>
                  <m:r>
                    <m:t>c=18</m:t>
                  </m:r>
                </m:sup>
              </m:sSubSup>
            </m:e>
          </m:d>
          <m:sSubSup>
            <m:sSubSupPr>
              <m:ctrlPr>
                <w:rPr>
                  <w:i/>
                </w:rPr>
              </m:ctrlPr>
            </m:sSubSupPr>
            <m:e>
              <m:r>
                <m:t>X</m:t>
              </m:r>
            </m:e>
            <m:sub>
              <m:r>
                <m:t>p</m:t>
              </m:r>
            </m:sub>
            <m:sup>
              <m:r>
                <m:t>c=18</m:t>
              </m:r>
            </m:sup>
          </m:sSubSup>
          <m:d>
            <m:dPr>
              <m:ctrlPr>
                <w:rPr>
                  <w:i/>
                </w:rPr>
              </m:ctrlPr>
            </m:dPr>
            <m:e>
              <m:r>
                <m:t>t</m:t>
              </m:r>
            </m:e>
          </m:d>
          <m:r>
            <m:t>+</m:t>
          </m:r>
          <m:d>
            <m:dPr>
              <m:begChr m:val="["/>
              <m:endChr m:val="]"/>
              <m:ctrlPr>
                <w:rPr>
                  <w:i/>
                </w:rPr>
              </m:ctrlPr>
            </m:dPr>
            <m:e>
              <m:sSub>
                <m:sSubPr>
                  <m:ctrlPr>
                    <w:rPr>
                      <w:i/>
                    </w:rPr>
                  </m:ctrlPr>
                </m:sSubPr>
                <m:e>
                  <m:r>
                    <m:t>ε</m:t>
                  </m:r>
                </m:e>
                <m:sub>
                  <m:r>
                    <m:t>p</m:t>
                  </m:r>
                </m:sub>
              </m:sSub>
              <m:d>
                <m:dPr>
                  <m:ctrlPr>
                    <w:rPr>
                      <w:i/>
                    </w:rPr>
                  </m:ctrlPr>
                </m:dPr>
                <m:e>
                  <m:r>
                    <m:t>t</m:t>
                  </m:r>
                </m:e>
              </m:d>
            </m:e>
          </m:d>
          <m:sSubSup>
            <m:sSubSupPr>
              <m:ctrlPr>
                <w:rPr>
                  <w:i/>
                </w:rPr>
              </m:ctrlPr>
            </m:sSubSupPr>
            <m:e>
              <m:r>
                <m:t>X</m:t>
              </m:r>
            </m:e>
            <m:sub>
              <m:r>
                <m:t>p</m:t>
              </m:r>
            </m:sub>
            <m:sup>
              <m:r>
                <m:t>c=24</m:t>
              </m:r>
            </m:sup>
          </m:sSubSup>
          <m:d>
            <m:dPr>
              <m:ctrlPr>
                <w:rPr>
                  <w:i/>
                </w:rPr>
              </m:ctrlPr>
            </m:dPr>
            <m:e>
              <m:r>
                <m:t>t</m:t>
              </m:r>
            </m:e>
          </m:d>
          <m:r>
            <m:rPr>
              <m:sty m:val="p"/>
            </m:rPr>
            <w:br/>
          </m:r>
        </m:oMath>
      </m:oMathPara>
      <w:r w:rsidR="006A4A25" w:rsidRPr="00C00335">
        <w:tab/>
      </w:r>
      <w:r w:rsidR="00705289" w:rsidRPr="00C00335">
        <w:tab/>
      </w:r>
      <m:oMath>
        <m:r>
          <m:t>-[</m:t>
        </m:r>
        <m:sSubSup>
          <m:sSubSupPr>
            <m:ctrlPr>
              <w:rPr>
                <w:i/>
              </w:rPr>
            </m:ctrlPr>
          </m:sSubSupPr>
          <m:e>
            <m:r>
              <m:t>γ</m:t>
            </m:r>
          </m:e>
          <m:sub>
            <m:r>
              <m:t>p</m:t>
            </m:r>
          </m:sub>
          <m:sup>
            <m:r>
              <m:t>c=23</m:t>
            </m:r>
          </m:sup>
        </m:sSubSup>
        <m:d>
          <m:dPr>
            <m:ctrlPr>
              <w:rPr>
                <w:i/>
              </w:rPr>
            </m:ctrlPr>
          </m:dPr>
          <m:e>
            <m:r>
              <m:t>t</m:t>
            </m:r>
          </m:e>
        </m:d>
        <m:r>
          <m:t>+</m:t>
        </m:r>
        <m:sSub>
          <m:sSubPr>
            <m:ctrlPr>
              <w:rPr>
                <w:i/>
              </w:rPr>
            </m:ctrlPr>
          </m:sSubPr>
          <m:e>
            <m:r>
              <m:t>e</m:t>
            </m:r>
          </m:e>
          <m:sub>
            <m:r>
              <m:t>p</m:t>
            </m:r>
          </m:sub>
        </m:sSub>
        <m:d>
          <m:dPr>
            <m:ctrlPr>
              <w:rPr>
                <w:i/>
              </w:rPr>
            </m:ctrlPr>
          </m:dPr>
          <m:e>
            <m:r>
              <m:t>t</m:t>
            </m:r>
          </m:e>
        </m:d>
        <m:r>
          <m:t>+</m:t>
        </m:r>
        <m:sSubSup>
          <m:sSubSupPr>
            <m:ctrlPr>
              <w:rPr>
                <w:i/>
              </w:rPr>
            </m:ctrlPr>
          </m:sSubSupPr>
          <m:e>
            <m:r>
              <m:t>σ</m:t>
            </m:r>
          </m:e>
          <m:sub>
            <m:r>
              <m:t>p</m:t>
            </m:r>
          </m:sub>
          <m:sup>
            <m:r>
              <m:t>c=23</m:t>
            </m:r>
          </m:sup>
        </m:sSubSup>
        <m:d>
          <m:dPr>
            <m:ctrlPr>
              <w:rPr>
                <w:i/>
              </w:rPr>
            </m:ctrlPr>
          </m:dPr>
          <m:e>
            <m:r>
              <m:t>t</m:t>
            </m:r>
          </m:e>
        </m:d>
        <m:r>
          <m:t>+</m:t>
        </m:r>
        <m:sSubSup>
          <m:sSubSupPr>
            <m:ctrlPr>
              <w:rPr>
                <w:i/>
              </w:rPr>
            </m:ctrlPr>
          </m:sSubSupPr>
          <m:e>
            <m:r>
              <m:t>δ</m:t>
            </m:r>
          </m:e>
          <m:sub>
            <m:r>
              <m:t>p</m:t>
            </m:r>
          </m:sub>
          <m:sup>
            <m:r>
              <m:t>-</m:t>
            </m:r>
          </m:sup>
        </m:sSubSup>
        <m:r>
          <m:t>]</m:t>
        </m:r>
        <m:sSubSup>
          <m:sSubSupPr>
            <m:ctrlPr>
              <w:rPr>
                <w:i/>
              </w:rPr>
            </m:ctrlPr>
          </m:sSubSupPr>
          <m:e>
            <m:r>
              <m:t>X</m:t>
            </m:r>
          </m:e>
          <m:sub>
            <m:r>
              <m:t>p</m:t>
            </m:r>
          </m:sub>
          <m:sup>
            <m:r>
              <m:t>c=23</m:t>
            </m:r>
          </m:sup>
        </m:sSubSup>
        <m:d>
          <m:dPr>
            <m:ctrlPr>
              <w:rPr>
                <w:i/>
              </w:rPr>
            </m:ctrlPr>
          </m:dPr>
          <m:e>
            <m:r>
              <m:t>t</m:t>
            </m:r>
          </m:e>
        </m:d>
        <m:r>
          <m:t>+</m:t>
        </m:r>
        <m:sSubSup>
          <m:sSubSupPr>
            <m:ctrlPr>
              <w:rPr>
                <w:i/>
              </w:rPr>
            </m:ctrlPr>
          </m:sSubSupPr>
          <m:e>
            <m:r>
              <m:t>δ</m:t>
            </m:r>
          </m:e>
          <m:sub>
            <m:r>
              <m:t>p</m:t>
            </m:r>
          </m:sub>
          <m:sup>
            <m:r>
              <m:t>+</m:t>
            </m:r>
          </m:sup>
        </m:sSubSup>
        <m:sSubSup>
          <m:sSubSupPr>
            <m:ctrlPr>
              <w:rPr>
                <w:i/>
              </w:rPr>
            </m:ctrlPr>
          </m:sSubSupPr>
          <m:e>
            <m:r>
              <m:t>X</m:t>
            </m:r>
          </m:e>
          <m:sub>
            <m:r>
              <m:t>p-1</m:t>
            </m:r>
          </m:sub>
          <m:sup>
            <m:r>
              <m:t>c=23</m:t>
            </m:r>
          </m:sup>
        </m:sSubSup>
        <m:r>
          <m:t>(t)</m:t>
        </m:r>
      </m:oMath>
      <w:r w:rsidR="00705289" w:rsidRPr="00C00335">
        <w:tab/>
        <w:t>(7.18)</w:t>
      </w:r>
    </w:p>
    <w:p w14:paraId="7C8EA884" w14:textId="7FC214C1" w:rsidR="004A1C14" w:rsidRPr="00C00335" w:rsidRDefault="009535FB" w:rsidP="006A4A25">
      <w:pPr>
        <w:pStyle w:val="equation"/>
        <w:spacing w:after="360"/>
      </w:pPr>
      <w:r w:rsidRPr="00C00335">
        <w:lastRenderedPageBreak/>
        <w:tab/>
      </w:r>
      <m:oMath>
        <m:f>
          <m:fPr>
            <m:ctrlPr>
              <w:rPr>
                <w:i/>
              </w:rPr>
            </m:ctrlPr>
          </m:fPr>
          <m:num>
            <m:sSubSup>
              <m:sSubSupPr>
                <m:ctrlPr>
                  <w:rPr>
                    <w:i/>
                  </w:rPr>
                </m:ctrlPr>
              </m:sSubSupPr>
              <m:e>
                <m:r>
                  <m:t>dX</m:t>
                </m:r>
              </m:e>
              <m:sub>
                <m:r>
                  <m:t>p</m:t>
                </m:r>
              </m:sub>
              <m:sup>
                <m:r>
                  <m:t>c=24</m:t>
                </m:r>
              </m:sup>
            </m:sSubSup>
            <m:d>
              <m:dPr>
                <m:ctrlPr>
                  <w:rPr>
                    <w:i/>
                  </w:rPr>
                </m:ctrlPr>
              </m:dPr>
              <m:e>
                <m:r>
                  <m:t>t</m:t>
                </m:r>
              </m:e>
            </m:d>
          </m:num>
          <m:den>
            <m:r>
              <m:t>dt</m:t>
            </m:r>
          </m:den>
        </m:f>
        <m:r>
          <m:t>=</m:t>
        </m:r>
        <m:d>
          <m:dPr>
            <m:begChr m:val="["/>
            <m:endChr m:val="]"/>
            <m:ctrlPr>
              <w:rPr>
                <w:i/>
              </w:rPr>
            </m:ctrlPr>
          </m:dPr>
          <m:e>
            <m:sSubSup>
              <m:sSubSupPr>
                <m:ctrlPr>
                  <w:rPr>
                    <w:i/>
                  </w:rPr>
                </m:ctrlPr>
              </m:sSubSupPr>
              <m:e>
                <m:r>
                  <m:t>H</m:t>
                </m:r>
              </m:e>
              <m:sub>
                <m:r>
                  <m:t>p</m:t>
                </m:r>
              </m:sub>
              <m:sup>
                <m:r>
                  <m:t>c=19</m:t>
                </m:r>
              </m:sup>
            </m:sSubSup>
          </m:e>
        </m:d>
        <m:sSubSup>
          <m:sSubSupPr>
            <m:ctrlPr>
              <w:rPr>
                <w:i/>
              </w:rPr>
            </m:ctrlPr>
          </m:sSubSupPr>
          <m:e>
            <m:r>
              <m:t>X</m:t>
            </m:r>
          </m:e>
          <m:sub>
            <m:r>
              <m:t>p</m:t>
            </m:r>
          </m:sub>
          <m:sup>
            <m:r>
              <m:t>c=19</m:t>
            </m:r>
          </m:sup>
        </m:sSubSup>
        <m:d>
          <m:dPr>
            <m:ctrlPr>
              <w:rPr>
                <w:i/>
              </w:rPr>
            </m:ctrlPr>
          </m:dPr>
          <m:e>
            <m:r>
              <m:t>t</m:t>
            </m:r>
          </m:e>
        </m:d>
        <m:r>
          <m:t>+</m:t>
        </m:r>
        <m:d>
          <m:dPr>
            <m:begChr m:val="["/>
            <m:endChr m:val="]"/>
            <m:ctrlPr>
              <w:rPr>
                <w:i/>
              </w:rPr>
            </m:ctrlPr>
          </m:dPr>
          <m:e>
            <m:r>
              <m:t>1-u</m:t>
            </m:r>
          </m:e>
        </m:d>
        <m:d>
          <m:dPr>
            <m:begChr m:val="["/>
            <m:endChr m:val="]"/>
            <m:ctrlPr>
              <w:rPr>
                <w:i/>
              </w:rPr>
            </m:ctrlPr>
          </m:dPr>
          <m:e>
            <m:sSubSup>
              <m:sSubSupPr>
                <m:ctrlPr>
                  <w:rPr>
                    <w:i/>
                  </w:rPr>
                </m:ctrlPr>
              </m:sSubSupPr>
              <m:e>
                <m:r>
                  <m:t>γ</m:t>
                </m:r>
              </m:e>
              <m:sub>
                <m:r>
                  <m:t>p</m:t>
                </m:r>
              </m:sub>
              <m:sup>
                <m:r>
                  <m:t>c=23</m:t>
                </m:r>
              </m:sup>
            </m:sSubSup>
            <m:d>
              <m:dPr>
                <m:ctrlPr>
                  <w:rPr>
                    <w:i/>
                  </w:rPr>
                </m:ctrlPr>
              </m:dPr>
              <m:e>
                <m:r>
                  <m:t>t</m:t>
                </m:r>
              </m:e>
            </m:d>
          </m:e>
        </m:d>
        <m:sSubSup>
          <m:sSubSupPr>
            <m:ctrlPr>
              <w:rPr>
                <w:i/>
              </w:rPr>
            </m:ctrlPr>
          </m:sSubSupPr>
          <m:e>
            <m:r>
              <m:t>X</m:t>
            </m:r>
          </m:e>
          <m:sub>
            <m:r>
              <m:t>p</m:t>
            </m:r>
          </m:sub>
          <m:sup>
            <m:r>
              <m:t>c=23</m:t>
            </m:r>
          </m:sup>
        </m:sSubSup>
        <m:d>
          <m:dPr>
            <m:ctrlPr>
              <w:rPr>
                <w:i/>
              </w:rPr>
            </m:ctrlPr>
          </m:dPr>
          <m:e>
            <m:r>
              <m:t>t</m:t>
            </m:r>
          </m:e>
        </m:d>
        <m:r>
          <m:t>+</m:t>
        </m:r>
        <m:d>
          <m:dPr>
            <m:begChr m:val="["/>
            <m:endChr m:val="]"/>
            <m:ctrlPr>
              <w:rPr>
                <w:i/>
              </w:rPr>
            </m:ctrlPr>
          </m:dPr>
          <m:e>
            <m:sSub>
              <m:sSubPr>
                <m:ctrlPr>
                  <w:rPr>
                    <w:i/>
                  </w:rPr>
                </m:ctrlPr>
              </m:sSubPr>
              <m:e>
                <m:r>
                  <m:t>η</m:t>
                </m:r>
              </m:e>
              <m:sub>
                <m:r>
                  <m:t>p</m:t>
                </m:r>
              </m:sub>
            </m:sSub>
            <m:d>
              <m:dPr>
                <m:ctrlPr>
                  <w:rPr>
                    <w:i/>
                  </w:rPr>
                </m:ctrlPr>
              </m:dPr>
              <m:e>
                <m:r>
                  <m:t>t</m:t>
                </m:r>
              </m:e>
            </m:d>
          </m:e>
        </m:d>
        <m:sSubSup>
          <m:sSubSupPr>
            <m:ctrlPr>
              <w:rPr>
                <w:i/>
              </w:rPr>
            </m:ctrlPr>
          </m:sSubSupPr>
          <m:e>
            <m:r>
              <m:t>X</m:t>
            </m:r>
          </m:e>
          <m:sub>
            <m:r>
              <m:t>p</m:t>
            </m:r>
          </m:sub>
          <m:sup>
            <m:r>
              <m:t>c=25</m:t>
            </m:r>
          </m:sup>
        </m:sSubSup>
        <m:d>
          <m:dPr>
            <m:ctrlPr>
              <w:rPr>
                <w:i/>
              </w:rPr>
            </m:ctrlPr>
          </m:dPr>
          <m:e>
            <m:r>
              <m:t>t</m:t>
            </m:r>
          </m:e>
        </m:d>
        <m:r>
          <m:rPr>
            <m:sty m:val="p"/>
          </m:rPr>
          <w:br/>
        </m:r>
      </m:oMath>
      <w:r w:rsidR="00705289" w:rsidRPr="00C00335">
        <w:tab/>
      </w:r>
      <m:oMath>
        <m:r>
          <m:t>-</m:t>
        </m:r>
        <m:d>
          <m:dPr>
            <m:begChr m:val="["/>
            <m:endChr m:val="]"/>
            <m:ctrlPr>
              <w:rPr>
                <w:i/>
              </w:rPr>
            </m:ctrlPr>
          </m:dPr>
          <m:e>
            <m:sSub>
              <m:sSubPr>
                <m:ctrlPr>
                  <w:rPr>
                    <w:i/>
                  </w:rPr>
                </m:ctrlPr>
              </m:sSubPr>
              <m:e>
                <m:r>
                  <m:t>ε</m:t>
                </m:r>
              </m:e>
              <m:sub>
                <m:r>
                  <m:t>p</m:t>
                </m:r>
              </m:sub>
            </m:sSub>
            <m:d>
              <m:dPr>
                <m:ctrlPr>
                  <w:rPr>
                    <w:i/>
                  </w:rPr>
                </m:ctrlPr>
              </m:dPr>
              <m:e>
                <m:r>
                  <m:t>t</m:t>
                </m:r>
              </m:e>
            </m:d>
            <m:r>
              <m:t>+</m:t>
            </m:r>
            <m:sSubSup>
              <m:sSubSupPr>
                <m:ctrlPr>
                  <w:rPr>
                    <w:i/>
                  </w:rPr>
                </m:ctrlPr>
              </m:sSubSupPr>
              <m:e>
                <m:r>
                  <m:t>γ</m:t>
                </m:r>
              </m:e>
              <m:sub>
                <m:r>
                  <m:t>p</m:t>
                </m:r>
              </m:sub>
              <m:sup>
                <m:r>
                  <m:t>c=24</m:t>
                </m:r>
              </m:sup>
            </m:sSubSup>
            <m:r>
              <m:t>+</m:t>
            </m:r>
            <m:sSubSup>
              <m:sSubSupPr>
                <m:ctrlPr>
                  <w:rPr>
                    <w:i/>
                  </w:rPr>
                </m:ctrlPr>
              </m:sSubSupPr>
              <m:e>
                <m:r>
                  <m:t>σ</m:t>
                </m:r>
              </m:e>
              <m:sub>
                <m:r>
                  <m:t>p</m:t>
                </m:r>
              </m:sub>
              <m:sup>
                <m:r>
                  <m:t>c=24</m:t>
                </m:r>
              </m:sup>
            </m:sSubSup>
            <m:d>
              <m:dPr>
                <m:ctrlPr>
                  <w:rPr>
                    <w:i/>
                  </w:rPr>
                </m:ctrlPr>
              </m:dPr>
              <m:e>
                <m:r>
                  <m:t>t</m:t>
                </m:r>
              </m:e>
            </m:d>
            <m:r>
              <m:t>+</m:t>
            </m:r>
            <m:sSubSup>
              <m:sSubSupPr>
                <m:ctrlPr>
                  <w:rPr>
                    <w:i/>
                  </w:rPr>
                </m:ctrlPr>
              </m:sSubSupPr>
              <m:e>
                <m:r>
                  <m:t>δ</m:t>
                </m:r>
              </m:e>
              <m:sub>
                <m:r>
                  <m:t>p</m:t>
                </m:r>
              </m:sub>
              <m:sup>
                <m:r>
                  <m:t>-</m:t>
                </m:r>
              </m:sup>
            </m:sSubSup>
          </m:e>
        </m:d>
        <m:sSubSup>
          <m:sSubSupPr>
            <m:ctrlPr>
              <w:rPr>
                <w:i/>
              </w:rPr>
            </m:ctrlPr>
          </m:sSubSupPr>
          <m:e>
            <m:r>
              <m:t>X</m:t>
            </m:r>
          </m:e>
          <m:sub>
            <m:r>
              <m:t>p</m:t>
            </m:r>
          </m:sub>
          <m:sup>
            <m:r>
              <m:t>c=24</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c=24</m:t>
            </m:r>
          </m:sup>
        </m:sSubSup>
        <m:d>
          <m:dPr>
            <m:ctrlPr>
              <w:rPr>
                <w:i/>
              </w:rPr>
            </m:ctrlPr>
          </m:dPr>
          <m:e>
            <m:r>
              <m:t>t</m:t>
            </m:r>
          </m:e>
        </m:d>
      </m:oMath>
      <w:r w:rsidR="00705289" w:rsidRPr="00C00335">
        <w:tab/>
        <w:t>(7.19)</w:t>
      </w:r>
    </w:p>
    <w:p w14:paraId="4F516170" w14:textId="53A32F6A" w:rsidR="00530191" w:rsidRPr="00C00335" w:rsidRDefault="00747E9D" w:rsidP="006A4A25">
      <w:pPr>
        <w:pStyle w:val="equation"/>
        <w:tabs>
          <w:tab w:val="left" w:pos="1350"/>
        </w:tabs>
        <w:spacing w:after="360"/>
      </w:pPr>
      <m:oMathPara>
        <m:oMath>
          <m:f>
            <m:fPr>
              <m:ctrlPr>
                <w:rPr>
                  <w:i/>
                </w:rPr>
              </m:ctrlPr>
            </m:fPr>
            <m:num>
              <m:sSubSup>
                <m:sSubSupPr>
                  <m:ctrlPr>
                    <w:rPr>
                      <w:i/>
                    </w:rPr>
                  </m:ctrlPr>
                </m:sSubSupPr>
                <m:e>
                  <m:r>
                    <m:t>dX</m:t>
                  </m:r>
                </m:e>
                <m:sub>
                  <m:r>
                    <m:t>p</m:t>
                  </m:r>
                </m:sub>
                <m:sup>
                  <m:r>
                    <m:t>c=25</m:t>
                  </m:r>
                </m:sup>
              </m:sSubSup>
              <m:d>
                <m:dPr>
                  <m:ctrlPr>
                    <w:rPr>
                      <w:i/>
                    </w:rPr>
                  </m:ctrlPr>
                </m:dPr>
                <m:e>
                  <m:r>
                    <m:t>t</m:t>
                  </m:r>
                </m:e>
              </m:d>
            </m:num>
            <m:den>
              <m:r>
                <m:t>dt</m:t>
              </m:r>
            </m:den>
          </m:f>
          <m:r>
            <m:t>=</m:t>
          </m:r>
          <m:d>
            <m:dPr>
              <m:begChr m:val="["/>
              <m:endChr m:val="]"/>
              <m:ctrlPr>
                <w:rPr>
                  <w:i/>
                </w:rPr>
              </m:ctrlPr>
            </m:dPr>
            <m:e>
              <m:sSup>
                <m:sSupPr>
                  <m:ctrlPr>
                    <w:rPr>
                      <w:i/>
                    </w:rPr>
                  </m:ctrlPr>
                </m:sSupPr>
                <m:e>
                  <m:r>
                    <m:t>B</m:t>
                  </m:r>
                </m:e>
                <m:sup>
                  <m:r>
                    <m:t>c=20</m:t>
                  </m:r>
                </m:sup>
              </m:sSup>
            </m:e>
          </m:d>
          <m:sSubSup>
            <m:sSubSupPr>
              <m:ctrlPr>
                <w:rPr>
                  <w:i/>
                </w:rPr>
              </m:ctrlPr>
            </m:sSubSupPr>
            <m:e>
              <m:r>
                <m:t>X</m:t>
              </m:r>
            </m:e>
            <m:sub>
              <m:r>
                <m:t>p</m:t>
              </m:r>
            </m:sub>
            <m:sup>
              <m:r>
                <m:t>c=20</m:t>
              </m:r>
            </m:sup>
          </m:sSubSup>
          <m:d>
            <m:dPr>
              <m:ctrlPr>
                <w:rPr>
                  <w:i/>
                </w:rPr>
              </m:ctrlPr>
            </m:dPr>
            <m:e>
              <m:r>
                <m:t>t</m:t>
              </m:r>
            </m:e>
          </m:d>
          <m:r>
            <m:t>+</m:t>
          </m:r>
          <m:d>
            <m:dPr>
              <m:begChr m:val="["/>
              <m:endChr m:val="]"/>
              <m:ctrlPr>
                <w:rPr>
                  <w:i/>
                </w:rPr>
              </m:ctrlPr>
            </m:dPr>
            <m:e>
              <m:r>
                <m:t>u</m:t>
              </m:r>
            </m:e>
          </m:d>
          <m:d>
            <m:dPr>
              <m:begChr m:val="["/>
              <m:endChr m:val="]"/>
              <m:ctrlPr>
                <w:rPr>
                  <w:i/>
                </w:rPr>
              </m:ctrlPr>
            </m:dPr>
            <m:e>
              <m:sSubSup>
                <m:sSubSupPr>
                  <m:ctrlPr>
                    <w:rPr>
                      <w:i/>
                    </w:rPr>
                  </m:ctrlPr>
                </m:sSubSupPr>
                <m:e>
                  <m:r>
                    <m:t>γ</m:t>
                  </m:r>
                </m:e>
                <m:sub>
                  <m:r>
                    <m:t>p</m:t>
                  </m:r>
                </m:sub>
                <m:sup>
                  <m:r>
                    <m:t>c=23</m:t>
                  </m:r>
                </m:sup>
              </m:sSubSup>
              <m:d>
                <m:dPr>
                  <m:ctrlPr>
                    <w:rPr>
                      <w:i/>
                    </w:rPr>
                  </m:ctrlPr>
                </m:dPr>
                <m:e>
                  <m:r>
                    <m:t>t</m:t>
                  </m:r>
                </m:e>
              </m:d>
            </m:e>
          </m:d>
          <m:sSubSup>
            <m:sSubSupPr>
              <m:ctrlPr>
                <w:rPr>
                  <w:i/>
                </w:rPr>
              </m:ctrlPr>
            </m:sSubSupPr>
            <m:e>
              <m:r>
                <m:t>X</m:t>
              </m:r>
            </m:e>
            <m:sub>
              <m:r>
                <m:t>p</m:t>
              </m:r>
            </m:sub>
            <m:sup>
              <m:r>
                <m:t>c=23</m:t>
              </m:r>
            </m:sup>
          </m:sSubSup>
          <m:d>
            <m:dPr>
              <m:ctrlPr>
                <w:rPr>
                  <w:i/>
                </w:rPr>
              </m:ctrlPr>
            </m:dPr>
            <m:e>
              <m:r>
                <m:t>t</m:t>
              </m:r>
            </m:e>
          </m:d>
          <m:r>
            <m:t>+</m:t>
          </m:r>
          <m:d>
            <m:dPr>
              <m:begChr m:val="["/>
              <m:endChr m:val="]"/>
              <m:ctrlPr>
                <w:rPr>
                  <w:i/>
                </w:rPr>
              </m:ctrlPr>
            </m:dPr>
            <m:e>
              <m:sSub>
                <m:sSubPr>
                  <m:ctrlPr>
                    <w:rPr>
                      <w:i/>
                    </w:rPr>
                  </m:ctrlPr>
                </m:sSubPr>
                <m:e>
                  <m:r>
                    <m:t>ζ</m:t>
                  </m:r>
                </m:e>
                <m:sub>
                  <m:r>
                    <m:t>p</m:t>
                  </m:r>
                </m:sub>
              </m:sSub>
              <m:d>
                <m:dPr>
                  <m:ctrlPr>
                    <w:rPr>
                      <w:i/>
                    </w:rPr>
                  </m:ctrlPr>
                </m:dPr>
                <m:e>
                  <m:r>
                    <m:t>t</m:t>
                  </m:r>
                </m:e>
              </m:d>
            </m:e>
          </m:d>
          <m:sSubSup>
            <m:sSubSupPr>
              <m:ctrlPr>
                <w:rPr>
                  <w:i/>
                </w:rPr>
              </m:ctrlPr>
            </m:sSubSupPr>
            <m:e>
              <m:r>
                <m:t>X</m:t>
              </m:r>
            </m:e>
            <m:sub>
              <m:r>
                <m:t>p</m:t>
              </m:r>
            </m:sub>
            <m:sup>
              <m:r>
                <m:t>c=24</m:t>
              </m:r>
            </m:sup>
          </m:sSubSup>
          <m:d>
            <m:dPr>
              <m:ctrlPr>
                <w:rPr>
                  <w:i/>
                </w:rPr>
              </m:ctrlPr>
            </m:dPr>
            <m:e>
              <m:r>
                <m:t>t</m:t>
              </m:r>
            </m:e>
          </m:d>
          <m:r>
            <m:rPr>
              <m:sty m:val="p"/>
            </m:rPr>
            <w:br/>
          </m:r>
        </m:oMath>
      </m:oMathPara>
      <w:r w:rsidR="006A4A25" w:rsidRPr="00C00335">
        <w:tab/>
      </w:r>
      <w:r w:rsidR="00530191" w:rsidRPr="00C00335">
        <w:tab/>
      </w:r>
      <m:oMath>
        <m:r>
          <m:t>-</m:t>
        </m:r>
        <m:d>
          <m:dPr>
            <m:begChr m:val="["/>
            <m:endChr m:val="]"/>
            <m:ctrlPr>
              <w:rPr>
                <w:i/>
              </w:rPr>
            </m:ctrlPr>
          </m:dPr>
          <m:e>
            <m:sSub>
              <m:sSubPr>
                <m:ctrlPr>
                  <w:rPr>
                    <w:i/>
                  </w:rPr>
                </m:ctrlPr>
              </m:sSubPr>
              <m:e>
                <m:r>
                  <m:t>η</m:t>
                </m:r>
              </m:e>
              <m:sub>
                <m:r>
                  <m:t>p</m:t>
                </m:r>
              </m:sub>
            </m:sSub>
            <m:d>
              <m:dPr>
                <m:ctrlPr>
                  <w:rPr>
                    <w:i/>
                  </w:rPr>
                </m:ctrlPr>
              </m:dPr>
              <m:e>
                <m:r>
                  <m:t>t</m:t>
                </m:r>
              </m:e>
            </m:d>
            <m:r>
              <m:t>+</m:t>
            </m:r>
            <m:sSubSup>
              <m:sSubSupPr>
                <m:ctrlPr>
                  <w:rPr>
                    <w:i/>
                  </w:rPr>
                </m:ctrlPr>
              </m:sSubSupPr>
              <m:e>
                <m:r>
                  <m:t>ϑ</m:t>
                </m:r>
              </m:e>
              <m:sub>
                <m:r>
                  <m:t>p</m:t>
                </m:r>
              </m:sub>
              <m:sup>
                <m:r>
                  <m:t>c=25</m:t>
                </m:r>
              </m:sup>
            </m:sSubSup>
            <m:r>
              <m:t>+</m:t>
            </m:r>
            <m:sSubSup>
              <m:sSubSupPr>
                <m:ctrlPr>
                  <w:rPr>
                    <w:i/>
                  </w:rPr>
                </m:ctrlPr>
              </m:sSubSupPr>
              <m:e>
                <m:r>
                  <m:t>σ</m:t>
                </m:r>
              </m:e>
              <m:sub>
                <m:r>
                  <m:t>p</m:t>
                </m:r>
              </m:sub>
              <m:sup>
                <m:r>
                  <m:t>c=25</m:t>
                </m:r>
              </m:sup>
            </m:sSubSup>
            <m:d>
              <m:dPr>
                <m:ctrlPr>
                  <w:rPr>
                    <w:i/>
                  </w:rPr>
                </m:ctrlPr>
              </m:dPr>
              <m:e>
                <m:r>
                  <m:t>t</m:t>
                </m:r>
              </m:e>
            </m:d>
            <m:r>
              <m:t>+</m:t>
            </m:r>
            <m:sSubSup>
              <m:sSubSupPr>
                <m:ctrlPr>
                  <w:rPr>
                    <w:i/>
                  </w:rPr>
                </m:ctrlPr>
              </m:sSubSupPr>
              <m:e>
                <m:r>
                  <m:t>δ</m:t>
                </m:r>
              </m:e>
              <m:sub>
                <m:r>
                  <m:t>p</m:t>
                </m:r>
              </m:sub>
              <m:sup>
                <m:r>
                  <m:t>-</m:t>
                </m:r>
              </m:sup>
            </m:sSubSup>
          </m:e>
        </m:d>
        <m:sSubSup>
          <m:sSubSupPr>
            <m:ctrlPr>
              <w:rPr>
                <w:i/>
              </w:rPr>
            </m:ctrlPr>
          </m:sSubSupPr>
          <m:e>
            <m:r>
              <m:t>X</m:t>
            </m:r>
          </m:e>
          <m:sub>
            <m:r>
              <m:t>p</m:t>
            </m:r>
          </m:sub>
          <m:sup>
            <m:r>
              <m:t>c=25</m:t>
            </m:r>
          </m:sup>
        </m:sSubSup>
        <m:d>
          <m:dPr>
            <m:ctrlPr>
              <w:rPr>
                <w:i/>
              </w:rPr>
            </m:ctrlPr>
          </m:dPr>
          <m:e>
            <m:r>
              <m:t>t</m:t>
            </m:r>
          </m:e>
        </m:d>
        <m:r>
          <m:t>+</m:t>
        </m:r>
        <m:d>
          <m:dPr>
            <m:begChr m:val="["/>
            <m:endChr m:val="]"/>
            <m:ctrlPr>
              <w:rPr>
                <w:i/>
              </w:rPr>
            </m:ctrlPr>
          </m:dPr>
          <m:e>
            <m:sSubSup>
              <m:sSubSupPr>
                <m:ctrlPr>
                  <w:rPr>
                    <w:i/>
                  </w:rPr>
                </m:ctrlPr>
              </m:sSubSupPr>
              <m:e>
                <m:r>
                  <m:t>δ</m:t>
                </m:r>
              </m:e>
              <m:sub>
                <m:r>
                  <m:t>p</m:t>
                </m:r>
              </m:sub>
              <m:sup>
                <m:r>
                  <m:t>+</m:t>
                </m:r>
              </m:sup>
            </m:sSubSup>
          </m:e>
        </m:d>
        <m:sSubSup>
          <m:sSubSupPr>
            <m:ctrlPr>
              <w:rPr>
                <w:i/>
              </w:rPr>
            </m:ctrlPr>
          </m:sSubSupPr>
          <m:e>
            <m:r>
              <m:t>X</m:t>
            </m:r>
          </m:e>
          <m:sub>
            <m:r>
              <m:t>p-1</m:t>
            </m:r>
          </m:sub>
          <m:sup>
            <m:r>
              <m:t>c=25</m:t>
            </m:r>
          </m:sup>
        </m:sSubSup>
        <m:r>
          <m:t>(t)</m:t>
        </m:r>
      </m:oMath>
      <w:r w:rsidR="00530191" w:rsidRPr="00C00335">
        <w:tab/>
        <w:t>(7.20)</w:t>
      </w:r>
    </w:p>
    <w:p w14:paraId="4931E6F7" w14:textId="77777777" w:rsidR="000443D0" w:rsidRPr="00C00335" w:rsidRDefault="000443D0" w:rsidP="000443D0">
      <w:pPr>
        <w:pStyle w:val="Heading2"/>
      </w:pPr>
      <w:bookmarkStart w:id="111" w:name="_Toc89257556"/>
      <w:r w:rsidRPr="00C00335">
        <w:t>Absorbing States</w:t>
      </w:r>
      <w:bookmarkEnd w:id="111"/>
    </w:p>
    <w:p w14:paraId="1A765F22" w14:textId="752D9739" w:rsidR="000443D0" w:rsidRPr="00C00335" w:rsidRDefault="00341EDC" w:rsidP="000723F7">
      <w:pPr>
        <w:pStyle w:val="BodyText"/>
      </w:pPr>
      <w:r w:rsidRPr="00C00335">
        <w:t>The model’s absorbing states</w:t>
      </w:r>
      <w:r w:rsidR="000443D0" w:rsidRPr="00C00335">
        <w:t xml:space="preserve"> (</w:t>
      </w:r>
      <w:r w:rsidR="000443D0" w:rsidRPr="00C00335">
        <w:rPr>
          <w:i/>
          <w:iCs/>
        </w:rPr>
        <w:t>c</w:t>
      </w:r>
      <w:r w:rsidR="000443D0" w:rsidRPr="00C00335">
        <w:t> = 2</w:t>
      </w:r>
      <w:r w:rsidR="00540431" w:rsidRPr="00C00335">
        <w:t>6</w:t>
      </w:r>
      <w:r w:rsidR="000443D0" w:rsidRPr="00C00335">
        <w:t xml:space="preserve"> to </w:t>
      </w:r>
      <w:r w:rsidR="00124B2F" w:rsidRPr="00C00335">
        <w:t>2</w:t>
      </w:r>
      <w:r w:rsidR="00124B2F">
        <w:t>7</w:t>
      </w:r>
      <w:r w:rsidR="000443D0" w:rsidRPr="00C00335">
        <w:t xml:space="preserve">) </w:t>
      </w:r>
      <w:r w:rsidRPr="00C00335">
        <w:t xml:space="preserve">are compartments that hold individuals who have stopped being actively followed because they have died. The number of individuals by subpopulation </w:t>
      </w:r>
      <w:r w:rsidRPr="00C00335">
        <w:rPr>
          <w:i/>
        </w:rPr>
        <w:t>p</w:t>
      </w:r>
      <w:r w:rsidRPr="00C00335">
        <w:t xml:space="preserve"> in the absorbing states</w:t>
      </w:r>
      <w:r w:rsidR="000443D0" w:rsidRPr="00C00335">
        <w:t xml:space="preserve"> are determined by </w:t>
      </w:r>
      <w:r w:rsidR="00AD43DB" w:rsidRPr="00C00335">
        <w:t>Equations (7.21</w:t>
      </w:r>
      <w:r w:rsidR="000443D0" w:rsidRPr="00C00335">
        <w:t xml:space="preserve">) </w:t>
      </w:r>
      <w:r w:rsidR="00124B2F">
        <w:t>and</w:t>
      </w:r>
      <w:r w:rsidR="00124B2F" w:rsidRPr="00C00335">
        <w:t xml:space="preserve"> </w:t>
      </w:r>
      <w:r w:rsidR="000443D0" w:rsidRPr="00C00335">
        <w:t>(7.</w:t>
      </w:r>
      <w:r w:rsidR="00AD43DB" w:rsidRPr="00C00335">
        <w:t>2</w:t>
      </w:r>
      <w:r w:rsidR="00124B2F">
        <w:t>2</w:t>
      </w:r>
      <w:r w:rsidR="000443D0" w:rsidRPr="00C00335">
        <w:t xml:space="preserve">), respectively. Transitions that increase the values include death from AIDS </w:t>
      </w:r>
      <w:r w:rsidR="000723F7" w:rsidRPr="00C00335">
        <w:t xml:space="preserve">and </w:t>
      </w:r>
      <w:r w:rsidR="000443D0" w:rsidRPr="00C00335">
        <w:t xml:space="preserve">death from causes other than AIDS. </w:t>
      </w:r>
      <w:r w:rsidR="00D66442" w:rsidRPr="00C00335">
        <w:t>N</w:t>
      </w:r>
      <w:r w:rsidR="000443D0" w:rsidRPr="00C00335">
        <w:t xml:space="preserve">o transitions decrease the </w:t>
      </w:r>
      <w:r w:rsidRPr="00C00335">
        <w:t>number of individuals in these states</w:t>
      </w:r>
      <w:r w:rsidR="000443D0" w:rsidRPr="00C00335">
        <w:t>.</w:t>
      </w:r>
    </w:p>
    <w:p w14:paraId="181AA2C2" w14:textId="25A07947" w:rsidR="0001709F" w:rsidRPr="00C00335" w:rsidRDefault="0001709F" w:rsidP="00054580">
      <w:pPr>
        <w:pStyle w:val="equation"/>
        <w:spacing w:after="240" w:line="240" w:lineRule="atLeast"/>
      </w:pPr>
      <w:r w:rsidRPr="00C00335">
        <w:tab/>
      </w:r>
      <w:r w:rsidR="00DC6416" w:rsidRPr="00C00335">
        <w:rPr>
          <w:position w:val="-30"/>
        </w:rPr>
        <w:object w:dxaOrig="4540" w:dyaOrig="780" w14:anchorId="5ECBC688">
          <v:shape id="_x0000_i1075" type="#_x0000_t75" style="width:230.25pt;height:35.25pt" o:ole="">
            <v:imagedata r:id="rId124" o:title=""/>
          </v:shape>
          <o:OLEObject Type="Embed" ProgID="Equation.3" ShapeID="_x0000_i1075" DrawAspect="Content" ObjectID="_1700043758" r:id="rId125"/>
        </w:object>
      </w:r>
      <w:r w:rsidRPr="00C00335">
        <w:tab/>
        <w:t>(7.21)</w:t>
      </w:r>
    </w:p>
    <w:p w14:paraId="0BE8E4C6" w14:textId="2987B666" w:rsidR="000E5D98" w:rsidRPr="00C00335" w:rsidRDefault="000E5D98" w:rsidP="00054580">
      <w:pPr>
        <w:pStyle w:val="equation"/>
        <w:spacing w:after="240" w:line="240" w:lineRule="atLeast"/>
      </w:pPr>
      <w:r w:rsidRPr="00C00335">
        <w:tab/>
      </w:r>
      <w:r w:rsidR="00DC6416" w:rsidRPr="00C00335">
        <w:rPr>
          <w:position w:val="-30"/>
        </w:rPr>
        <w:object w:dxaOrig="2840" w:dyaOrig="780" w14:anchorId="009D3CDA">
          <v:shape id="_x0000_i1076" type="#_x0000_t75" style="width:2in;height:35.25pt" o:ole="">
            <v:imagedata r:id="rId126" o:title=""/>
          </v:shape>
          <o:OLEObject Type="Embed" ProgID="Equation.3" ShapeID="_x0000_i1076" DrawAspect="Content" ObjectID="_1700043759" r:id="rId127"/>
        </w:object>
      </w:r>
      <w:r w:rsidRPr="00C00335">
        <w:tab/>
        <w:t>(7.22)</w:t>
      </w:r>
    </w:p>
    <w:p w14:paraId="642F8FDD" w14:textId="61A26307" w:rsidR="000443D0" w:rsidRPr="00C00335" w:rsidRDefault="00377E93" w:rsidP="00054580">
      <w:pPr>
        <w:pStyle w:val="equation"/>
        <w:spacing w:after="240" w:line="240" w:lineRule="atLeast"/>
      </w:pPr>
      <w:r w:rsidRPr="00C00335">
        <w:tab/>
      </w:r>
    </w:p>
    <w:p w14:paraId="0CE9196B" w14:textId="351E8F62" w:rsidR="00F1655F" w:rsidRPr="00C00335" w:rsidRDefault="00E5190F" w:rsidP="00F1655F">
      <w:pPr>
        <w:pStyle w:val="BodyText"/>
      </w:pPr>
      <w:r>
        <w:t>ttttttttttttttttttttttttttttttttttttttttttttttttttttttttttttttttttttttttttttttttttttttttttttttttttt</w:t>
      </w:r>
    </w:p>
    <w:p w14:paraId="487A0A47" w14:textId="77777777" w:rsidR="00F1655F" w:rsidRPr="00C00335" w:rsidRDefault="00F1655F" w:rsidP="00540431">
      <w:pPr>
        <w:pStyle w:val="ESHeading1"/>
        <w:tabs>
          <w:tab w:val="center" w:pos="5040"/>
          <w:tab w:val="right" w:pos="9360"/>
        </w:tabs>
        <w:jc w:val="left"/>
        <w:sectPr w:rsidR="00F1655F" w:rsidRPr="00C00335" w:rsidSect="00841835">
          <w:headerReference w:type="default" r:id="rId128"/>
          <w:footerReference w:type="even" r:id="rId129"/>
          <w:footerReference w:type="default" r:id="rId130"/>
          <w:type w:val="oddPage"/>
          <w:pgSz w:w="12240" w:h="15840" w:code="1"/>
          <w:pgMar w:top="1440" w:right="1440" w:bottom="1440" w:left="1440" w:header="720" w:footer="720" w:gutter="0"/>
          <w:pgNumType w:start="1" w:chapStyle="1"/>
          <w:cols w:space="720"/>
          <w:titlePg/>
          <w:docGrid w:linePitch="360"/>
        </w:sectPr>
      </w:pPr>
    </w:p>
    <w:p w14:paraId="17D84892" w14:textId="248D8C75" w:rsidR="00937B71" w:rsidRPr="00C00335" w:rsidRDefault="00937B71" w:rsidP="004E2DC3">
      <w:pPr>
        <w:pStyle w:val="Heading1"/>
      </w:pPr>
      <w:bookmarkStart w:id="112" w:name="_Toc89257557"/>
      <w:bookmarkStart w:id="113" w:name="_Toc398293130"/>
      <w:r w:rsidRPr="00C00335">
        <w:lastRenderedPageBreak/>
        <w:t>Interventions</w:t>
      </w:r>
      <w:r w:rsidR="00F470E8" w:rsidRPr="00C00335">
        <w:t xml:space="preserve"> </w:t>
      </w:r>
      <w:r w:rsidR="004E2DC3" w:rsidRPr="00C00335">
        <w:t xml:space="preserve">and Optimization of </w:t>
      </w:r>
      <w:r w:rsidR="00F55FEC">
        <w:t>A</w:t>
      </w:r>
      <w:r w:rsidR="004E2DC3" w:rsidRPr="00C00335">
        <w:t>llocations to Interventions</w:t>
      </w:r>
      <w:bookmarkEnd w:id="112"/>
    </w:p>
    <w:p w14:paraId="5F64B64B" w14:textId="6A3E6F1D" w:rsidR="00937B71" w:rsidRPr="00C00335" w:rsidRDefault="00F470E8" w:rsidP="001B7864">
      <w:pPr>
        <w:pStyle w:val="BodyText"/>
      </w:pPr>
      <w:r w:rsidRPr="00C00335">
        <w:t xml:space="preserve">When the allocation-based method is applied for calculating progression along the </w:t>
      </w:r>
      <w:r w:rsidR="003F2DC6" w:rsidRPr="00C00335">
        <w:t>care continuum</w:t>
      </w:r>
      <w:r w:rsidRPr="00C00335">
        <w:t>, t</w:t>
      </w:r>
      <w:r w:rsidR="00937B71" w:rsidRPr="00C00335">
        <w:t>he model considers</w:t>
      </w:r>
      <w:r w:rsidR="00784CC9" w:rsidRPr="00C00335">
        <w:t xml:space="preserve"> the following </w:t>
      </w:r>
      <w:r w:rsidR="001B7864" w:rsidRPr="00C00335">
        <w:t>1</w:t>
      </w:r>
      <w:r w:rsidR="00D16974">
        <w:t>4</w:t>
      </w:r>
      <w:r w:rsidR="001B7864" w:rsidRPr="00C00335">
        <w:t xml:space="preserve"> </w:t>
      </w:r>
      <w:r w:rsidR="00784CC9" w:rsidRPr="00C00335">
        <w:t>interventions in</w:t>
      </w:r>
      <w:r w:rsidR="00937B71" w:rsidRPr="00C00335">
        <w:t xml:space="preserve"> </w:t>
      </w:r>
      <w:r w:rsidR="00D16974">
        <w:t>six</w:t>
      </w:r>
      <w:r w:rsidR="00D16974" w:rsidRPr="00C00335">
        <w:t xml:space="preserve"> </w:t>
      </w:r>
      <w:r w:rsidR="00937B71" w:rsidRPr="00C00335">
        <w:t>categories, each aimed at increasing</w:t>
      </w:r>
      <w:r w:rsidR="00784CC9" w:rsidRPr="00C00335">
        <w:t xml:space="preserve"> or maintaining</w:t>
      </w:r>
      <w:r w:rsidR="00937B71" w:rsidRPr="00C00335">
        <w:t xml:space="preserve"> progression along the HIV </w:t>
      </w:r>
      <w:r w:rsidR="003F2DC6" w:rsidRPr="00C00335">
        <w:t>care continuum</w:t>
      </w:r>
      <w:r w:rsidR="00937B71" w:rsidRPr="00C00335">
        <w:t>:</w:t>
      </w:r>
    </w:p>
    <w:p w14:paraId="35B2505C" w14:textId="77777777" w:rsidR="00937B71" w:rsidRPr="00C00335" w:rsidRDefault="00937B71" w:rsidP="002B1372">
      <w:pPr>
        <w:pStyle w:val="bullets"/>
      </w:pPr>
      <w:r w:rsidRPr="00C00335">
        <w:t>Testing</w:t>
      </w:r>
    </w:p>
    <w:p w14:paraId="6F5B1070" w14:textId="77777777" w:rsidR="004B0B34" w:rsidRPr="00C00335" w:rsidRDefault="004B0B34" w:rsidP="004B0B34">
      <w:pPr>
        <w:pStyle w:val="bullets-2ndlevel"/>
      </w:pPr>
      <w:r w:rsidRPr="00C00335">
        <w:t>Low-risk HETs</w:t>
      </w:r>
      <w:r>
        <w:t xml:space="preserve"> (j* = 1)</w:t>
      </w:r>
    </w:p>
    <w:p w14:paraId="338F5AB5" w14:textId="09A4DD01" w:rsidR="00DC6416" w:rsidRPr="00C00335" w:rsidRDefault="00DC6416" w:rsidP="00313E65">
      <w:pPr>
        <w:pStyle w:val="bullets-2ndlevel"/>
      </w:pPr>
      <w:r w:rsidRPr="00C00335">
        <w:t>High-risk HETs</w:t>
      </w:r>
      <w:r w:rsidR="004B0B34">
        <w:t xml:space="preserve"> (j* = 2)</w:t>
      </w:r>
    </w:p>
    <w:p w14:paraId="060492BB" w14:textId="041B5E9C" w:rsidR="004B0B34" w:rsidRPr="00C00335" w:rsidRDefault="004B0B34" w:rsidP="004B0B34">
      <w:pPr>
        <w:pStyle w:val="bullets-2ndlevel"/>
      </w:pPr>
      <w:r w:rsidRPr="00C00335">
        <w:t>Low-risk MSM</w:t>
      </w:r>
      <w:r>
        <w:t xml:space="preserve"> (j* = 3)</w:t>
      </w:r>
    </w:p>
    <w:p w14:paraId="7FBD4D2D" w14:textId="604269E9" w:rsidR="00DC6416" w:rsidRPr="00C00335" w:rsidRDefault="00DC6416" w:rsidP="00313E65">
      <w:pPr>
        <w:pStyle w:val="bullets-2ndlevel"/>
      </w:pPr>
      <w:r w:rsidRPr="00C00335">
        <w:t>High-risk MSM</w:t>
      </w:r>
      <w:r w:rsidR="004B0B34">
        <w:t xml:space="preserve"> (j* = 4)</w:t>
      </w:r>
    </w:p>
    <w:p w14:paraId="2B5E346F" w14:textId="05018E4F" w:rsidR="00DC6416" w:rsidRPr="00C00335" w:rsidRDefault="00DC6416" w:rsidP="00313E65">
      <w:pPr>
        <w:pStyle w:val="bullets-2ndlevel"/>
      </w:pPr>
      <w:r w:rsidRPr="00C00335">
        <w:t>PWID</w:t>
      </w:r>
      <w:r w:rsidR="004B0B34">
        <w:t xml:space="preserve"> (j* = 5)</w:t>
      </w:r>
    </w:p>
    <w:p w14:paraId="406B5E2A" w14:textId="02F00E28" w:rsidR="001F5372" w:rsidRPr="00C00335" w:rsidRDefault="00937B71" w:rsidP="002B1372">
      <w:pPr>
        <w:pStyle w:val="bullets"/>
      </w:pPr>
      <w:r w:rsidRPr="00C00335">
        <w:t xml:space="preserve">Linkage to </w:t>
      </w:r>
      <w:r w:rsidR="003C0141" w:rsidRPr="00C00335">
        <w:t xml:space="preserve">HIV </w:t>
      </w:r>
      <w:r w:rsidRPr="00C00335">
        <w:t>care</w:t>
      </w:r>
    </w:p>
    <w:p w14:paraId="14C1AF98" w14:textId="1E5726B6" w:rsidR="00937B71" w:rsidRPr="00C00335" w:rsidRDefault="00DC6416" w:rsidP="00313E65">
      <w:pPr>
        <w:pStyle w:val="bullets-2ndlevel"/>
      </w:pPr>
      <w:r w:rsidRPr="00C00335">
        <w:t xml:space="preserve">At </w:t>
      </w:r>
      <w:r w:rsidR="00937B71" w:rsidRPr="00C00335">
        <w:t>diagnosis</w:t>
      </w:r>
      <w:r w:rsidR="004B0B34">
        <w:t xml:space="preserve"> (j* = 6)</w:t>
      </w:r>
    </w:p>
    <w:p w14:paraId="29E2873F" w14:textId="6C8F9313" w:rsidR="00FA7603" w:rsidRPr="00C00335" w:rsidRDefault="00DC6416" w:rsidP="00313E65">
      <w:pPr>
        <w:pStyle w:val="bullets-2ndlevel"/>
      </w:pPr>
      <w:r w:rsidRPr="00C00335">
        <w:t>A</w:t>
      </w:r>
      <w:r w:rsidR="00FA7603" w:rsidRPr="00C00335">
        <w:t>fter diagnosis</w:t>
      </w:r>
      <w:r w:rsidR="004B0B34">
        <w:t xml:space="preserve"> (j* = 7)</w:t>
      </w:r>
    </w:p>
    <w:p w14:paraId="3835AE5B" w14:textId="336C9C01" w:rsidR="00FA7603" w:rsidRPr="00C00335" w:rsidRDefault="00FA7603" w:rsidP="002B1372">
      <w:pPr>
        <w:pStyle w:val="bullets"/>
      </w:pPr>
      <w:r w:rsidRPr="00C00335">
        <w:t>ART prescription</w:t>
      </w:r>
      <w:r w:rsidR="004B0B34">
        <w:t xml:space="preserve"> (j* = 8)</w:t>
      </w:r>
    </w:p>
    <w:p w14:paraId="4332EFE2" w14:textId="77777777" w:rsidR="001F5372" w:rsidRPr="00C00335" w:rsidRDefault="00937B71" w:rsidP="002B1372">
      <w:pPr>
        <w:pStyle w:val="bullets"/>
      </w:pPr>
      <w:r w:rsidRPr="00C00335">
        <w:t>ART adherence</w:t>
      </w:r>
    </w:p>
    <w:p w14:paraId="657A0959" w14:textId="05B31C40" w:rsidR="00937B71" w:rsidRPr="00C00335" w:rsidRDefault="00DC6416" w:rsidP="00313E65">
      <w:pPr>
        <w:pStyle w:val="bullets-2ndlevel"/>
      </w:pPr>
      <w:r w:rsidRPr="00C00335">
        <w:t>T</w:t>
      </w:r>
      <w:r w:rsidR="00FA7603" w:rsidRPr="00C00335">
        <w:t xml:space="preserve">o </w:t>
      </w:r>
      <w:r w:rsidRPr="00C00335">
        <w:t>become</w:t>
      </w:r>
      <w:r w:rsidR="00FA7603" w:rsidRPr="00C00335">
        <w:t xml:space="preserve"> VLS</w:t>
      </w:r>
      <w:r w:rsidRPr="00C00335">
        <w:t xml:space="preserve"> if </w:t>
      </w:r>
      <w:r w:rsidR="000965E6" w:rsidRPr="00C00335">
        <w:t>prescribed ART</w:t>
      </w:r>
      <w:r w:rsidRPr="00C00335">
        <w:t xml:space="preserve"> and not VLS</w:t>
      </w:r>
      <w:r w:rsidR="004B0B34">
        <w:t xml:space="preserve"> (j* = 9)</w:t>
      </w:r>
    </w:p>
    <w:p w14:paraId="1604A8F3" w14:textId="5B138986" w:rsidR="00FA7603" w:rsidRDefault="00DC6416" w:rsidP="00313E65">
      <w:pPr>
        <w:pStyle w:val="bullets-2ndlevel"/>
      </w:pPr>
      <w:r w:rsidRPr="00C00335">
        <w:t>T</w:t>
      </w:r>
      <w:r w:rsidR="00FA7603" w:rsidRPr="00C00335">
        <w:t xml:space="preserve">o </w:t>
      </w:r>
      <w:r w:rsidRPr="00C00335">
        <w:t>remain</w:t>
      </w:r>
      <w:r w:rsidR="00FA7603" w:rsidRPr="00C00335">
        <w:t xml:space="preserve"> VLS</w:t>
      </w:r>
      <w:r w:rsidR="004B0B34">
        <w:t xml:space="preserve"> (j* = 10)</w:t>
      </w:r>
    </w:p>
    <w:p w14:paraId="178FC6DA" w14:textId="2C1A4FA0" w:rsidR="00251AFF" w:rsidRPr="00444C57" w:rsidRDefault="00251AFF" w:rsidP="00AF5B78">
      <w:pPr>
        <w:pStyle w:val="bullets"/>
      </w:pPr>
      <w:r w:rsidRPr="00444C57">
        <w:t>S</w:t>
      </w:r>
      <w:r w:rsidR="00DF0FE6">
        <w:t>S</w:t>
      </w:r>
      <w:r w:rsidRPr="00444C57">
        <w:t>P (j* = 11)</w:t>
      </w:r>
    </w:p>
    <w:p w14:paraId="1953CAC2" w14:textId="77777777" w:rsidR="001F5372" w:rsidRPr="00C00335" w:rsidRDefault="00937B71" w:rsidP="002B1372">
      <w:pPr>
        <w:pStyle w:val="bullets"/>
      </w:pPr>
      <w:proofErr w:type="spellStart"/>
      <w:r w:rsidRPr="00C00335">
        <w:t>PrEP</w:t>
      </w:r>
      <w:proofErr w:type="spellEnd"/>
    </w:p>
    <w:p w14:paraId="15C57ED7" w14:textId="5436E918" w:rsidR="00937B71" w:rsidRPr="00444C57" w:rsidRDefault="00784CC9" w:rsidP="00313E65">
      <w:pPr>
        <w:pStyle w:val="bullets-2ndlevel"/>
      </w:pPr>
      <w:r w:rsidRPr="00444C57">
        <w:t>High-risk HETs</w:t>
      </w:r>
      <w:r w:rsidR="004B0B34" w:rsidRPr="00444C57">
        <w:t xml:space="preserve"> (j* = 1</w:t>
      </w:r>
      <w:r w:rsidR="00251AFF" w:rsidRPr="00444C57">
        <w:t>2</w:t>
      </w:r>
      <w:r w:rsidR="004B0B34" w:rsidRPr="00444C57">
        <w:t>)</w:t>
      </w:r>
    </w:p>
    <w:p w14:paraId="164531CE" w14:textId="59992558" w:rsidR="00784CC9" w:rsidRPr="00444C57" w:rsidRDefault="00784CC9" w:rsidP="00313E65">
      <w:pPr>
        <w:pStyle w:val="bullets-2ndlevel"/>
      </w:pPr>
      <w:r w:rsidRPr="00444C57">
        <w:t>High-risk MSM</w:t>
      </w:r>
      <w:r w:rsidR="004B0B34" w:rsidRPr="00444C57">
        <w:t xml:space="preserve"> (j* = 1</w:t>
      </w:r>
      <w:r w:rsidR="00251AFF" w:rsidRPr="00444C57">
        <w:t>3</w:t>
      </w:r>
      <w:r w:rsidR="004B0B34" w:rsidRPr="00444C57">
        <w:t>)</w:t>
      </w:r>
    </w:p>
    <w:p w14:paraId="140D86BC" w14:textId="633A82D3" w:rsidR="00784CC9" w:rsidRPr="00444C57" w:rsidRDefault="00784CC9" w:rsidP="00313E65">
      <w:pPr>
        <w:pStyle w:val="bullets-2ndlevel"/>
      </w:pPr>
      <w:r w:rsidRPr="00444C57">
        <w:t>PWID</w:t>
      </w:r>
      <w:r w:rsidR="004B0B34" w:rsidRPr="00444C57">
        <w:t xml:space="preserve"> (j* = 1</w:t>
      </w:r>
      <w:r w:rsidR="00251AFF" w:rsidRPr="00444C57">
        <w:t>4</w:t>
      </w:r>
      <w:r w:rsidR="004B0B34" w:rsidRPr="00444C57">
        <w:t>)</w:t>
      </w:r>
    </w:p>
    <w:p w14:paraId="0EAE6452" w14:textId="5E0C2A36" w:rsidR="00937B71" w:rsidRPr="002D6933" w:rsidRDefault="00937B71" w:rsidP="00937B71">
      <w:pPr>
        <w:pStyle w:val="Heading2"/>
      </w:pPr>
      <w:bookmarkStart w:id="114" w:name="_Toc89257558"/>
      <w:r w:rsidRPr="002D6933">
        <w:t xml:space="preserve">Intervention </w:t>
      </w:r>
      <w:r w:rsidR="00D66442" w:rsidRPr="002D6933">
        <w:t>C</w:t>
      </w:r>
      <w:r w:rsidRPr="002D6933">
        <w:t xml:space="preserve">osts and </w:t>
      </w:r>
      <w:r w:rsidR="00D66442" w:rsidRPr="002D6933">
        <w:t>E</w:t>
      </w:r>
      <w:r w:rsidRPr="002D6933">
        <w:t>ffects</w:t>
      </w:r>
      <w:bookmarkEnd w:id="114"/>
    </w:p>
    <w:p w14:paraId="534B4F9E" w14:textId="509A0F25" w:rsidR="00937B71" w:rsidRPr="00C00335" w:rsidRDefault="00F470E8" w:rsidP="001B7864">
      <w:pPr>
        <w:pStyle w:val="BodyText"/>
      </w:pPr>
      <w:r w:rsidRPr="00C00335">
        <w:t>If the model is using allocation-based progression, t</w:t>
      </w:r>
      <w:r w:rsidR="00937B71" w:rsidRPr="00C00335">
        <w:t>he allocation of funding to interventions affects the rates of progression</w:t>
      </w:r>
      <w:r w:rsidRPr="00C00335">
        <w:t xml:space="preserve"> </w:t>
      </w:r>
      <w:r w:rsidR="00937B71" w:rsidRPr="00C00335">
        <w:t>through the model’s compartments for the observed population</w:t>
      </w:r>
      <w:r w:rsidRPr="00C00335">
        <w:t xml:space="preserve"> in </w:t>
      </w:r>
      <w:r w:rsidR="00784CC9" w:rsidRPr="00C00335">
        <w:t>the third time period</w:t>
      </w:r>
      <w:r w:rsidRPr="00C00335">
        <w:t xml:space="preserve">, as described in </w:t>
      </w:r>
      <w:r w:rsidR="00CA2896" w:rsidRPr="00C00335">
        <w:t>Section </w:t>
      </w:r>
      <w:r w:rsidR="00444C57">
        <w:fldChar w:fldCharType="begin"/>
      </w:r>
      <w:r w:rsidR="00444C57">
        <w:instrText xml:space="preserve"> REF _Ref489362693 \r \h </w:instrText>
      </w:r>
      <w:r w:rsidR="00444C57">
        <w:fldChar w:fldCharType="separate"/>
      </w:r>
      <w:r w:rsidR="00444C57">
        <w:t>5.4.1</w:t>
      </w:r>
      <w:r w:rsidR="00444C57">
        <w:fldChar w:fldCharType="end"/>
      </w:r>
      <w:r w:rsidR="00937B71" w:rsidRPr="00C00335">
        <w:t xml:space="preserve">. </w:t>
      </w:r>
      <w:r w:rsidR="00871E69" w:rsidRPr="00C00335">
        <w:t>Table 8.</w:t>
      </w:r>
      <w:r w:rsidR="00937B71" w:rsidRPr="00C00335">
        <w:t xml:space="preserve">1 lists the effects </w:t>
      </w:r>
      <w:r w:rsidR="00937B71" w:rsidRPr="00E832D1">
        <w:t>of allocating funds to each intervention</w:t>
      </w:r>
      <w:r w:rsidR="00C320F6" w:rsidRPr="00E832D1">
        <w:t xml:space="preserve"> and</w:t>
      </w:r>
      <w:r w:rsidR="00937B71" w:rsidRPr="00E832D1">
        <w:t xml:space="preserve"> the eligible populations and costs of each. </w:t>
      </w:r>
      <w:r w:rsidR="00A47B4B" w:rsidRPr="00E832D1">
        <w:t>I</w:t>
      </w:r>
      <w:r w:rsidR="009566CC" w:rsidRPr="00E832D1">
        <w:t>f indicated by model settings, i</w:t>
      </w:r>
      <w:r w:rsidR="00A47B4B" w:rsidRPr="00E832D1">
        <w:t xml:space="preserve">nterventions can be targeted </w:t>
      </w:r>
      <w:r w:rsidR="009566CC" w:rsidRPr="00E832D1">
        <w:t xml:space="preserve">only </w:t>
      </w:r>
      <w:r w:rsidR="00A47B4B" w:rsidRPr="00E832D1">
        <w:t xml:space="preserve">to </w:t>
      </w:r>
      <w:r w:rsidR="00DA36D6" w:rsidRPr="00E832D1">
        <w:t>young MSM (MSM aged 1</w:t>
      </w:r>
      <w:r w:rsidR="009566CC" w:rsidRPr="00E832D1">
        <w:t>3</w:t>
      </w:r>
      <w:r w:rsidR="00DA36D6" w:rsidRPr="00E832D1">
        <w:t>-</w:t>
      </w:r>
      <w:r w:rsidR="009566CC" w:rsidRPr="00E832D1">
        <w:t>3</w:t>
      </w:r>
      <w:r w:rsidR="00DA36D6" w:rsidRPr="00E832D1">
        <w:t>4).</w:t>
      </w:r>
      <w:r w:rsidR="00A47B4B" w:rsidRPr="00E832D1">
        <w:t xml:space="preserve"> </w:t>
      </w:r>
      <w:r w:rsidR="00CA2896" w:rsidRPr="00E832D1">
        <w:t>Section </w:t>
      </w:r>
      <w:r w:rsidR="00444C57" w:rsidRPr="00E832D1">
        <w:fldChar w:fldCharType="begin"/>
      </w:r>
      <w:r w:rsidR="00444C57" w:rsidRPr="00E832D1">
        <w:instrText xml:space="preserve"> REF _Ref489362693 \r \h </w:instrText>
      </w:r>
      <w:r w:rsidR="008F5F09">
        <w:instrText xml:space="preserve"> \* MERGEFORMAT </w:instrText>
      </w:r>
      <w:r w:rsidR="00444C57" w:rsidRPr="00E832D1">
        <w:fldChar w:fldCharType="separate"/>
      </w:r>
      <w:r w:rsidR="00444C57" w:rsidRPr="00E832D1">
        <w:t>5.4.1</w:t>
      </w:r>
      <w:r w:rsidR="00444C57" w:rsidRPr="00E832D1">
        <w:fldChar w:fldCharType="end"/>
      </w:r>
      <w:r w:rsidR="00937B71" w:rsidRPr="00E832D1">
        <w:t xml:space="preserve"> describes in detail allocation-based progression and specifically how allocation</w:t>
      </w:r>
      <w:r w:rsidR="00937B71" w:rsidRPr="00C00335">
        <w:t xml:space="preserve"> of funds to an intervention affects progression. </w:t>
      </w:r>
      <w:r w:rsidR="00871E69" w:rsidRPr="00C00335">
        <w:t>Table 8.</w:t>
      </w:r>
      <w:r w:rsidR="00937B71" w:rsidRPr="00C00335">
        <w:t>2 lists key model inputs pertaining to the interventions.</w:t>
      </w:r>
    </w:p>
    <w:p w14:paraId="6695F581" w14:textId="2A07F181" w:rsidR="00E57F46" w:rsidRPr="00C00335" w:rsidRDefault="00E57F46" w:rsidP="00E57F46">
      <w:pPr>
        <w:pStyle w:val="TableTitle"/>
      </w:pPr>
      <w:bookmarkStart w:id="115" w:name="_Toc89257611"/>
      <w:r w:rsidRPr="00C00335">
        <w:lastRenderedPageBreak/>
        <w:t>Table 8.1.</w:t>
      </w:r>
      <w:r w:rsidRPr="00C00335">
        <w:tab/>
        <w:t>Eligible Populations, Costs, and Effects of Each Category of Interventions</w:t>
      </w:r>
      <w:bookmarkEnd w:id="115"/>
    </w:p>
    <w:tbl>
      <w:tblPr>
        <w:tblW w:w="9504" w:type="dxa"/>
        <w:tblLayout w:type="fixed"/>
        <w:tblCellMar>
          <w:left w:w="115" w:type="dxa"/>
          <w:right w:w="115" w:type="dxa"/>
        </w:tblCellMar>
        <w:tblLook w:val="04A0" w:firstRow="1" w:lastRow="0" w:firstColumn="1" w:lastColumn="0" w:noHBand="0" w:noVBand="1"/>
      </w:tblPr>
      <w:tblGrid>
        <w:gridCol w:w="1492"/>
        <w:gridCol w:w="1747"/>
        <w:gridCol w:w="1943"/>
        <w:gridCol w:w="1800"/>
        <w:gridCol w:w="2522"/>
      </w:tblGrid>
      <w:tr w:rsidR="007B6B33" w:rsidRPr="0023643C" w14:paraId="30DDF167" w14:textId="77777777" w:rsidTr="00260D8A">
        <w:trPr>
          <w:cantSplit/>
          <w:tblHeader/>
        </w:trPr>
        <w:tc>
          <w:tcPr>
            <w:tcW w:w="1492" w:type="dxa"/>
            <w:tcBorders>
              <w:top w:val="single" w:sz="12" w:space="0" w:color="000000" w:themeColor="text1"/>
              <w:bottom w:val="single" w:sz="6" w:space="0" w:color="000000" w:themeColor="text1"/>
            </w:tcBorders>
            <w:vAlign w:val="bottom"/>
          </w:tcPr>
          <w:p w14:paraId="4077821E" w14:textId="549EE893" w:rsidR="007B6B33" w:rsidRPr="0023643C" w:rsidRDefault="0023072B" w:rsidP="007B6B33">
            <w:pPr>
              <w:pStyle w:val="TableHeaders"/>
              <w:keepNext/>
            </w:pPr>
            <w:r w:rsidRPr="0023643C">
              <w:t>Intervention</w:t>
            </w:r>
            <w:r w:rsidR="00493683" w:rsidRPr="0023643C">
              <w:t xml:space="preserve"> (j*)</w:t>
            </w:r>
          </w:p>
        </w:tc>
        <w:tc>
          <w:tcPr>
            <w:tcW w:w="1747" w:type="dxa"/>
            <w:tcBorders>
              <w:top w:val="single" w:sz="12" w:space="0" w:color="000000" w:themeColor="text1"/>
              <w:bottom w:val="single" w:sz="6" w:space="0" w:color="000000" w:themeColor="text1"/>
            </w:tcBorders>
            <w:vAlign w:val="bottom"/>
          </w:tcPr>
          <w:p w14:paraId="43C79715" w14:textId="7901C782" w:rsidR="007B6B33" w:rsidRPr="0023643C" w:rsidRDefault="000400FE" w:rsidP="007B6B33">
            <w:pPr>
              <w:pStyle w:val="TableHeaders"/>
              <w:keepNext/>
            </w:pPr>
            <w:r w:rsidRPr="0023643C">
              <w:t xml:space="preserve">Population </w:t>
            </w:r>
            <w:r w:rsidR="00807C26" w:rsidRPr="0023643C">
              <w:t xml:space="preserve">Eligible </w:t>
            </w:r>
            <w:r w:rsidRPr="0023643C">
              <w:t xml:space="preserve">to </w:t>
            </w:r>
            <w:r w:rsidR="00807C26" w:rsidRPr="0023643C">
              <w:t>Receive Intervention</w:t>
            </w:r>
          </w:p>
        </w:tc>
        <w:tc>
          <w:tcPr>
            <w:tcW w:w="1943" w:type="dxa"/>
            <w:tcBorders>
              <w:top w:val="single" w:sz="12" w:space="0" w:color="000000" w:themeColor="text1"/>
              <w:bottom w:val="single" w:sz="6" w:space="0" w:color="000000" w:themeColor="text1"/>
            </w:tcBorders>
            <w:vAlign w:val="bottom"/>
          </w:tcPr>
          <w:p w14:paraId="5AFBE6D4" w14:textId="1A3F448D" w:rsidR="007B6B33" w:rsidRPr="0023643C" w:rsidRDefault="000400FE" w:rsidP="007B6B33">
            <w:pPr>
              <w:pStyle w:val="TableHeaders"/>
              <w:keepNext/>
            </w:pPr>
            <w:r w:rsidRPr="0023643C">
              <w:t xml:space="preserve">Rate or </w:t>
            </w:r>
            <w:r w:rsidR="00807C26" w:rsidRPr="0023643C">
              <w:t xml:space="preserve">Probability </w:t>
            </w:r>
            <w:r w:rsidRPr="0023643C">
              <w:t xml:space="preserve">and </w:t>
            </w:r>
            <w:r w:rsidR="00807C26" w:rsidRPr="0023643C">
              <w:t>Time Period Directly Affected by Interven</w:t>
            </w:r>
            <w:r w:rsidRPr="0023643C">
              <w:t>tion</w:t>
            </w:r>
          </w:p>
        </w:tc>
        <w:tc>
          <w:tcPr>
            <w:tcW w:w="1800" w:type="dxa"/>
            <w:tcBorders>
              <w:top w:val="single" w:sz="12" w:space="0" w:color="000000" w:themeColor="text1"/>
              <w:bottom w:val="single" w:sz="6" w:space="0" w:color="000000" w:themeColor="text1"/>
            </w:tcBorders>
            <w:vAlign w:val="bottom"/>
          </w:tcPr>
          <w:p w14:paraId="0CD349EE" w14:textId="2AB5F11A" w:rsidR="007B6B33" w:rsidRPr="0023643C" w:rsidRDefault="000400FE" w:rsidP="007B6B33">
            <w:pPr>
              <w:pStyle w:val="TableHeaders"/>
              <w:keepNext/>
            </w:pPr>
            <w:r w:rsidRPr="0023643C">
              <w:t xml:space="preserve">Per-person </w:t>
            </w:r>
            <w:r w:rsidR="00807C26" w:rsidRPr="0023643C">
              <w:t xml:space="preserve">Cost </w:t>
            </w:r>
            <w:r w:rsidRPr="0023643C">
              <w:t xml:space="preserve">of </w:t>
            </w:r>
            <w:r w:rsidR="00807C26" w:rsidRPr="0023643C">
              <w:t>Implementing Each Intervention</w:t>
            </w:r>
          </w:p>
        </w:tc>
        <w:tc>
          <w:tcPr>
            <w:tcW w:w="2522" w:type="dxa"/>
            <w:tcBorders>
              <w:top w:val="single" w:sz="12" w:space="0" w:color="000000" w:themeColor="text1"/>
              <w:bottom w:val="single" w:sz="6" w:space="0" w:color="000000" w:themeColor="text1"/>
            </w:tcBorders>
            <w:vAlign w:val="bottom"/>
          </w:tcPr>
          <w:p w14:paraId="20C7ED0E" w14:textId="7FC4E8D7" w:rsidR="007B6B33" w:rsidRPr="0023643C" w:rsidRDefault="000400FE" w:rsidP="007B6B33">
            <w:pPr>
              <w:pStyle w:val="TableHeaders"/>
              <w:keepNext/>
            </w:pPr>
            <w:r w:rsidRPr="0023643C">
              <w:t xml:space="preserve">Effect of </w:t>
            </w:r>
            <w:r w:rsidR="00807C26" w:rsidRPr="0023643C">
              <w:t xml:space="preserve">Allocating Funds </w:t>
            </w:r>
            <w:r w:rsidRPr="0023643C">
              <w:t xml:space="preserve">for </w:t>
            </w:r>
            <w:r w:rsidR="00807C26" w:rsidRPr="0023643C">
              <w:t>One Unit</w:t>
            </w:r>
            <w:r w:rsidRPr="0023643C">
              <w:t xml:space="preserve"> of </w:t>
            </w:r>
            <w:r w:rsidR="00807C26" w:rsidRPr="0023643C">
              <w:t>Intervention</w:t>
            </w:r>
          </w:p>
        </w:tc>
      </w:tr>
      <w:tr w:rsidR="000400FE" w:rsidRPr="0023643C" w14:paraId="36A20BB7" w14:textId="77777777" w:rsidTr="00260D8A">
        <w:trPr>
          <w:cantSplit/>
        </w:trPr>
        <w:tc>
          <w:tcPr>
            <w:tcW w:w="1492" w:type="dxa"/>
            <w:tcBorders>
              <w:top w:val="single" w:sz="6" w:space="0" w:color="000000" w:themeColor="text1"/>
              <w:bottom w:val="single" w:sz="6" w:space="0" w:color="808080" w:themeColor="background1" w:themeShade="80"/>
            </w:tcBorders>
          </w:tcPr>
          <w:p w14:paraId="4D82C28D" w14:textId="0978AD4C" w:rsidR="000400FE" w:rsidRPr="0023643C" w:rsidRDefault="000400FE" w:rsidP="007B6B33">
            <w:pPr>
              <w:pStyle w:val="TableText"/>
            </w:pPr>
            <w:r w:rsidRPr="0023643C">
              <w:t>Testing</w:t>
            </w:r>
            <w:r w:rsidR="0023072B" w:rsidRPr="0023643C">
              <w:t xml:space="preserve"> (j* = 1 to 5)</w:t>
            </w:r>
          </w:p>
        </w:tc>
        <w:tc>
          <w:tcPr>
            <w:tcW w:w="1747" w:type="dxa"/>
            <w:tcBorders>
              <w:top w:val="single" w:sz="6" w:space="0" w:color="000000" w:themeColor="text1"/>
              <w:bottom w:val="single" w:sz="6" w:space="0" w:color="808080" w:themeColor="background1" w:themeShade="80"/>
            </w:tcBorders>
          </w:tcPr>
          <w:p w14:paraId="2C6E75AA" w14:textId="747D46BA" w:rsidR="000400FE" w:rsidRPr="0023643C" w:rsidRDefault="000400FE" w:rsidP="007B6B33">
            <w:pPr>
              <w:pStyle w:val="TableText"/>
            </w:pPr>
            <w:r w:rsidRPr="0023643C">
              <w:t xml:space="preserve">All uninfected individuals and undiagnosed infected </w:t>
            </w:r>
            <w:r w:rsidR="0079728B">
              <w:t>PWH</w:t>
            </w:r>
          </w:p>
        </w:tc>
        <w:tc>
          <w:tcPr>
            <w:tcW w:w="1943" w:type="dxa"/>
            <w:tcBorders>
              <w:top w:val="single" w:sz="6" w:space="0" w:color="000000" w:themeColor="text1"/>
              <w:bottom w:val="single" w:sz="6" w:space="0" w:color="808080" w:themeColor="background1" w:themeShade="80"/>
            </w:tcBorders>
          </w:tcPr>
          <w:p w14:paraId="24A4B774" w14:textId="36BD1B8A" w:rsidR="000400FE" w:rsidRPr="0023643C" w:rsidRDefault="000400FE" w:rsidP="007B6B33">
            <w:pPr>
              <w:pStyle w:val="TableText"/>
            </w:pPr>
            <w:r w:rsidRPr="0023643C">
              <w:t>Annual testing rate, which affects diagnosis rate</w:t>
            </w:r>
            <w:r w:rsidR="00784CC9" w:rsidRPr="0023643C">
              <w:t xml:space="preserve"> of undiagnosed </w:t>
            </w:r>
            <w:r w:rsidR="0079728B">
              <w:t>PWH</w:t>
            </w:r>
            <w:r w:rsidRPr="0023643C">
              <w:t>, in each year over the time horizon</w:t>
            </w:r>
          </w:p>
        </w:tc>
        <w:tc>
          <w:tcPr>
            <w:tcW w:w="1800" w:type="dxa"/>
            <w:tcBorders>
              <w:top w:val="single" w:sz="6" w:space="0" w:color="000000" w:themeColor="text1"/>
              <w:bottom w:val="single" w:sz="6" w:space="0" w:color="808080" w:themeColor="background1" w:themeShade="80"/>
            </w:tcBorders>
          </w:tcPr>
          <w:p w14:paraId="09E25F32" w14:textId="0C48DAEC" w:rsidR="00784CC9" w:rsidRPr="0023643C" w:rsidRDefault="00784CC9" w:rsidP="00784CC9">
            <w:pPr>
              <w:pStyle w:val="TableText"/>
            </w:pPr>
            <w:r w:rsidRPr="0023643C">
              <w:t xml:space="preserve">Uninfected individuals: Cost of testing and notification of an </w:t>
            </w:r>
            <w:r w:rsidR="005F5C70" w:rsidRPr="0023643C">
              <w:t>HIV-uninfected</w:t>
            </w:r>
            <w:r w:rsidRPr="0023643C">
              <w:t xml:space="preserve"> person</w:t>
            </w:r>
          </w:p>
          <w:p w14:paraId="5E1E958F" w14:textId="74495897" w:rsidR="000400FE" w:rsidRPr="0023643C" w:rsidRDefault="00784CC9" w:rsidP="00784CC9">
            <w:pPr>
              <w:pStyle w:val="TableText"/>
            </w:pPr>
            <w:r w:rsidRPr="0023643C">
              <w:t xml:space="preserve">Infected and undiagnosed individuals: Cost of testing and notification of an </w:t>
            </w:r>
            <w:r w:rsidR="005F5C70" w:rsidRPr="0023643C">
              <w:t>HIV-infected</w:t>
            </w:r>
            <w:r w:rsidRPr="0023643C">
              <w:t xml:space="preserve"> individual</w:t>
            </w:r>
          </w:p>
        </w:tc>
        <w:tc>
          <w:tcPr>
            <w:tcW w:w="2522" w:type="dxa"/>
            <w:tcBorders>
              <w:top w:val="single" w:sz="6" w:space="0" w:color="000000" w:themeColor="text1"/>
              <w:bottom w:val="single" w:sz="6" w:space="0" w:color="808080" w:themeColor="background1" w:themeShade="80"/>
            </w:tcBorders>
          </w:tcPr>
          <w:p w14:paraId="565C8689" w14:textId="28F3ACBF" w:rsidR="000400FE" w:rsidRPr="0023643C" w:rsidRDefault="000400FE" w:rsidP="007B6B33">
            <w:pPr>
              <w:pStyle w:val="TableText"/>
            </w:pPr>
            <w:r w:rsidRPr="0023643C">
              <w:t xml:space="preserve">Test and notify one undiagnosed </w:t>
            </w:r>
            <w:r w:rsidR="0079728B">
              <w:t>PWH</w:t>
            </w:r>
          </w:p>
        </w:tc>
      </w:tr>
      <w:tr w:rsidR="000400FE" w:rsidRPr="0023643C" w14:paraId="1616C002" w14:textId="77777777" w:rsidTr="00260D8A">
        <w:trPr>
          <w:cantSplit/>
        </w:trPr>
        <w:tc>
          <w:tcPr>
            <w:tcW w:w="1492" w:type="dxa"/>
            <w:tcBorders>
              <w:top w:val="single" w:sz="6" w:space="0" w:color="808080" w:themeColor="background1" w:themeShade="80"/>
              <w:bottom w:val="single" w:sz="6" w:space="0" w:color="808080" w:themeColor="background1" w:themeShade="80"/>
            </w:tcBorders>
          </w:tcPr>
          <w:p w14:paraId="01A82C13" w14:textId="7F3D26E7" w:rsidR="000400FE" w:rsidRPr="0023643C" w:rsidRDefault="000400FE" w:rsidP="007B6B33">
            <w:pPr>
              <w:pStyle w:val="TableText"/>
            </w:pPr>
            <w:r w:rsidRPr="0023643C">
              <w:t xml:space="preserve">Linkage </w:t>
            </w:r>
            <w:r w:rsidR="00696657" w:rsidRPr="0023643C">
              <w:t>t</w:t>
            </w:r>
            <w:r w:rsidRPr="0023643C">
              <w:t xml:space="preserve">o </w:t>
            </w:r>
            <w:r w:rsidR="003C0141" w:rsidRPr="0023643C">
              <w:t xml:space="preserve">HIV </w:t>
            </w:r>
            <w:r w:rsidR="001B7864" w:rsidRPr="0023643C">
              <w:t>care at diagnosis</w:t>
            </w:r>
            <w:r w:rsidR="0023072B" w:rsidRPr="0023643C">
              <w:t xml:space="preserve"> (j* = 6)</w:t>
            </w:r>
          </w:p>
        </w:tc>
        <w:tc>
          <w:tcPr>
            <w:tcW w:w="1747" w:type="dxa"/>
            <w:tcBorders>
              <w:top w:val="single" w:sz="6" w:space="0" w:color="808080" w:themeColor="background1" w:themeShade="80"/>
              <w:bottom w:val="single" w:sz="6" w:space="0" w:color="808080" w:themeColor="background1" w:themeShade="80"/>
            </w:tcBorders>
          </w:tcPr>
          <w:p w14:paraId="2BAF780C" w14:textId="02B26083" w:rsidR="000400FE" w:rsidRPr="0023643C" w:rsidRDefault="000400FE" w:rsidP="007B6B33">
            <w:pPr>
              <w:pStyle w:val="TableText"/>
            </w:pPr>
            <w:r w:rsidRPr="0023643C">
              <w:t xml:space="preserve">Newly diagnosed </w:t>
            </w:r>
            <w:r w:rsidR="0079728B">
              <w:t>PWH</w:t>
            </w:r>
          </w:p>
        </w:tc>
        <w:tc>
          <w:tcPr>
            <w:tcW w:w="1943" w:type="dxa"/>
            <w:tcBorders>
              <w:top w:val="single" w:sz="6" w:space="0" w:color="808080" w:themeColor="background1" w:themeShade="80"/>
              <w:bottom w:val="single" w:sz="6" w:space="0" w:color="808080" w:themeColor="background1" w:themeShade="80"/>
            </w:tcBorders>
          </w:tcPr>
          <w:p w14:paraId="059D1F1C" w14:textId="050192CF" w:rsidR="000400FE" w:rsidRPr="0023643C" w:rsidRDefault="00784CC9" w:rsidP="007B6B33">
            <w:pPr>
              <w:pStyle w:val="TableText"/>
            </w:pPr>
            <w:r w:rsidRPr="0023643C">
              <w:t xml:space="preserve">Probability of linkage to </w:t>
            </w:r>
            <w:r w:rsidR="003C0141" w:rsidRPr="0023643C">
              <w:t xml:space="preserve">HIV </w:t>
            </w:r>
            <w:r w:rsidRPr="0023643C">
              <w:t xml:space="preserve">care at diagnosis, which affects rate of linkage to </w:t>
            </w:r>
            <w:r w:rsidR="003C0141" w:rsidRPr="0023643C">
              <w:t>HIV</w:t>
            </w:r>
            <w:r w:rsidR="00C16CB0" w:rsidRPr="0023643C">
              <w:t xml:space="preserve"> </w:t>
            </w:r>
            <w:r w:rsidRPr="0023643C">
              <w:t>care at diagnosis (</w:t>
            </w:r>
            <w:r w:rsidR="00556127">
              <w:t>transition from model rows 1 to 3</w:t>
            </w:r>
            <w:r w:rsidRPr="0023643C">
              <w:t>) and rate of diagnosis without linkage (row 1 to 2), in each year over</w:t>
            </w:r>
            <w:r w:rsidRPr="0023643C" w:rsidDel="00784CC9">
              <w:t xml:space="preserve"> </w:t>
            </w:r>
            <w:r w:rsidR="000400FE" w:rsidRPr="0023643C">
              <w:t>the time horizon</w:t>
            </w:r>
          </w:p>
        </w:tc>
        <w:tc>
          <w:tcPr>
            <w:tcW w:w="1800" w:type="dxa"/>
            <w:tcBorders>
              <w:top w:val="single" w:sz="6" w:space="0" w:color="808080" w:themeColor="background1" w:themeShade="80"/>
              <w:bottom w:val="single" w:sz="6" w:space="0" w:color="808080" w:themeColor="background1" w:themeShade="80"/>
            </w:tcBorders>
          </w:tcPr>
          <w:p w14:paraId="77BF1D5E" w14:textId="5B17F091" w:rsidR="000400FE" w:rsidRPr="0023643C" w:rsidRDefault="000400FE" w:rsidP="007B6B33">
            <w:pPr>
              <w:pStyle w:val="TableText"/>
            </w:pPr>
            <w:r w:rsidRPr="0023643C">
              <w:t>Cost to effectively link one additional individual to care</w:t>
            </w:r>
            <w:r w:rsidR="00C5597F" w:rsidRPr="0023643C">
              <w:t xml:space="preserve"> at diagnosis</w:t>
            </w:r>
          </w:p>
        </w:tc>
        <w:tc>
          <w:tcPr>
            <w:tcW w:w="2522" w:type="dxa"/>
            <w:tcBorders>
              <w:top w:val="single" w:sz="6" w:space="0" w:color="808080" w:themeColor="background1" w:themeShade="80"/>
              <w:bottom w:val="single" w:sz="6" w:space="0" w:color="808080" w:themeColor="background1" w:themeShade="80"/>
            </w:tcBorders>
          </w:tcPr>
          <w:p w14:paraId="1D210057" w14:textId="0F5E93A2" w:rsidR="000400FE" w:rsidRPr="0023643C" w:rsidRDefault="000400FE" w:rsidP="007B6B33">
            <w:pPr>
              <w:pStyle w:val="TableText"/>
            </w:pPr>
            <w:r w:rsidRPr="0023643C">
              <w:t>Link an additional newly diagnosed individual to care</w:t>
            </w:r>
          </w:p>
        </w:tc>
      </w:tr>
      <w:tr w:rsidR="000400FE" w:rsidRPr="0023643C" w14:paraId="442FD1C1" w14:textId="77777777" w:rsidTr="00260D8A">
        <w:trPr>
          <w:cantSplit/>
        </w:trPr>
        <w:tc>
          <w:tcPr>
            <w:tcW w:w="1492" w:type="dxa"/>
            <w:tcBorders>
              <w:top w:val="single" w:sz="6" w:space="0" w:color="808080" w:themeColor="background1" w:themeShade="80"/>
              <w:bottom w:val="single" w:sz="6" w:space="0" w:color="808080" w:themeColor="background1" w:themeShade="80"/>
            </w:tcBorders>
          </w:tcPr>
          <w:p w14:paraId="01D0BB43" w14:textId="69699763" w:rsidR="000400FE" w:rsidRPr="0023643C" w:rsidRDefault="000400FE" w:rsidP="007B6B33">
            <w:pPr>
              <w:pStyle w:val="TableText"/>
            </w:pPr>
            <w:r w:rsidRPr="0023643C">
              <w:t xml:space="preserve">Linkage to </w:t>
            </w:r>
            <w:r w:rsidR="003C0141" w:rsidRPr="0023643C">
              <w:t xml:space="preserve">HIV </w:t>
            </w:r>
            <w:r w:rsidR="001B7864" w:rsidRPr="0023643C">
              <w:t>care</w:t>
            </w:r>
            <w:r w:rsidR="00696657" w:rsidRPr="0023643C">
              <w:t xml:space="preserve"> later</w:t>
            </w:r>
            <w:r w:rsidR="001B7864" w:rsidRPr="0023643C">
              <w:t xml:space="preserve"> after diagnosis</w:t>
            </w:r>
            <w:r w:rsidR="0023072B" w:rsidRPr="0023643C">
              <w:t xml:space="preserve"> (j* = 7)</w:t>
            </w:r>
          </w:p>
        </w:tc>
        <w:tc>
          <w:tcPr>
            <w:tcW w:w="1747" w:type="dxa"/>
            <w:tcBorders>
              <w:top w:val="single" w:sz="6" w:space="0" w:color="808080" w:themeColor="background1" w:themeShade="80"/>
              <w:bottom w:val="single" w:sz="6" w:space="0" w:color="808080" w:themeColor="background1" w:themeShade="80"/>
            </w:tcBorders>
          </w:tcPr>
          <w:p w14:paraId="3FACA519" w14:textId="33172ACE" w:rsidR="000400FE" w:rsidRPr="0023643C" w:rsidRDefault="00C5597F" w:rsidP="007B6B33">
            <w:pPr>
              <w:pStyle w:val="TableText"/>
            </w:pPr>
            <w:r w:rsidRPr="0023643C">
              <w:t xml:space="preserve">Diagnosed </w:t>
            </w:r>
            <w:r w:rsidR="0079728B">
              <w:t>PWH</w:t>
            </w:r>
            <w:r w:rsidRPr="0023643C">
              <w:t xml:space="preserve"> not </w:t>
            </w:r>
            <w:r w:rsidR="00E54CEC" w:rsidRPr="0023643C">
              <w:t xml:space="preserve">currently </w:t>
            </w:r>
            <w:r w:rsidR="009E34D9" w:rsidRPr="0023643C">
              <w:t>linked to HIV care</w:t>
            </w:r>
          </w:p>
        </w:tc>
        <w:tc>
          <w:tcPr>
            <w:tcW w:w="1943" w:type="dxa"/>
            <w:tcBorders>
              <w:top w:val="single" w:sz="6" w:space="0" w:color="808080" w:themeColor="background1" w:themeShade="80"/>
              <w:bottom w:val="single" w:sz="6" w:space="0" w:color="808080" w:themeColor="background1" w:themeShade="80"/>
            </w:tcBorders>
          </w:tcPr>
          <w:p w14:paraId="5D468CEB" w14:textId="4C5B1E52" w:rsidR="000400FE" w:rsidRPr="0023643C" w:rsidRDefault="00A968F8" w:rsidP="007B6B33">
            <w:pPr>
              <w:pStyle w:val="TableText"/>
            </w:pPr>
            <w:r w:rsidRPr="0023643C">
              <w:t xml:space="preserve">Rate of linkage to </w:t>
            </w:r>
            <w:r w:rsidR="003C0141" w:rsidRPr="0023643C">
              <w:t xml:space="preserve">HIV </w:t>
            </w:r>
            <w:r w:rsidRPr="0023643C">
              <w:t>care (from aware stage)</w:t>
            </w:r>
            <w:r w:rsidR="00C5597F" w:rsidRPr="0023643C">
              <w:t>, in each year over the time horizon</w:t>
            </w:r>
          </w:p>
        </w:tc>
        <w:tc>
          <w:tcPr>
            <w:tcW w:w="1800" w:type="dxa"/>
            <w:tcBorders>
              <w:top w:val="single" w:sz="6" w:space="0" w:color="808080" w:themeColor="background1" w:themeShade="80"/>
              <w:bottom w:val="single" w:sz="6" w:space="0" w:color="808080" w:themeColor="background1" w:themeShade="80"/>
            </w:tcBorders>
          </w:tcPr>
          <w:p w14:paraId="7699063C" w14:textId="60135302" w:rsidR="000400FE" w:rsidRPr="0023643C" w:rsidRDefault="00C5597F" w:rsidP="007B6B33">
            <w:pPr>
              <w:pStyle w:val="TableText"/>
            </w:pPr>
            <w:r w:rsidRPr="0023643C">
              <w:t>Cost to effectively link one additional individual to care</w:t>
            </w:r>
            <w:r w:rsidR="00E54CEC" w:rsidRPr="0023643C">
              <w:t xml:space="preserve"> at a time point beyond initial</w:t>
            </w:r>
            <w:r w:rsidRPr="0023643C">
              <w:t xml:space="preserve"> diagnosis</w:t>
            </w:r>
          </w:p>
        </w:tc>
        <w:tc>
          <w:tcPr>
            <w:tcW w:w="2522" w:type="dxa"/>
            <w:tcBorders>
              <w:top w:val="single" w:sz="6" w:space="0" w:color="808080" w:themeColor="background1" w:themeShade="80"/>
              <w:bottom w:val="single" w:sz="6" w:space="0" w:color="808080" w:themeColor="background1" w:themeShade="80"/>
            </w:tcBorders>
          </w:tcPr>
          <w:p w14:paraId="67911718" w14:textId="630C521B" w:rsidR="000400FE" w:rsidRPr="0023643C" w:rsidRDefault="00630625" w:rsidP="007B6B33">
            <w:pPr>
              <w:pStyle w:val="TableText"/>
            </w:pPr>
            <w:r w:rsidRPr="0023643C">
              <w:t>Link an additional individual to care</w:t>
            </w:r>
          </w:p>
        </w:tc>
      </w:tr>
      <w:tr w:rsidR="000400FE" w:rsidRPr="0023643C" w14:paraId="56262667" w14:textId="77777777" w:rsidTr="00260D8A">
        <w:trPr>
          <w:cantSplit/>
        </w:trPr>
        <w:tc>
          <w:tcPr>
            <w:tcW w:w="1492" w:type="dxa"/>
            <w:tcBorders>
              <w:top w:val="single" w:sz="6" w:space="0" w:color="808080" w:themeColor="background1" w:themeShade="80"/>
              <w:bottom w:val="single" w:sz="6" w:space="0" w:color="808080" w:themeColor="background1" w:themeShade="80"/>
            </w:tcBorders>
          </w:tcPr>
          <w:p w14:paraId="798EB160" w14:textId="69A92A90" w:rsidR="000400FE" w:rsidRPr="0023643C" w:rsidRDefault="001B7864" w:rsidP="007B6B33">
            <w:pPr>
              <w:pStyle w:val="TableText"/>
            </w:pPr>
            <w:r w:rsidRPr="0023643C">
              <w:t>ART p</w:t>
            </w:r>
            <w:r w:rsidR="000400FE" w:rsidRPr="0023643C">
              <w:t>rescription</w:t>
            </w:r>
            <w:r w:rsidR="0023072B" w:rsidRPr="0023643C">
              <w:t xml:space="preserve"> (j* = 8)</w:t>
            </w:r>
          </w:p>
        </w:tc>
        <w:tc>
          <w:tcPr>
            <w:tcW w:w="1747" w:type="dxa"/>
            <w:tcBorders>
              <w:top w:val="single" w:sz="6" w:space="0" w:color="808080" w:themeColor="background1" w:themeShade="80"/>
              <w:bottom w:val="single" w:sz="6" w:space="0" w:color="808080" w:themeColor="background1" w:themeShade="80"/>
            </w:tcBorders>
          </w:tcPr>
          <w:p w14:paraId="7237AF07" w14:textId="042E94A9" w:rsidR="000400FE" w:rsidRPr="0023643C" w:rsidRDefault="0079728B" w:rsidP="00A968F8">
            <w:pPr>
              <w:pStyle w:val="TableText"/>
            </w:pPr>
            <w:r>
              <w:t>PWH</w:t>
            </w:r>
            <w:r w:rsidR="00C5597F" w:rsidRPr="0023643C">
              <w:t xml:space="preserve"> </w:t>
            </w:r>
            <w:r w:rsidR="009E34D9" w:rsidRPr="0023643C">
              <w:t>linked to HIV care</w:t>
            </w:r>
            <w:r w:rsidR="00C5597F" w:rsidRPr="0023643C">
              <w:t xml:space="preserve"> </w:t>
            </w:r>
          </w:p>
        </w:tc>
        <w:tc>
          <w:tcPr>
            <w:tcW w:w="1943" w:type="dxa"/>
            <w:tcBorders>
              <w:top w:val="single" w:sz="6" w:space="0" w:color="808080" w:themeColor="background1" w:themeShade="80"/>
              <w:bottom w:val="single" w:sz="6" w:space="0" w:color="808080" w:themeColor="background1" w:themeShade="80"/>
            </w:tcBorders>
          </w:tcPr>
          <w:p w14:paraId="5D4282D2" w14:textId="6AB6C034" w:rsidR="000400FE" w:rsidRPr="0023643C" w:rsidRDefault="00630625" w:rsidP="007B6B33">
            <w:pPr>
              <w:pStyle w:val="TableText"/>
            </w:pPr>
            <w:r w:rsidRPr="0023643C">
              <w:t>Rate of ART prescription in each year over the time horizon</w:t>
            </w:r>
          </w:p>
        </w:tc>
        <w:tc>
          <w:tcPr>
            <w:tcW w:w="1800" w:type="dxa"/>
            <w:tcBorders>
              <w:top w:val="single" w:sz="6" w:space="0" w:color="808080" w:themeColor="background1" w:themeShade="80"/>
              <w:bottom w:val="single" w:sz="6" w:space="0" w:color="808080" w:themeColor="background1" w:themeShade="80"/>
            </w:tcBorders>
          </w:tcPr>
          <w:p w14:paraId="5BA1A60D" w14:textId="68AC8482" w:rsidR="000400FE" w:rsidRPr="0023643C" w:rsidRDefault="00630625" w:rsidP="007B6B33">
            <w:pPr>
              <w:pStyle w:val="TableText"/>
            </w:pPr>
            <w:r w:rsidRPr="0023643C">
              <w:t>Cost to effectively prescribe ART to an additional individual</w:t>
            </w:r>
          </w:p>
        </w:tc>
        <w:tc>
          <w:tcPr>
            <w:tcW w:w="2522" w:type="dxa"/>
            <w:tcBorders>
              <w:top w:val="single" w:sz="6" w:space="0" w:color="808080" w:themeColor="background1" w:themeShade="80"/>
              <w:bottom w:val="single" w:sz="6" w:space="0" w:color="808080" w:themeColor="background1" w:themeShade="80"/>
            </w:tcBorders>
          </w:tcPr>
          <w:p w14:paraId="48EA0DF4" w14:textId="329ABF20" w:rsidR="000400FE" w:rsidRPr="0023643C" w:rsidRDefault="00630625" w:rsidP="007B6B33">
            <w:pPr>
              <w:pStyle w:val="TableText"/>
            </w:pPr>
            <w:r w:rsidRPr="0023643C">
              <w:t>Prescribe ART for one additional individual</w:t>
            </w:r>
          </w:p>
        </w:tc>
      </w:tr>
      <w:tr w:rsidR="00EC5B62" w:rsidRPr="00C00335" w14:paraId="517CC242" w14:textId="77777777" w:rsidTr="00042460">
        <w:trPr>
          <w:cantSplit/>
        </w:trPr>
        <w:tc>
          <w:tcPr>
            <w:tcW w:w="1492" w:type="dxa"/>
            <w:tcBorders>
              <w:top w:val="single" w:sz="6" w:space="0" w:color="808080" w:themeColor="background1" w:themeShade="80"/>
              <w:bottom w:val="single" w:sz="6" w:space="0" w:color="808080" w:themeColor="background1" w:themeShade="80"/>
            </w:tcBorders>
          </w:tcPr>
          <w:p w14:paraId="2E2A37BC" w14:textId="417A372F" w:rsidR="00EC5B62" w:rsidRPr="0023643C" w:rsidRDefault="00EC5B62" w:rsidP="00042460">
            <w:pPr>
              <w:pStyle w:val="TableText"/>
            </w:pPr>
            <w:r w:rsidRPr="0023643C">
              <w:t xml:space="preserve">ART adherence to become VLS </w:t>
            </w:r>
            <w:r w:rsidR="00397B20" w:rsidRPr="0023643C">
              <w:t xml:space="preserve">(progress from </w:t>
            </w:r>
            <w:r w:rsidR="00280171">
              <w:t>ART-not-VLS</w:t>
            </w:r>
            <w:r w:rsidR="00397B20" w:rsidRPr="0023643C">
              <w:t xml:space="preserve"> to VLS</w:t>
            </w:r>
            <w:r w:rsidRPr="0023643C">
              <w:t>)</w:t>
            </w:r>
            <w:r w:rsidR="00397B20" w:rsidRPr="0023643C">
              <w:t xml:space="preserve"> (j* = 9)</w:t>
            </w:r>
          </w:p>
        </w:tc>
        <w:tc>
          <w:tcPr>
            <w:tcW w:w="1747" w:type="dxa"/>
            <w:tcBorders>
              <w:top w:val="single" w:sz="6" w:space="0" w:color="808080" w:themeColor="background1" w:themeShade="80"/>
              <w:bottom w:val="single" w:sz="6" w:space="0" w:color="808080" w:themeColor="background1" w:themeShade="80"/>
            </w:tcBorders>
          </w:tcPr>
          <w:p w14:paraId="24A8E38B" w14:textId="372B427E" w:rsidR="00EC5B62" w:rsidRPr="0023643C" w:rsidRDefault="0079728B" w:rsidP="00042460">
            <w:pPr>
              <w:pStyle w:val="TableText"/>
            </w:pPr>
            <w:r>
              <w:t>PWH</w:t>
            </w:r>
            <w:r w:rsidR="00EC5B62" w:rsidRPr="0023643C">
              <w:t xml:space="preserve"> who </w:t>
            </w:r>
            <w:r w:rsidR="004B0B34" w:rsidRPr="0023643C">
              <w:t>have been</w:t>
            </w:r>
            <w:r w:rsidR="00EC5B62" w:rsidRPr="0023643C">
              <w:t xml:space="preserve"> prescribed ART but </w:t>
            </w:r>
            <w:r w:rsidR="004B0B34" w:rsidRPr="0023643C">
              <w:t xml:space="preserve">are </w:t>
            </w:r>
            <w:r w:rsidR="00EC5B62" w:rsidRPr="0023643C">
              <w:t>not</w:t>
            </w:r>
            <w:r w:rsidR="004B0B34" w:rsidRPr="0023643C">
              <w:t xml:space="preserve"> currently</w:t>
            </w:r>
            <w:r w:rsidR="00EC5B62" w:rsidRPr="0023643C">
              <w:t xml:space="preserve"> VLS</w:t>
            </w:r>
          </w:p>
        </w:tc>
        <w:tc>
          <w:tcPr>
            <w:tcW w:w="1943" w:type="dxa"/>
            <w:tcBorders>
              <w:top w:val="single" w:sz="6" w:space="0" w:color="808080" w:themeColor="background1" w:themeShade="80"/>
              <w:bottom w:val="single" w:sz="6" w:space="0" w:color="808080" w:themeColor="background1" w:themeShade="80"/>
            </w:tcBorders>
          </w:tcPr>
          <w:p w14:paraId="7E2E0078" w14:textId="25E7ECBF" w:rsidR="00EC5B62" w:rsidRPr="0023643C" w:rsidRDefault="00EC5B62" w:rsidP="00042460">
            <w:pPr>
              <w:pStyle w:val="TableText"/>
            </w:pPr>
            <w:r w:rsidRPr="0023643C">
              <w:t xml:space="preserve">Rate to VLS if </w:t>
            </w:r>
            <w:r w:rsidR="00280171">
              <w:t>ART-not-VLS</w:t>
            </w:r>
            <w:r w:rsidRPr="0023643C">
              <w:t xml:space="preserve"> in each year over the time </w:t>
            </w:r>
            <w:r w:rsidR="00192A14" w:rsidRPr="0023643C">
              <w:t>period</w:t>
            </w:r>
          </w:p>
        </w:tc>
        <w:tc>
          <w:tcPr>
            <w:tcW w:w="1800" w:type="dxa"/>
            <w:tcBorders>
              <w:top w:val="single" w:sz="6" w:space="0" w:color="808080" w:themeColor="background1" w:themeShade="80"/>
              <w:bottom w:val="single" w:sz="6" w:space="0" w:color="808080" w:themeColor="background1" w:themeShade="80"/>
            </w:tcBorders>
          </w:tcPr>
          <w:p w14:paraId="45D4E58B" w14:textId="77777777" w:rsidR="00EC5B62" w:rsidRPr="0023643C" w:rsidRDefault="00EC5B62" w:rsidP="00042460">
            <w:pPr>
              <w:pStyle w:val="TableText"/>
            </w:pPr>
            <w:r w:rsidRPr="0023643C">
              <w:t>Cost to effectively transition one individual from ART-not-VLS to VLS</w:t>
            </w:r>
          </w:p>
        </w:tc>
        <w:tc>
          <w:tcPr>
            <w:tcW w:w="2522" w:type="dxa"/>
            <w:tcBorders>
              <w:top w:val="single" w:sz="6" w:space="0" w:color="808080" w:themeColor="background1" w:themeShade="80"/>
              <w:bottom w:val="single" w:sz="6" w:space="0" w:color="808080" w:themeColor="background1" w:themeShade="80"/>
            </w:tcBorders>
          </w:tcPr>
          <w:p w14:paraId="1376D958" w14:textId="53656A10" w:rsidR="00EC5B62" w:rsidRPr="0023643C" w:rsidRDefault="00EC5B62" w:rsidP="00042460">
            <w:pPr>
              <w:pStyle w:val="TableText"/>
            </w:pPr>
            <w:r w:rsidRPr="0023643C">
              <w:t xml:space="preserve">Transition one individual who was </w:t>
            </w:r>
            <w:r w:rsidR="00280171">
              <w:t>ART-not-VLS</w:t>
            </w:r>
            <w:r w:rsidRPr="0023643C">
              <w:t xml:space="preserve"> to VLS</w:t>
            </w:r>
          </w:p>
        </w:tc>
      </w:tr>
    </w:tbl>
    <w:p w14:paraId="39020AF2" w14:textId="446953F2" w:rsidR="00807C26" w:rsidRPr="00C00335" w:rsidRDefault="00807C26" w:rsidP="00807C26">
      <w:pPr>
        <w:pStyle w:val="Tablecont"/>
      </w:pPr>
      <w:r w:rsidRPr="00C00335">
        <w:lastRenderedPageBreak/>
        <w:t>(continued)</w:t>
      </w:r>
    </w:p>
    <w:p w14:paraId="00791EB8" w14:textId="09913B8F" w:rsidR="00807C26" w:rsidRPr="00C00335" w:rsidRDefault="00807C26" w:rsidP="00807C26">
      <w:pPr>
        <w:pStyle w:val="TableTitlecont"/>
      </w:pPr>
      <w:r w:rsidRPr="00C00335">
        <w:t>Table 8.1.</w:t>
      </w:r>
      <w:r w:rsidRPr="00C00335">
        <w:tab/>
        <w:t>Eligible Populations, Costs, and Effects of Each Category of Interventions (continued)</w:t>
      </w:r>
    </w:p>
    <w:tbl>
      <w:tblPr>
        <w:tblW w:w="9504" w:type="dxa"/>
        <w:tblLayout w:type="fixed"/>
        <w:tblCellMar>
          <w:left w:w="115" w:type="dxa"/>
          <w:right w:w="115" w:type="dxa"/>
        </w:tblCellMar>
        <w:tblLook w:val="04A0" w:firstRow="1" w:lastRow="0" w:firstColumn="1" w:lastColumn="0" w:noHBand="0" w:noVBand="1"/>
      </w:tblPr>
      <w:tblGrid>
        <w:gridCol w:w="1492"/>
        <w:gridCol w:w="1747"/>
        <w:gridCol w:w="1943"/>
        <w:gridCol w:w="1800"/>
        <w:gridCol w:w="2522"/>
      </w:tblGrid>
      <w:tr w:rsidR="00807C26" w:rsidRPr="0023643C" w14:paraId="3CF53508" w14:textId="77777777" w:rsidTr="00260D8A">
        <w:trPr>
          <w:cantSplit/>
          <w:tblHeader/>
        </w:trPr>
        <w:tc>
          <w:tcPr>
            <w:tcW w:w="1492" w:type="dxa"/>
            <w:tcBorders>
              <w:top w:val="single" w:sz="12" w:space="0" w:color="000000" w:themeColor="text1"/>
              <w:bottom w:val="single" w:sz="6" w:space="0" w:color="000000" w:themeColor="text1"/>
            </w:tcBorders>
            <w:vAlign w:val="bottom"/>
          </w:tcPr>
          <w:p w14:paraId="419C36A9" w14:textId="77777777" w:rsidR="00807C26" w:rsidRPr="00C00335" w:rsidRDefault="00807C26" w:rsidP="00871E69">
            <w:pPr>
              <w:pStyle w:val="TableHeaders"/>
              <w:keepNext/>
            </w:pPr>
          </w:p>
        </w:tc>
        <w:tc>
          <w:tcPr>
            <w:tcW w:w="1747" w:type="dxa"/>
            <w:tcBorders>
              <w:top w:val="single" w:sz="12" w:space="0" w:color="000000" w:themeColor="text1"/>
              <w:bottom w:val="single" w:sz="6" w:space="0" w:color="000000" w:themeColor="text1"/>
            </w:tcBorders>
            <w:vAlign w:val="bottom"/>
          </w:tcPr>
          <w:p w14:paraId="20E9C59E" w14:textId="77777777" w:rsidR="00807C26" w:rsidRPr="0023643C" w:rsidRDefault="00807C26" w:rsidP="00871E69">
            <w:pPr>
              <w:pStyle w:val="TableHeaders"/>
              <w:keepNext/>
            </w:pPr>
            <w:r w:rsidRPr="0023643C">
              <w:t>Population Eligible to Receive Intervention</w:t>
            </w:r>
          </w:p>
        </w:tc>
        <w:tc>
          <w:tcPr>
            <w:tcW w:w="1943" w:type="dxa"/>
            <w:tcBorders>
              <w:top w:val="single" w:sz="12" w:space="0" w:color="000000" w:themeColor="text1"/>
              <w:bottom w:val="single" w:sz="6" w:space="0" w:color="000000" w:themeColor="text1"/>
            </w:tcBorders>
            <w:vAlign w:val="bottom"/>
          </w:tcPr>
          <w:p w14:paraId="434F03A2" w14:textId="77777777" w:rsidR="00807C26" w:rsidRPr="0023643C" w:rsidRDefault="00807C26" w:rsidP="00871E69">
            <w:pPr>
              <w:pStyle w:val="TableHeaders"/>
              <w:keepNext/>
            </w:pPr>
            <w:r w:rsidRPr="0023643C">
              <w:t xml:space="preserve">Rate or </w:t>
            </w:r>
            <w:bookmarkStart w:id="116" w:name="_Hlk54750481"/>
            <w:r w:rsidRPr="0023643C">
              <w:t>Probability and Time Period Directly Affected by Intervention</w:t>
            </w:r>
            <w:bookmarkEnd w:id="116"/>
          </w:p>
        </w:tc>
        <w:tc>
          <w:tcPr>
            <w:tcW w:w="1800" w:type="dxa"/>
            <w:tcBorders>
              <w:top w:val="single" w:sz="12" w:space="0" w:color="000000" w:themeColor="text1"/>
              <w:bottom w:val="single" w:sz="6" w:space="0" w:color="000000" w:themeColor="text1"/>
            </w:tcBorders>
            <w:vAlign w:val="bottom"/>
          </w:tcPr>
          <w:p w14:paraId="494B3165" w14:textId="77777777" w:rsidR="00807C26" w:rsidRPr="0023643C" w:rsidRDefault="00807C26" w:rsidP="00871E69">
            <w:pPr>
              <w:pStyle w:val="TableHeaders"/>
              <w:keepNext/>
            </w:pPr>
            <w:r w:rsidRPr="0023643C">
              <w:t xml:space="preserve">Per-person </w:t>
            </w:r>
            <w:bookmarkStart w:id="117" w:name="_Hlk54750543"/>
            <w:r w:rsidRPr="0023643C">
              <w:t>Cost of Implementing Each Intervention</w:t>
            </w:r>
            <w:bookmarkEnd w:id="117"/>
          </w:p>
        </w:tc>
        <w:tc>
          <w:tcPr>
            <w:tcW w:w="2522" w:type="dxa"/>
            <w:tcBorders>
              <w:top w:val="single" w:sz="12" w:space="0" w:color="000000" w:themeColor="text1"/>
              <w:bottom w:val="single" w:sz="6" w:space="0" w:color="000000" w:themeColor="text1"/>
            </w:tcBorders>
            <w:vAlign w:val="bottom"/>
          </w:tcPr>
          <w:p w14:paraId="64B2DDD6" w14:textId="77777777" w:rsidR="00807C26" w:rsidRPr="0023643C" w:rsidRDefault="00807C26" w:rsidP="00871E69">
            <w:pPr>
              <w:pStyle w:val="TableHeaders"/>
              <w:keepNext/>
            </w:pPr>
            <w:bookmarkStart w:id="118" w:name="_Hlk54750564"/>
            <w:r w:rsidRPr="0023643C">
              <w:t>Effect of Allocating Funds for One Unit of Intervention</w:t>
            </w:r>
            <w:bookmarkEnd w:id="118"/>
          </w:p>
        </w:tc>
      </w:tr>
      <w:tr w:rsidR="00841835" w:rsidRPr="0023643C" w14:paraId="2F17F38A" w14:textId="77777777" w:rsidTr="00841835">
        <w:trPr>
          <w:cantSplit/>
        </w:trPr>
        <w:tc>
          <w:tcPr>
            <w:tcW w:w="1492" w:type="dxa"/>
            <w:tcBorders>
              <w:top w:val="single" w:sz="6" w:space="0" w:color="808080" w:themeColor="background1" w:themeShade="80"/>
              <w:bottom w:val="single" w:sz="6" w:space="0" w:color="808080" w:themeColor="background1" w:themeShade="80"/>
            </w:tcBorders>
          </w:tcPr>
          <w:p w14:paraId="5B65FE30" w14:textId="11759100" w:rsidR="00841835" w:rsidRPr="0023643C" w:rsidRDefault="00841835" w:rsidP="00841835">
            <w:pPr>
              <w:pStyle w:val="TableText"/>
            </w:pPr>
            <w:r w:rsidRPr="0023643C">
              <w:t>ART adherence to remain VLS (reduce departure from VLS) (j* = 10)</w:t>
            </w:r>
          </w:p>
        </w:tc>
        <w:tc>
          <w:tcPr>
            <w:tcW w:w="1747" w:type="dxa"/>
            <w:tcBorders>
              <w:top w:val="single" w:sz="6" w:space="0" w:color="808080" w:themeColor="background1" w:themeShade="80"/>
              <w:bottom w:val="single" w:sz="6" w:space="0" w:color="808080" w:themeColor="background1" w:themeShade="80"/>
            </w:tcBorders>
          </w:tcPr>
          <w:p w14:paraId="72D56774" w14:textId="27A5B629" w:rsidR="00841835" w:rsidRPr="0023643C" w:rsidRDefault="0079728B" w:rsidP="00841835">
            <w:pPr>
              <w:pStyle w:val="TableText"/>
            </w:pPr>
            <w:r>
              <w:t>PWH</w:t>
            </w:r>
            <w:r w:rsidR="00841835" w:rsidRPr="0023643C">
              <w:t xml:space="preserve"> who are VLS</w:t>
            </w:r>
          </w:p>
        </w:tc>
        <w:tc>
          <w:tcPr>
            <w:tcW w:w="1943" w:type="dxa"/>
            <w:tcBorders>
              <w:top w:val="single" w:sz="6" w:space="0" w:color="808080" w:themeColor="background1" w:themeShade="80"/>
              <w:bottom w:val="single" w:sz="6" w:space="0" w:color="808080" w:themeColor="background1" w:themeShade="80"/>
            </w:tcBorders>
          </w:tcPr>
          <w:p w14:paraId="7FEEBC2E" w14:textId="77777777" w:rsidR="00841835" w:rsidRPr="0023643C" w:rsidRDefault="00841835" w:rsidP="00841835">
            <w:pPr>
              <w:pStyle w:val="TableText"/>
            </w:pPr>
            <w:r w:rsidRPr="0023643C">
              <w:t>Rate of departure from VLS</w:t>
            </w:r>
            <w:r w:rsidRPr="0023643C" w:rsidDel="00983A4A">
              <w:t xml:space="preserve"> </w:t>
            </w:r>
            <w:r w:rsidRPr="0023643C">
              <w:t>in each year over the time horizon</w:t>
            </w:r>
          </w:p>
        </w:tc>
        <w:tc>
          <w:tcPr>
            <w:tcW w:w="1800" w:type="dxa"/>
            <w:tcBorders>
              <w:top w:val="single" w:sz="6" w:space="0" w:color="808080" w:themeColor="background1" w:themeShade="80"/>
              <w:bottom w:val="single" w:sz="6" w:space="0" w:color="808080" w:themeColor="background1" w:themeShade="80"/>
            </w:tcBorders>
          </w:tcPr>
          <w:p w14:paraId="04B63869" w14:textId="77777777" w:rsidR="00841835" w:rsidRPr="0023643C" w:rsidRDefault="00841835" w:rsidP="00841835">
            <w:pPr>
              <w:pStyle w:val="TableText"/>
            </w:pPr>
            <w:r w:rsidRPr="0023643C">
              <w:t>Cost to effectively maintain one additional person as VLS</w:t>
            </w:r>
          </w:p>
        </w:tc>
        <w:tc>
          <w:tcPr>
            <w:tcW w:w="2522" w:type="dxa"/>
            <w:tcBorders>
              <w:top w:val="single" w:sz="6" w:space="0" w:color="808080" w:themeColor="background1" w:themeShade="80"/>
              <w:bottom w:val="single" w:sz="6" w:space="0" w:color="808080" w:themeColor="background1" w:themeShade="80"/>
            </w:tcBorders>
          </w:tcPr>
          <w:p w14:paraId="5D9EC5D2" w14:textId="77777777" w:rsidR="00841835" w:rsidRPr="0023643C" w:rsidRDefault="00841835" w:rsidP="00841835">
            <w:pPr>
              <w:pStyle w:val="TableText"/>
            </w:pPr>
            <w:r w:rsidRPr="0023643C">
              <w:t>Prevent one individual from losing VLS</w:t>
            </w:r>
          </w:p>
        </w:tc>
      </w:tr>
      <w:tr w:rsidR="00251AFF" w:rsidRPr="0023643C" w14:paraId="76E1316E" w14:textId="77777777" w:rsidTr="00841835">
        <w:trPr>
          <w:cantSplit/>
        </w:trPr>
        <w:tc>
          <w:tcPr>
            <w:tcW w:w="1492" w:type="dxa"/>
            <w:tcBorders>
              <w:top w:val="single" w:sz="6" w:space="0" w:color="808080" w:themeColor="background1" w:themeShade="80"/>
              <w:bottom w:val="single" w:sz="6" w:space="0" w:color="808080" w:themeColor="background1" w:themeShade="80"/>
            </w:tcBorders>
          </w:tcPr>
          <w:p w14:paraId="3252A2AF" w14:textId="6040C74A" w:rsidR="00251AFF" w:rsidRPr="0023643C" w:rsidRDefault="00251AFF" w:rsidP="007B6B33">
            <w:pPr>
              <w:pStyle w:val="TableText"/>
            </w:pPr>
            <w:r w:rsidRPr="0023643C">
              <w:t>S</w:t>
            </w:r>
            <w:r w:rsidR="00745443">
              <w:t>S</w:t>
            </w:r>
            <w:r w:rsidRPr="0023643C">
              <w:t>P (j* = 11)</w:t>
            </w:r>
          </w:p>
        </w:tc>
        <w:tc>
          <w:tcPr>
            <w:tcW w:w="1747" w:type="dxa"/>
            <w:tcBorders>
              <w:top w:val="single" w:sz="6" w:space="0" w:color="808080" w:themeColor="background1" w:themeShade="80"/>
              <w:bottom w:val="single" w:sz="6" w:space="0" w:color="808080" w:themeColor="background1" w:themeShade="80"/>
            </w:tcBorders>
          </w:tcPr>
          <w:p w14:paraId="2737E4B9" w14:textId="030F8310" w:rsidR="00251AFF" w:rsidRPr="0023643C" w:rsidRDefault="00251AFF" w:rsidP="00A968F8">
            <w:pPr>
              <w:pStyle w:val="TableText"/>
            </w:pPr>
            <w:r w:rsidRPr="0023643C">
              <w:t xml:space="preserve">Uninfected or </w:t>
            </w:r>
            <w:r w:rsidR="0079728B">
              <w:t>PWH</w:t>
            </w:r>
            <w:r w:rsidRPr="0023643C">
              <w:t xml:space="preserve"> who are PWID</w:t>
            </w:r>
          </w:p>
        </w:tc>
        <w:tc>
          <w:tcPr>
            <w:tcW w:w="1943" w:type="dxa"/>
            <w:tcBorders>
              <w:top w:val="single" w:sz="6" w:space="0" w:color="808080" w:themeColor="background1" w:themeShade="80"/>
              <w:bottom w:val="single" w:sz="6" w:space="0" w:color="808080" w:themeColor="background1" w:themeShade="80"/>
            </w:tcBorders>
          </w:tcPr>
          <w:p w14:paraId="264E5C2F" w14:textId="413DC1E9" w:rsidR="00251AFF" w:rsidRPr="0023643C" w:rsidRDefault="00251AFF" w:rsidP="000400FE">
            <w:pPr>
              <w:pStyle w:val="TableText"/>
            </w:pPr>
            <w:r w:rsidRPr="0023643C">
              <w:t>Rate of needle-sharing HIV transmission for PWID</w:t>
            </w:r>
          </w:p>
        </w:tc>
        <w:tc>
          <w:tcPr>
            <w:tcW w:w="1800" w:type="dxa"/>
            <w:tcBorders>
              <w:top w:val="single" w:sz="6" w:space="0" w:color="808080" w:themeColor="background1" w:themeShade="80"/>
              <w:bottom w:val="single" w:sz="6" w:space="0" w:color="808080" w:themeColor="background1" w:themeShade="80"/>
            </w:tcBorders>
          </w:tcPr>
          <w:p w14:paraId="27333BC9" w14:textId="767CB61B" w:rsidR="00251AFF" w:rsidRPr="0023643C" w:rsidRDefault="00251AFF" w:rsidP="007B6B33">
            <w:pPr>
              <w:pStyle w:val="TableText"/>
            </w:pPr>
            <w:r w:rsidRPr="0023643C">
              <w:t xml:space="preserve">Cost to serve one PWID with </w:t>
            </w:r>
            <w:r w:rsidR="00192A14" w:rsidRPr="0023643C">
              <w:t>S</w:t>
            </w:r>
            <w:r w:rsidR="00617C32">
              <w:t>S</w:t>
            </w:r>
            <w:r w:rsidR="00192A14" w:rsidRPr="0023643C">
              <w:t>P</w:t>
            </w:r>
            <w:r w:rsidRPr="0023643C">
              <w:t xml:space="preserve"> for a year</w:t>
            </w:r>
          </w:p>
        </w:tc>
        <w:tc>
          <w:tcPr>
            <w:tcW w:w="2522" w:type="dxa"/>
            <w:tcBorders>
              <w:top w:val="single" w:sz="6" w:space="0" w:color="808080" w:themeColor="background1" w:themeShade="80"/>
              <w:bottom w:val="single" w:sz="6" w:space="0" w:color="808080" w:themeColor="background1" w:themeShade="80"/>
            </w:tcBorders>
          </w:tcPr>
          <w:p w14:paraId="73895726" w14:textId="5B32F390" w:rsidR="00251AFF" w:rsidRPr="0023643C" w:rsidRDefault="00251AFF" w:rsidP="000400FE">
            <w:pPr>
              <w:pStyle w:val="TableText"/>
            </w:pPr>
            <w:r w:rsidRPr="0023643C">
              <w:t>Serve one PWID with S</w:t>
            </w:r>
            <w:r w:rsidR="00617C32">
              <w:t>S</w:t>
            </w:r>
            <w:r w:rsidRPr="0023643C">
              <w:t>P for a year</w:t>
            </w:r>
          </w:p>
        </w:tc>
      </w:tr>
      <w:tr w:rsidR="000400FE" w:rsidRPr="00C00335" w14:paraId="35EFFE8B" w14:textId="77777777" w:rsidTr="00841835">
        <w:trPr>
          <w:cantSplit/>
        </w:trPr>
        <w:tc>
          <w:tcPr>
            <w:tcW w:w="1492" w:type="dxa"/>
            <w:tcBorders>
              <w:top w:val="single" w:sz="6" w:space="0" w:color="808080" w:themeColor="background1" w:themeShade="80"/>
              <w:bottom w:val="single" w:sz="6" w:space="0" w:color="808080" w:themeColor="background1" w:themeShade="80"/>
            </w:tcBorders>
          </w:tcPr>
          <w:p w14:paraId="0E11B5EB" w14:textId="7864D1CF" w:rsidR="000400FE" w:rsidRPr="0023643C" w:rsidRDefault="000400FE" w:rsidP="007B6B33">
            <w:pPr>
              <w:pStyle w:val="TableText"/>
            </w:pPr>
            <w:bookmarkStart w:id="119" w:name="_Hlk54750493"/>
            <w:proofErr w:type="spellStart"/>
            <w:r w:rsidRPr="0023643C">
              <w:t>PrEP</w:t>
            </w:r>
            <w:proofErr w:type="spellEnd"/>
            <w:r w:rsidR="00397B20" w:rsidRPr="0023643C">
              <w:t xml:space="preserve"> (j* = 1</w:t>
            </w:r>
            <w:r w:rsidR="00251AFF" w:rsidRPr="0023643C">
              <w:t>2</w:t>
            </w:r>
            <w:r w:rsidR="00397B20" w:rsidRPr="0023643C">
              <w:t xml:space="preserve"> to 1</w:t>
            </w:r>
            <w:r w:rsidR="00251AFF" w:rsidRPr="0023643C">
              <w:t>4</w:t>
            </w:r>
            <w:r w:rsidR="00397B20" w:rsidRPr="0023643C">
              <w:t>)</w:t>
            </w:r>
          </w:p>
        </w:tc>
        <w:tc>
          <w:tcPr>
            <w:tcW w:w="1747" w:type="dxa"/>
            <w:tcBorders>
              <w:top w:val="single" w:sz="6" w:space="0" w:color="808080" w:themeColor="background1" w:themeShade="80"/>
              <w:bottom w:val="single" w:sz="6" w:space="0" w:color="808080" w:themeColor="background1" w:themeShade="80"/>
            </w:tcBorders>
          </w:tcPr>
          <w:p w14:paraId="587CB2E4" w14:textId="221E4E7A" w:rsidR="000400FE" w:rsidRPr="0023643C" w:rsidRDefault="00A968F8" w:rsidP="00A968F8">
            <w:pPr>
              <w:pStyle w:val="TableText"/>
            </w:pPr>
            <w:r w:rsidRPr="0023643C">
              <w:t>Uninfected h</w:t>
            </w:r>
            <w:r w:rsidR="000400FE" w:rsidRPr="0023643C">
              <w:t>igh-risk HETs, high-risk MSM, and PWID</w:t>
            </w:r>
          </w:p>
        </w:tc>
        <w:tc>
          <w:tcPr>
            <w:tcW w:w="1943" w:type="dxa"/>
            <w:tcBorders>
              <w:top w:val="single" w:sz="6" w:space="0" w:color="808080" w:themeColor="background1" w:themeShade="80"/>
              <w:bottom w:val="single" w:sz="6" w:space="0" w:color="808080" w:themeColor="background1" w:themeShade="80"/>
            </w:tcBorders>
          </w:tcPr>
          <w:p w14:paraId="02EC535D" w14:textId="4A22506C" w:rsidR="000400FE" w:rsidRPr="0023643C" w:rsidRDefault="00A968F8" w:rsidP="000400FE">
            <w:pPr>
              <w:pStyle w:val="TableText"/>
            </w:pPr>
            <w:r w:rsidRPr="0023643C">
              <w:t>First year of</w:t>
            </w:r>
            <w:r w:rsidR="00F50601">
              <w:t xml:space="preserve"> each allocation</w:t>
            </w:r>
            <w:r w:rsidRPr="0023643C">
              <w:t xml:space="preserve"> period</w:t>
            </w:r>
            <w:r w:rsidR="000400FE" w:rsidRPr="0023643C">
              <w:t xml:space="preserve">: </w:t>
            </w:r>
            <w:proofErr w:type="spellStart"/>
            <w:r w:rsidR="000400FE" w:rsidRPr="0023643C">
              <w:t>PrEP</w:t>
            </w:r>
            <w:proofErr w:type="spellEnd"/>
            <w:r w:rsidR="000400FE" w:rsidRPr="0023643C">
              <w:t xml:space="preserve"> initiation rate</w:t>
            </w:r>
          </w:p>
          <w:p w14:paraId="3F46C5C4" w14:textId="21741F85" w:rsidR="000400FE" w:rsidRPr="0023643C" w:rsidRDefault="00A968F8" w:rsidP="000400FE">
            <w:pPr>
              <w:pStyle w:val="TableText"/>
            </w:pPr>
            <w:r w:rsidRPr="0023643C">
              <w:t xml:space="preserve">Remaining years of </w:t>
            </w:r>
            <w:r w:rsidR="004442F8">
              <w:t>each allocation</w:t>
            </w:r>
            <w:r w:rsidRPr="0023643C">
              <w:t xml:space="preserve"> period</w:t>
            </w:r>
            <w:r w:rsidR="000400FE" w:rsidRPr="0023643C">
              <w:t>: No direct effects</w:t>
            </w:r>
          </w:p>
          <w:p w14:paraId="42E7A959" w14:textId="7EE9F473" w:rsidR="000400FE" w:rsidRPr="0023643C" w:rsidRDefault="000400FE" w:rsidP="00A16C51">
            <w:pPr>
              <w:pStyle w:val="TableText"/>
            </w:pPr>
            <w:r w:rsidRPr="0023643C">
              <w:t xml:space="preserve">(Effect is in </w:t>
            </w:r>
            <w:r w:rsidR="00A16C51" w:rsidRPr="0023643C">
              <w:t xml:space="preserve">first year of the </w:t>
            </w:r>
            <w:r w:rsidR="004442F8">
              <w:t>allocation</w:t>
            </w:r>
            <w:r w:rsidR="00A16C51" w:rsidRPr="0023643C">
              <w:t xml:space="preserve"> period</w:t>
            </w:r>
            <w:r w:rsidRPr="0023643C">
              <w:t xml:space="preserve"> only because costs will be incurred to maintain the individual on </w:t>
            </w:r>
            <w:proofErr w:type="spellStart"/>
            <w:r w:rsidRPr="0023643C">
              <w:t>PrEP</w:t>
            </w:r>
            <w:proofErr w:type="spellEnd"/>
            <w:r w:rsidRPr="0023643C">
              <w:t xml:space="preserve"> in following years)</w:t>
            </w:r>
          </w:p>
        </w:tc>
        <w:tc>
          <w:tcPr>
            <w:tcW w:w="1800" w:type="dxa"/>
            <w:tcBorders>
              <w:top w:val="single" w:sz="6" w:space="0" w:color="808080" w:themeColor="background1" w:themeShade="80"/>
              <w:bottom w:val="single" w:sz="6" w:space="0" w:color="808080" w:themeColor="background1" w:themeShade="80"/>
            </w:tcBorders>
          </w:tcPr>
          <w:p w14:paraId="4C5890FA" w14:textId="33002614" w:rsidR="000400FE" w:rsidRPr="0023643C" w:rsidRDefault="000400FE" w:rsidP="007B6B33">
            <w:pPr>
              <w:pStyle w:val="TableText"/>
            </w:pPr>
            <w:bookmarkStart w:id="120" w:name="_Hlk54750554"/>
            <w:r w:rsidRPr="0023643C">
              <w:t xml:space="preserve">Annual cost for drugs, screening, and monitoring per </w:t>
            </w:r>
            <w:proofErr w:type="spellStart"/>
            <w:r w:rsidRPr="0023643C">
              <w:t>PrEP</w:t>
            </w:r>
            <w:proofErr w:type="spellEnd"/>
            <w:r w:rsidRPr="0023643C">
              <w:t xml:space="preserve"> participant</w:t>
            </w:r>
            <w:bookmarkEnd w:id="120"/>
          </w:p>
        </w:tc>
        <w:tc>
          <w:tcPr>
            <w:tcW w:w="2522" w:type="dxa"/>
            <w:tcBorders>
              <w:top w:val="single" w:sz="6" w:space="0" w:color="808080" w:themeColor="background1" w:themeShade="80"/>
              <w:bottom w:val="single" w:sz="6" w:space="0" w:color="808080" w:themeColor="background1" w:themeShade="80"/>
            </w:tcBorders>
          </w:tcPr>
          <w:p w14:paraId="6784E8E5" w14:textId="7053D663" w:rsidR="000400FE" w:rsidRPr="0023643C" w:rsidRDefault="00A968F8" w:rsidP="000400FE">
            <w:pPr>
              <w:pStyle w:val="TableText"/>
            </w:pPr>
            <w:r w:rsidRPr="0023643C">
              <w:t xml:space="preserve">First year of </w:t>
            </w:r>
            <w:r w:rsidR="004442F8">
              <w:t>each allocation</w:t>
            </w:r>
            <w:r w:rsidRPr="0023643C">
              <w:t xml:space="preserve"> period</w:t>
            </w:r>
            <w:r w:rsidR="000400FE" w:rsidRPr="0023643C">
              <w:t xml:space="preserve">: Initiate </w:t>
            </w:r>
            <w:proofErr w:type="spellStart"/>
            <w:r w:rsidR="000400FE" w:rsidRPr="0023643C">
              <w:t>PrEP</w:t>
            </w:r>
            <w:proofErr w:type="spellEnd"/>
            <w:r w:rsidR="000400FE" w:rsidRPr="0023643C">
              <w:t xml:space="preserve"> for one additional eligible individual; </w:t>
            </w:r>
            <w:proofErr w:type="spellStart"/>
            <w:r w:rsidR="000400FE" w:rsidRPr="0023643C">
              <w:t>PrEP</w:t>
            </w:r>
            <w:proofErr w:type="spellEnd"/>
            <w:r w:rsidR="000400FE" w:rsidRPr="0023643C">
              <w:t xml:space="preserve"> is associated with a reduction in infection rates</w:t>
            </w:r>
          </w:p>
          <w:p w14:paraId="7CBE91E5" w14:textId="541EA5E3" w:rsidR="000400FE" w:rsidRPr="00C00335" w:rsidRDefault="00A968F8" w:rsidP="00A16C51">
            <w:pPr>
              <w:pStyle w:val="TableText"/>
            </w:pPr>
            <w:r w:rsidRPr="0023643C">
              <w:t xml:space="preserve">Remaining years of </w:t>
            </w:r>
            <w:r w:rsidR="004442F8">
              <w:t>each allocation</w:t>
            </w:r>
            <w:r w:rsidRPr="0023643C">
              <w:t xml:space="preserve"> period</w:t>
            </w:r>
            <w:r w:rsidR="000400FE" w:rsidRPr="0023643C">
              <w:t xml:space="preserve">: No direct effects. Costs cover continued </w:t>
            </w:r>
            <w:proofErr w:type="spellStart"/>
            <w:r w:rsidR="000400FE" w:rsidRPr="0023643C">
              <w:t>PrEP</w:t>
            </w:r>
            <w:proofErr w:type="spellEnd"/>
            <w:r w:rsidR="000400FE" w:rsidRPr="0023643C">
              <w:t xml:space="preserve"> provision for individual who initiated in </w:t>
            </w:r>
            <w:r w:rsidR="00A16C51" w:rsidRPr="0023643C">
              <w:t xml:space="preserve">first year of </w:t>
            </w:r>
            <w:r w:rsidR="004442F8">
              <w:t>each allocation</w:t>
            </w:r>
            <w:r w:rsidR="00A16C51" w:rsidRPr="0023643C">
              <w:t xml:space="preserve"> period</w:t>
            </w:r>
            <w:r w:rsidR="000400FE" w:rsidRPr="0023643C">
              <w:t>.</w:t>
            </w:r>
          </w:p>
        </w:tc>
      </w:tr>
    </w:tbl>
    <w:bookmarkEnd w:id="119"/>
    <w:p w14:paraId="109C1251" w14:textId="3324D23D" w:rsidR="007B6B33" w:rsidRPr="00C00335" w:rsidRDefault="007B6B33" w:rsidP="007B6B33">
      <w:pPr>
        <w:pStyle w:val="Source1"/>
      </w:pPr>
      <w:r w:rsidRPr="00C00335">
        <w:t xml:space="preserve">Note: ART = antiretroviral therapy, HET = heterosexual, MSM = men who have sex with men, </w:t>
      </w:r>
      <w:r w:rsidR="0079728B">
        <w:t>PWH</w:t>
      </w:r>
      <w:r w:rsidRPr="00C00335">
        <w:t> = </w:t>
      </w:r>
      <w:r w:rsidR="0079728B">
        <w:t>people with HIV</w:t>
      </w:r>
      <w:r w:rsidRPr="00C00335">
        <w:t xml:space="preserve"> PWID = people who inject drugs, </w:t>
      </w:r>
      <w:proofErr w:type="spellStart"/>
      <w:r w:rsidRPr="00C00335">
        <w:t>PrEP</w:t>
      </w:r>
      <w:proofErr w:type="spellEnd"/>
      <w:r w:rsidRPr="00C00335">
        <w:t xml:space="preserve"> = pre-exposure prophylaxis treatment, </w:t>
      </w:r>
      <w:r w:rsidR="00251AFF">
        <w:t>S</w:t>
      </w:r>
      <w:r w:rsidR="00745443">
        <w:t>S</w:t>
      </w:r>
      <w:r w:rsidR="00251AFF">
        <w:t xml:space="preserve">P = syringe </w:t>
      </w:r>
      <w:r w:rsidR="00745443">
        <w:t>service</w:t>
      </w:r>
      <w:r w:rsidR="00251AFF">
        <w:t xml:space="preserve"> program</w:t>
      </w:r>
      <w:r w:rsidR="00D26657">
        <w:t>,</w:t>
      </w:r>
      <w:r w:rsidR="00251AFF">
        <w:t xml:space="preserve"> </w:t>
      </w:r>
      <w:r w:rsidRPr="00C00335">
        <w:t>VLS = viral load suppress</w:t>
      </w:r>
      <w:r w:rsidR="00A968F8" w:rsidRPr="00C00335">
        <w:t>ed</w:t>
      </w:r>
    </w:p>
    <w:p w14:paraId="195BE29F" w14:textId="77777777" w:rsidR="0046162D" w:rsidRPr="00C00335" w:rsidRDefault="0046162D">
      <w:pPr>
        <w:rPr>
          <w:b/>
        </w:rPr>
      </w:pPr>
      <w:r w:rsidRPr="00C00335">
        <w:br w:type="page"/>
      </w:r>
    </w:p>
    <w:p w14:paraId="71A282AB" w14:textId="60402F1A" w:rsidR="00937B71" w:rsidRPr="00C00335" w:rsidRDefault="004F4E6D" w:rsidP="00D66442">
      <w:pPr>
        <w:pStyle w:val="TableTitle"/>
      </w:pPr>
      <w:bookmarkStart w:id="121" w:name="_Toc89257612"/>
      <w:r w:rsidRPr="00C00335">
        <w:lastRenderedPageBreak/>
        <w:t>Table 8.</w:t>
      </w:r>
      <w:r w:rsidR="00937B71" w:rsidRPr="00C00335">
        <w:t>2</w:t>
      </w:r>
      <w:r w:rsidR="00E57F46" w:rsidRPr="00C00335">
        <w:t>.</w:t>
      </w:r>
      <w:r w:rsidR="00E57F46" w:rsidRPr="00C00335">
        <w:tab/>
      </w:r>
      <w:r w:rsidR="00937B71" w:rsidRPr="00C00335">
        <w:t xml:space="preserve">Values and </w:t>
      </w:r>
      <w:r w:rsidR="00D66442" w:rsidRPr="00C00335">
        <w:t>S</w:t>
      </w:r>
      <w:r w:rsidR="00937B71" w:rsidRPr="00C00335">
        <w:t xml:space="preserve">ources for </w:t>
      </w:r>
      <w:r w:rsidR="00D66442" w:rsidRPr="00C00335">
        <w:t>K</w:t>
      </w:r>
      <w:r w:rsidR="00937B71" w:rsidRPr="00C00335">
        <w:t xml:space="preserve">ey </w:t>
      </w:r>
      <w:r w:rsidR="00D66442" w:rsidRPr="00C00335">
        <w:t>I</w:t>
      </w:r>
      <w:r w:rsidR="00937B71" w:rsidRPr="00C00335">
        <w:t xml:space="preserve">nputs </w:t>
      </w:r>
      <w:r w:rsidR="00D66442" w:rsidRPr="00C00335">
        <w:t>S</w:t>
      </w:r>
      <w:r w:rsidR="00937B71" w:rsidRPr="00C00335">
        <w:t xml:space="preserve">pecific to </w:t>
      </w:r>
      <w:r w:rsidR="00D66442" w:rsidRPr="00C00335">
        <w:t>I</w:t>
      </w:r>
      <w:r w:rsidR="00937B71" w:rsidRPr="00C00335">
        <w:t>nterventions</w:t>
      </w:r>
      <w:bookmarkEnd w:id="121"/>
    </w:p>
    <w:tbl>
      <w:tblPr>
        <w:tblW w:w="9504" w:type="dxa"/>
        <w:tblBorders>
          <w:top w:val="single" w:sz="12" w:space="0" w:color="auto"/>
          <w:bottom w:val="single" w:sz="12" w:space="0" w:color="auto"/>
          <w:insideH w:val="single" w:sz="6" w:space="0" w:color="808080" w:themeColor="background1" w:themeShade="80"/>
        </w:tblBorders>
        <w:tblLayout w:type="fixed"/>
        <w:tblCellMar>
          <w:left w:w="58" w:type="dxa"/>
          <w:right w:w="58" w:type="dxa"/>
        </w:tblCellMar>
        <w:tblLook w:val="04A0" w:firstRow="1" w:lastRow="0" w:firstColumn="1" w:lastColumn="0" w:noHBand="0" w:noVBand="1"/>
      </w:tblPr>
      <w:tblGrid>
        <w:gridCol w:w="2185"/>
        <w:gridCol w:w="1808"/>
        <w:gridCol w:w="2242"/>
        <w:gridCol w:w="3269"/>
      </w:tblGrid>
      <w:tr w:rsidR="00937B71" w:rsidRPr="00C00335" w14:paraId="3A973E20" w14:textId="77777777" w:rsidTr="00260D8A">
        <w:trPr>
          <w:cantSplit/>
        </w:trPr>
        <w:tc>
          <w:tcPr>
            <w:tcW w:w="3993" w:type="dxa"/>
            <w:gridSpan w:val="2"/>
            <w:tcBorders>
              <w:top w:val="single" w:sz="12" w:space="0" w:color="auto"/>
              <w:bottom w:val="single" w:sz="6" w:space="0" w:color="auto"/>
            </w:tcBorders>
          </w:tcPr>
          <w:p w14:paraId="027BC4E6" w14:textId="77777777" w:rsidR="00937B71" w:rsidRPr="00C00335" w:rsidRDefault="00937B71" w:rsidP="00E57F46">
            <w:pPr>
              <w:pStyle w:val="TableHeaders"/>
              <w:keepNext/>
            </w:pPr>
            <w:r w:rsidRPr="00C00335">
              <w:t>Input</w:t>
            </w:r>
          </w:p>
        </w:tc>
        <w:tc>
          <w:tcPr>
            <w:tcW w:w="2242" w:type="dxa"/>
            <w:tcBorders>
              <w:top w:val="single" w:sz="12" w:space="0" w:color="auto"/>
              <w:bottom w:val="single" w:sz="6" w:space="0" w:color="auto"/>
            </w:tcBorders>
          </w:tcPr>
          <w:p w14:paraId="613D58E2" w14:textId="77777777" w:rsidR="00937B71" w:rsidRPr="00C00335" w:rsidRDefault="00937B71" w:rsidP="00E57F46">
            <w:pPr>
              <w:pStyle w:val="TableHeaders"/>
              <w:keepNext/>
            </w:pPr>
            <w:r w:rsidRPr="00C00335">
              <w:t>Value</w:t>
            </w:r>
          </w:p>
        </w:tc>
        <w:tc>
          <w:tcPr>
            <w:tcW w:w="3269" w:type="dxa"/>
            <w:tcBorders>
              <w:top w:val="single" w:sz="12" w:space="0" w:color="auto"/>
              <w:bottom w:val="single" w:sz="6" w:space="0" w:color="auto"/>
            </w:tcBorders>
          </w:tcPr>
          <w:p w14:paraId="0987D230" w14:textId="77777777" w:rsidR="00937B71" w:rsidRPr="00C00335" w:rsidRDefault="00937B71" w:rsidP="00E57F46">
            <w:pPr>
              <w:pStyle w:val="TableHeaders"/>
              <w:keepNext/>
            </w:pPr>
            <w:r w:rsidRPr="00C00335">
              <w:t>Source</w:t>
            </w:r>
          </w:p>
        </w:tc>
      </w:tr>
      <w:tr w:rsidR="00937B71" w:rsidRPr="00C00335" w14:paraId="5C78A124" w14:textId="77777777" w:rsidTr="00260D8A">
        <w:trPr>
          <w:cantSplit/>
        </w:trPr>
        <w:tc>
          <w:tcPr>
            <w:tcW w:w="2185" w:type="dxa"/>
            <w:vMerge w:val="restart"/>
            <w:tcBorders>
              <w:top w:val="single" w:sz="6" w:space="0" w:color="auto"/>
              <w:bottom w:val="single" w:sz="6" w:space="0" w:color="auto"/>
            </w:tcBorders>
          </w:tcPr>
          <w:p w14:paraId="57371E6D" w14:textId="61A5CDB5" w:rsidR="00937B71" w:rsidRPr="00312968" w:rsidRDefault="00937B71" w:rsidP="00E57F46">
            <w:pPr>
              <w:pStyle w:val="TableText"/>
            </w:pPr>
            <w:r w:rsidRPr="00312968">
              <w:t xml:space="preserve">Per-person cost of implementing each intervention incurred by the agency funding the </w:t>
            </w:r>
            <w:proofErr w:type="spellStart"/>
            <w:r w:rsidRPr="00312968">
              <w:t>intervention</w:t>
            </w:r>
            <w:r w:rsidR="00B03270" w:rsidRPr="00312968">
              <w:rPr>
                <w:vertAlign w:val="superscript"/>
              </w:rPr>
              <w:t>a</w:t>
            </w:r>
            <w:proofErr w:type="spellEnd"/>
          </w:p>
        </w:tc>
        <w:tc>
          <w:tcPr>
            <w:tcW w:w="1808" w:type="dxa"/>
            <w:tcBorders>
              <w:top w:val="single" w:sz="6" w:space="0" w:color="auto"/>
            </w:tcBorders>
          </w:tcPr>
          <w:p w14:paraId="78971C67" w14:textId="77777777" w:rsidR="00937B71" w:rsidRPr="00312968" w:rsidRDefault="00937B71" w:rsidP="00E57F46">
            <w:pPr>
              <w:pStyle w:val="TableText"/>
            </w:pPr>
            <w:r w:rsidRPr="00312968">
              <w:t xml:space="preserve">Testing </w:t>
            </w:r>
          </w:p>
        </w:tc>
        <w:tc>
          <w:tcPr>
            <w:tcW w:w="2242" w:type="dxa"/>
            <w:tcBorders>
              <w:top w:val="single" w:sz="6" w:space="0" w:color="auto"/>
            </w:tcBorders>
          </w:tcPr>
          <w:p w14:paraId="478BAC32" w14:textId="7044A107" w:rsidR="00937B71" w:rsidRPr="00312968" w:rsidRDefault="0005328A" w:rsidP="00C16CB0">
            <w:pPr>
              <w:pStyle w:val="TableText"/>
            </w:pPr>
            <w:r w:rsidRPr="00312968">
              <w:t>$</w:t>
            </w:r>
            <w:r w:rsidR="00686AEB" w:rsidRPr="008436B6">
              <w:rPr>
                <w:iCs/>
              </w:rPr>
              <w:t>27,</w:t>
            </w:r>
            <w:r w:rsidR="001B26CF" w:rsidRPr="008436B6">
              <w:rPr>
                <w:iCs/>
              </w:rPr>
              <w:t>329</w:t>
            </w:r>
            <w:r w:rsidR="00686AEB" w:rsidRPr="00312968">
              <w:t xml:space="preserve"> </w:t>
            </w:r>
            <w:r w:rsidRPr="00312968">
              <w:t>(</w:t>
            </w:r>
            <w:r w:rsidR="0072721D" w:rsidRPr="00312968">
              <w:t>201</w:t>
            </w:r>
            <w:r w:rsidR="0072721D">
              <w:t>9</w:t>
            </w:r>
            <w:r w:rsidRPr="00312968">
              <w:t>$) per effectively diagnosed person</w:t>
            </w:r>
            <w:r w:rsidR="008E6633">
              <w:t xml:space="preserve"> with HIV</w:t>
            </w:r>
          </w:p>
        </w:tc>
        <w:tc>
          <w:tcPr>
            <w:tcW w:w="3269" w:type="dxa"/>
            <w:tcBorders>
              <w:top w:val="single" w:sz="6" w:space="0" w:color="auto"/>
            </w:tcBorders>
          </w:tcPr>
          <w:p w14:paraId="06574181" w14:textId="11B8FABB" w:rsidR="00937B71" w:rsidRPr="00312968" w:rsidRDefault="005B3F71" w:rsidP="00C16CB0">
            <w:pPr>
              <w:pStyle w:val="TableText"/>
            </w:pPr>
            <w:r w:rsidRPr="00312968">
              <w:t xml:space="preserve">Dynamically calculated in </w:t>
            </w:r>
            <w:proofErr w:type="spellStart"/>
            <w:r w:rsidRPr="00312968">
              <w:t>model</w:t>
            </w:r>
            <w:r w:rsidR="00B03270" w:rsidRPr="00312968">
              <w:rPr>
                <w:vertAlign w:val="superscript"/>
              </w:rPr>
              <w:t>b</w:t>
            </w:r>
            <w:proofErr w:type="spellEnd"/>
            <w:r w:rsidR="00225D32" w:rsidRPr="00312968">
              <w:t xml:space="preserve"> </w:t>
            </w:r>
          </w:p>
        </w:tc>
      </w:tr>
      <w:tr w:rsidR="00937B71" w:rsidRPr="00C00335" w14:paraId="343C47CA" w14:textId="77777777" w:rsidTr="00260D8A">
        <w:trPr>
          <w:cantSplit/>
        </w:trPr>
        <w:tc>
          <w:tcPr>
            <w:tcW w:w="2185" w:type="dxa"/>
            <w:vMerge/>
            <w:tcBorders>
              <w:top w:val="single" w:sz="6" w:space="0" w:color="808080" w:themeColor="background1" w:themeShade="80"/>
              <w:bottom w:val="single" w:sz="6" w:space="0" w:color="auto"/>
            </w:tcBorders>
          </w:tcPr>
          <w:p w14:paraId="1ACAD386" w14:textId="77777777" w:rsidR="00937B71" w:rsidRPr="00452727" w:rsidRDefault="00937B71" w:rsidP="003F5E49">
            <w:pPr>
              <w:pStyle w:val="Tabletext0"/>
              <w:ind w:left="108"/>
              <w:rPr>
                <w:b/>
                <w:bCs/>
                <w:szCs w:val="22"/>
                <w:highlight w:val="green"/>
              </w:rPr>
            </w:pPr>
          </w:p>
        </w:tc>
        <w:tc>
          <w:tcPr>
            <w:tcW w:w="1808" w:type="dxa"/>
          </w:tcPr>
          <w:p w14:paraId="72216F4D" w14:textId="77777777" w:rsidR="00937B71" w:rsidRPr="00312968" w:rsidRDefault="00937B71" w:rsidP="00E57F46">
            <w:pPr>
              <w:pStyle w:val="TableText"/>
            </w:pPr>
            <w:r w:rsidRPr="00312968">
              <w:t>LTC at diagnosis</w:t>
            </w:r>
          </w:p>
        </w:tc>
        <w:tc>
          <w:tcPr>
            <w:tcW w:w="2242" w:type="dxa"/>
          </w:tcPr>
          <w:p w14:paraId="07B7E2F3" w14:textId="29BAB0F2" w:rsidR="00937B71" w:rsidRPr="00312968" w:rsidRDefault="00937B71" w:rsidP="007D4FD4">
            <w:pPr>
              <w:pStyle w:val="TableText"/>
            </w:pPr>
            <w:r w:rsidRPr="00312968">
              <w:t>$5</w:t>
            </w:r>
            <w:r w:rsidR="0005328A" w:rsidRPr="00312968">
              <w:t>3</w:t>
            </w:r>
            <w:r w:rsidRPr="00312968">
              <w:t>9 (2002$)</w:t>
            </w:r>
          </w:p>
        </w:tc>
        <w:tc>
          <w:tcPr>
            <w:tcW w:w="3269" w:type="dxa"/>
          </w:tcPr>
          <w:p w14:paraId="348A2F10" w14:textId="37F86851" w:rsidR="00937B71" w:rsidRPr="00312968" w:rsidRDefault="00937B71" w:rsidP="001B7864">
            <w:pPr>
              <w:pStyle w:val="TableText"/>
            </w:pPr>
            <w:r w:rsidRPr="00312968">
              <w:t xml:space="preserve">Gardner et al. </w:t>
            </w:r>
            <w:r w:rsidR="001B7864" w:rsidRPr="00312968">
              <w:t>(</w:t>
            </w:r>
            <w:r w:rsidRPr="00312968">
              <w:t>2005</w:t>
            </w:r>
            <w:r w:rsidR="001B7864" w:rsidRPr="00312968">
              <w:t>)</w:t>
            </w:r>
            <w:r w:rsidR="0005328A" w:rsidRPr="00312968">
              <w:t xml:space="preserve">; </w:t>
            </w:r>
            <w:bookmarkStart w:id="122" w:name="_Hlk70084406"/>
            <w:r w:rsidR="0005328A" w:rsidRPr="00312968">
              <w:t>reduced intervention cost by 10% to remove overhead costs (i.e., assumed that 10% of intervention cost was due to overhead)</w:t>
            </w:r>
            <w:bookmarkEnd w:id="122"/>
          </w:p>
        </w:tc>
      </w:tr>
      <w:tr w:rsidR="00551FDB" w:rsidRPr="00C00335" w14:paraId="31FD9CB8" w14:textId="77777777" w:rsidTr="00260D8A">
        <w:trPr>
          <w:cantSplit/>
        </w:trPr>
        <w:tc>
          <w:tcPr>
            <w:tcW w:w="2185" w:type="dxa"/>
            <w:vMerge/>
            <w:tcBorders>
              <w:top w:val="single" w:sz="6" w:space="0" w:color="808080" w:themeColor="background1" w:themeShade="80"/>
              <w:bottom w:val="single" w:sz="6" w:space="0" w:color="auto"/>
            </w:tcBorders>
          </w:tcPr>
          <w:p w14:paraId="012AA787" w14:textId="77777777" w:rsidR="00551FDB" w:rsidRPr="009B7808" w:rsidRDefault="00551FDB" w:rsidP="003F5E49">
            <w:pPr>
              <w:pStyle w:val="Tabletext0"/>
              <w:ind w:left="108"/>
              <w:rPr>
                <w:b/>
                <w:bCs/>
                <w:szCs w:val="22"/>
                <w:highlight w:val="green"/>
              </w:rPr>
            </w:pPr>
          </w:p>
        </w:tc>
        <w:tc>
          <w:tcPr>
            <w:tcW w:w="1808" w:type="dxa"/>
          </w:tcPr>
          <w:p w14:paraId="5C6986C9" w14:textId="69721E4D" w:rsidR="00551FDB" w:rsidRPr="00312968" w:rsidRDefault="00551FDB" w:rsidP="00E57F46">
            <w:pPr>
              <w:pStyle w:val="TableText"/>
            </w:pPr>
            <w:r w:rsidRPr="00312968">
              <w:t>LTC after diagnosis</w:t>
            </w:r>
          </w:p>
        </w:tc>
        <w:tc>
          <w:tcPr>
            <w:tcW w:w="2242" w:type="dxa"/>
          </w:tcPr>
          <w:p w14:paraId="5764B552" w14:textId="55AF9507" w:rsidR="00551FDB" w:rsidRPr="00312968" w:rsidRDefault="00551FDB" w:rsidP="001B7864">
            <w:pPr>
              <w:pStyle w:val="TableText"/>
            </w:pPr>
            <w:r w:rsidRPr="00312968">
              <w:t>$</w:t>
            </w:r>
            <w:r w:rsidR="0005328A" w:rsidRPr="00312968">
              <w:t>1,078</w:t>
            </w:r>
            <w:r w:rsidRPr="00312968">
              <w:t xml:space="preserve"> (2002$)</w:t>
            </w:r>
          </w:p>
        </w:tc>
        <w:tc>
          <w:tcPr>
            <w:tcW w:w="3269" w:type="dxa"/>
          </w:tcPr>
          <w:p w14:paraId="4D8CEA19" w14:textId="7D0D644B" w:rsidR="00551FDB" w:rsidRPr="00312968" w:rsidRDefault="00551FDB" w:rsidP="00551FDB">
            <w:pPr>
              <w:pStyle w:val="TableText"/>
            </w:pPr>
            <w:r w:rsidRPr="00312968">
              <w:t xml:space="preserve">Source not identified. Assumed that the cost is </w:t>
            </w:r>
            <w:bookmarkStart w:id="123" w:name="_Hlk70084463"/>
            <w:r w:rsidR="0005328A" w:rsidRPr="00312968">
              <w:t>twice as much as</w:t>
            </w:r>
            <w:r w:rsidRPr="00312968">
              <w:t xml:space="preserve"> the cost of LTC at diagnosis, due to the fact that linking individuals who are not already in communication with or present at a provider (like they are at diagnosis) will be harder to link to care.</w:t>
            </w:r>
            <w:bookmarkEnd w:id="123"/>
          </w:p>
        </w:tc>
      </w:tr>
      <w:tr w:rsidR="00551FDB" w:rsidRPr="00C00335" w14:paraId="713B7F12" w14:textId="77777777" w:rsidTr="00260D8A">
        <w:trPr>
          <w:cantSplit/>
        </w:trPr>
        <w:tc>
          <w:tcPr>
            <w:tcW w:w="2185" w:type="dxa"/>
            <w:vMerge/>
            <w:tcBorders>
              <w:top w:val="single" w:sz="6" w:space="0" w:color="808080" w:themeColor="background1" w:themeShade="80"/>
              <w:bottom w:val="single" w:sz="6" w:space="0" w:color="auto"/>
            </w:tcBorders>
          </w:tcPr>
          <w:p w14:paraId="136D717C" w14:textId="77777777" w:rsidR="00551FDB" w:rsidRPr="00FE6D4C" w:rsidRDefault="00551FDB" w:rsidP="003F5E49">
            <w:pPr>
              <w:pStyle w:val="Tabletext0"/>
              <w:ind w:left="108"/>
              <w:rPr>
                <w:b/>
                <w:bCs/>
                <w:szCs w:val="22"/>
              </w:rPr>
            </w:pPr>
          </w:p>
        </w:tc>
        <w:tc>
          <w:tcPr>
            <w:tcW w:w="1808" w:type="dxa"/>
          </w:tcPr>
          <w:p w14:paraId="68A7700C" w14:textId="29E941D5" w:rsidR="00551FDB" w:rsidRPr="00312968" w:rsidRDefault="00551FDB" w:rsidP="00E57F46">
            <w:pPr>
              <w:pStyle w:val="TableText"/>
            </w:pPr>
            <w:r w:rsidRPr="00312968">
              <w:t>ART prescription</w:t>
            </w:r>
          </w:p>
        </w:tc>
        <w:tc>
          <w:tcPr>
            <w:tcW w:w="2242" w:type="dxa"/>
          </w:tcPr>
          <w:p w14:paraId="7A825991" w14:textId="2C7D662D" w:rsidR="00551FDB" w:rsidRPr="00312968" w:rsidRDefault="004518A6" w:rsidP="007D4FD4">
            <w:pPr>
              <w:pStyle w:val="TableText"/>
            </w:pPr>
            <w:r w:rsidRPr="00312968">
              <w:t>$</w:t>
            </w:r>
            <w:r w:rsidR="0069498A" w:rsidRPr="00312968">
              <w:t xml:space="preserve">25 </w:t>
            </w:r>
            <w:r w:rsidRPr="00312968">
              <w:t>(20</w:t>
            </w:r>
            <w:r w:rsidR="0069498A" w:rsidRPr="00312968">
              <w:t>17</w:t>
            </w:r>
            <w:r w:rsidRPr="00312968">
              <w:t>$)</w:t>
            </w:r>
          </w:p>
        </w:tc>
        <w:tc>
          <w:tcPr>
            <w:tcW w:w="3269" w:type="dxa"/>
          </w:tcPr>
          <w:p w14:paraId="75B30E60" w14:textId="52541283" w:rsidR="00551FDB" w:rsidRPr="00312968" w:rsidRDefault="0069498A" w:rsidP="004518A6">
            <w:pPr>
              <w:pStyle w:val="TableText"/>
            </w:pPr>
            <w:r w:rsidRPr="00312968">
              <w:t>Assumed.</w:t>
            </w:r>
          </w:p>
        </w:tc>
      </w:tr>
      <w:tr w:rsidR="00937B71" w:rsidRPr="00C00335" w14:paraId="4F038C41" w14:textId="77777777" w:rsidTr="00260D8A">
        <w:trPr>
          <w:cantSplit/>
        </w:trPr>
        <w:tc>
          <w:tcPr>
            <w:tcW w:w="2185" w:type="dxa"/>
            <w:vMerge/>
            <w:tcBorders>
              <w:top w:val="single" w:sz="6" w:space="0" w:color="808080" w:themeColor="background1" w:themeShade="80"/>
              <w:bottom w:val="single" w:sz="6" w:space="0" w:color="auto"/>
            </w:tcBorders>
          </w:tcPr>
          <w:p w14:paraId="079AD519" w14:textId="77777777" w:rsidR="00937B71" w:rsidRPr="00452727" w:rsidRDefault="00937B71" w:rsidP="003F5E49">
            <w:pPr>
              <w:pStyle w:val="Tabletext0"/>
              <w:ind w:left="108"/>
              <w:rPr>
                <w:b/>
                <w:bCs/>
                <w:szCs w:val="22"/>
                <w:highlight w:val="green"/>
              </w:rPr>
            </w:pPr>
          </w:p>
        </w:tc>
        <w:tc>
          <w:tcPr>
            <w:tcW w:w="1808" w:type="dxa"/>
            <w:tcBorders>
              <w:bottom w:val="single" w:sz="6" w:space="0" w:color="808080" w:themeColor="background1" w:themeShade="80"/>
            </w:tcBorders>
          </w:tcPr>
          <w:p w14:paraId="59EDC2D9" w14:textId="4C8BB736" w:rsidR="00937B71" w:rsidRPr="00312968" w:rsidRDefault="00937B71" w:rsidP="004518A6">
            <w:pPr>
              <w:pStyle w:val="TableText"/>
            </w:pPr>
            <w:r w:rsidRPr="00312968">
              <w:t>ART adherence</w:t>
            </w:r>
            <w:r w:rsidR="004518A6" w:rsidRPr="00312968">
              <w:t xml:space="preserve"> </w:t>
            </w:r>
          </w:p>
        </w:tc>
        <w:tc>
          <w:tcPr>
            <w:tcW w:w="2242" w:type="dxa"/>
            <w:tcBorders>
              <w:bottom w:val="single" w:sz="6" w:space="0" w:color="808080" w:themeColor="background1" w:themeShade="80"/>
            </w:tcBorders>
          </w:tcPr>
          <w:p w14:paraId="187D382E" w14:textId="4BF5080E" w:rsidR="00937B71" w:rsidRPr="00312968" w:rsidRDefault="00E57F46" w:rsidP="007D4FD4">
            <w:pPr>
              <w:pStyle w:val="TableText"/>
            </w:pPr>
            <w:r w:rsidRPr="00312968">
              <w:t>$</w:t>
            </w:r>
            <w:r w:rsidR="0069498A" w:rsidRPr="00312968">
              <w:t>416</w:t>
            </w:r>
            <w:r w:rsidRPr="00312968">
              <w:t xml:space="preserve"> (2002$)</w:t>
            </w:r>
          </w:p>
        </w:tc>
        <w:tc>
          <w:tcPr>
            <w:tcW w:w="3269" w:type="dxa"/>
            <w:tcBorders>
              <w:bottom w:val="single" w:sz="6" w:space="0" w:color="808080" w:themeColor="background1" w:themeShade="80"/>
            </w:tcBorders>
          </w:tcPr>
          <w:p w14:paraId="16E0F429" w14:textId="027EB1B7" w:rsidR="00937B71" w:rsidRPr="00312968" w:rsidRDefault="00937B71" w:rsidP="00E57F46">
            <w:pPr>
              <w:pStyle w:val="TableText"/>
              <w:rPr>
                <w:color w:val="000000"/>
              </w:rPr>
            </w:pPr>
            <w:r w:rsidRPr="00312968">
              <w:t xml:space="preserve">Calculated based on </w:t>
            </w:r>
            <w:proofErr w:type="spellStart"/>
            <w:r w:rsidRPr="00312968">
              <w:t>Schackman</w:t>
            </w:r>
            <w:proofErr w:type="spellEnd"/>
            <w:r w:rsidRPr="00312968">
              <w:t xml:space="preserve"> et al., 2005 </w:t>
            </w:r>
          </w:p>
        </w:tc>
      </w:tr>
      <w:tr w:rsidR="00251AFF" w:rsidRPr="00C00335" w14:paraId="5F1DC99F" w14:textId="77777777" w:rsidTr="00260D8A">
        <w:trPr>
          <w:cantSplit/>
        </w:trPr>
        <w:tc>
          <w:tcPr>
            <w:tcW w:w="2185" w:type="dxa"/>
            <w:vMerge/>
            <w:tcBorders>
              <w:top w:val="single" w:sz="6" w:space="0" w:color="808080" w:themeColor="background1" w:themeShade="80"/>
              <w:bottom w:val="single" w:sz="6" w:space="0" w:color="auto"/>
            </w:tcBorders>
          </w:tcPr>
          <w:p w14:paraId="48B9D873" w14:textId="77777777" w:rsidR="00251AFF" w:rsidRPr="00FE6D4C" w:rsidRDefault="00251AFF" w:rsidP="003F5E49">
            <w:pPr>
              <w:pStyle w:val="Tabletext0"/>
              <w:ind w:left="108"/>
              <w:rPr>
                <w:b/>
                <w:bCs/>
                <w:szCs w:val="22"/>
              </w:rPr>
            </w:pPr>
          </w:p>
        </w:tc>
        <w:tc>
          <w:tcPr>
            <w:tcW w:w="1808" w:type="dxa"/>
            <w:tcBorders>
              <w:bottom w:val="single" w:sz="6" w:space="0" w:color="808080" w:themeColor="background1" w:themeShade="80"/>
            </w:tcBorders>
          </w:tcPr>
          <w:p w14:paraId="1CB1914A" w14:textId="4649043E" w:rsidR="00251AFF" w:rsidRPr="00E832D1" w:rsidDel="00493683" w:rsidRDefault="00251AFF" w:rsidP="004518A6">
            <w:pPr>
              <w:pStyle w:val="TableText"/>
            </w:pPr>
            <w:r w:rsidRPr="00E832D1">
              <w:t>SEP</w:t>
            </w:r>
          </w:p>
        </w:tc>
        <w:tc>
          <w:tcPr>
            <w:tcW w:w="2242" w:type="dxa"/>
            <w:tcBorders>
              <w:bottom w:val="single" w:sz="6" w:space="0" w:color="808080" w:themeColor="background1" w:themeShade="80"/>
            </w:tcBorders>
          </w:tcPr>
          <w:p w14:paraId="631F91BB" w14:textId="64668208" w:rsidR="00251AFF" w:rsidRPr="00E832D1" w:rsidRDefault="00251AFF" w:rsidP="007D4FD4">
            <w:pPr>
              <w:pStyle w:val="TableText"/>
            </w:pPr>
            <w:r w:rsidRPr="00E832D1">
              <w:t>$</w:t>
            </w:r>
            <w:r w:rsidR="00F22DB8" w:rsidRPr="00E832D1">
              <w:t xml:space="preserve">219 </w:t>
            </w:r>
            <w:r w:rsidR="00F4647E" w:rsidRPr="00E832D1">
              <w:t>(2013$)</w:t>
            </w:r>
          </w:p>
        </w:tc>
        <w:tc>
          <w:tcPr>
            <w:tcW w:w="3269" w:type="dxa"/>
            <w:tcBorders>
              <w:bottom w:val="single" w:sz="6" w:space="0" w:color="808080" w:themeColor="background1" w:themeShade="80"/>
            </w:tcBorders>
          </w:tcPr>
          <w:p w14:paraId="4D26A892" w14:textId="4206F792" w:rsidR="00251AFF" w:rsidRPr="00E832D1" w:rsidRDefault="00C629AD" w:rsidP="00E57F46">
            <w:pPr>
              <w:pStyle w:val="TableText"/>
            </w:pPr>
            <w:r w:rsidRPr="00E832D1">
              <w:t xml:space="preserve">Calculated </w:t>
            </w:r>
            <w:r w:rsidR="00AA06EF" w:rsidRPr="00E832D1">
              <w:t xml:space="preserve">based on data from 2015 </w:t>
            </w:r>
            <w:r w:rsidR="005510DB" w:rsidRPr="00E832D1">
              <w:t>NHBS</w:t>
            </w:r>
            <w:r w:rsidR="00AA06EF" w:rsidRPr="00E832D1">
              <w:t xml:space="preserve"> and Nguyen et al., 2014</w:t>
            </w:r>
            <w:r w:rsidR="00AA06EF" w:rsidRPr="00E832D1">
              <w:rPr>
                <w:vertAlign w:val="superscript"/>
              </w:rPr>
              <w:t>c</w:t>
            </w:r>
          </w:p>
        </w:tc>
      </w:tr>
      <w:tr w:rsidR="00937B71" w:rsidRPr="00C00335" w14:paraId="7815E5E5" w14:textId="77777777" w:rsidTr="00260D8A">
        <w:trPr>
          <w:cantSplit/>
        </w:trPr>
        <w:tc>
          <w:tcPr>
            <w:tcW w:w="2185" w:type="dxa"/>
            <w:vMerge/>
            <w:tcBorders>
              <w:top w:val="single" w:sz="6" w:space="0" w:color="808080" w:themeColor="background1" w:themeShade="80"/>
              <w:bottom w:val="single" w:sz="6" w:space="0" w:color="808080" w:themeColor="background1" w:themeShade="80"/>
            </w:tcBorders>
          </w:tcPr>
          <w:p w14:paraId="56287EC4" w14:textId="77777777" w:rsidR="00937B71" w:rsidRPr="00AA06EF" w:rsidRDefault="00937B71" w:rsidP="003F5E49">
            <w:pPr>
              <w:pStyle w:val="Tabletext0"/>
              <w:ind w:left="108"/>
              <w:rPr>
                <w:b/>
                <w:bCs/>
                <w:szCs w:val="22"/>
                <w:highlight w:val="green"/>
              </w:rPr>
            </w:pPr>
          </w:p>
        </w:tc>
        <w:tc>
          <w:tcPr>
            <w:tcW w:w="1808" w:type="dxa"/>
            <w:tcBorders>
              <w:top w:val="single" w:sz="6" w:space="0" w:color="808080" w:themeColor="background1" w:themeShade="80"/>
              <w:bottom w:val="single" w:sz="6" w:space="0" w:color="808080" w:themeColor="background1" w:themeShade="80"/>
            </w:tcBorders>
          </w:tcPr>
          <w:p w14:paraId="6A940748" w14:textId="77777777" w:rsidR="00937B71" w:rsidRPr="00E832D1" w:rsidRDefault="00937B71" w:rsidP="00E57F46">
            <w:pPr>
              <w:pStyle w:val="TableText"/>
            </w:pPr>
            <w:proofErr w:type="spellStart"/>
            <w:r w:rsidRPr="00E832D1">
              <w:t>PrEP</w:t>
            </w:r>
            <w:proofErr w:type="spellEnd"/>
          </w:p>
        </w:tc>
        <w:tc>
          <w:tcPr>
            <w:tcW w:w="2242" w:type="dxa"/>
            <w:tcBorders>
              <w:top w:val="single" w:sz="6" w:space="0" w:color="808080" w:themeColor="background1" w:themeShade="80"/>
              <w:bottom w:val="single" w:sz="6" w:space="0" w:color="808080" w:themeColor="background1" w:themeShade="80"/>
            </w:tcBorders>
          </w:tcPr>
          <w:p w14:paraId="2F2D451F" w14:textId="4ED20245" w:rsidR="00937B71" w:rsidRPr="00E832D1" w:rsidRDefault="00937B71" w:rsidP="007D4FD4">
            <w:pPr>
              <w:pStyle w:val="TableText"/>
              <w:rPr>
                <w:color w:val="000000"/>
              </w:rPr>
            </w:pPr>
            <w:bookmarkStart w:id="124" w:name="_Hlk54750663"/>
            <w:r w:rsidRPr="00E832D1">
              <w:rPr>
                <w:color w:val="000000"/>
              </w:rPr>
              <w:t>$</w:t>
            </w:r>
            <w:r w:rsidR="005510DB" w:rsidRPr="00E832D1">
              <w:rPr>
                <w:color w:val="000000"/>
              </w:rPr>
              <w:t>14,030</w:t>
            </w:r>
            <w:r w:rsidR="005510DB" w:rsidRPr="00E832D1" w:rsidDel="005510DB">
              <w:rPr>
                <w:color w:val="000000"/>
              </w:rPr>
              <w:t xml:space="preserve"> </w:t>
            </w:r>
            <w:r w:rsidR="00E57F46" w:rsidRPr="00E832D1">
              <w:rPr>
                <w:color w:val="000000"/>
              </w:rPr>
              <w:t>(</w:t>
            </w:r>
            <w:r w:rsidR="005510DB" w:rsidRPr="00E832D1">
              <w:rPr>
                <w:color w:val="000000"/>
              </w:rPr>
              <w:t>2018</w:t>
            </w:r>
            <w:r w:rsidR="00E57F46" w:rsidRPr="00E832D1">
              <w:rPr>
                <w:color w:val="000000"/>
              </w:rPr>
              <w:t>$)</w:t>
            </w:r>
            <w:r w:rsidR="00464D87" w:rsidRPr="00E832D1">
              <w:rPr>
                <w:color w:val="000000"/>
                <w:vertAlign w:val="superscript"/>
              </w:rPr>
              <w:t>d</w:t>
            </w:r>
            <w:bookmarkEnd w:id="124"/>
          </w:p>
        </w:tc>
        <w:tc>
          <w:tcPr>
            <w:tcW w:w="3269" w:type="dxa"/>
            <w:tcBorders>
              <w:top w:val="single" w:sz="6" w:space="0" w:color="808080" w:themeColor="background1" w:themeShade="80"/>
              <w:bottom w:val="single" w:sz="6" w:space="0" w:color="808080" w:themeColor="background1" w:themeShade="80"/>
            </w:tcBorders>
          </w:tcPr>
          <w:p w14:paraId="76C17E44" w14:textId="5D7D8E9D" w:rsidR="00937B71" w:rsidRPr="00E832D1" w:rsidRDefault="00937B71" w:rsidP="00E57F46">
            <w:pPr>
              <w:pStyle w:val="TableText"/>
              <w:rPr>
                <w:color w:val="000000"/>
              </w:rPr>
            </w:pPr>
            <w:bookmarkStart w:id="125" w:name="_Hlk54750680"/>
            <w:r w:rsidRPr="00E832D1">
              <w:rPr>
                <w:color w:val="000000"/>
              </w:rPr>
              <w:t>$</w:t>
            </w:r>
            <w:r w:rsidR="005510DB" w:rsidRPr="00E832D1">
              <w:rPr>
                <w:color w:val="000000"/>
              </w:rPr>
              <w:t>12,599</w:t>
            </w:r>
            <w:r w:rsidRPr="00E832D1">
              <w:rPr>
                <w:color w:val="000000"/>
              </w:rPr>
              <w:t xml:space="preserve"> annual drug costs (</w:t>
            </w:r>
            <w:r w:rsidR="005510DB" w:rsidRPr="00E832D1">
              <w:rPr>
                <w:color w:val="000000"/>
              </w:rPr>
              <w:t>December 2018 Federal Supply Schedule monthly drug acquisition cost for Truvada</w:t>
            </w:r>
            <w:r w:rsidRPr="00E832D1">
              <w:rPr>
                <w:color w:val="000000"/>
              </w:rPr>
              <w:t>) + $1,</w:t>
            </w:r>
            <w:r w:rsidR="005510DB" w:rsidRPr="00E832D1">
              <w:rPr>
                <w:color w:val="000000"/>
              </w:rPr>
              <w:t xml:space="preserve">431 </w:t>
            </w:r>
            <w:r w:rsidRPr="00E832D1">
              <w:rPr>
                <w:color w:val="000000"/>
              </w:rPr>
              <w:t>screening and monitoring costs (Desai et al., 2008)</w:t>
            </w:r>
            <w:bookmarkEnd w:id="125"/>
          </w:p>
        </w:tc>
      </w:tr>
      <w:tr w:rsidR="008A678D" w:rsidRPr="00C00335" w14:paraId="4C2D699C" w14:textId="77777777" w:rsidTr="00260D8A">
        <w:trPr>
          <w:cantSplit/>
        </w:trPr>
        <w:tc>
          <w:tcPr>
            <w:tcW w:w="2185" w:type="dxa"/>
            <w:vMerge w:val="restart"/>
          </w:tcPr>
          <w:p w14:paraId="50D445C0" w14:textId="0B96BC42" w:rsidR="008A678D" w:rsidRPr="00C00335" w:rsidRDefault="008A678D" w:rsidP="00786484">
            <w:pPr>
              <w:pStyle w:val="TableText"/>
            </w:pPr>
            <w:bookmarkStart w:id="126" w:name="_Hlk89087500"/>
            <w:r w:rsidRPr="00C00335">
              <w:t>Maximum percentage of eligible individuals for which</w:t>
            </w:r>
            <w:r w:rsidR="0056238F">
              <w:t xml:space="preserve"> each</w:t>
            </w:r>
            <w:r w:rsidRPr="00C00335">
              <w:t xml:space="preserve"> intervention can be effective</w:t>
            </w:r>
            <w:r w:rsidR="0056238F">
              <w:t xml:space="preserve"> (also known as “maximum reach level”)</w:t>
            </w:r>
            <w:bookmarkEnd w:id="126"/>
          </w:p>
        </w:tc>
        <w:tc>
          <w:tcPr>
            <w:tcW w:w="1808" w:type="dxa"/>
          </w:tcPr>
          <w:p w14:paraId="7A84C976" w14:textId="77777777" w:rsidR="008A678D" w:rsidRPr="00312968" w:rsidRDefault="008A678D" w:rsidP="00786484">
            <w:pPr>
              <w:pStyle w:val="TableText"/>
              <w:rPr>
                <w:color w:val="000000"/>
              </w:rPr>
            </w:pPr>
            <w:r w:rsidRPr="00312968">
              <w:rPr>
                <w:color w:val="000000"/>
              </w:rPr>
              <w:t>Testing</w:t>
            </w:r>
          </w:p>
        </w:tc>
        <w:tc>
          <w:tcPr>
            <w:tcW w:w="2242" w:type="dxa"/>
          </w:tcPr>
          <w:p w14:paraId="5331B797" w14:textId="7C287C05" w:rsidR="008A678D" w:rsidRPr="00312968" w:rsidRDefault="00251AFF" w:rsidP="00786484">
            <w:pPr>
              <w:pStyle w:val="TableText"/>
            </w:pPr>
            <w:r w:rsidRPr="00312968">
              <w:t>50</w:t>
            </w:r>
            <w:r w:rsidR="008A678D" w:rsidRPr="00312968">
              <w:t>%</w:t>
            </w:r>
          </w:p>
        </w:tc>
        <w:tc>
          <w:tcPr>
            <w:tcW w:w="3269" w:type="dxa"/>
          </w:tcPr>
          <w:p w14:paraId="355D0249" w14:textId="5CFECEAD" w:rsidR="008A678D" w:rsidRPr="00C00335" w:rsidRDefault="002A6683" w:rsidP="00786484">
            <w:pPr>
              <w:pStyle w:val="TableText"/>
            </w:pPr>
            <w:bookmarkStart w:id="127" w:name="_Hlk89230779"/>
            <w:r>
              <w:t>CDC subject matter experts</w:t>
            </w:r>
            <w:bookmarkEnd w:id="127"/>
          </w:p>
        </w:tc>
      </w:tr>
      <w:tr w:rsidR="008A678D" w:rsidRPr="00C00335" w14:paraId="2C9FC094" w14:textId="77777777" w:rsidTr="00260D8A">
        <w:trPr>
          <w:cantSplit/>
        </w:trPr>
        <w:tc>
          <w:tcPr>
            <w:tcW w:w="2185" w:type="dxa"/>
            <w:vMerge/>
          </w:tcPr>
          <w:p w14:paraId="05395D44" w14:textId="77777777" w:rsidR="008A678D" w:rsidRPr="00C00335" w:rsidRDefault="008A678D" w:rsidP="00786484">
            <w:pPr>
              <w:pStyle w:val="TableText"/>
              <w:rPr>
                <w:bCs/>
              </w:rPr>
            </w:pPr>
          </w:p>
        </w:tc>
        <w:tc>
          <w:tcPr>
            <w:tcW w:w="1808" w:type="dxa"/>
          </w:tcPr>
          <w:p w14:paraId="04BBBA25" w14:textId="77777777" w:rsidR="008A678D" w:rsidRPr="00312968" w:rsidRDefault="008A678D" w:rsidP="00786484">
            <w:pPr>
              <w:pStyle w:val="TableText"/>
            </w:pPr>
            <w:r w:rsidRPr="00312968">
              <w:t>LTC at diagnosis</w:t>
            </w:r>
          </w:p>
        </w:tc>
        <w:tc>
          <w:tcPr>
            <w:tcW w:w="2242" w:type="dxa"/>
          </w:tcPr>
          <w:p w14:paraId="30E0D903" w14:textId="77777777" w:rsidR="008A678D" w:rsidRPr="00312968" w:rsidRDefault="008A678D" w:rsidP="00786484">
            <w:pPr>
              <w:pStyle w:val="TableText"/>
            </w:pPr>
            <w:r w:rsidRPr="00312968">
              <w:t>90%</w:t>
            </w:r>
          </w:p>
        </w:tc>
        <w:tc>
          <w:tcPr>
            <w:tcW w:w="3269" w:type="dxa"/>
          </w:tcPr>
          <w:p w14:paraId="3CF20B14" w14:textId="5FCCE355" w:rsidR="008A678D" w:rsidRPr="00C00335" w:rsidRDefault="002A6683" w:rsidP="00786484">
            <w:pPr>
              <w:pStyle w:val="TableText"/>
            </w:pPr>
            <w:r>
              <w:t>CDC subject matter experts</w:t>
            </w:r>
          </w:p>
        </w:tc>
      </w:tr>
      <w:tr w:rsidR="008A678D" w:rsidRPr="00C00335" w14:paraId="7FF6C973" w14:textId="77777777" w:rsidTr="00260D8A">
        <w:trPr>
          <w:cantSplit/>
        </w:trPr>
        <w:tc>
          <w:tcPr>
            <w:tcW w:w="2185" w:type="dxa"/>
            <w:vMerge/>
          </w:tcPr>
          <w:p w14:paraId="07ABBE18" w14:textId="77777777" w:rsidR="008A678D" w:rsidRPr="00C00335" w:rsidRDefault="008A678D" w:rsidP="00786484">
            <w:pPr>
              <w:pStyle w:val="TableText"/>
              <w:rPr>
                <w:bCs/>
              </w:rPr>
            </w:pPr>
          </w:p>
        </w:tc>
        <w:tc>
          <w:tcPr>
            <w:tcW w:w="1808" w:type="dxa"/>
          </w:tcPr>
          <w:p w14:paraId="62A84767" w14:textId="77777777" w:rsidR="008A678D" w:rsidRPr="00312968" w:rsidRDefault="008A678D" w:rsidP="00786484">
            <w:pPr>
              <w:pStyle w:val="TableText"/>
            </w:pPr>
            <w:r w:rsidRPr="00312968">
              <w:t>LTC after diagnosis</w:t>
            </w:r>
          </w:p>
        </w:tc>
        <w:tc>
          <w:tcPr>
            <w:tcW w:w="2242" w:type="dxa"/>
          </w:tcPr>
          <w:p w14:paraId="6CC82C75" w14:textId="382ACA72" w:rsidR="008A678D" w:rsidRPr="00312968" w:rsidRDefault="00251AFF" w:rsidP="00786484">
            <w:pPr>
              <w:pStyle w:val="TableText"/>
            </w:pPr>
            <w:r w:rsidRPr="00312968">
              <w:t>65</w:t>
            </w:r>
            <w:r w:rsidR="008A678D" w:rsidRPr="00312968">
              <w:t>%</w:t>
            </w:r>
          </w:p>
        </w:tc>
        <w:tc>
          <w:tcPr>
            <w:tcW w:w="3269" w:type="dxa"/>
          </w:tcPr>
          <w:p w14:paraId="565E6FE0" w14:textId="072AACC5" w:rsidR="008A678D" w:rsidRPr="00C00335" w:rsidRDefault="002A6683" w:rsidP="00786484">
            <w:pPr>
              <w:pStyle w:val="TableText"/>
            </w:pPr>
            <w:r>
              <w:t>CDC subject matter experts</w:t>
            </w:r>
          </w:p>
        </w:tc>
      </w:tr>
      <w:tr w:rsidR="008A678D" w:rsidRPr="00C00335" w14:paraId="34C7A5E4" w14:textId="77777777" w:rsidTr="00260D8A">
        <w:trPr>
          <w:cantSplit/>
        </w:trPr>
        <w:tc>
          <w:tcPr>
            <w:tcW w:w="2185" w:type="dxa"/>
            <w:vMerge/>
          </w:tcPr>
          <w:p w14:paraId="399B4241" w14:textId="77777777" w:rsidR="008A678D" w:rsidRPr="00C00335" w:rsidRDefault="008A678D" w:rsidP="00786484">
            <w:pPr>
              <w:pStyle w:val="TableText"/>
              <w:rPr>
                <w:bCs/>
              </w:rPr>
            </w:pPr>
          </w:p>
        </w:tc>
        <w:tc>
          <w:tcPr>
            <w:tcW w:w="1808" w:type="dxa"/>
          </w:tcPr>
          <w:p w14:paraId="14498CA9" w14:textId="77777777" w:rsidR="008A678D" w:rsidRPr="00312968" w:rsidRDefault="008A678D" w:rsidP="00786484">
            <w:pPr>
              <w:pStyle w:val="TableText"/>
            </w:pPr>
            <w:r w:rsidRPr="00312968">
              <w:t>ART prescription</w:t>
            </w:r>
          </w:p>
        </w:tc>
        <w:tc>
          <w:tcPr>
            <w:tcW w:w="2242" w:type="dxa"/>
          </w:tcPr>
          <w:p w14:paraId="64A5E916" w14:textId="5CA5505A" w:rsidR="008A678D" w:rsidRPr="00312968" w:rsidRDefault="00251AFF" w:rsidP="00786484">
            <w:pPr>
              <w:pStyle w:val="TableText"/>
            </w:pPr>
            <w:r w:rsidRPr="00312968">
              <w:t>90</w:t>
            </w:r>
            <w:r w:rsidR="008A678D" w:rsidRPr="00312968">
              <w:t>%</w:t>
            </w:r>
          </w:p>
        </w:tc>
        <w:tc>
          <w:tcPr>
            <w:tcW w:w="3269" w:type="dxa"/>
          </w:tcPr>
          <w:p w14:paraId="4BEBEBF3" w14:textId="04BAF6BC" w:rsidR="008A678D" w:rsidRPr="00C00335" w:rsidRDefault="002A6683" w:rsidP="00786484">
            <w:pPr>
              <w:pStyle w:val="TableText"/>
            </w:pPr>
            <w:r>
              <w:t>CDC subject matter experts</w:t>
            </w:r>
          </w:p>
        </w:tc>
      </w:tr>
      <w:tr w:rsidR="008A678D" w:rsidRPr="00C00335" w14:paraId="4923AB51" w14:textId="77777777" w:rsidTr="00260D8A">
        <w:trPr>
          <w:cantSplit/>
        </w:trPr>
        <w:tc>
          <w:tcPr>
            <w:tcW w:w="2185" w:type="dxa"/>
            <w:vMerge/>
          </w:tcPr>
          <w:p w14:paraId="6A33E2C8" w14:textId="77777777" w:rsidR="008A678D" w:rsidRPr="00C00335" w:rsidRDefault="008A678D" w:rsidP="00786484">
            <w:pPr>
              <w:pStyle w:val="TableText"/>
              <w:rPr>
                <w:bCs/>
              </w:rPr>
            </w:pPr>
          </w:p>
        </w:tc>
        <w:tc>
          <w:tcPr>
            <w:tcW w:w="1808" w:type="dxa"/>
            <w:tcBorders>
              <w:bottom w:val="single" w:sz="6" w:space="0" w:color="808080" w:themeColor="background1" w:themeShade="80"/>
            </w:tcBorders>
          </w:tcPr>
          <w:p w14:paraId="63901362" w14:textId="77777777" w:rsidR="008A678D" w:rsidRPr="00312968" w:rsidRDefault="008A678D" w:rsidP="00786484">
            <w:pPr>
              <w:pStyle w:val="TableText"/>
            </w:pPr>
            <w:r w:rsidRPr="00312968">
              <w:t>ART adherence</w:t>
            </w:r>
          </w:p>
        </w:tc>
        <w:tc>
          <w:tcPr>
            <w:tcW w:w="2242" w:type="dxa"/>
            <w:tcBorders>
              <w:bottom w:val="single" w:sz="6" w:space="0" w:color="808080" w:themeColor="background1" w:themeShade="80"/>
            </w:tcBorders>
          </w:tcPr>
          <w:p w14:paraId="294472B1" w14:textId="35F53E3E" w:rsidR="008A678D" w:rsidRPr="00312968" w:rsidRDefault="002D6933" w:rsidP="00786484">
            <w:pPr>
              <w:pStyle w:val="TableText"/>
            </w:pPr>
            <w:r w:rsidRPr="008436B6">
              <w:t>9</w:t>
            </w:r>
            <w:r w:rsidR="00480103">
              <w:t>5</w:t>
            </w:r>
            <w:r w:rsidR="008A678D" w:rsidRPr="008436B6">
              <w:t>%</w:t>
            </w:r>
          </w:p>
        </w:tc>
        <w:tc>
          <w:tcPr>
            <w:tcW w:w="3269" w:type="dxa"/>
            <w:tcBorders>
              <w:bottom w:val="single" w:sz="6" w:space="0" w:color="808080" w:themeColor="background1" w:themeShade="80"/>
            </w:tcBorders>
          </w:tcPr>
          <w:p w14:paraId="41F0ACD8" w14:textId="6E39C905" w:rsidR="008A678D" w:rsidRPr="00C00335" w:rsidRDefault="002A6683" w:rsidP="00786484">
            <w:pPr>
              <w:pStyle w:val="TableText"/>
            </w:pPr>
            <w:r>
              <w:t>CDC subject matter experts</w:t>
            </w:r>
          </w:p>
        </w:tc>
      </w:tr>
      <w:tr w:rsidR="00251AFF" w:rsidRPr="00C00335" w14:paraId="2A2DE5F7" w14:textId="77777777" w:rsidTr="00260D8A">
        <w:trPr>
          <w:cantSplit/>
        </w:trPr>
        <w:tc>
          <w:tcPr>
            <w:tcW w:w="2185" w:type="dxa"/>
            <w:vMerge/>
            <w:tcBorders>
              <w:bottom w:val="single" w:sz="6" w:space="0" w:color="808080" w:themeColor="background1" w:themeShade="80"/>
            </w:tcBorders>
          </w:tcPr>
          <w:p w14:paraId="1B13B79F" w14:textId="77777777" w:rsidR="00251AFF" w:rsidRPr="00C00335" w:rsidRDefault="00251AFF" w:rsidP="00786484">
            <w:pPr>
              <w:pStyle w:val="TableText"/>
              <w:rPr>
                <w:bCs/>
              </w:rPr>
            </w:pPr>
          </w:p>
        </w:tc>
        <w:tc>
          <w:tcPr>
            <w:tcW w:w="1808" w:type="dxa"/>
            <w:tcBorders>
              <w:top w:val="single" w:sz="6" w:space="0" w:color="808080" w:themeColor="background1" w:themeShade="80"/>
              <w:bottom w:val="single" w:sz="6" w:space="0" w:color="808080" w:themeColor="background1" w:themeShade="80"/>
            </w:tcBorders>
          </w:tcPr>
          <w:p w14:paraId="5E781C89" w14:textId="525616BB" w:rsidR="00251AFF" w:rsidRPr="00312968" w:rsidRDefault="00251AFF" w:rsidP="00786484">
            <w:pPr>
              <w:pStyle w:val="TableText"/>
            </w:pPr>
            <w:r w:rsidRPr="00312968">
              <w:t>S</w:t>
            </w:r>
            <w:r w:rsidR="00D4337E">
              <w:t>S</w:t>
            </w:r>
            <w:r w:rsidRPr="00312968">
              <w:t>P</w:t>
            </w:r>
          </w:p>
        </w:tc>
        <w:tc>
          <w:tcPr>
            <w:tcW w:w="2242" w:type="dxa"/>
            <w:tcBorders>
              <w:top w:val="single" w:sz="6" w:space="0" w:color="808080" w:themeColor="background1" w:themeShade="80"/>
              <w:bottom w:val="single" w:sz="6" w:space="0" w:color="808080" w:themeColor="background1" w:themeShade="80"/>
            </w:tcBorders>
          </w:tcPr>
          <w:p w14:paraId="40EBA270" w14:textId="15CADF47" w:rsidR="00251AFF" w:rsidRPr="00312968" w:rsidDel="00251AFF" w:rsidRDefault="00251AFF" w:rsidP="00786484">
            <w:pPr>
              <w:pStyle w:val="TableText"/>
            </w:pPr>
            <w:r w:rsidRPr="00312968">
              <w:t>50%</w:t>
            </w:r>
          </w:p>
        </w:tc>
        <w:tc>
          <w:tcPr>
            <w:tcW w:w="3269" w:type="dxa"/>
            <w:tcBorders>
              <w:top w:val="single" w:sz="6" w:space="0" w:color="808080" w:themeColor="background1" w:themeShade="80"/>
              <w:bottom w:val="single" w:sz="6" w:space="0" w:color="808080" w:themeColor="background1" w:themeShade="80"/>
            </w:tcBorders>
          </w:tcPr>
          <w:p w14:paraId="2AC38765" w14:textId="1C02DB29" w:rsidR="00251AFF" w:rsidRPr="00C00335" w:rsidRDefault="002A6683" w:rsidP="00786484">
            <w:pPr>
              <w:pStyle w:val="TableText"/>
            </w:pPr>
            <w:r>
              <w:t>CDC subject matter experts</w:t>
            </w:r>
          </w:p>
        </w:tc>
      </w:tr>
      <w:tr w:rsidR="008A678D" w:rsidRPr="00C00335" w14:paraId="66DFD334" w14:textId="77777777" w:rsidTr="00260D8A">
        <w:trPr>
          <w:cantSplit/>
        </w:trPr>
        <w:tc>
          <w:tcPr>
            <w:tcW w:w="2185" w:type="dxa"/>
            <w:vMerge/>
            <w:tcBorders>
              <w:bottom w:val="single" w:sz="6" w:space="0" w:color="808080" w:themeColor="background1" w:themeShade="80"/>
            </w:tcBorders>
          </w:tcPr>
          <w:p w14:paraId="78701BE3" w14:textId="77777777" w:rsidR="008A678D" w:rsidRPr="00C00335" w:rsidRDefault="008A678D" w:rsidP="00786484">
            <w:pPr>
              <w:pStyle w:val="TableText"/>
              <w:rPr>
                <w:bCs/>
              </w:rPr>
            </w:pPr>
          </w:p>
        </w:tc>
        <w:tc>
          <w:tcPr>
            <w:tcW w:w="1808" w:type="dxa"/>
            <w:tcBorders>
              <w:top w:val="single" w:sz="6" w:space="0" w:color="808080" w:themeColor="background1" w:themeShade="80"/>
              <w:bottom w:val="single" w:sz="6" w:space="0" w:color="808080" w:themeColor="background1" w:themeShade="80"/>
            </w:tcBorders>
          </w:tcPr>
          <w:p w14:paraId="7FEACF05" w14:textId="77777777" w:rsidR="008A678D" w:rsidRPr="00312968" w:rsidRDefault="008A678D" w:rsidP="00786484">
            <w:pPr>
              <w:pStyle w:val="TableText"/>
            </w:pPr>
            <w:proofErr w:type="spellStart"/>
            <w:r w:rsidRPr="00312968">
              <w:t>PrEP</w:t>
            </w:r>
            <w:proofErr w:type="spellEnd"/>
          </w:p>
        </w:tc>
        <w:tc>
          <w:tcPr>
            <w:tcW w:w="2242" w:type="dxa"/>
            <w:tcBorders>
              <w:top w:val="single" w:sz="6" w:space="0" w:color="808080" w:themeColor="background1" w:themeShade="80"/>
              <w:bottom w:val="single" w:sz="6" w:space="0" w:color="808080" w:themeColor="background1" w:themeShade="80"/>
            </w:tcBorders>
          </w:tcPr>
          <w:p w14:paraId="6E14E0E2" w14:textId="59D05F38" w:rsidR="008A678D" w:rsidRPr="00312968" w:rsidRDefault="00251AFF" w:rsidP="00786484">
            <w:pPr>
              <w:pStyle w:val="TableText"/>
            </w:pPr>
            <w:r w:rsidRPr="00312968">
              <w:t>50</w:t>
            </w:r>
            <w:r w:rsidR="008A678D" w:rsidRPr="00312968">
              <w:t>%</w:t>
            </w:r>
          </w:p>
        </w:tc>
        <w:tc>
          <w:tcPr>
            <w:tcW w:w="3269" w:type="dxa"/>
            <w:tcBorders>
              <w:top w:val="single" w:sz="6" w:space="0" w:color="808080" w:themeColor="background1" w:themeShade="80"/>
              <w:bottom w:val="single" w:sz="6" w:space="0" w:color="808080" w:themeColor="background1" w:themeShade="80"/>
            </w:tcBorders>
          </w:tcPr>
          <w:p w14:paraId="320437DC" w14:textId="7D0F5A93" w:rsidR="008A678D" w:rsidRPr="00C00335" w:rsidRDefault="002A6683" w:rsidP="00786484">
            <w:pPr>
              <w:pStyle w:val="TableText"/>
            </w:pPr>
            <w:r>
              <w:t>CDC subject matter experts</w:t>
            </w:r>
          </w:p>
        </w:tc>
      </w:tr>
    </w:tbl>
    <w:p w14:paraId="729084DF" w14:textId="77777777" w:rsidR="00A57D04" w:rsidRPr="00E832D1" w:rsidRDefault="00A57D04" w:rsidP="00A57D04">
      <w:pPr>
        <w:pStyle w:val="Source2"/>
      </w:pPr>
      <w:bookmarkStart w:id="128" w:name="_Toc462140644"/>
      <w:r w:rsidRPr="00E832D1">
        <w:t xml:space="preserve">Note: ART = antiretroviral therapy, LTC = linkage to HIV care, </w:t>
      </w:r>
      <w:proofErr w:type="spellStart"/>
      <w:r w:rsidRPr="00E832D1">
        <w:t>PrEP</w:t>
      </w:r>
      <w:proofErr w:type="spellEnd"/>
      <w:r w:rsidRPr="00E832D1">
        <w:t> = pre-exposure prophylaxis</w:t>
      </w:r>
      <w:r>
        <w:t xml:space="preserve">, </w:t>
      </w:r>
      <w:r w:rsidRPr="00E832D1">
        <w:t>NHBS = National HIV Behavioral Surveillance</w:t>
      </w:r>
      <w:r>
        <w:t>, PWH = people with HIV/AIDS, SSP = syringe service program</w:t>
      </w:r>
    </w:p>
    <w:p w14:paraId="2D4641FE" w14:textId="0A6AF006" w:rsidR="00A57D04" w:rsidRDefault="00A57D04" w:rsidP="00A57D04">
      <w:pPr>
        <w:pStyle w:val="Source2"/>
      </w:pPr>
      <w:proofErr w:type="spellStart"/>
      <w:r w:rsidRPr="00E832D1">
        <w:rPr>
          <w:vertAlign w:val="superscript"/>
        </w:rPr>
        <w:t>a</w:t>
      </w:r>
      <w:proofErr w:type="spellEnd"/>
      <w:r w:rsidRPr="00E832D1">
        <w:t xml:space="preserve"> All costs are converted to 2019$ in</w:t>
      </w:r>
      <w:r w:rsidRPr="00C00335">
        <w:t xml:space="preserve"> the calculation of economic outcomes.</w:t>
      </w:r>
    </w:p>
    <w:p w14:paraId="4386DE30" w14:textId="5DA80BF5" w:rsidR="00A57D04" w:rsidRPr="00C00335" w:rsidRDefault="00A57D04" w:rsidP="00A57D04">
      <w:pPr>
        <w:pStyle w:val="Source2"/>
        <w:jc w:val="right"/>
      </w:pPr>
      <w:r w:rsidRPr="00C00335">
        <w:t>(continued</w:t>
      </w:r>
      <w:r>
        <w:t>)</w:t>
      </w:r>
    </w:p>
    <w:p w14:paraId="64B31527" w14:textId="77777777" w:rsidR="0046162D" w:rsidRPr="00C00335" w:rsidRDefault="0046162D">
      <w:pPr>
        <w:rPr>
          <w:b/>
        </w:rPr>
      </w:pPr>
      <w:r w:rsidRPr="00C00335">
        <w:br w:type="page"/>
      </w:r>
    </w:p>
    <w:p w14:paraId="07976978" w14:textId="78E783AA" w:rsidR="00807C26" w:rsidRPr="00C00335" w:rsidRDefault="00807C26" w:rsidP="00741472">
      <w:pPr>
        <w:pStyle w:val="TableTitlecont"/>
      </w:pPr>
      <w:r w:rsidRPr="00C00335">
        <w:lastRenderedPageBreak/>
        <w:t>Table 8.2.</w:t>
      </w:r>
      <w:r w:rsidRPr="00C00335">
        <w:tab/>
        <w:t>Values and Sources for Key Inputs Specific to Interventions (continued)</w:t>
      </w:r>
      <w:bookmarkEnd w:id="128"/>
    </w:p>
    <w:p w14:paraId="7652DBCE" w14:textId="2CE94484" w:rsidR="005B3F71" w:rsidRPr="00C00335" w:rsidRDefault="005B3F71" w:rsidP="00464D87">
      <w:pPr>
        <w:pStyle w:val="Source2"/>
      </w:pPr>
      <w:r w:rsidRPr="00C00335">
        <w:rPr>
          <w:vertAlign w:val="superscript"/>
        </w:rPr>
        <w:t xml:space="preserve">b </w:t>
      </w:r>
      <w:bookmarkStart w:id="129" w:name="_Hlk70084300"/>
      <w:r w:rsidRPr="00C00335">
        <w:t>Dynamically calculated in HOPE model</w:t>
      </w:r>
      <w:r w:rsidR="002A6F9D" w:rsidRPr="00C00335">
        <w:t xml:space="preserve"> under the estimated current</w:t>
      </w:r>
      <w:r w:rsidR="00F21DBF" w:rsidRPr="00C00335">
        <w:t xml:space="preserve"> societal funding to testing interventions</w:t>
      </w:r>
      <w:r w:rsidRPr="00C00335">
        <w:t xml:space="preserve"> based on test sensitivity, which varies by test type and HIV status (Pilcher et al. (2013); Hutchinson et al. (2013), which cites Chavez et al. (2011) (4G) and Pandori et al. (2009) (3G); </w:t>
      </w:r>
      <w:proofErr w:type="spellStart"/>
      <w:r w:rsidRPr="00C00335">
        <w:t>Feibig</w:t>
      </w:r>
      <w:proofErr w:type="spellEnd"/>
      <w:r w:rsidRPr="00C00335">
        <w:t xml:space="preserve"> et al. (2003); </w:t>
      </w:r>
      <w:proofErr w:type="spellStart"/>
      <w:r w:rsidRPr="00C00335">
        <w:t>OraQuick</w:t>
      </w:r>
      <w:proofErr w:type="spellEnd"/>
      <w:r w:rsidRPr="00C00335">
        <w:t xml:space="preserve"> ADVANCE: Rapid HIV-1/2 Antibody Test package insert); percentage of tests rapid vs. conventional (assumed); HIV prevalence in tested population (dynamically calculated in the model); test costs and notification costs</w:t>
      </w:r>
      <w:r w:rsidR="00B03270" w:rsidRPr="00C00335">
        <w:t>, as reported in detail in Sections 9.2.1 and 9.2.2</w:t>
      </w:r>
      <w:r w:rsidRPr="00C00335">
        <w:t xml:space="preserve"> (Hutchinson et al. (2011, 2013); Pinkerton et al. (2010); Farnham et al. (2008); Shrestha et al. (2008)). Includes cost of testing all HIV-negative and HIV-infected individuals per diagnosed HIV-infected </w:t>
      </w:r>
      <w:r w:rsidR="0079728B">
        <w:t>PWH</w:t>
      </w:r>
      <w:r w:rsidRPr="00C00335">
        <w:t xml:space="preserve">. This cost varied slightly over time since HIV prevalence in the tested population changed over time; the value reported is the average cost in </w:t>
      </w:r>
      <w:r w:rsidR="0072721D" w:rsidRPr="00C00335">
        <w:t>20</w:t>
      </w:r>
      <w:r w:rsidR="00365AB1">
        <w:t>20</w:t>
      </w:r>
      <w:r w:rsidR="005D4A77">
        <w:t xml:space="preserve"> (2019$)</w:t>
      </w:r>
      <w:r w:rsidRPr="00C00335">
        <w:t>.</w:t>
      </w:r>
      <w:bookmarkEnd w:id="129"/>
    </w:p>
    <w:p w14:paraId="0404BA4C" w14:textId="254C577C" w:rsidR="00464D87" w:rsidRPr="00E832D1" w:rsidRDefault="008C6D01" w:rsidP="009B02F4">
      <w:pPr>
        <w:pStyle w:val="Source2"/>
      </w:pPr>
      <w:r w:rsidRPr="00E832D1">
        <w:rPr>
          <w:vertAlign w:val="superscript"/>
        </w:rPr>
        <w:t>c</w:t>
      </w:r>
      <w:r w:rsidR="005B3F71" w:rsidRPr="00E832D1">
        <w:t xml:space="preserve"> </w:t>
      </w:r>
      <w:r w:rsidR="00464D87" w:rsidRPr="00E832D1">
        <w:t xml:space="preserve">Calculated as </w:t>
      </w:r>
      <w:r w:rsidR="00AA06EF" w:rsidRPr="00E832D1">
        <w:t>“</w:t>
      </w:r>
      <w:r w:rsidR="00464D87" w:rsidRPr="00E832D1">
        <w:t>Annual number of injections per year per active PWID</w:t>
      </w:r>
      <w:r w:rsidR="00AA06EF" w:rsidRPr="00E832D1">
        <w:t>”</w:t>
      </w:r>
      <w:r w:rsidR="00464D87" w:rsidRPr="00E832D1">
        <w:t xml:space="preserve"> (Table 6.13) times $0.48 per syringe for SEPs (2013$, per Nguyen et al., 2014) = $218 per actively injecting PWID, or $234 in 2018$.</w:t>
      </w:r>
    </w:p>
    <w:p w14:paraId="72F4F316" w14:textId="79C043FA" w:rsidR="005B3F71" w:rsidRPr="00E832D1" w:rsidRDefault="00464D87" w:rsidP="009B02F4">
      <w:pPr>
        <w:pStyle w:val="Source2"/>
      </w:pPr>
      <w:r w:rsidRPr="008436B6">
        <w:rPr>
          <w:vertAlign w:val="superscript"/>
        </w:rPr>
        <w:t>d</w:t>
      </w:r>
      <w:r w:rsidRPr="008436B6">
        <w:t xml:space="preserve"> </w:t>
      </w:r>
      <w:bookmarkStart w:id="130" w:name="_Hlk54750729"/>
      <w:r w:rsidR="005B3F71" w:rsidRPr="008436B6">
        <w:t xml:space="preserve">Allocations to </w:t>
      </w:r>
      <w:proofErr w:type="spellStart"/>
      <w:r w:rsidR="005B3F71" w:rsidRPr="008436B6">
        <w:t>PrEP</w:t>
      </w:r>
      <w:proofErr w:type="spellEnd"/>
      <w:r w:rsidR="005B3F71" w:rsidRPr="008436B6">
        <w:t xml:space="preserve"> result in increased </w:t>
      </w:r>
      <w:proofErr w:type="spellStart"/>
      <w:r w:rsidR="005B3F71" w:rsidRPr="008436B6">
        <w:t>PrEP</w:t>
      </w:r>
      <w:proofErr w:type="spellEnd"/>
      <w:r w:rsidR="005B3F71" w:rsidRPr="008436B6">
        <w:t xml:space="preserve"> initiation in the first year </w:t>
      </w:r>
      <w:r w:rsidR="00C456B0" w:rsidRPr="008436B6">
        <w:t xml:space="preserve">of </w:t>
      </w:r>
      <w:r w:rsidR="00D57137" w:rsidRPr="008436B6">
        <w:t>each allocation</w:t>
      </w:r>
      <w:r w:rsidR="00C456B0" w:rsidRPr="008436B6">
        <w:t xml:space="preserve"> period</w:t>
      </w:r>
      <w:r w:rsidR="005B3F71" w:rsidRPr="008436B6">
        <w:t xml:space="preserve">, but no further increases in initiation in later years </w:t>
      </w:r>
      <w:r w:rsidR="00D57137" w:rsidRPr="008436B6">
        <w:t>during the same allocation period</w:t>
      </w:r>
      <w:r w:rsidR="005B3F71" w:rsidRPr="008436B6">
        <w:t xml:space="preserve">. Those allocations are instead assumed to pay for continued years of maintenance on </w:t>
      </w:r>
      <w:proofErr w:type="spellStart"/>
      <w:r w:rsidR="005B3F71" w:rsidRPr="008436B6">
        <w:t>PrEP</w:t>
      </w:r>
      <w:proofErr w:type="spellEnd"/>
      <w:r w:rsidR="005B3F71" w:rsidRPr="008436B6">
        <w:t xml:space="preserve"> for those who initiated in 2017. This method implicitly assumes that </w:t>
      </w:r>
      <w:r w:rsidR="00D57137" w:rsidRPr="008436B6">
        <w:t>the level of participation on</w:t>
      </w:r>
      <w:r w:rsidR="005B3F71" w:rsidRPr="008436B6">
        <w:t xml:space="preserve"> </w:t>
      </w:r>
      <w:proofErr w:type="spellStart"/>
      <w:r w:rsidR="005B3F71" w:rsidRPr="008436B6">
        <w:t>PrEP</w:t>
      </w:r>
      <w:proofErr w:type="spellEnd"/>
      <w:r w:rsidR="005B3F71" w:rsidRPr="008436B6">
        <w:t xml:space="preserve"> stays </w:t>
      </w:r>
      <w:r w:rsidR="00D57137" w:rsidRPr="008436B6">
        <w:t>constant</w:t>
      </w:r>
      <w:r w:rsidR="005B3F71" w:rsidRPr="008436B6">
        <w:t xml:space="preserve"> for the </w:t>
      </w:r>
      <w:r w:rsidR="00D57137" w:rsidRPr="008436B6">
        <w:t>allocation period</w:t>
      </w:r>
      <w:r w:rsidR="005B3F71" w:rsidRPr="008436B6">
        <w:t>.</w:t>
      </w:r>
    </w:p>
    <w:bookmarkEnd w:id="130"/>
    <w:p w14:paraId="37A96F10" w14:textId="77777777" w:rsidR="009B02F4" w:rsidRPr="00E832D1" w:rsidRDefault="009B02F4" w:rsidP="00A158C0">
      <w:pPr>
        <w:pStyle w:val="BodyText"/>
      </w:pPr>
    </w:p>
    <w:p w14:paraId="71ADEA70" w14:textId="7874E606" w:rsidR="00807C26" w:rsidRPr="00E832D1" w:rsidRDefault="00807C26" w:rsidP="00A158C0">
      <w:pPr>
        <w:pStyle w:val="BodyText"/>
      </w:pPr>
      <w:r w:rsidRPr="00E832D1">
        <w:t>These methods apply the following key assumptions:</w:t>
      </w:r>
    </w:p>
    <w:p w14:paraId="3807AFEB" w14:textId="61AF65EC" w:rsidR="00807C26" w:rsidRPr="00E832D1" w:rsidRDefault="009B02F4" w:rsidP="002B1372">
      <w:pPr>
        <w:pStyle w:val="bullets"/>
      </w:pPr>
      <w:r w:rsidRPr="00E832D1">
        <w:t xml:space="preserve">Up to three allocation periods can be applied within time period 3. </w:t>
      </w:r>
      <w:r w:rsidR="00807C26" w:rsidRPr="00E832D1">
        <w:t xml:space="preserve">Annual allocations to interventions are constant over the </w:t>
      </w:r>
      <w:r w:rsidRPr="00E832D1">
        <w:t>each of those allocation periods</w:t>
      </w:r>
      <w:r w:rsidR="00807C26" w:rsidRPr="00E832D1">
        <w:t>.</w:t>
      </w:r>
    </w:p>
    <w:p w14:paraId="6C2E46DD" w14:textId="7F1BF794" w:rsidR="005904D6" w:rsidRDefault="00C464D8" w:rsidP="002B1372">
      <w:pPr>
        <w:pStyle w:val="bullets"/>
      </w:pPr>
      <w:r w:rsidRPr="00E832D1">
        <w:t xml:space="preserve">As outlined in Section </w:t>
      </w:r>
      <w:r w:rsidRPr="00E832D1">
        <w:fldChar w:fldCharType="begin"/>
      </w:r>
      <w:r w:rsidRPr="00E832D1">
        <w:instrText xml:space="preserve"> REF _Ref489362693 \r \h </w:instrText>
      </w:r>
      <w:r w:rsidR="00A56ED3" w:rsidRPr="00E832D1">
        <w:instrText xml:space="preserve"> \* MERGEFORMAT </w:instrText>
      </w:r>
      <w:r w:rsidRPr="00E832D1">
        <w:fldChar w:fldCharType="separate"/>
      </w:r>
      <w:r w:rsidRPr="00E832D1">
        <w:rPr>
          <w:rFonts w:hint="eastAsia"/>
          <w:cs/>
        </w:rPr>
        <w:t>‎</w:t>
      </w:r>
      <w:r w:rsidRPr="00E832D1">
        <w:t>5.4.1</w:t>
      </w:r>
      <w:r w:rsidRPr="00E832D1">
        <w:fldChar w:fldCharType="end"/>
      </w:r>
      <w:r w:rsidRPr="00E832D1">
        <w:t>, f</w:t>
      </w:r>
      <w:r w:rsidR="00493683" w:rsidRPr="00E832D1">
        <w:t>unding for an intervention targeted to a particular progression step</w:t>
      </w:r>
      <w:r w:rsidR="009B02F4" w:rsidRPr="00E832D1">
        <w:t xml:space="preserve"> </w:t>
      </w:r>
      <w:r w:rsidR="00336D53" w:rsidRPr="00E832D1">
        <w:t xml:space="preserve">from $0 </w:t>
      </w:r>
      <w:r w:rsidR="009B02F4" w:rsidRPr="00E832D1">
        <w:t xml:space="preserve">up to the </w:t>
      </w:r>
      <w:r w:rsidR="003A7783">
        <w:t>time 2 funding level</w:t>
      </w:r>
      <w:r w:rsidR="009B02F4" w:rsidRPr="00E832D1">
        <w:t xml:space="preserve"> (</w:t>
      </w:r>
      <w:r w:rsidR="00336D53" w:rsidRPr="00E832D1">
        <w:t>including “base progression rates”</w:t>
      </w:r>
      <w:r w:rsidR="009B02F4" w:rsidRPr="00E832D1">
        <w:t>)</w:t>
      </w:r>
      <w:r w:rsidR="00493683" w:rsidRPr="00E832D1">
        <w:t xml:space="preserve"> will be allocated to subpopulations and disease stages in time period 3 proportional to the values of the rates of progression for that step in time period </w:t>
      </w:r>
      <w:r w:rsidR="00336D53" w:rsidRPr="00E832D1">
        <w:t>1</w:t>
      </w:r>
      <w:r w:rsidR="00493683" w:rsidRPr="00E832D1">
        <w:t xml:space="preserve">. </w:t>
      </w:r>
    </w:p>
    <w:p w14:paraId="2EE967E3" w14:textId="5D795D28" w:rsidR="000B5739" w:rsidRDefault="00336D53" w:rsidP="002B1372">
      <w:pPr>
        <w:pStyle w:val="bullets"/>
      </w:pPr>
      <w:r w:rsidRPr="00E832D1">
        <w:t xml:space="preserve">For the allocation amount to </w:t>
      </w:r>
      <w:r w:rsidR="000B5739">
        <w:t>the continuum</w:t>
      </w:r>
      <w:r w:rsidRPr="00E832D1">
        <w:t xml:space="preserve"> intervention</w:t>
      </w:r>
      <w:r w:rsidR="000B5739">
        <w:t>s (interventions j* = 1 to 10)</w:t>
      </w:r>
      <w:r w:rsidRPr="00E832D1">
        <w:t xml:space="preserve"> beyond the </w:t>
      </w:r>
      <w:r w:rsidR="003A7783">
        <w:t>time 2 funding level</w:t>
      </w:r>
      <w:r w:rsidRPr="00E832D1">
        <w:t xml:space="preserve">, funding is distributed </w:t>
      </w:r>
      <w:r w:rsidR="000B5739">
        <w:t>with p</w:t>
      </w:r>
      <w:r w:rsidR="000B5739" w:rsidRPr="000B5739">
        <w:t>riority per</w:t>
      </w:r>
      <w:r w:rsidR="000B5739">
        <w:t xml:space="preserve"> </w:t>
      </w:r>
      <w:r w:rsidR="000B5739" w:rsidRPr="000B5739">
        <w:t>eligible</w:t>
      </w:r>
      <w:r w:rsidR="000B5739">
        <w:t xml:space="preserve"> </w:t>
      </w:r>
      <w:r w:rsidR="000B5739" w:rsidRPr="000B5739">
        <w:t>person funding</w:t>
      </w:r>
      <w:r w:rsidR="000B5739" w:rsidRPr="00E832D1">
        <w:t xml:space="preserve"> </w:t>
      </w:r>
      <w:r w:rsidRPr="00E832D1">
        <w:t xml:space="preserve">to all remaining eligible people at equal rates, up to maximum reach levels. </w:t>
      </w:r>
      <w:r w:rsidR="000B5739">
        <w:t xml:space="preserve">However, when costs are increased with higher reach levels, priority is implicitly given to subpopulations with the </w:t>
      </w:r>
      <w:r w:rsidR="000B5739" w:rsidRPr="000B5739">
        <w:t xml:space="preserve">lowest </w:t>
      </w:r>
      <w:r w:rsidR="000B5739">
        <w:t>rates in time period 2</w:t>
      </w:r>
      <w:r w:rsidR="000B5739" w:rsidRPr="000B5739">
        <w:t xml:space="preserve"> (since, by definition, more people remain eligible in those subpop</w:t>
      </w:r>
      <w:r w:rsidR="000B5739">
        <w:t>ulation</w:t>
      </w:r>
      <w:r w:rsidR="000B5739" w:rsidRPr="000B5739">
        <w:t>s)</w:t>
      </w:r>
      <w:r w:rsidR="000B5739">
        <w:t>.</w:t>
      </w:r>
    </w:p>
    <w:p w14:paraId="55D7251F" w14:textId="4F655FE0" w:rsidR="00807C26" w:rsidRPr="00E832D1" w:rsidRDefault="00336D53" w:rsidP="002B1372">
      <w:pPr>
        <w:pStyle w:val="bullets"/>
      </w:pPr>
      <w:r w:rsidRPr="00E832D1">
        <w:t>T</w:t>
      </w:r>
      <w:r w:rsidR="00493683" w:rsidRPr="00E832D1">
        <w:t xml:space="preserve">he effect of allocation on some subpopulations or disease stages </w:t>
      </w:r>
      <w:r w:rsidR="000B5739">
        <w:t>is</w:t>
      </w:r>
      <w:r w:rsidR="00493683" w:rsidRPr="00E832D1">
        <w:t xml:space="preserve"> 0 if the calculated total progression rate for that particular subpopulation / disease stage exceeds the maximum reach.</w:t>
      </w:r>
    </w:p>
    <w:p w14:paraId="39B7F2F3" w14:textId="41E457EC" w:rsidR="00807C26" w:rsidRPr="00C00335" w:rsidRDefault="00807C26" w:rsidP="002B1372">
      <w:pPr>
        <w:pStyle w:val="bullets"/>
      </w:pPr>
      <w:bookmarkStart w:id="131" w:name="_Hlk54750795"/>
      <w:r w:rsidRPr="00C00335">
        <w:t xml:space="preserve">Allocations to </w:t>
      </w:r>
      <w:proofErr w:type="spellStart"/>
      <w:r w:rsidRPr="00C00335">
        <w:t>PrEP</w:t>
      </w:r>
      <w:proofErr w:type="spellEnd"/>
      <w:r w:rsidRPr="00C00335">
        <w:t xml:space="preserve"> result in increased </w:t>
      </w:r>
      <w:proofErr w:type="spellStart"/>
      <w:r w:rsidRPr="00C00335">
        <w:t>PrEP</w:t>
      </w:r>
      <w:proofErr w:type="spellEnd"/>
      <w:r w:rsidRPr="00C00335">
        <w:t xml:space="preserve"> initiation in the first year of </w:t>
      </w:r>
      <w:r w:rsidR="004442F8">
        <w:t>each allocation</w:t>
      </w:r>
      <w:r w:rsidRPr="00C00335">
        <w:t xml:space="preserve"> period, but no further increases in initiation in later years over the </w:t>
      </w:r>
      <w:r w:rsidR="004442F8">
        <w:t>allocation period</w:t>
      </w:r>
      <w:r w:rsidRPr="00C00335">
        <w:t xml:space="preserve">. Those allocations are instead assumed to pay for continued years of maintenance on </w:t>
      </w:r>
      <w:proofErr w:type="spellStart"/>
      <w:r w:rsidRPr="00C00335">
        <w:t>PrEP</w:t>
      </w:r>
      <w:proofErr w:type="spellEnd"/>
      <w:r w:rsidRPr="00C00335">
        <w:t xml:space="preserve"> for those who initiated in that first year. The model implicitly assumes that each individual who initiates </w:t>
      </w:r>
      <w:proofErr w:type="spellStart"/>
      <w:r w:rsidRPr="00C00335">
        <w:t>PrEP</w:t>
      </w:r>
      <w:proofErr w:type="spellEnd"/>
      <w:r w:rsidRPr="00C00335">
        <w:t xml:space="preserve"> stays on </w:t>
      </w:r>
      <w:proofErr w:type="spellStart"/>
      <w:r w:rsidRPr="00C00335">
        <w:t>PrEP</w:t>
      </w:r>
      <w:proofErr w:type="spellEnd"/>
      <w:r w:rsidRPr="00C00335">
        <w:t xml:space="preserve"> for the </w:t>
      </w:r>
      <w:r w:rsidR="004442F8">
        <w:t>duration of that allocation period</w:t>
      </w:r>
      <w:r w:rsidRPr="00C00335">
        <w:t>.</w:t>
      </w:r>
    </w:p>
    <w:bookmarkEnd w:id="131"/>
    <w:p w14:paraId="60F02233" w14:textId="1601F4CA" w:rsidR="00807C26" w:rsidRPr="00C00335" w:rsidRDefault="00807C26" w:rsidP="002B1372">
      <w:pPr>
        <w:pStyle w:val="bullets"/>
      </w:pPr>
      <w:r w:rsidRPr="00C00335">
        <w:t xml:space="preserve">The effect of allocating funds to an intervention over a year is estimated based on the number of individuals eligible for that intervention at the beginning of the year, which implicitly assumes that the number eligible is stable over that year. If the number eligible decreases over the year, the effect of the intervention will be less </w:t>
      </w:r>
      <w:r w:rsidRPr="00C00335">
        <w:lastRenderedPageBreak/>
        <w:t>than projected; and vice versa for increases in the number eligible. Historical observation of the model has demonstrated that the error due to this assumption is negligible.</w:t>
      </w:r>
    </w:p>
    <w:p w14:paraId="775CFB21" w14:textId="471BDF41" w:rsidR="00807C26" w:rsidRDefault="00807C26" w:rsidP="002B1372">
      <w:pPr>
        <w:pStyle w:val="bullets"/>
      </w:pPr>
      <w:r w:rsidRPr="00C00335">
        <w:t xml:space="preserve">Allocation of funds to </w:t>
      </w:r>
      <w:proofErr w:type="spellStart"/>
      <w:r w:rsidRPr="00C00335">
        <w:t>PrEP</w:t>
      </w:r>
      <w:proofErr w:type="spellEnd"/>
      <w:r w:rsidRPr="00C00335">
        <w:t xml:space="preserve"> reduces the risk of infection among susceptible individuals which, in turn, reduces the incidence of new infections. Allocation to continuum interventions redistributes HIV-infected individuals across model states so that more are farther along the </w:t>
      </w:r>
      <w:r w:rsidR="003F2DC6" w:rsidRPr="00C00335">
        <w:t>care continuum</w:t>
      </w:r>
      <w:r w:rsidRPr="00C00335">
        <w:t xml:space="preserve">; as a result, the risk of </w:t>
      </w:r>
      <w:r w:rsidR="0079728B">
        <w:t>PWH</w:t>
      </w:r>
      <w:r w:rsidRPr="00C00335">
        <w:t xml:space="preserve"> infecting susceptible individuals declines, which ultimately also reduces incidence.</w:t>
      </w:r>
    </w:p>
    <w:p w14:paraId="7916C655" w14:textId="3C1FBF45" w:rsidR="006E7B11" w:rsidRPr="008436B6" w:rsidRDefault="006E7B11" w:rsidP="00A158C0">
      <w:pPr>
        <w:pStyle w:val="Heading2"/>
      </w:pPr>
      <w:bookmarkStart w:id="132" w:name="_Ref19873752"/>
      <w:bookmarkStart w:id="133" w:name="_Toc89257559"/>
      <w:r w:rsidRPr="008436B6">
        <w:t xml:space="preserve">Optimization of </w:t>
      </w:r>
      <w:r w:rsidR="00981931" w:rsidRPr="008436B6">
        <w:t xml:space="preserve">Funding </w:t>
      </w:r>
      <w:r w:rsidRPr="008436B6">
        <w:t>Allocations to Interventions</w:t>
      </w:r>
      <w:bookmarkEnd w:id="132"/>
      <w:bookmarkEnd w:id="133"/>
    </w:p>
    <w:p w14:paraId="23B80C7A" w14:textId="0DE6F59D" w:rsidR="00E54903" w:rsidRPr="008436B6" w:rsidRDefault="005A1F41" w:rsidP="00B85CEE">
      <w:pPr>
        <w:pStyle w:val="BodyText"/>
        <w:rPr>
          <w:rFonts w:cstheme="minorHAnsi"/>
          <w:szCs w:val="20"/>
        </w:rPr>
      </w:pPr>
      <w:r>
        <w:rPr>
          <w:rFonts w:cstheme="minorHAnsi"/>
          <w:szCs w:val="20"/>
        </w:rPr>
        <w:t>The MATLAB Optimization Toolbox offers optimization algorithms. For the optimization scenarios (1b and 1c), we</w:t>
      </w:r>
      <w:r w:rsidRPr="008436B6">
        <w:rPr>
          <w:rFonts w:cstheme="minorHAnsi"/>
          <w:szCs w:val="20"/>
        </w:rPr>
        <w:t xml:space="preserve"> </w:t>
      </w:r>
      <w:r w:rsidR="00E54903" w:rsidRPr="008436B6">
        <w:rPr>
          <w:rFonts w:cstheme="minorHAnsi"/>
          <w:szCs w:val="20"/>
        </w:rPr>
        <w:t>used</w:t>
      </w:r>
      <w:r w:rsidR="00674C09">
        <w:rPr>
          <w:rFonts w:cstheme="minorHAnsi"/>
          <w:szCs w:val="20"/>
        </w:rPr>
        <w:t xml:space="preserve"> a resource allocation (RA) model and MATLAB’s </w:t>
      </w:r>
      <w:proofErr w:type="spellStart"/>
      <w:r w:rsidR="00674C09" w:rsidRPr="00542624">
        <w:rPr>
          <w:rFonts w:cstheme="minorHAnsi"/>
          <w:i/>
          <w:iCs/>
          <w:szCs w:val="20"/>
        </w:rPr>
        <w:t>fmincon</w:t>
      </w:r>
      <w:proofErr w:type="spellEnd"/>
      <w:r w:rsidR="00674C09">
        <w:rPr>
          <w:rFonts w:cstheme="minorHAnsi"/>
          <w:szCs w:val="20"/>
        </w:rPr>
        <w:t xml:space="preserve"> optimization algorithm</w:t>
      </w:r>
      <w:r w:rsidR="00674C09" w:rsidRPr="008436B6">
        <w:rPr>
          <w:rFonts w:cstheme="minorHAnsi"/>
          <w:szCs w:val="20"/>
        </w:rPr>
        <w:t xml:space="preserve"> </w:t>
      </w:r>
      <w:r w:rsidR="00674C09">
        <w:rPr>
          <w:rFonts w:cstheme="minorHAnsi"/>
          <w:szCs w:val="20"/>
        </w:rPr>
        <w:t>built into the HOPE M</w:t>
      </w:r>
      <w:r w:rsidR="00674C09" w:rsidRPr="008436B6">
        <w:rPr>
          <w:rFonts w:cstheme="minorHAnsi"/>
          <w:szCs w:val="20"/>
        </w:rPr>
        <w:t>odel</w:t>
      </w:r>
      <w:r w:rsidR="00674C09">
        <w:rPr>
          <w:rFonts w:cstheme="minorHAnsi"/>
          <w:szCs w:val="20"/>
        </w:rPr>
        <w:t xml:space="preserve"> </w:t>
      </w:r>
      <w:r w:rsidR="008865E7">
        <w:rPr>
          <w:rFonts w:cstheme="minorHAnsi"/>
          <w:szCs w:val="20"/>
        </w:rPr>
        <w:t>(Figure 8.1)</w:t>
      </w:r>
      <w:r w:rsidR="00E54903" w:rsidRPr="008436B6">
        <w:rPr>
          <w:rFonts w:cstheme="minorHAnsi"/>
          <w:szCs w:val="20"/>
        </w:rPr>
        <w:t xml:space="preserve"> to identify the optimal allocation of </w:t>
      </w:r>
      <w:r>
        <w:t>fixed annual spending amounts</w:t>
      </w:r>
      <w:r w:rsidRPr="008436B6">
        <w:rPr>
          <w:rFonts w:cstheme="minorHAnsi"/>
          <w:szCs w:val="20"/>
        </w:rPr>
        <w:t xml:space="preserve"> </w:t>
      </w:r>
      <w:r w:rsidR="00E54903" w:rsidRPr="008436B6">
        <w:rPr>
          <w:rFonts w:cstheme="minorHAnsi"/>
          <w:szCs w:val="20"/>
        </w:rPr>
        <w:t xml:space="preserve">on HIV prevention interventions from </w:t>
      </w:r>
      <w:r>
        <w:rPr>
          <w:rFonts w:cstheme="minorHAnsi"/>
          <w:szCs w:val="20"/>
        </w:rPr>
        <w:t>2026</w:t>
      </w:r>
      <w:r w:rsidR="00F52B36" w:rsidRPr="008436B6">
        <w:rPr>
          <w:rFonts w:cstheme="minorHAnsi"/>
          <w:szCs w:val="20"/>
        </w:rPr>
        <w:t xml:space="preserve"> </w:t>
      </w:r>
      <w:r w:rsidR="00E54903" w:rsidRPr="008436B6">
        <w:rPr>
          <w:rFonts w:cstheme="minorHAnsi"/>
          <w:szCs w:val="20"/>
        </w:rPr>
        <w:t xml:space="preserve">to </w:t>
      </w:r>
      <w:r>
        <w:rPr>
          <w:rFonts w:cstheme="minorHAnsi"/>
          <w:szCs w:val="20"/>
        </w:rPr>
        <w:t>2030 (scenario 1b) or 2023 to 2030 (scenario 1c)</w:t>
      </w:r>
      <w:r w:rsidR="00F52B36" w:rsidRPr="008436B6">
        <w:rPr>
          <w:rFonts w:cstheme="minorHAnsi"/>
          <w:szCs w:val="20"/>
        </w:rPr>
        <w:t xml:space="preserve"> </w:t>
      </w:r>
      <w:r w:rsidR="00E54903" w:rsidRPr="008436B6">
        <w:rPr>
          <w:rFonts w:cstheme="minorHAnsi"/>
          <w:szCs w:val="20"/>
        </w:rPr>
        <w:t xml:space="preserve">across a set of 14 interventions to minimize total new HIV infections in the United States from </w:t>
      </w:r>
      <w:r w:rsidR="00F52B36" w:rsidRPr="008436B6">
        <w:rPr>
          <w:rFonts w:cstheme="minorHAnsi"/>
          <w:szCs w:val="20"/>
        </w:rPr>
        <w:t>202</w:t>
      </w:r>
      <w:r w:rsidR="00A52868" w:rsidRPr="008436B6">
        <w:rPr>
          <w:rFonts w:cstheme="minorHAnsi"/>
          <w:szCs w:val="20"/>
        </w:rPr>
        <w:t>1</w:t>
      </w:r>
      <w:r w:rsidR="00F52B36" w:rsidRPr="008436B6">
        <w:rPr>
          <w:rFonts w:cstheme="minorHAnsi"/>
          <w:szCs w:val="20"/>
        </w:rPr>
        <w:t xml:space="preserve"> </w:t>
      </w:r>
      <w:r w:rsidR="00E54903" w:rsidRPr="008436B6">
        <w:rPr>
          <w:rFonts w:cstheme="minorHAnsi"/>
          <w:szCs w:val="20"/>
        </w:rPr>
        <w:t xml:space="preserve">to </w:t>
      </w:r>
      <w:r w:rsidR="00F52B36" w:rsidRPr="008436B6">
        <w:rPr>
          <w:rFonts w:cstheme="minorHAnsi"/>
          <w:szCs w:val="20"/>
        </w:rPr>
        <w:t>20</w:t>
      </w:r>
      <w:r w:rsidR="00A52868" w:rsidRPr="008436B6">
        <w:rPr>
          <w:rFonts w:cstheme="minorHAnsi"/>
          <w:szCs w:val="20"/>
        </w:rPr>
        <w:t>30</w:t>
      </w:r>
      <w:r w:rsidR="00E54903" w:rsidRPr="008436B6">
        <w:rPr>
          <w:rFonts w:cstheme="minorHAnsi"/>
          <w:szCs w:val="20"/>
        </w:rPr>
        <w:t xml:space="preserve">.  </w:t>
      </w:r>
      <w:bookmarkStart w:id="134" w:name="_Hlk33614310"/>
      <w:r w:rsidR="00E54903" w:rsidRPr="008436B6">
        <w:rPr>
          <w:rFonts w:cstheme="minorHAnsi"/>
          <w:szCs w:val="20"/>
        </w:rPr>
        <w:t>We set the amount of spending available each year</w:t>
      </w:r>
      <w:r>
        <w:rPr>
          <w:rFonts w:cstheme="minorHAnsi"/>
          <w:szCs w:val="20"/>
        </w:rPr>
        <w:t xml:space="preserve"> </w:t>
      </w:r>
      <w:r>
        <w:t>of those years with optimized allocations</w:t>
      </w:r>
      <w:r w:rsidR="00E54903" w:rsidRPr="008436B6">
        <w:rPr>
          <w:rFonts w:cstheme="minorHAnsi"/>
          <w:szCs w:val="20"/>
        </w:rPr>
        <w:t xml:space="preserve"> equal to an estimate of average intervention annual spending over that same period required to maintain recent (</w:t>
      </w:r>
      <w:r w:rsidR="00987B64" w:rsidRPr="008436B6">
        <w:rPr>
          <w:rFonts w:cstheme="minorHAnsi"/>
          <w:szCs w:val="20"/>
        </w:rPr>
        <w:t xml:space="preserve">2010 </w:t>
      </w:r>
      <w:r w:rsidR="00E54903" w:rsidRPr="008436B6">
        <w:rPr>
          <w:rFonts w:cstheme="minorHAnsi"/>
          <w:szCs w:val="20"/>
        </w:rPr>
        <w:t xml:space="preserve">to </w:t>
      </w:r>
      <w:r w:rsidR="00987B64" w:rsidRPr="008436B6">
        <w:rPr>
          <w:rFonts w:cstheme="minorHAnsi"/>
          <w:szCs w:val="20"/>
        </w:rPr>
        <w:t>20</w:t>
      </w:r>
      <w:r w:rsidR="00A52868" w:rsidRPr="008436B6">
        <w:rPr>
          <w:rFonts w:cstheme="minorHAnsi"/>
          <w:szCs w:val="20"/>
        </w:rPr>
        <w:t>20</w:t>
      </w:r>
      <w:r w:rsidR="00E54903" w:rsidRPr="008436B6">
        <w:rPr>
          <w:rFonts w:cstheme="minorHAnsi"/>
          <w:szCs w:val="20"/>
        </w:rPr>
        <w:t>) annual movement of PWH along the HIV care continuum</w:t>
      </w:r>
      <w:r>
        <w:rPr>
          <w:rFonts w:cstheme="minorHAnsi"/>
          <w:szCs w:val="20"/>
        </w:rPr>
        <w:t xml:space="preserve">, </w:t>
      </w:r>
      <w:r w:rsidRPr="005A1F41">
        <w:rPr>
          <w:rFonts w:cstheme="minorHAnsi"/>
          <w:szCs w:val="20"/>
        </w:rPr>
        <w:t>plus hypothetical EHE funding increases of $1.5B/year for 2023-2025 (optimized only in scenario 1c), and $2.5B/year for 2026-2030 (optimized in scenarios 1b and 1c)</w:t>
      </w:r>
      <w:r w:rsidR="00E54903" w:rsidRPr="008436B6">
        <w:rPr>
          <w:rFonts w:cstheme="minorHAnsi"/>
          <w:szCs w:val="20"/>
        </w:rPr>
        <w:t xml:space="preserve">.  </w:t>
      </w:r>
      <w:bookmarkEnd w:id="134"/>
      <w:r w:rsidR="00E54903" w:rsidRPr="008436B6">
        <w:rPr>
          <w:rFonts w:cstheme="minorHAnsi"/>
          <w:szCs w:val="20"/>
        </w:rPr>
        <w:t xml:space="preserve">The optimization </w:t>
      </w:r>
      <w:r w:rsidR="00E54903" w:rsidRPr="008436B6">
        <w:rPr>
          <w:rFonts w:cstheme="minorHAnsi"/>
          <w:i/>
          <w:iCs/>
          <w:szCs w:val="20"/>
        </w:rPr>
        <w:t>decision variables</w:t>
      </w:r>
      <w:r w:rsidR="00E54903" w:rsidRPr="008436B6">
        <w:rPr>
          <w:rFonts w:cstheme="minorHAnsi"/>
          <w:szCs w:val="20"/>
        </w:rPr>
        <w:t xml:space="preserve"> were the allocations to each of the interventions, and the </w:t>
      </w:r>
      <w:r w:rsidR="00E54903" w:rsidRPr="008436B6">
        <w:rPr>
          <w:rFonts w:cstheme="minorHAnsi"/>
          <w:i/>
          <w:iCs/>
          <w:szCs w:val="20"/>
        </w:rPr>
        <w:t>objective value</w:t>
      </w:r>
      <w:r w:rsidR="00E54903" w:rsidRPr="008436B6">
        <w:rPr>
          <w:rFonts w:cstheme="minorHAnsi"/>
          <w:szCs w:val="20"/>
        </w:rPr>
        <w:t xml:space="preserve"> was total new HIV infections from </w:t>
      </w:r>
      <w:r w:rsidR="00F52B36" w:rsidRPr="008436B6">
        <w:rPr>
          <w:rFonts w:cstheme="minorHAnsi"/>
          <w:szCs w:val="20"/>
        </w:rPr>
        <w:t>202</w:t>
      </w:r>
      <w:r w:rsidR="00A52868" w:rsidRPr="008436B6">
        <w:rPr>
          <w:rFonts w:cstheme="minorHAnsi"/>
          <w:szCs w:val="20"/>
        </w:rPr>
        <w:t>1</w:t>
      </w:r>
      <w:r w:rsidR="00F52B36" w:rsidRPr="008436B6">
        <w:rPr>
          <w:rFonts w:cstheme="minorHAnsi"/>
          <w:szCs w:val="20"/>
        </w:rPr>
        <w:t xml:space="preserve"> </w:t>
      </w:r>
      <w:r w:rsidR="00E54903" w:rsidRPr="008436B6">
        <w:rPr>
          <w:rFonts w:cstheme="minorHAnsi"/>
          <w:szCs w:val="20"/>
        </w:rPr>
        <w:t xml:space="preserve">to </w:t>
      </w:r>
      <w:r w:rsidR="00F52B36" w:rsidRPr="008436B6">
        <w:rPr>
          <w:rFonts w:cstheme="minorHAnsi"/>
          <w:szCs w:val="20"/>
        </w:rPr>
        <w:t>20</w:t>
      </w:r>
      <w:r w:rsidR="00A52868" w:rsidRPr="008436B6">
        <w:rPr>
          <w:rFonts w:cstheme="minorHAnsi"/>
          <w:szCs w:val="20"/>
        </w:rPr>
        <w:t>30</w:t>
      </w:r>
      <w:r w:rsidR="00E54903" w:rsidRPr="008436B6">
        <w:rPr>
          <w:rFonts w:cstheme="minorHAnsi"/>
          <w:szCs w:val="20"/>
        </w:rPr>
        <w:t>.</w:t>
      </w:r>
    </w:p>
    <w:p w14:paraId="4B600BAE" w14:textId="162D55D7" w:rsidR="00E54903" w:rsidRDefault="00E54903" w:rsidP="005A1F41">
      <w:pPr>
        <w:pStyle w:val="BodyText1"/>
        <w:spacing w:before="0" w:after="160" w:line="320" w:lineRule="exact"/>
        <w:ind w:firstLine="0"/>
        <w:rPr>
          <w:rFonts w:ascii="Verdana" w:hAnsi="Verdana" w:cstheme="minorHAnsi"/>
          <w:sz w:val="20"/>
          <w:szCs w:val="20"/>
        </w:rPr>
      </w:pPr>
      <w:r w:rsidRPr="008436B6">
        <w:rPr>
          <w:rFonts w:ascii="Verdana" w:hAnsi="Verdana" w:cstheme="minorHAnsi"/>
          <w:sz w:val="20"/>
          <w:szCs w:val="20"/>
        </w:rPr>
        <w:t xml:space="preserve">As demonstrated in Figure </w:t>
      </w:r>
      <w:r w:rsidR="00F52B36" w:rsidRPr="008436B6">
        <w:rPr>
          <w:rFonts w:ascii="Verdana" w:hAnsi="Verdana" w:cstheme="minorHAnsi"/>
          <w:sz w:val="20"/>
          <w:szCs w:val="20"/>
        </w:rPr>
        <w:t>8.1</w:t>
      </w:r>
      <w:r w:rsidRPr="008436B6">
        <w:rPr>
          <w:rFonts w:ascii="Verdana" w:hAnsi="Verdana" w:cstheme="minorHAnsi"/>
          <w:sz w:val="20"/>
          <w:szCs w:val="20"/>
        </w:rPr>
        <w:t xml:space="preserve">, the HOPE model </w:t>
      </w:r>
      <w:r w:rsidR="008865E7">
        <w:rPr>
          <w:rFonts w:ascii="Verdana" w:hAnsi="Verdana" w:cstheme="minorHAnsi"/>
          <w:sz w:val="20"/>
          <w:szCs w:val="20"/>
        </w:rPr>
        <w:t>is used</w:t>
      </w:r>
      <w:r w:rsidRPr="008436B6">
        <w:rPr>
          <w:rFonts w:ascii="Verdana" w:hAnsi="Verdana" w:cstheme="minorHAnsi"/>
          <w:sz w:val="20"/>
          <w:szCs w:val="20"/>
        </w:rPr>
        <w:t xml:space="preserve"> to project new infections from </w:t>
      </w:r>
      <w:r w:rsidR="00F52B36" w:rsidRPr="008436B6">
        <w:rPr>
          <w:rFonts w:ascii="Verdana" w:hAnsi="Verdana" w:cstheme="minorHAnsi"/>
          <w:sz w:val="20"/>
          <w:szCs w:val="20"/>
        </w:rPr>
        <w:t>202</w:t>
      </w:r>
      <w:r w:rsidR="00A52868" w:rsidRPr="008436B6">
        <w:rPr>
          <w:rFonts w:ascii="Verdana" w:hAnsi="Verdana" w:cstheme="minorHAnsi"/>
          <w:sz w:val="20"/>
          <w:szCs w:val="20"/>
        </w:rPr>
        <w:t>1</w:t>
      </w:r>
      <w:r w:rsidR="00F52B36" w:rsidRPr="008436B6">
        <w:rPr>
          <w:rFonts w:ascii="Verdana" w:hAnsi="Verdana" w:cstheme="minorHAnsi"/>
          <w:sz w:val="20"/>
          <w:szCs w:val="20"/>
        </w:rPr>
        <w:t xml:space="preserve"> </w:t>
      </w:r>
      <w:r w:rsidRPr="008436B6">
        <w:rPr>
          <w:rFonts w:ascii="Verdana" w:hAnsi="Verdana" w:cstheme="minorHAnsi"/>
          <w:sz w:val="20"/>
          <w:szCs w:val="20"/>
        </w:rPr>
        <w:t xml:space="preserve">to </w:t>
      </w:r>
      <w:r w:rsidR="00F52B36" w:rsidRPr="008436B6">
        <w:rPr>
          <w:rFonts w:ascii="Verdana" w:hAnsi="Verdana" w:cstheme="minorHAnsi"/>
          <w:sz w:val="20"/>
          <w:szCs w:val="20"/>
        </w:rPr>
        <w:t>20</w:t>
      </w:r>
      <w:r w:rsidR="00A52868" w:rsidRPr="008436B6">
        <w:rPr>
          <w:rFonts w:ascii="Verdana" w:hAnsi="Verdana" w:cstheme="minorHAnsi"/>
          <w:sz w:val="20"/>
          <w:szCs w:val="20"/>
        </w:rPr>
        <w:t>30</w:t>
      </w:r>
      <w:r w:rsidRPr="008436B6">
        <w:rPr>
          <w:rFonts w:ascii="Verdana" w:hAnsi="Verdana" w:cstheme="minorHAnsi"/>
          <w:sz w:val="20"/>
          <w:szCs w:val="20"/>
        </w:rPr>
        <w:t>, given</w:t>
      </w:r>
      <w:r w:rsidR="008865E7">
        <w:rPr>
          <w:rFonts w:ascii="Verdana" w:hAnsi="Verdana" w:cstheme="minorHAnsi"/>
          <w:sz w:val="20"/>
          <w:szCs w:val="20"/>
        </w:rPr>
        <w:t xml:space="preserve"> specified </w:t>
      </w:r>
      <w:r w:rsidRPr="008436B6">
        <w:rPr>
          <w:rFonts w:ascii="Verdana" w:hAnsi="Verdana" w:cstheme="minorHAnsi"/>
          <w:sz w:val="20"/>
          <w:szCs w:val="20"/>
        </w:rPr>
        <w:t xml:space="preserve">annual allocations of funds to each intervention.  </w:t>
      </w:r>
      <w:r w:rsidR="005A1F41" w:rsidRPr="005A1F41">
        <w:rPr>
          <w:rFonts w:ascii="Verdana" w:hAnsi="Verdana" w:cstheme="minorHAnsi"/>
          <w:sz w:val="20"/>
          <w:szCs w:val="20"/>
        </w:rPr>
        <w:t>For the current funding scenario, we assumed continuation of current level and annual distribution of funds over that period. For scenarios 1a to 1c, we assumed hypothetical EHE funding increases over the current funding levels of $500M/year for 2021-2022, $1.5B/year for 2023-2025, and $2.5B/year for 2026-2030. For scenario 1a, we assumed a continuation of the current relative distribution of funds for the entire period. For scenario 1b, we assumed a continuation of the current relative distribution of funds until 2025, then applied allocations in 2026 to 2031that had been optimized to minimize infections. For scenario 1c, we assumed a continuation of the current relative distribution of funds only through 2022, then applied allocations in 2023 to 2031 that had been optimized</w:t>
      </w:r>
      <w:r w:rsidR="005A1F41">
        <w:rPr>
          <w:rFonts w:ascii="Verdana" w:hAnsi="Verdana" w:cstheme="minorHAnsi"/>
          <w:sz w:val="20"/>
          <w:szCs w:val="20"/>
        </w:rPr>
        <w:t>.</w:t>
      </w:r>
      <w:r w:rsidRPr="008436B6">
        <w:rPr>
          <w:rFonts w:ascii="Verdana" w:hAnsi="Verdana" w:cstheme="minorHAnsi"/>
          <w:sz w:val="20"/>
          <w:szCs w:val="20"/>
        </w:rPr>
        <w:t xml:space="preserve">  </w:t>
      </w:r>
    </w:p>
    <w:p w14:paraId="6BB38F31" w14:textId="45DEB041" w:rsidR="00627442" w:rsidRPr="00C00335" w:rsidRDefault="00627442" w:rsidP="00627442">
      <w:pPr>
        <w:pStyle w:val="FigureTitle"/>
        <w:ind w:left="1530"/>
      </w:pPr>
      <w:bookmarkStart w:id="135" w:name="_Toc89257581"/>
      <w:r w:rsidRPr="00C00335">
        <w:lastRenderedPageBreak/>
        <w:t xml:space="preserve">Figure </w:t>
      </w:r>
      <w:r>
        <w:t>8</w:t>
      </w:r>
      <w:r w:rsidRPr="00C00335">
        <w:t>.1.</w:t>
      </w:r>
      <w:r w:rsidRPr="00C00335">
        <w:tab/>
      </w:r>
      <w:r w:rsidRPr="000C15F8">
        <w:t>Model Flow Diagram between Compartments due to HIV Infection, Progression along the Care Continuum, Progression of HIV, and Death</w:t>
      </w:r>
      <w:bookmarkEnd w:id="135"/>
    </w:p>
    <w:p w14:paraId="703DB93C" w14:textId="53251787" w:rsidR="00E54903" w:rsidRDefault="005D4A77" w:rsidP="00627442">
      <w:pPr>
        <w:pStyle w:val="BodyText1"/>
        <w:ind w:firstLine="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69E9A2FE" wp14:editId="46BCB8FF">
                <wp:simplePos x="0" y="0"/>
                <wp:positionH relativeFrom="column">
                  <wp:posOffset>2333625</wp:posOffset>
                </wp:positionH>
                <wp:positionV relativeFrom="paragraph">
                  <wp:posOffset>222885</wp:posOffset>
                </wp:positionV>
                <wp:extent cx="1238250" cy="87630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1238250" cy="876300"/>
                        </a:xfrm>
                        <a:prstGeom prst="rect">
                          <a:avLst/>
                        </a:prstGeom>
                        <a:solidFill>
                          <a:schemeClr val="lt1"/>
                        </a:solidFill>
                        <a:ln w="19050">
                          <a:noFill/>
                        </a:ln>
                      </wps:spPr>
                      <wps:txbx>
                        <w:txbxContent>
                          <w:p w14:paraId="35CC042C" w14:textId="77777777" w:rsidR="002A6683" w:rsidRPr="000F1A8B" w:rsidRDefault="002A6683" w:rsidP="00E54903">
                            <w:pPr>
                              <w:jc w:val="center"/>
                              <w:rPr>
                                <w:b/>
                                <w:bCs/>
                                <w:sz w:val="24"/>
                                <w:szCs w:val="24"/>
                              </w:rPr>
                            </w:pPr>
                            <w:r w:rsidRPr="000F1A8B">
                              <w:rPr>
                                <w:b/>
                                <w:bCs/>
                                <w:sz w:val="24"/>
                                <w:szCs w:val="24"/>
                              </w:rPr>
                              <w:t>HOPE model epidemic calculations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9A2FE" id="_x0000_t202" coordsize="21600,21600" o:spt="202" path="m,l,21600r21600,l21600,xe">
                <v:stroke joinstyle="miter"/>
                <v:path gradientshapeok="t" o:connecttype="rect"/>
              </v:shapetype>
              <v:shape id="Text Box 4" o:spid="_x0000_s1026" type="#_x0000_t202" style="position:absolute;margin-left:183.75pt;margin-top:17.55pt;width:97.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" fillcolor="white [3201]" stroked="f" strokeweight="1.5pt">
                <v:textbox>
                  <w:txbxContent>
                    <w:p w14:paraId="35CC042C" w14:textId="77777777" w:rsidR="002A6683" w:rsidRPr="000F1A8B" w:rsidRDefault="002A6683" w:rsidP="00E54903">
                      <w:pPr>
                        <w:jc w:val="center"/>
                        <w:rPr>
                          <w:b/>
                          <w:bCs/>
                          <w:sz w:val="24"/>
                          <w:szCs w:val="24"/>
                        </w:rPr>
                      </w:pPr>
                      <w:r w:rsidRPr="000F1A8B">
                        <w:rPr>
                          <w:b/>
                          <w:bCs/>
                          <w:sz w:val="24"/>
                          <w:szCs w:val="24"/>
                        </w:rPr>
                        <w:t>HOPE model epidemic calculations</w:t>
                      </w:r>
                    </w:p>
                  </w:txbxContent>
                </v:textbox>
                <w10:wrap type="topAndBottom"/>
              </v:shape>
            </w:pict>
          </mc:Fallback>
        </mc:AlternateContent>
      </w:r>
      <w:r w:rsidR="00E54903">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79C97460" wp14:editId="09E5A136">
                <wp:simplePos x="0" y="0"/>
                <wp:positionH relativeFrom="column">
                  <wp:posOffset>2209800</wp:posOffset>
                </wp:positionH>
                <wp:positionV relativeFrom="paragraph">
                  <wp:posOffset>172085</wp:posOffset>
                </wp:positionV>
                <wp:extent cx="1466850" cy="933450"/>
                <wp:effectExtent l="0" t="0" r="19050" b="19050"/>
                <wp:wrapTopAndBottom/>
                <wp:docPr id="9" name="Frame 9"/>
                <wp:cNvGraphicFramePr/>
                <a:graphic xmlns:a="http://schemas.openxmlformats.org/drawingml/2006/main">
                  <a:graphicData uri="http://schemas.microsoft.com/office/word/2010/wordprocessingShape">
                    <wps:wsp>
                      <wps:cNvSpPr/>
                      <wps:spPr>
                        <a:xfrm>
                          <a:off x="0" y="0"/>
                          <a:ext cx="1466850" cy="9334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9448E" id="Frame 9" o:spid="_x0000_s1026" style="position:absolute;margin-left:174pt;margin-top:13.55pt;width:115.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6850,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" path="m,l1466850,r,933450l,933450,,xm116681,116681r,700088l1350169,816769r,-700088l116681,116681xe" fillcolor="black [3213]" strokecolor="black [3213]" strokeweight="2pt">
                <v:path arrowok="t" o:connecttype="custom" o:connectlocs="0,0;1466850,0;1466850,933450;0,933450;0,0;116681,116681;116681,816769;1350169,816769;1350169,116681;116681,116681" o:connectangles="0,0,0,0,0,0,0,0,0,0"/>
                <w10:wrap type="topAndBottom"/>
              </v:shape>
            </w:pict>
          </mc:Fallback>
        </mc:AlternateContent>
      </w:r>
      <w:r w:rsidR="00E54903">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160C6CF2" wp14:editId="6186DC33">
                <wp:simplePos x="0" y="0"/>
                <wp:positionH relativeFrom="column">
                  <wp:posOffset>981075</wp:posOffset>
                </wp:positionH>
                <wp:positionV relativeFrom="paragraph">
                  <wp:posOffset>2373630</wp:posOffset>
                </wp:positionV>
                <wp:extent cx="3790950" cy="933450"/>
                <wp:effectExtent l="0" t="19050" r="19050" b="19050"/>
                <wp:wrapNone/>
                <wp:docPr id="12" name="Arrow: Curved Down 12"/>
                <wp:cNvGraphicFramePr/>
                <a:graphic xmlns:a="http://schemas.openxmlformats.org/drawingml/2006/main">
                  <a:graphicData uri="http://schemas.microsoft.com/office/word/2010/wordprocessingShape">
                    <wps:wsp>
                      <wps:cNvSpPr/>
                      <wps:spPr>
                        <a:xfrm flipH="1" flipV="1">
                          <a:off x="0" y="0"/>
                          <a:ext cx="3790950" cy="933450"/>
                        </a:xfrm>
                        <a:prstGeom prst="curved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42278"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2" o:spid="_x0000_s1026" type="#_x0000_t105" style="position:absolute;margin-left:77.25pt;margin-top:186.9pt;width:298.5pt;height:73.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" adj="18941,20935,16200" fillcolor="black [3213]" strokecolor="black [3213]" strokeweight="2pt"/>
            </w:pict>
          </mc:Fallback>
        </mc:AlternateContent>
      </w:r>
      <w:r w:rsidR="00E54903" w:rsidRPr="00115733">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501AB45A" wp14:editId="2B85CBEB">
                <wp:simplePos x="0" y="0"/>
                <wp:positionH relativeFrom="column">
                  <wp:posOffset>3876675</wp:posOffset>
                </wp:positionH>
                <wp:positionV relativeFrom="paragraph">
                  <wp:posOffset>1411605</wp:posOffset>
                </wp:positionV>
                <wp:extent cx="1552575" cy="962025"/>
                <wp:effectExtent l="0" t="0" r="28575" b="28575"/>
                <wp:wrapTopAndBottom/>
                <wp:docPr id="6" name="Text Box 6"/>
                <wp:cNvGraphicFramePr/>
                <a:graphic xmlns:a="http://schemas.openxmlformats.org/drawingml/2006/main">
                  <a:graphicData uri="http://schemas.microsoft.com/office/word/2010/wordprocessingShape">
                    <wps:wsp>
                      <wps:cNvSpPr txBox="1"/>
                      <wps:spPr>
                        <a:xfrm>
                          <a:off x="0" y="0"/>
                          <a:ext cx="1552575" cy="962025"/>
                        </a:xfrm>
                        <a:prstGeom prst="rect">
                          <a:avLst/>
                        </a:prstGeom>
                        <a:solidFill>
                          <a:schemeClr val="lt1"/>
                        </a:solidFill>
                        <a:ln w="19050">
                          <a:solidFill>
                            <a:srgbClr val="000000"/>
                          </a:solidFill>
                        </a:ln>
                      </wps:spPr>
                      <wps:txbx>
                        <w:txbxContent>
                          <w:p w14:paraId="2D87316B" w14:textId="7A09BB0B" w:rsidR="002A6683" w:rsidRPr="009933C9" w:rsidRDefault="002A6683" w:rsidP="00E54903">
                            <w:pPr>
                              <w:jc w:val="center"/>
                              <w:rPr>
                                <w:b/>
                                <w:bCs/>
                                <w:sz w:val="16"/>
                                <w:szCs w:val="18"/>
                              </w:rPr>
                            </w:pPr>
                            <w:r w:rsidRPr="009933C9">
                              <w:rPr>
                                <w:b/>
                                <w:bCs/>
                                <w:sz w:val="16"/>
                                <w:szCs w:val="18"/>
                              </w:rPr>
                              <w:t>Total infections in time period 3 (resource allocation model objective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AB45A" id="Text Box 6" o:spid="_x0000_s1027" type="#_x0000_t202" style="position:absolute;margin-left:305.25pt;margin-top:111.15pt;width:122.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" fillcolor="white [3201]" strokeweight="1.5pt">
                <v:textbox>
                  <w:txbxContent>
                    <w:p w14:paraId="2D87316B" w14:textId="7A09BB0B" w:rsidR="002A6683" w:rsidRPr="009933C9" w:rsidRDefault="002A6683" w:rsidP="00E54903">
                      <w:pPr>
                        <w:jc w:val="center"/>
                        <w:rPr>
                          <w:b/>
                          <w:bCs/>
                          <w:sz w:val="16"/>
                          <w:szCs w:val="18"/>
                        </w:rPr>
                      </w:pPr>
                      <w:r w:rsidRPr="009933C9">
                        <w:rPr>
                          <w:b/>
                          <w:bCs/>
                          <w:sz w:val="16"/>
                          <w:szCs w:val="18"/>
                        </w:rPr>
                        <w:t>Total infections in time period 3 (resource allocation model objective value)</w:t>
                      </w:r>
                    </w:p>
                  </w:txbxContent>
                </v:textbox>
                <w10:wrap type="topAndBottom"/>
              </v:shape>
            </w:pict>
          </mc:Fallback>
        </mc:AlternateContent>
      </w:r>
      <w:r w:rsidR="00E54903">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46ECCD70" wp14:editId="05921E14">
                <wp:simplePos x="0" y="0"/>
                <wp:positionH relativeFrom="column">
                  <wp:posOffset>1114425</wp:posOffset>
                </wp:positionH>
                <wp:positionV relativeFrom="paragraph">
                  <wp:posOffset>446405</wp:posOffset>
                </wp:positionV>
                <wp:extent cx="3790950" cy="933450"/>
                <wp:effectExtent l="0" t="0" r="0" b="38100"/>
                <wp:wrapNone/>
                <wp:docPr id="16" name="Arrow: Curved Down 16"/>
                <wp:cNvGraphicFramePr/>
                <a:graphic xmlns:a="http://schemas.openxmlformats.org/drawingml/2006/main">
                  <a:graphicData uri="http://schemas.microsoft.com/office/word/2010/wordprocessingShape">
                    <wps:wsp>
                      <wps:cNvSpPr/>
                      <wps:spPr>
                        <a:xfrm>
                          <a:off x="0" y="0"/>
                          <a:ext cx="3790950" cy="933450"/>
                        </a:xfrm>
                        <a:prstGeom prst="curved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34208" id="Arrow: Curved Down 16" o:spid="_x0000_s1026" type="#_x0000_t105" style="position:absolute;margin-left:87.75pt;margin-top:35.15pt;width:298.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" adj="18941,20935,16200" fillcolor="black [3213]" strokecolor="black [3213]" strokeweight="2pt"/>
            </w:pict>
          </mc:Fallback>
        </mc:AlternateContent>
      </w:r>
    </w:p>
    <w:p w14:paraId="0AF8230B" w14:textId="38B09C66" w:rsidR="00E54903" w:rsidRDefault="00E54903" w:rsidP="00E54903">
      <w:pPr>
        <w:pStyle w:val="BodyText1"/>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51989751" wp14:editId="56821508">
                <wp:simplePos x="0" y="0"/>
                <wp:positionH relativeFrom="margin">
                  <wp:posOffset>168910</wp:posOffset>
                </wp:positionH>
                <wp:positionV relativeFrom="paragraph">
                  <wp:posOffset>1333500</wp:posOffset>
                </wp:positionV>
                <wp:extent cx="2028825" cy="90487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2028825" cy="904875"/>
                        </a:xfrm>
                        <a:prstGeom prst="rect">
                          <a:avLst/>
                        </a:prstGeom>
                        <a:noFill/>
                        <a:ln w="19050">
                          <a:noFill/>
                        </a:ln>
                      </wps:spPr>
                      <wps:txbx>
                        <w:txbxContent>
                          <w:p w14:paraId="367FA72B" w14:textId="1AC2AFAE" w:rsidR="002A6683" w:rsidRPr="009933C9" w:rsidRDefault="002A6683" w:rsidP="00E54903">
                            <w:pPr>
                              <w:jc w:val="center"/>
                              <w:rPr>
                                <w:b/>
                                <w:bCs/>
                                <w:sz w:val="16"/>
                                <w:szCs w:val="18"/>
                              </w:rPr>
                            </w:pPr>
                            <w:r w:rsidRPr="009933C9">
                              <w:rPr>
                                <w:b/>
                                <w:bCs/>
                                <w:sz w:val="16"/>
                                <w:szCs w:val="18"/>
                              </w:rPr>
                              <w:t>Annual allocation of funding across 14 interventions in time</w:t>
                            </w:r>
                            <w:r>
                              <w:rPr>
                                <w:b/>
                                <w:bCs/>
                                <w:sz w:val="16"/>
                                <w:szCs w:val="18"/>
                              </w:rPr>
                              <w:t xml:space="preserve"> </w:t>
                            </w:r>
                            <w:r w:rsidRPr="009933C9">
                              <w:rPr>
                                <w:b/>
                                <w:bCs/>
                                <w:sz w:val="16"/>
                                <w:szCs w:val="18"/>
                              </w:rPr>
                              <w:t>period 3 (resource allocation model decision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9751" id="Text Box 3" o:spid="_x0000_s1028" type="#_x0000_t202" style="position:absolute;left:0;text-align:left;margin-left:13.3pt;margin-top:105pt;width:159.75pt;height:7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" filled="f" stroked="f" strokeweight="1.5pt">
                <v:textbox>
                  <w:txbxContent>
                    <w:p w14:paraId="367FA72B" w14:textId="1AC2AFAE" w:rsidR="002A6683" w:rsidRPr="009933C9" w:rsidRDefault="002A6683" w:rsidP="00E54903">
                      <w:pPr>
                        <w:jc w:val="center"/>
                        <w:rPr>
                          <w:b/>
                          <w:bCs/>
                          <w:sz w:val="16"/>
                          <w:szCs w:val="18"/>
                        </w:rPr>
                      </w:pPr>
                      <w:r w:rsidRPr="009933C9">
                        <w:rPr>
                          <w:b/>
                          <w:bCs/>
                          <w:sz w:val="16"/>
                          <w:szCs w:val="18"/>
                        </w:rPr>
                        <w:t>Annual allocation of funding across 14 interventions in time</w:t>
                      </w:r>
                      <w:r>
                        <w:rPr>
                          <w:b/>
                          <w:bCs/>
                          <w:sz w:val="16"/>
                          <w:szCs w:val="18"/>
                        </w:rPr>
                        <w:t xml:space="preserve"> </w:t>
                      </w:r>
                      <w:r w:rsidRPr="009933C9">
                        <w:rPr>
                          <w:b/>
                          <w:bCs/>
                          <w:sz w:val="16"/>
                          <w:szCs w:val="18"/>
                        </w:rPr>
                        <w:t>period 3 (resource allocation model decision variables)</w:t>
                      </w:r>
                    </w:p>
                  </w:txbxContent>
                </v:textbox>
                <w10:wrap type="topAndBottom" anchorx="margin"/>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BF0E422" wp14:editId="336CB376">
                <wp:simplePos x="0" y="0"/>
                <wp:positionH relativeFrom="column">
                  <wp:posOffset>57150</wp:posOffset>
                </wp:positionH>
                <wp:positionV relativeFrom="paragraph">
                  <wp:posOffset>1126490</wp:posOffset>
                </wp:positionV>
                <wp:extent cx="2200275" cy="1000125"/>
                <wp:effectExtent l="0" t="0" r="28575" b="28575"/>
                <wp:wrapTopAndBottom/>
                <wp:docPr id="17" name="Oval 17"/>
                <wp:cNvGraphicFramePr/>
                <a:graphic xmlns:a="http://schemas.openxmlformats.org/drawingml/2006/main">
                  <a:graphicData uri="http://schemas.microsoft.com/office/word/2010/wordprocessingShape">
                    <wps:wsp>
                      <wps:cNvSpPr/>
                      <wps:spPr>
                        <a:xfrm>
                          <a:off x="0" y="0"/>
                          <a:ext cx="2200275" cy="100012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E87ACD" id="Oval 17" o:spid="_x0000_s1026" style="position:absolute;margin-left:4.5pt;margin-top:88.7pt;width:173.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" fillcolor="white [3212]" strokecolor="black [3213]" strokeweight="1.5pt">
                <w10:wrap type="topAndBottom"/>
              </v:oval>
            </w:pict>
          </mc:Fallback>
        </mc:AlternateContent>
      </w:r>
      <w:r w:rsidRPr="00D71C45">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6C2D77CD" wp14:editId="2759EDAF">
                <wp:simplePos x="0" y="0"/>
                <wp:positionH relativeFrom="column">
                  <wp:posOffset>2238375</wp:posOffset>
                </wp:positionH>
                <wp:positionV relativeFrom="paragraph">
                  <wp:posOffset>2488565</wp:posOffset>
                </wp:positionV>
                <wp:extent cx="1476375" cy="933450"/>
                <wp:effectExtent l="0" t="0" r="28575" b="19050"/>
                <wp:wrapNone/>
                <wp:docPr id="15" name="Frame 15"/>
                <wp:cNvGraphicFramePr/>
                <a:graphic xmlns:a="http://schemas.openxmlformats.org/drawingml/2006/main">
                  <a:graphicData uri="http://schemas.microsoft.com/office/word/2010/wordprocessingShape">
                    <wps:wsp>
                      <wps:cNvSpPr/>
                      <wps:spPr>
                        <a:xfrm>
                          <a:off x="0" y="0"/>
                          <a:ext cx="1476375" cy="9334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78B9D" id="Frame 15" o:spid="_x0000_s1026" style="position:absolute;margin-left:176.25pt;margin-top:195.95pt;width:116.2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76375,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" path="m,l1476375,r,933450l,933450,,xm116681,116681r,700088l1359694,816769r,-700088l116681,116681xe" fillcolor="black [3213]" strokecolor="black [3213]" strokeweight="2pt">
                <v:path arrowok="t" o:connecttype="custom" o:connectlocs="0,0;1476375,0;1476375,933450;0,933450;0,0;116681,116681;116681,816769;1359694,816769;1359694,116681;116681,116681" o:connectangles="0,0,0,0,0,0,0,0,0,0"/>
              </v:shape>
            </w:pict>
          </mc:Fallback>
        </mc:AlternateContent>
      </w:r>
    </w:p>
    <w:p w14:paraId="6C65145E" w14:textId="6A6CD88F" w:rsidR="00E54903" w:rsidRDefault="005D4A77" w:rsidP="00E54903">
      <w:pPr>
        <w:pStyle w:val="BodyText1"/>
        <w:rPr>
          <w:rFonts w:asciiTheme="minorHAnsi" w:hAnsiTheme="minorHAnsi" w:cstheme="minorHAnsi"/>
          <w:sz w:val="22"/>
          <w:szCs w:val="22"/>
        </w:rPr>
      </w:pPr>
      <w:r w:rsidRPr="00D71C45">
        <w:rPr>
          <w:rFonts w:asciiTheme="minorHAnsi" w:hAnsiTheme="minorHAnsi" w:cstheme="minorHAnsi"/>
          <w:noProof/>
          <w:sz w:val="22"/>
          <w:szCs w:val="22"/>
        </w:rPr>
        <mc:AlternateContent>
          <mc:Choice Requires="wps">
            <w:drawing>
              <wp:anchor distT="0" distB="0" distL="114300" distR="114300" simplePos="0" relativeHeight="251665919" behindDoc="0" locked="0" layoutInCell="1" allowOverlap="1" wp14:anchorId="13EAFDEF" wp14:editId="3CD4A9A8">
                <wp:simplePos x="0" y="0"/>
                <wp:positionH relativeFrom="margin">
                  <wp:posOffset>2381250</wp:posOffset>
                </wp:positionH>
                <wp:positionV relativeFrom="paragraph">
                  <wp:posOffset>1518285</wp:posOffset>
                </wp:positionV>
                <wp:extent cx="1219200" cy="647700"/>
                <wp:effectExtent l="0" t="0" r="0" b="0"/>
                <wp:wrapTopAndBottom/>
                <wp:docPr id="14" name="Text Box 14"/>
                <wp:cNvGraphicFramePr/>
                <a:graphic xmlns:a="http://schemas.openxmlformats.org/drawingml/2006/main">
                  <a:graphicData uri="http://schemas.microsoft.com/office/word/2010/wordprocessingShape">
                    <wps:wsp>
                      <wps:cNvSpPr txBox="1"/>
                      <wps:spPr>
                        <a:xfrm>
                          <a:off x="0" y="0"/>
                          <a:ext cx="1219200" cy="647700"/>
                        </a:xfrm>
                        <a:prstGeom prst="rect">
                          <a:avLst/>
                        </a:prstGeom>
                        <a:solidFill>
                          <a:schemeClr val="lt1"/>
                        </a:solidFill>
                        <a:ln w="19050">
                          <a:noFill/>
                        </a:ln>
                      </wps:spPr>
                      <wps:txbx>
                        <w:txbxContent>
                          <w:p w14:paraId="6EC8EF09" w14:textId="3A031FA8" w:rsidR="002A6683" w:rsidRPr="000F1A8B" w:rsidRDefault="002A6683" w:rsidP="00E54903">
                            <w:pPr>
                              <w:jc w:val="center"/>
                              <w:rPr>
                                <w:b/>
                                <w:bCs/>
                                <w:sz w:val="24"/>
                                <w:szCs w:val="24"/>
                              </w:rPr>
                            </w:pPr>
                            <w:r w:rsidRPr="000F1A8B">
                              <w:rPr>
                                <w:b/>
                                <w:bCs/>
                                <w:sz w:val="24"/>
                                <w:szCs w:val="24"/>
                              </w:rPr>
                              <w:t xml:space="preserve">Resource allocation model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AFDEF" id="Text Box 14" o:spid="_x0000_s1029" type="#_x0000_t202" style="position:absolute;left:0;text-align:left;margin-left:187.5pt;margin-top:119.55pt;width:96pt;height:51pt;z-index:2516659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" fillcolor="white [3201]" stroked="f" strokeweight="1.5pt">
                <v:textbox>
                  <w:txbxContent>
                    <w:p w14:paraId="6EC8EF09" w14:textId="3A031FA8" w:rsidR="002A6683" w:rsidRPr="000F1A8B" w:rsidRDefault="002A6683" w:rsidP="00E54903">
                      <w:pPr>
                        <w:jc w:val="center"/>
                        <w:rPr>
                          <w:b/>
                          <w:bCs/>
                          <w:sz w:val="24"/>
                          <w:szCs w:val="24"/>
                        </w:rPr>
                      </w:pPr>
                      <w:r w:rsidRPr="000F1A8B">
                        <w:rPr>
                          <w:b/>
                          <w:bCs/>
                          <w:sz w:val="24"/>
                          <w:szCs w:val="24"/>
                        </w:rPr>
                        <w:t xml:space="preserve">Resource allocation model </w:t>
                      </w:r>
                    </w:p>
                  </w:txbxContent>
                </v:textbox>
                <w10:wrap type="topAndBottom" anchorx="margin"/>
              </v:shape>
            </w:pict>
          </mc:Fallback>
        </mc:AlternateContent>
      </w:r>
    </w:p>
    <w:p w14:paraId="7CCB3CE7" w14:textId="69DF373E" w:rsidR="00E54903" w:rsidRDefault="00E54903" w:rsidP="00E54903">
      <w:pPr>
        <w:pStyle w:val="BodyText1"/>
        <w:rPr>
          <w:rFonts w:asciiTheme="minorHAnsi" w:hAnsiTheme="minorHAnsi" w:cstheme="minorHAnsi"/>
          <w:sz w:val="22"/>
          <w:szCs w:val="22"/>
        </w:rPr>
      </w:pPr>
    </w:p>
    <w:p w14:paraId="1BEC5358" w14:textId="33BB0278" w:rsidR="00E54903" w:rsidRDefault="00E54903" w:rsidP="00E54903">
      <w:pPr>
        <w:pStyle w:val="BodyText1"/>
        <w:rPr>
          <w:rFonts w:asciiTheme="minorHAnsi" w:hAnsiTheme="minorHAnsi" w:cstheme="minorHAnsi"/>
          <w:sz w:val="22"/>
          <w:szCs w:val="22"/>
        </w:rPr>
      </w:pPr>
    </w:p>
    <w:p w14:paraId="54462053" w14:textId="181BD952" w:rsidR="00E54903" w:rsidRPr="00DE6416" w:rsidRDefault="00E54903" w:rsidP="00E54903">
      <w:pPr>
        <w:pStyle w:val="BodyText1"/>
        <w:rPr>
          <w:rFonts w:ascii="Verdana" w:hAnsi="Verdana" w:cstheme="minorHAnsi"/>
          <w:sz w:val="20"/>
          <w:szCs w:val="20"/>
        </w:rPr>
      </w:pPr>
      <w:r w:rsidRPr="00DE6416">
        <w:rPr>
          <w:rFonts w:ascii="Verdana" w:hAnsi="Verdana" w:cstheme="minorHAnsi"/>
          <w:sz w:val="20"/>
          <w:szCs w:val="20"/>
        </w:rPr>
        <w:t xml:space="preserve"> The following key assumptions and methods </w:t>
      </w:r>
      <w:r w:rsidR="00BC0EA2">
        <w:rPr>
          <w:rFonts w:ascii="Verdana" w:hAnsi="Verdana" w:cstheme="minorHAnsi"/>
          <w:sz w:val="20"/>
          <w:szCs w:val="20"/>
        </w:rPr>
        <w:t>are</w:t>
      </w:r>
      <w:r w:rsidRPr="00DE6416">
        <w:rPr>
          <w:rFonts w:ascii="Verdana" w:hAnsi="Verdana" w:cstheme="minorHAnsi"/>
          <w:sz w:val="20"/>
          <w:szCs w:val="20"/>
        </w:rPr>
        <w:t xml:space="preserve"> applied in </w:t>
      </w:r>
      <w:r w:rsidR="00BC0EA2">
        <w:rPr>
          <w:rFonts w:ascii="Verdana" w:hAnsi="Verdana" w:cstheme="minorHAnsi"/>
          <w:sz w:val="20"/>
          <w:szCs w:val="20"/>
        </w:rPr>
        <w:t>the RA model</w:t>
      </w:r>
      <w:r w:rsidRPr="00DE6416">
        <w:rPr>
          <w:rFonts w:ascii="Verdana" w:hAnsi="Verdana" w:cstheme="minorHAnsi"/>
          <w:sz w:val="20"/>
          <w:szCs w:val="20"/>
        </w:rPr>
        <w:t xml:space="preserve">:  </w:t>
      </w:r>
    </w:p>
    <w:p w14:paraId="2152E353" w14:textId="745D4173" w:rsidR="00E54903" w:rsidRPr="00DE6416" w:rsidRDefault="00BC0EA2" w:rsidP="00B12126">
      <w:pPr>
        <w:pStyle w:val="BodyText1"/>
        <w:numPr>
          <w:ilvl w:val="0"/>
          <w:numId w:val="28"/>
        </w:numPr>
        <w:spacing w:before="0" w:after="160" w:line="320" w:lineRule="exact"/>
        <w:rPr>
          <w:rFonts w:ascii="Verdana" w:hAnsi="Verdana" w:cstheme="minorHAnsi"/>
          <w:sz w:val="20"/>
          <w:szCs w:val="20"/>
        </w:rPr>
      </w:pPr>
      <w:r>
        <w:rPr>
          <w:rFonts w:ascii="Verdana" w:hAnsi="Verdana" w:cstheme="minorHAnsi"/>
          <w:sz w:val="20"/>
          <w:szCs w:val="20"/>
        </w:rPr>
        <w:t>When optimizing funding given a budget, the t</w:t>
      </w:r>
      <w:r w:rsidR="00E54903" w:rsidRPr="00DE6416">
        <w:rPr>
          <w:rFonts w:ascii="Verdana" w:hAnsi="Verdana" w:cstheme="minorHAnsi"/>
          <w:sz w:val="20"/>
          <w:szCs w:val="20"/>
        </w:rPr>
        <w:t xml:space="preserve">otal annual funding amounts available </w:t>
      </w:r>
      <w:r w:rsidR="005A1F41" w:rsidRPr="005A1F41">
        <w:rPr>
          <w:rFonts w:ascii="Verdana" w:hAnsi="Verdana" w:cstheme="minorHAnsi"/>
          <w:sz w:val="20"/>
          <w:szCs w:val="20"/>
        </w:rPr>
        <w:t>within each of the periods 2021-2022, 2023-2025, and 2026-2030</w:t>
      </w:r>
      <w:r w:rsidR="005A1F41">
        <w:rPr>
          <w:rFonts w:ascii="Verdana" w:hAnsi="Verdana" w:cstheme="minorHAnsi"/>
          <w:sz w:val="20"/>
          <w:szCs w:val="20"/>
        </w:rPr>
        <w:t xml:space="preserve"> </w:t>
      </w:r>
      <w:r>
        <w:rPr>
          <w:rFonts w:ascii="Verdana" w:hAnsi="Verdana" w:cstheme="minorHAnsi"/>
          <w:sz w:val="20"/>
          <w:szCs w:val="20"/>
        </w:rPr>
        <w:t>are</w:t>
      </w:r>
      <w:r w:rsidR="00E54903" w:rsidRPr="00DE6416">
        <w:rPr>
          <w:rFonts w:ascii="Verdana" w:hAnsi="Verdana" w:cstheme="minorHAnsi"/>
          <w:sz w:val="20"/>
          <w:szCs w:val="20"/>
        </w:rPr>
        <w:t xml:space="preserve"> the same each year.  They equal estimated current annual funding of HIV care-continuum, </w:t>
      </w:r>
      <w:proofErr w:type="spellStart"/>
      <w:r w:rsidR="00E54903" w:rsidRPr="00DE6416">
        <w:rPr>
          <w:rFonts w:ascii="Verdana" w:hAnsi="Verdana" w:cstheme="minorHAnsi"/>
          <w:sz w:val="20"/>
          <w:szCs w:val="20"/>
        </w:rPr>
        <w:t>PrEP</w:t>
      </w:r>
      <w:proofErr w:type="spellEnd"/>
      <w:r w:rsidR="00E54903" w:rsidRPr="00DE6416">
        <w:rPr>
          <w:rFonts w:ascii="Verdana" w:hAnsi="Verdana" w:cstheme="minorHAnsi"/>
          <w:sz w:val="20"/>
          <w:szCs w:val="20"/>
        </w:rPr>
        <w:t xml:space="preserve">, and SSP interventions.  </w:t>
      </w:r>
    </w:p>
    <w:p w14:paraId="03E7B276" w14:textId="6213F5C7" w:rsidR="00E54903" w:rsidRPr="00DE6416" w:rsidRDefault="00E54903" w:rsidP="00B12126">
      <w:pPr>
        <w:pStyle w:val="BodyText1"/>
        <w:numPr>
          <w:ilvl w:val="0"/>
          <w:numId w:val="28"/>
        </w:numPr>
        <w:spacing w:before="0" w:after="160" w:line="320" w:lineRule="exact"/>
        <w:rPr>
          <w:rFonts w:ascii="Verdana" w:hAnsi="Verdana" w:cstheme="minorHAnsi"/>
          <w:sz w:val="20"/>
          <w:szCs w:val="20"/>
        </w:rPr>
      </w:pPr>
      <w:r w:rsidRPr="00DE6416">
        <w:rPr>
          <w:rFonts w:ascii="Verdana" w:hAnsi="Verdana" w:cstheme="minorHAnsi"/>
          <w:sz w:val="20"/>
          <w:szCs w:val="20"/>
        </w:rPr>
        <w:t xml:space="preserve">For each optimized scenario, we </w:t>
      </w:r>
      <w:r w:rsidR="00BC0EA2">
        <w:rPr>
          <w:rFonts w:ascii="Verdana" w:hAnsi="Verdana" w:cstheme="minorHAnsi"/>
          <w:sz w:val="20"/>
          <w:szCs w:val="20"/>
        </w:rPr>
        <w:t>divide</w:t>
      </w:r>
      <w:r w:rsidRPr="00DE6416">
        <w:rPr>
          <w:rFonts w:ascii="Verdana" w:hAnsi="Verdana" w:cstheme="minorHAnsi"/>
          <w:sz w:val="20"/>
          <w:szCs w:val="20"/>
        </w:rPr>
        <w:t xml:space="preserve"> the analytic timeframe into </w:t>
      </w:r>
      <w:r w:rsidR="00BC0EA2">
        <w:rPr>
          <w:rFonts w:ascii="Verdana" w:hAnsi="Verdana" w:cstheme="minorHAnsi"/>
          <w:sz w:val="20"/>
          <w:szCs w:val="20"/>
        </w:rPr>
        <w:t>up to three</w:t>
      </w:r>
      <w:r w:rsidRPr="00DE6416">
        <w:rPr>
          <w:rFonts w:ascii="Verdana" w:hAnsi="Verdana" w:cstheme="minorHAnsi"/>
          <w:sz w:val="20"/>
          <w:szCs w:val="20"/>
        </w:rPr>
        <w:t xml:space="preserve"> allocation periods to allow for the re-allocation of funds </w:t>
      </w:r>
      <w:r w:rsidR="00BC0EA2">
        <w:rPr>
          <w:rFonts w:ascii="Verdana" w:hAnsi="Verdana" w:cstheme="minorHAnsi"/>
          <w:sz w:val="20"/>
          <w:szCs w:val="20"/>
        </w:rPr>
        <w:t>at multiple timepoints</w:t>
      </w:r>
      <w:r w:rsidRPr="00DE6416">
        <w:rPr>
          <w:rFonts w:ascii="Verdana" w:hAnsi="Verdana" w:cstheme="minorHAnsi"/>
          <w:sz w:val="20"/>
          <w:szCs w:val="20"/>
        </w:rPr>
        <w:t xml:space="preserve">, similar to how many HIV prevention programs work. </w:t>
      </w:r>
    </w:p>
    <w:p w14:paraId="6AB5FB08" w14:textId="16EC1C8C" w:rsidR="00E54903" w:rsidRPr="00DE6416" w:rsidRDefault="00E54903" w:rsidP="00B12126">
      <w:pPr>
        <w:pStyle w:val="BodyText1"/>
        <w:numPr>
          <w:ilvl w:val="0"/>
          <w:numId w:val="28"/>
        </w:numPr>
        <w:spacing w:before="0" w:after="160" w:line="320" w:lineRule="exact"/>
        <w:rPr>
          <w:rFonts w:ascii="Verdana" w:hAnsi="Verdana" w:cstheme="minorHAnsi"/>
          <w:sz w:val="20"/>
          <w:szCs w:val="20"/>
        </w:rPr>
      </w:pPr>
      <w:r w:rsidRPr="00DE6416">
        <w:rPr>
          <w:rFonts w:ascii="Verdana" w:hAnsi="Verdana" w:cstheme="minorHAnsi"/>
          <w:sz w:val="20"/>
          <w:szCs w:val="20"/>
        </w:rPr>
        <w:t>Intervention costs were constant per person and independent of the level of reach.  For example, they remained the same whether 50% or 90% of the eligible population was reached.</w:t>
      </w:r>
    </w:p>
    <w:p w14:paraId="626C5B83" w14:textId="6CA6502D" w:rsidR="00E54903" w:rsidRPr="00DE6416" w:rsidRDefault="00E54903" w:rsidP="00B12126">
      <w:pPr>
        <w:pStyle w:val="BodyText1"/>
        <w:numPr>
          <w:ilvl w:val="0"/>
          <w:numId w:val="28"/>
        </w:numPr>
        <w:spacing w:before="0" w:after="160" w:line="320" w:lineRule="exact"/>
        <w:rPr>
          <w:rFonts w:ascii="Verdana" w:hAnsi="Verdana" w:cstheme="minorHAnsi"/>
          <w:sz w:val="20"/>
          <w:szCs w:val="20"/>
        </w:rPr>
      </w:pPr>
      <w:r w:rsidRPr="00DE6416">
        <w:rPr>
          <w:rFonts w:ascii="Verdana" w:hAnsi="Verdana" w:cstheme="minorHAnsi"/>
          <w:sz w:val="20"/>
          <w:szCs w:val="20"/>
        </w:rPr>
        <w:t xml:space="preserve">We calculated rates of continuum progression and </w:t>
      </w:r>
      <w:proofErr w:type="spellStart"/>
      <w:r w:rsidRPr="00DE6416">
        <w:rPr>
          <w:rFonts w:ascii="Verdana" w:hAnsi="Verdana" w:cstheme="minorHAnsi"/>
          <w:sz w:val="20"/>
          <w:szCs w:val="20"/>
        </w:rPr>
        <w:t>PrEP</w:t>
      </w:r>
      <w:proofErr w:type="spellEnd"/>
      <w:r w:rsidRPr="00DE6416">
        <w:rPr>
          <w:rFonts w:ascii="Verdana" w:hAnsi="Verdana" w:cstheme="minorHAnsi"/>
          <w:sz w:val="20"/>
          <w:szCs w:val="20"/>
        </w:rPr>
        <w:t xml:space="preserve"> and SSP participation each year based on: (a) the funding allocated to the interventions aimed at affecting those measures; (b) the cost per person to progress along the care continuum or participate in </w:t>
      </w:r>
      <w:proofErr w:type="spellStart"/>
      <w:r w:rsidRPr="00DE6416">
        <w:rPr>
          <w:rFonts w:ascii="Verdana" w:hAnsi="Verdana" w:cstheme="minorHAnsi"/>
          <w:sz w:val="20"/>
          <w:szCs w:val="20"/>
        </w:rPr>
        <w:t>PrEP</w:t>
      </w:r>
      <w:proofErr w:type="spellEnd"/>
      <w:r w:rsidRPr="00DE6416">
        <w:rPr>
          <w:rFonts w:ascii="Verdana" w:hAnsi="Verdana" w:cstheme="minorHAnsi"/>
          <w:sz w:val="20"/>
          <w:szCs w:val="20"/>
        </w:rPr>
        <w:t xml:space="preserve"> or SSPs; and (c) the number of persons eligible for each intervention at the start of the year.</w:t>
      </w:r>
    </w:p>
    <w:p w14:paraId="71FFA939" w14:textId="4A823227" w:rsidR="00E54903" w:rsidRPr="00DE6416" w:rsidRDefault="00E54903" w:rsidP="00B12126">
      <w:pPr>
        <w:pStyle w:val="BodyText1"/>
        <w:numPr>
          <w:ilvl w:val="0"/>
          <w:numId w:val="28"/>
        </w:numPr>
        <w:spacing w:before="0" w:after="160" w:line="320" w:lineRule="exact"/>
        <w:rPr>
          <w:rFonts w:ascii="Verdana" w:hAnsi="Verdana" w:cstheme="minorHAnsi"/>
          <w:sz w:val="20"/>
          <w:szCs w:val="20"/>
        </w:rPr>
      </w:pPr>
      <w:r w:rsidRPr="00DE6416">
        <w:rPr>
          <w:rFonts w:ascii="Verdana" w:hAnsi="Verdana" w:cstheme="minorHAnsi"/>
          <w:sz w:val="20"/>
          <w:szCs w:val="20"/>
        </w:rPr>
        <w:lastRenderedPageBreak/>
        <w:t xml:space="preserve">Historical differentials between subpopulations and disease stages in the rates of continuum progression are only considered for allocations up to levels that would result in a continuation of historical (2011 to 2017) </w:t>
      </w:r>
      <w:proofErr w:type="spellStart"/>
      <w:r w:rsidRPr="00DE6416">
        <w:rPr>
          <w:rFonts w:ascii="Verdana" w:hAnsi="Verdana" w:cstheme="minorHAnsi"/>
          <w:sz w:val="20"/>
          <w:szCs w:val="20"/>
        </w:rPr>
        <w:t>PrEP</w:t>
      </w:r>
      <w:proofErr w:type="spellEnd"/>
      <w:r w:rsidRPr="00DE6416">
        <w:rPr>
          <w:rFonts w:ascii="Verdana" w:hAnsi="Verdana" w:cstheme="minorHAnsi"/>
          <w:sz w:val="20"/>
          <w:szCs w:val="20"/>
        </w:rPr>
        <w:t xml:space="preserve"> and SSP participation and continuum progression rates.  Any allocation of funding to an intervention to extend any of those rates does not consider those differentials.</w:t>
      </w:r>
    </w:p>
    <w:p w14:paraId="7A04DC8E" w14:textId="316384F1" w:rsidR="000F1A8B" w:rsidRPr="000F1A8B" w:rsidRDefault="00DE6416" w:rsidP="000F1A8B">
      <w:pPr>
        <w:pStyle w:val="Heading3"/>
      </w:pPr>
      <w:bookmarkStart w:id="136" w:name="_Toc89257560"/>
      <w:r>
        <w:t>Resource Allocation M</w:t>
      </w:r>
      <w:r w:rsidRPr="00DE6416">
        <w:t xml:space="preserve">odel </w:t>
      </w:r>
      <w:r>
        <w:t>M</w:t>
      </w:r>
      <w:r w:rsidRPr="00DE6416">
        <w:t xml:space="preserve">athematical </w:t>
      </w:r>
      <w:r>
        <w:t>F</w:t>
      </w:r>
      <w:r w:rsidRPr="00DE6416">
        <w:t>ormulation</w:t>
      </w:r>
      <w:bookmarkEnd w:id="136"/>
    </w:p>
    <w:p w14:paraId="15FA8596" w14:textId="2C1B6E35" w:rsidR="00DE6416" w:rsidRPr="00DE6416" w:rsidRDefault="00DE6416" w:rsidP="000133BE">
      <w:pPr>
        <w:pStyle w:val="BodyText1"/>
        <w:spacing w:before="0" w:after="160" w:line="320" w:lineRule="exact"/>
        <w:ind w:firstLine="0"/>
        <w:rPr>
          <w:rFonts w:ascii="Verdana" w:hAnsi="Verdana" w:cstheme="minorHAnsi"/>
          <w:sz w:val="20"/>
          <w:szCs w:val="20"/>
        </w:rPr>
      </w:pPr>
      <w:r w:rsidRPr="00DE6416">
        <w:rPr>
          <w:rFonts w:ascii="Verdana" w:hAnsi="Verdana" w:cstheme="minorHAnsi"/>
          <w:sz w:val="20"/>
          <w:szCs w:val="20"/>
        </w:rPr>
        <w:t xml:space="preserve">Table </w:t>
      </w:r>
      <w:r w:rsidR="007E4B0B">
        <w:rPr>
          <w:rFonts w:ascii="Verdana" w:hAnsi="Verdana" w:cstheme="minorHAnsi"/>
          <w:sz w:val="20"/>
          <w:szCs w:val="20"/>
        </w:rPr>
        <w:t>8.</w:t>
      </w:r>
      <w:r w:rsidR="00121507">
        <w:rPr>
          <w:rFonts w:ascii="Verdana" w:hAnsi="Verdana" w:cstheme="minorHAnsi"/>
          <w:sz w:val="20"/>
          <w:szCs w:val="20"/>
        </w:rPr>
        <w:t>3</w:t>
      </w:r>
      <w:r w:rsidRPr="00DE6416">
        <w:rPr>
          <w:rFonts w:ascii="Verdana" w:hAnsi="Verdana" w:cstheme="minorHAnsi"/>
          <w:sz w:val="20"/>
          <w:szCs w:val="20"/>
        </w:rPr>
        <w:t xml:space="preserve"> outlines the specifications for each component of the RA model incorporated into the HOPE model.  </w:t>
      </w:r>
    </w:p>
    <w:p w14:paraId="248A13BA" w14:textId="59C30529" w:rsidR="00DE6416" w:rsidRPr="001E30D8" w:rsidRDefault="00DE6416" w:rsidP="00DE6416">
      <w:pPr>
        <w:pStyle w:val="TableTitle"/>
      </w:pPr>
      <w:bookmarkStart w:id="137" w:name="_Toc89257613"/>
      <w:r w:rsidRPr="001E30D8">
        <w:t xml:space="preserve">Table </w:t>
      </w:r>
      <w:r>
        <w:t>8.</w:t>
      </w:r>
      <w:r w:rsidR="00627442">
        <w:t>3</w:t>
      </w:r>
      <w:r>
        <w:t xml:space="preserve">.  </w:t>
      </w:r>
      <w:r w:rsidRPr="001E30D8">
        <w:t xml:space="preserve">Resource </w:t>
      </w:r>
      <w:r>
        <w:t>A</w:t>
      </w:r>
      <w:r w:rsidRPr="001E30D8">
        <w:t xml:space="preserve">llocation </w:t>
      </w:r>
      <w:r>
        <w:t>M</w:t>
      </w:r>
      <w:r w:rsidRPr="001E30D8">
        <w:t xml:space="preserve">odel </w:t>
      </w:r>
      <w:r>
        <w:t>Fo</w:t>
      </w:r>
      <w:r w:rsidRPr="001E30D8">
        <w:t>rmulation</w:t>
      </w:r>
      <w:bookmarkEnd w:id="137"/>
      <w:r w:rsidRPr="001E30D8">
        <w:t xml:space="preserve"> </w:t>
      </w:r>
    </w:p>
    <w:tbl>
      <w:tblPr>
        <w:tblW w:w="9576" w:type="dxa"/>
        <w:tblInd w:w="-98" w:type="dxa"/>
        <w:tblCellMar>
          <w:left w:w="0" w:type="dxa"/>
          <w:right w:w="0" w:type="dxa"/>
        </w:tblCellMar>
        <w:tblLook w:val="04A0" w:firstRow="1" w:lastRow="0" w:firstColumn="1" w:lastColumn="0" w:noHBand="0" w:noVBand="1"/>
      </w:tblPr>
      <w:tblGrid>
        <w:gridCol w:w="1351"/>
        <w:gridCol w:w="2897"/>
        <w:gridCol w:w="5328"/>
      </w:tblGrid>
      <w:tr w:rsidR="00DE6416" w:rsidRPr="001E30D8" w14:paraId="5AD03E87" w14:textId="77777777" w:rsidTr="00FA40DE">
        <w:trPr>
          <w:cantSplit/>
          <w:trHeight w:val="448"/>
        </w:trPr>
        <w:tc>
          <w:tcPr>
            <w:tcW w:w="4248" w:type="dxa"/>
            <w:gridSpan w:val="2"/>
            <w:tcBorders>
              <w:top w:val="single" w:sz="8" w:space="0" w:color="FFFFFF"/>
              <w:left w:val="single" w:sz="8" w:space="0" w:color="FFFFFF"/>
              <w:bottom w:val="single" w:sz="24" w:space="0" w:color="FFFFFF"/>
              <w:right w:val="single" w:sz="8" w:space="0" w:color="FFFFFF"/>
            </w:tcBorders>
            <w:shd w:val="clear" w:color="auto" w:fill="BFBFBF" w:themeFill="background1" w:themeFillShade="BF"/>
            <w:vAlign w:val="bottom"/>
          </w:tcPr>
          <w:p w14:paraId="602396AB" w14:textId="77777777" w:rsidR="00DE6416" w:rsidRPr="001E30D8" w:rsidRDefault="00DE6416" w:rsidP="00FA40DE">
            <w:pPr>
              <w:pStyle w:val="Tabletext0"/>
              <w:ind w:left="108"/>
              <w:rPr>
                <w:rFonts w:asciiTheme="minorHAnsi" w:hAnsiTheme="minorHAnsi" w:cstheme="minorHAnsi"/>
                <w:b/>
                <w:bCs/>
                <w:szCs w:val="22"/>
              </w:rPr>
            </w:pPr>
            <w:r w:rsidRPr="001E30D8">
              <w:rPr>
                <w:rFonts w:asciiTheme="minorHAnsi" w:hAnsiTheme="minorHAnsi" w:cstheme="minorHAnsi"/>
                <w:b/>
                <w:bCs/>
                <w:szCs w:val="22"/>
              </w:rPr>
              <w:t>Component</w:t>
            </w:r>
          </w:p>
        </w:tc>
        <w:tc>
          <w:tcPr>
            <w:tcW w:w="5328"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14:paraId="5057FEA1" w14:textId="77777777" w:rsidR="00DE6416" w:rsidRPr="001E30D8" w:rsidRDefault="00DE6416" w:rsidP="00FA40DE">
            <w:pPr>
              <w:pStyle w:val="Tabletext0"/>
              <w:jc w:val="center"/>
              <w:rPr>
                <w:rFonts w:asciiTheme="minorHAnsi" w:hAnsiTheme="minorHAnsi" w:cstheme="minorHAnsi"/>
                <w:b/>
                <w:bCs/>
                <w:szCs w:val="22"/>
              </w:rPr>
            </w:pPr>
            <w:r w:rsidRPr="001E30D8">
              <w:rPr>
                <w:rFonts w:asciiTheme="minorHAnsi" w:hAnsiTheme="minorHAnsi" w:cstheme="minorHAnsi"/>
                <w:b/>
                <w:bCs/>
                <w:szCs w:val="22"/>
              </w:rPr>
              <w:t>Formula</w:t>
            </w:r>
          </w:p>
        </w:tc>
      </w:tr>
      <w:tr w:rsidR="00684AB2" w:rsidRPr="001E30D8" w14:paraId="03A6856D" w14:textId="77777777" w:rsidTr="00684AB2">
        <w:trPr>
          <w:cantSplit/>
          <w:trHeight w:val="861"/>
        </w:trPr>
        <w:tc>
          <w:tcPr>
            <w:tcW w:w="1351" w:type="dxa"/>
            <w:tcBorders>
              <w:top w:val="single" w:sz="24" w:space="0" w:color="FFFFFF"/>
              <w:left w:val="single" w:sz="8" w:space="0" w:color="FFFFFF"/>
              <w:right w:val="single" w:sz="8" w:space="0" w:color="FFFFFF"/>
            </w:tcBorders>
            <w:shd w:val="clear" w:color="auto" w:fill="BFBFBF" w:themeFill="background1" w:themeFillShade="BF"/>
          </w:tcPr>
          <w:p w14:paraId="01FBAB4C" w14:textId="77777777" w:rsidR="00684AB2" w:rsidRPr="001E30D8" w:rsidRDefault="00684AB2" w:rsidP="00DE6416">
            <w:pPr>
              <w:pStyle w:val="Tabletext0"/>
              <w:spacing w:line="240" w:lineRule="auto"/>
              <w:ind w:left="108"/>
              <w:rPr>
                <w:rFonts w:asciiTheme="minorHAnsi" w:hAnsiTheme="minorHAnsi" w:cstheme="minorHAnsi"/>
                <w:b/>
                <w:bCs/>
                <w:szCs w:val="22"/>
              </w:rPr>
            </w:pPr>
            <w:r w:rsidRPr="001E30D8">
              <w:rPr>
                <w:rFonts w:asciiTheme="minorHAnsi" w:hAnsiTheme="minorHAnsi" w:cstheme="minorHAnsi"/>
                <w:b/>
                <w:bCs/>
                <w:szCs w:val="22"/>
              </w:rPr>
              <w:t>Objective function</w:t>
            </w:r>
          </w:p>
        </w:tc>
        <w:tc>
          <w:tcPr>
            <w:tcW w:w="2897" w:type="dxa"/>
            <w:tcBorders>
              <w:top w:val="single" w:sz="24"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tcPr>
          <w:p w14:paraId="2EE72574" w14:textId="77777777" w:rsidR="00684AB2" w:rsidRPr="001E30D8" w:rsidRDefault="00684AB2" w:rsidP="00DE6416">
            <w:pPr>
              <w:pStyle w:val="Tabletext0"/>
              <w:spacing w:line="240" w:lineRule="auto"/>
              <w:rPr>
                <w:rFonts w:asciiTheme="minorHAnsi" w:hAnsiTheme="minorHAnsi" w:cstheme="minorHAnsi"/>
                <w:b/>
                <w:bCs/>
                <w:szCs w:val="22"/>
              </w:rPr>
            </w:pPr>
            <w:r w:rsidRPr="001E30D8">
              <w:rPr>
                <w:rFonts w:asciiTheme="minorHAnsi" w:hAnsiTheme="minorHAnsi" w:cstheme="minorHAnsi"/>
                <w:b/>
                <w:bCs/>
                <w:szCs w:val="22"/>
              </w:rPr>
              <w:t xml:space="preserve">Minimize new infections across all subpopulations over time horizon </w:t>
            </w:r>
            <w:r w:rsidRPr="001E30D8">
              <w:rPr>
                <w:rFonts w:asciiTheme="minorHAnsi" w:hAnsiTheme="minorHAnsi" w:cstheme="minorHAnsi"/>
                <w:b/>
                <w:szCs w:val="22"/>
              </w:rPr>
              <w:t>Ṫ</w:t>
            </w:r>
          </w:p>
        </w:tc>
        <w:tc>
          <w:tcPr>
            <w:tcW w:w="5328" w:type="dxa"/>
            <w:tcBorders>
              <w:top w:val="single" w:sz="24" w:space="0" w:color="FFFFFF"/>
              <w:left w:val="single" w:sz="8" w:space="0" w:color="FFFFFF"/>
              <w:bottom w:val="single" w:sz="8" w:space="0" w:color="BFBFBF" w:themeColor="background1" w:themeShade="BF"/>
              <w:right w:val="single" w:sz="8" w:space="0" w:color="FFFFFF"/>
            </w:tcBorders>
            <w:shd w:val="clear" w:color="auto" w:fill="auto"/>
            <w:tcMar>
              <w:top w:w="15" w:type="dxa"/>
              <w:left w:w="108" w:type="dxa"/>
              <w:bottom w:w="0" w:type="dxa"/>
              <w:right w:w="108" w:type="dxa"/>
            </w:tcMar>
          </w:tcPr>
          <w:p w14:paraId="74949860" w14:textId="77777777" w:rsidR="00684AB2" w:rsidRPr="001E30D8" w:rsidRDefault="00747E9D" w:rsidP="00FA40DE">
            <w:pPr>
              <w:pStyle w:val="Tabletext0"/>
              <w:jc w:val="center"/>
              <w:rPr>
                <w:rFonts w:asciiTheme="minorHAnsi" w:hAnsiTheme="minorHAnsi" w:cstheme="minorHAnsi"/>
                <w:szCs w:val="22"/>
              </w:rPr>
            </w:pPr>
            <m:oMathPara>
              <m:oMath>
                <m:nary>
                  <m:naryPr>
                    <m:chr m:val="∑"/>
                    <m:limLoc m:val="undOvr"/>
                    <m:supHide m:val="1"/>
                    <m:ctrlPr>
                      <w:rPr>
                        <w:rFonts w:ascii="Cambria Math" w:hAnsi="Cambria Math" w:cstheme="minorHAnsi"/>
                        <w:i/>
                        <w:szCs w:val="22"/>
                      </w:rPr>
                    </m:ctrlPr>
                  </m:naryPr>
                  <m:sub>
                    <m:r>
                      <w:rPr>
                        <w:rFonts w:ascii="Cambria Math" w:hAnsi="Cambria Math" w:cstheme="minorHAnsi"/>
                        <w:szCs w:val="22"/>
                      </w:rPr>
                      <m:t>t</m:t>
                    </m:r>
                  </m:sub>
                  <m:sup/>
                  <m:e>
                    <m:nary>
                      <m:naryPr>
                        <m:chr m:val="∑"/>
                        <m:limLoc m:val="undOvr"/>
                        <m:supHide m:val="1"/>
                        <m:ctrlPr>
                          <w:rPr>
                            <w:rFonts w:ascii="Cambria Math" w:hAnsi="Cambria Math" w:cstheme="minorHAnsi"/>
                            <w:i/>
                            <w:szCs w:val="22"/>
                          </w:rPr>
                        </m:ctrlPr>
                      </m:naryPr>
                      <m:sub>
                        <m:r>
                          <w:rPr>
                            <w:rFonts w:ascii="Cambria Math" w:hAnsi="Cambria Math" w:cstheme="minorHAnsi"/>
                            <w:szCs w:val="22"/>
                          </w:rPr>
                          <m:t>p</m:t>
                        </m:r>
                      </m:sub>
                      <m:sup/>
                      <m:e>
                        <m:d>
                          <m:dPr>
                            <m:begChr m:val="["/>
                            <m:endChr m:val="]"/>
                            <m:ctrlPr>
                              <w:rPr>
                                <w:rFonts w:ascii="Cambria Math" w:hAnsi="Cambria Math" w:cstheme="minorHAnsi"/>
                                <w:i/>
                                <w:szCs w:val="22"/>
                              </w:rPr>
                            </m:ctrlPr>
                          </m:dPr>
                          <m:e>
                            <m:sSub>
                              <m:sSubPr>
                                <m:ctrlPr>
                                  <w:rPr>
                                    <w:rFonts w:ascii="Cambria Math" w:hAnsi="Cambria Math" w:cstheme="minorHAnsi"/>
                                    <w:i/>
                                    <w:szCs w:val="22"/>
                                  </w:rPr>
                                </m:ctrlPr>
                              </m:sSubPr>
                              <m:e>
                                <m:r>
                                  <m:rPr>
                                    <m:sty m:val="p"/>
                                  </m:rPr>
                                  <w:rPr>
                                    <w:rFonts w:ascii="Cambria Math" w:hAnsi="Cambria Math" w:cstheme="minorHAnsi"/>
                                  </w:rPr>
                                  <m:t>Ḟ</m:t>
                                </m:r>
                              </m:e>
                              <m:sub>
                                <m:r>
                                  <w:rPr>
                                    <w:rFonts w:ascii="Cambria Math" w:hAnsi="Cambria Math" w:cstheme="minorHAnsi"/>
                                    <w:szCs w:val="22"/>
                                  </w:rPr>
                                  <m:t>p</m:t>
                                </m:r>
                              </m:sub>
                            </m:sSub>
                            <m:d>
                              <m:dPr>
                                <m:ctrlPr>
                                  <w:rPr>
                                    <w:rFonts w:ascii="Cambria Math" w:hAnsi="Cambria Math" w:cstheme="minorHAnsi"/>
                                    <w:i/>
                                    <w:szCs w:val="22"/>
                                  </w:rPr>
                                </m:ctrlPr>
                              </m:dPr>
                              <m:e>
                                <m:sSubSup>
                                  <m:sSubSupPr>
                                    <m:ctrlPr>
                                      <w:rPr>
                                        <w:rFonts w:ascii="Cambria Math" w:hAnsi="Cambria Math" w:cstheme="minorHAnsi"/>
                                        <w:b/>
                                        <w:szCs w:val="22"/>
                                      </w:rPr>
                                    </m:ctrlPr>
                                  </m:sSubSupPr>
                                  <m:e>
                                    <m:r>
                                      <m:rPr>
                                        <m:sty m:val="b"/>
                                      </m:rPr>
                                      <w:rPr>
                                        <w:rFonts w:ascii="Cambria Math" w:hAnsi="Cambria Math" w:cstheme="minorHAnsi"/>
                                        <w:szCs w:val="22"/>
                                      </w:rPr>
                                      <m:t>ṅ</m:t>
                                    </m:r>
                                  </m:e>
                                  <m:sub>
                                    <m:sSup>
                                      <m:sSupPr>
                                        <m:ctrlPr>
                                          <w:rPr>
                                            <w:rFonts w:ascii="Cambria Math" w:hAnsi="Cambria Math" w:cstheme="minorHAnsi"/>
                                            <w:b/>
                                            <w:i/>
                                            <w:szCs w:val="22"/>
                                          </w:rPr>
                                        </m:ctrlPr>
                                      </m:sSupPr>
                                      <m:e>
                                        <m:r>
                                          <m:rPr>
                                            <m:sty m:val="bi"/>
                                          </m:rPr>
                                          <w:rPr>
                                            <w:rFonts w:ascii="Cambria Math" w:hAnsi="Cambria Math" w:cstheme="minorHAnsi"/>
                                            <w:szCs w:val="22"/>
                                          </w:rPr>
                                          <m:t>j</m:t>
                                        </m:r>
                                      </m:e>
                                      <m:sup>
                                        <m:r>
                                          <m:rPr>
                                            <m:sty m:val="bi"/>
                                          </m:rPr>
                                          <w:rPr>
                                            <w:rFonts w:ascii="Cambria Math" w:hAnsi="Cambria Math" w:cstheme="minorHAnsi"/>
                                            <w:szCs w:val="22"/>
                                          </w:rPr>
                                          <m:t>*</m:t>
                                        </m:r>
                                      </m:sup>
                                    </m:sSup>
                                  </m:sub>
                                  <m:sup>
                                    <m:r>
                                      <m:rPr>
                                        <m:sty m:val="bi"/>
                                      </m:rPr>
                                      <w:rPr>
                                        <w:rFonts w:ascii="Cambria Math" w:hAnsi="Cambria Math" w:cstheme="minorHAnsi"/>
                                        <w:szCs w:val="22"/>
                                      </w:rPr>
                                      <m:t>q</m:t>
                                    </m:r>
                                  </m:sup>
                                </m:sSubSup>
                                <m:r>
                                  <w:rPr>
                                    <w:rFonts w:ascii="Cambria Math" w:hAnsi="Cambria Math" w:cstheme="minorHAnsi"/>
                                    <w:szCs w:val="22"/>
                                  </w:rPr>
                                  <m:t>,t</m:t>
                                </m:r>
                              </m:e>
                            </m:d>
                          </m:e>
                        </m:d>
                      </m:e>
                    </m:nary>
                  </m:e>
                </m:nary>
              </m:oMath>
            </m:oMathPara>
          </w:p>
        </w:tc>
      </w:tr>
      <w:tr w:rsidR="00DE6416" w:rsidRPr="001E30D8" w14:paraId="65E45D4B" w14:textId="77777777" w:rsidTr="00FA40DE">
        <w:trPr>
          <w:cantSplit/>
          <w:trHeight w:val="448"/>
        </w:trPr>
        <w:tc>
          <w:tcPr>
            <w:tcW w:w="135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Pr>
          <w:p w14:paraId="26596577" w14:textId="77777777" w:rsidR="00DE6416" w:rsidRPr="001E30D8" w:rsidRDefault="00DE6416" w:rsidP="00DE6416">
            <w:pPr>
              <w:pStyle w:val="Tabletext0"/>
              <w:spacing w:line="240" w:lineRule="auto"/>
              <w:ind w:left="108"/>
              <w:rPr>
                <w:rFonts w:asciiTheme="minorHAnsi" w:hAnsiTheme="minorHAnsi" w:cstheme="minorHAnsi"/>
                <w:b/>
                <w:bCs/>
                <w:szCs w:val="22"/>
              </w:rPr>
            </w:pPr>
            <w:r w:rsidRPr="001E30D8">
              <w:rPr>
                <w:rFonts w:asciiTheme="minorHAnsi" w:hAnsiTheme="minorHAnsi" w:cstheme="minorHAnsi"/>
                <w:b/>
                <w:bCs/>
                <w:szCs w:val="22"/>
              </w:rPr>
              <w:t>Decision variables</w:t>
            </w:r>
          </w:p>
        </w:tc>
        <w:tc>
          <w:tcPr>
            <w:tcW w:w="2897"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tcPr>
          <w:p w14:paraId="4E9648EB" w14:textId="77777777" w:rsidR="00DE6416" w:rsidRPr="00A928A4" w:rsidRDefault="00DE6416" w:rsidP="00DE6416">
            <w:pPr>
              <w:pStyle w:val="Tabletext0"/>
              <w:spacing w:line="240" w:lineRule="auto"/>
              <w:rPr>
                <w:rFonts w:asciiTheme="minorHAnsi" w:hAnsiTheme="minorHAnsi" w:cstheme="minorHAnsi"/>
                <w:b/>
                <w:bCs/>
                <w:szCs w:val="22"/>
                <w:vertAlign w:val="subscript"/>
              </w:rPr>
            </w:pPr>
            <w:r w:rsidRPr="001E30D8">
              <w:rPr>
                <w:rFonts w:asciiTheme="minorHAnsi" w:hAnsiTheme="minorHAnsi" w:cstheme="minorHAnsi"/>
                <w:b/>
                <w:bCs/>
                <w:szCs w:val="22"/>
              </w:rPr>
              <w:t xml:space="preserve">Annual funding allocation for implementing intervention </w:t>
            </w:r>
            <w:r w:rsidRPr="001E30D8">
              <w:rPr>
                <w:rFonts w:asciiTheme="minorHAnsi" w:hAnsiTheme="minorHAnsi" w:cstheme="minorHAnsi"/>
                <w:b/>
                <w:bCs/>
                <w:i/>
                <w:iCs/>
                <w:szCs w:val="22"/>
              </w:rPr>
              <w:t>j*</w:t>
            </w:r>
            <w:r w:rsidRPr="001E30D8">
              <w:rPr>
                <w:rFonts w:asciiTheme="minorHAnsi" w:hAnsiTheme="minorHAnsi" w:cstheme="minorHAnsi"/>
                <w:b/>
                <w:bCs/>
                <w:szCs w:val="22"/>
              </w:rPr>
              <w:t xml:space="preserve"> in allocation period </w:t>
            </w:r>
            <w:r w:rsidRPr="001E30D8">
              <w:rPr>
                <w:rFonts w:asciiTheme="minorHAnsi" w:hAnsiTheme="minorHAnsi" w:cstheme="minorHAnsi"/>
                <w:b/>
                <w:bCs/>
                <w:i/>
                <w:iCs/>
                <w:szCs w:val="22"/>
              </w:rPr>
              <w:t>q</w:t>
            </w:r>
            <w:r>
              <w:rPr>
                <w:rFonts w:asciiTheme="minorHAnsi" w:hAnsiTheme="minorHAnsi" w:cstheme="minorHAnsi"/>
                <w:b/>
                <w:bCs/>
                <w:i/>
                <w:iCs/>
                <w:szCs w:val="22"/>
              </w:rPr>
              <w:t xml:space="preserve"> </w:t>
            </w:r>
            <w:r w:rsidRPr="001E30D8">
              <w:rPr>
                <w:rFonts w:asciiTheme="minorHAnsi" w:hAnsiTheme="minorHAnsi" w:cstheme="minorHAnsi"/>
                <w:b/>
                <w:bCs/>
                <w:szCs w:val="22"/>
              </w:rPr>
              <w:t xml:space="preserve">(constant within each allocation period </w:t>
            </w:r>
            <w:r w:rsidRPr="001E30D8">
              <w:rPr>
                <w:rFonts w:asciiTheme="minorHAnsi" w:hAnsiTheme="minorHAnsi" w:cstheme="minorHAnsi"/>
                <w:b/>
                <w:bCs/>
                <w:i/>
                <w:iCs/>
                <w:szCs w:val="22"/>
              </w:rPr>
              <w:t>q</w:t>
            </w:r>
            <w:r w:rsidRPr="001E30D8">
              <w:rPr>
                <w:rFonts w:asciiTheme="minorHAnsi" w:hAnsiTheme="minorHAnsi" w:cstheme="minorHAnsi"/>
                <w:b/>
                <w:bCs/>
                <w:szCs w:val="22"/>
              </w:rPr>
              <w:t>)</w:t>
            </w:r>
          </w:p>
        </w:tc>
        <w:tc>
          <w:tcPr>
            <w:tcW w:w="5328" w:type="dxa"/>
            <w:tcBorders>
              <w:top w:val="single" w:sz="8" w:space="0" w:color="BFBFBF" w:themeColor="background1" w:themeShade="BF"/>
              <w:left w:val="single" w:sz="8" w:space="0" w:color="FFFFFF"/>
              <w:bottom w:val="single" w:sz="8" w:space="0" w:color="BFBFBF" w:themeColor="background1" w:themeShade="BF"/>
              <w:right w:val="single" w:sz="8" w:space="0" w:color="FFFFFF"/>
            </w:tcBorders>
            <w:shd w:val="clear" w:color="auto" w:fill="auto"/>
            <w:tcMar>
              <w:top w:w="15" w:type="dxa"/>
              <w:left w:w="108" w:type="dxa"/>
              <w:bottom w:w="0" w:type="dxa"/>
              <w:right w:w="108" w:type="dxa"/>
            </w:tcMar>
          </w:tcPr>
          <w:p w14:paraId="76782C2B" w14:textId="77777777" w:rsidR="00DE6416" w:rsidRPr="001E30D8" w:rsidRDefault="00747E9D" w:rsidP="00FA40DE">
            <w:pPr>
              <w:pStyle w:val="Tabletext0"/>
              <w:jc w:val="center"/>
              <w:rPr>
                <w:rFonts w:asciiTheme="minorHAnsi" w:eastAsiaTheme="minorEastAsia" w:hAnsiTheme="minorHAnsi" w:cstheme="minorHAnsi"/>
                <w:szCs w:val="22"/>
              </w:rPr>
            </w:pPr>
            <m:oMathPara>
              <m:oMath>
                <m:sSubSup>
                  <m:sSubSupPr>
                    <m:ctrlPr>
                      <w:rPr>
                        <w:rFonts w:ascii="Cambria Math" w:hAnsi="Cambria Math" w:cstheme="minorHAnsi"/>
                        <w:b/>
                        <w:szCs w:val="22"/>
                      </w:rPr>
                    </m:ctrlPr>
                  </m:sSubSupPr>
                  <m:e>
                    <m:r>
                      <m:rPr>
                        <m:sty m:val="b"/>
                      </m:rPr>
                      <w:rPr>
                        <w:rFonts w:ascii="Cambria Math" w:hAnsi="Cambria Math" w:cstheme="minorHAnsi"/>
                        <w:szCs w:val="22"/>
                      </w:rPr>
                      <m:t>ṅ</m:t>
                    </m:r>
                  </m:e>
                  <m:sub>
                    <m:sSup>
                      <m:sSupPr>
                        <m:ctrlPr>
                          <w:rPr>
                            <w:rFonts w:ascii="Cambria Math" w:hAnsi="Cambria Math" w:cstheme="minorHAnsi"/>
                            <w:b/>
                            <w:i/>
                            <w:szCs w:val="22"/>
                          </w:rPr>
                        </m:ctrlPr>
                      </m:sSupPr>
                      <m:e>
                        <m:r>
                          <m:rPr>
                            <m:sty m:val="bi"/>
                          </m:rPr>
                          <w:rPr>
                            <w:rFonts w:ascii="Cambria Math" w:hAnsi="Cambria Math" w:cstheme="minorHAnsi"/>
                            <w:szCs w:val="22"/>
                          </w:rPr>
                          <m:t>j</m:t>
                        </m:r>
                      </m:e>
                      <m:sup>
                        <m:r>
                          <m:rPr>
                            <m:sty m:val="bi"/>
                          </m:rPr>
                          <w:rPr>
                            <w:rFonts w:ascii="Cambria Math" w:hAnsi="Cambria Math" w:cstheme="minorHAnsi"/>
                            <w:szCs w:val="22"/>
                          </w:rPr>
                          <m:t>*</m:t>
                        </m:r>
                      </m:sup>
                    </m:sSup>
                  </m:sub>
                  <m:sup>
                    <m:r>
                      <m:rPr>
                        <m:sty m:val="bi"/>
                      </m:rPr>
                      <w:rPr>
                        <w:rFonts w:ascii="Cambria Math" w:hAnsi="Cambria Math" w:cstheme="minorHAnsi"/>
                        <w:szCs w:val="22"/>
                      </w:rPr>
                      <m:t>q</m:t>
                    </m:r>
                  </m:sup>
                </m:sSubSup>
              </m:oMath>
            </m:oMathPara>
          </w:p>
          <w:p w14:paraId="7B4374CA" w14:textId="77777777" w:rsidR="00DE6416" w:rsidRPr="001E30D8" w:rsidRDefault="00DE6416" w:rsidP="00FA40DE">
            <w:pPr>
              <w:pStyle w:val="Tabletext0"/>
              <w:jc w:val="center"/>
              <w:rPr>
                <w:rFonts w:asciiTheme="minorHAnsi" w:hAnsiTheme="minorHAnsi" w:cstheme="minorHAnsi"/>
                <w:szCs w:val="22"/>
              </w:rPr>
            </w:pPr>
            <m:oMathPara>
              <m:oMath>
                <m:r>
                  <w:rPr>
                    <w:rFonts w:ascii="Cambria Math" w:hAnsi="Cambria Math" w:cstheme="minorHAnsi"/>
                    <w:szCs w:val="22"/>
                  </w:rPr>
                  <m:t xml:space="preserve">∀ </m:t>
                </m:r>
                <m:sSup>
                  <m:sSupPr>
                    <m:ctrlPr>
                      <w:rPr>
                        <w:rFonts w:ascii="Cambria Math" w:hAnsi="Cambria Math" w:cstheme="minorHAnsi"/>
                        <w:i/>
                        <w:szCs w:val="22"/>
                      </w:rPr>
                    </m:ctrlPr>
                  </m:sSupPr>
                  <m:e>
                    <m:r>
                      <w:rPr>
                        <w:rFonts w:ascii="Cambria Math" w:hAnsi="Cambria Math" w:cstheme="minorHAnsi"/>
                        <w:szCs w:val="22"/>
                      </w:rPr>
                      <m:t>j</m:t>
                    </m:r>
                  </m:e>
                  <m:sup>
                    <m:r>
                      <w:rPr>
                        <w:rFonts w:ascii="Cambria Math" w:hAnsi="Cambria Math" w:cstheme="minorHAnsi"/>
                        <w:szCs w:val="22"/>
                      </w:rPr>
                      <m:t>*</m:t>
                    </m:r>
                  </m:sup>
                </m:sSup>
                <m:r>
                  <w:rPr>
                    <w:rFonts w:ascii="Cambria Math" w:hAnsi="Cambria Math" w:cstheme="minorHAnsi"/>
                    <w:szCs w:val="22"/>
                  </w:rPr>
                  <m:t>,q</m:t>
                </m:r>
              </m:oMath>
            </m:oMathPara>
          </w:p>
        </w:tc>
      </w:tr>
      <w:tr w:rsidR="00DE6416" w:rsidRPr="001E30D8" w14:paraId="6E6DD795" w14:textId="77777777" w:rsidTr="00FA40DE">
        <w:trPr>
          <w:cantSplit/>
          <w:trHeight w:val="448"/>
        </w:trPr>
        <w:tc>
          <w:tcPr>
            <w:tcW w:w="1351" w:type="dxa"/>
            <w:tcBorders>
              <w:left w:val="single" w:sz="8" w:space="0" w:color="FFFFFF"/>
              <w:right w:val="single" w:sz="8" w:space="0" w:color="FFFFFF"/>
            </w:tcBorders>
            <w:shd w:val="clear" w:color="auto" w:fill="BFBFBF" w:themeFill="background1" w:themeFillShade="BF"/>
          </w:tcPr>
          <w:p w14:paraId="04DC0674" w14:textId="77777777" w:rsidR="00DE6416" w:rsidRPr="001E30D8" w:rsidRDefault="00DE6416" w:rsidP="00DE6416">
            <w:pPr>
              <w:pStyle w:val="Tabletext0"/>
              <w:spacing w:line="240" w:lineRule="auto"/>
              <w:ind w:left="108"/>
              <w:rPr>
                <w:rFonts w:asciiTheme="minorHAnsi" w:hAnsiTheme="minorHAnsi" w:cstheme="minorHAnsi"/>
                <w:b/>
                <w:bCs/>
                <w:szCs w:val="22"/>
              </w:rPr>
            </w:pPr>
            <w:r w:rsidRPr="001E30D8">
              <w:rPr>
                <w:rFonts w:asciiTheme="minorHAnsi" w:hAnsiTheme="minorHAnsi" w:cstheme="minorHAnsi"/>
                <w:b/>
                <w:bCs/>
                <w:szCs w:val="22"/>
              </w:rPr>
              <w:t>Constraints</w:t>
            </w:r>
          </w:p>
        </w:tc>
        <w:tc>
          <w:tcPr>
            <w:tcW w:w="2897"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tcPr>
          <w:p w14:paraId="07F03B74" w14:textId="566F95FF" w:rsidR="00DE6416" w:rsidRPr="001E30D8" w:rsidRDefault="00464450" w:rsidP="00DE6416">
            <w:pPr>
              <w:pStyle w:val="Tabletext0"/>
              <w:spacing w:line="240" w:lineRule="auto"/>
              <w:rPr>
                <w:rFonts w:asciiTheme="minorHAnsi" w:hAnsiTheme="minorHAnsi" w:cstheme="minorHAnsi"/>
                <w:b/>
                <w:bCs/>
                <w:szCs w:val="22"/>
              </w:rPr>
            </w:pPr>
            <w:r>
              <w:rPr>
                <w:rFonts w:asciiTheme="minorHAnsi" w:hAnsiTheme="minorHAnsi" w:cstheme="minorHAnsi"/>
                <w:b/>
                <w:bCs/>
                <w:szCs w:val="22"/>
              </w:rPr>
              <w:t>Annual b</w:t>
            </w:r>
            <w:r w:rsidR="00DE6416" w:rsidRPr="001E30D8">
              <w:rPr>
                <w:rFonts w:asciiTheme="minorHAnsi" w:hAnsiTheme="minorHAnsi" w:cstheme="minorHAnsi"/>
                <w:b/>
                <w:bCs/>
                <w:szCs w:val="22"/>
              </w:rPr>
              <w:t xml:space="preserve">udget for implementing interventions within each allocation period </w:t>
            </w:r>
            <w:r w:rsidR="00DE6416" w:rsidRPr="001E30D8">
              <w:rPr>
                <w:rFonts w:asciiTheme="minorHAnsi" w:hAnsiTheme="minorHAnsi" w:cstheme="minorHAnsi"/>
                <w:b/>
                <w:bCs/>
                <w:i/>
                <w:iCs/>
                <w:szCs w:val="22"/>
              </w:rPr>
              <w:t>q</w:t>
            </w:r>
            <w:r w:rsidR="00684AB2">
              <w:rPr>
                <w:rFonts w:asciiTheme="minorHAnsi" w:hAnsiTheme="minorHAnsi" w:cstheme="minorHAnsi"/>
                <w:b/>
                <w:bCs/>
                <w:i/>
                <w:iCs/>
                <w:szCs w:val="22"/>
              </w:rPr>
              <w:t xml:space="preserve"> </w:t>
            </w:r>
            <w:r w:rsidR="00DE6416" w:rsidRPr="001E30D8">
              <w:rPr>
                <w:rFonts w:asciiTheme="minorHAnsi" w:hAnsiTheme="minorHAnsi" w:cstheme="minorHAnsi"/>
                <w:b/>
                <w:bCs/>
                <w:szCs w:val="22"/>
              </w:rPr>
              <w:t xml:space="preserve"> </w:t>
            </w:r>
          </w:p>
        </w:tc>
        <w:tc>
          <w:tcPr>
            <w:tcW w:w="5328" w:type="dxa"/>
            <w:tcBorders>
              <w:top w:val="single" w:sz="8" w:space="0" w:color="BFBFBF" w:themeColor="background1" w:themeShade="BF"/>
              <w:left w:val="single" w:sz="8" w:space="0" w:color="FFFFFF"/>
              <w:bottom w:val="single" w:sz="8" w:space="0" w:color="BFBFBF" w:themeColor="background1" w:themeShade="BF"/>
              <w:right w:val="single" w:sz="8" w:space="0" w:color="FFFFFF"/>
            </w:tcBorders>
            <w:shd w:val="clear" w:color="auto" w:fill="auto"/>
            <w:tcMar>
              <w:top w:w="15" w:type="dxa"/>
              <w:left w:w="108" w:type="dxa"/>
              <w:bottom w:w="0" w:type="dxa"/>
              <w:right w:w="108" w:type="dxa"/>
            </w:tcMar>
          </w:tcPr>
          <w:p w14:paraId="2625842B" w14:textId="7843A721" w:rsidR="00DE6416" w:rsidRPr="001E30D8" w:rsidRDefault="00747E9D" w:rsidP="00FA40DE">
            <w:pPr>
              <w:pStyle w:val="Tabletext0"/>
              <w:jc w:val="center"/>
              <w:rPr>
                <w:rFonts w:asciiTheme="minorHAnsi" w:eastAsiaTheme="minorEastAsia" w:hAnsiTheme="minorHAnsi" w:cstheme="minorHAnsi"/>
                <w:b/>
                <w:szCs w:val="22"/>
              </w:rPr>
            </w:pPr>
            <m:oMathPara>
              <m:oMath>
                <m:nary>
                  <m:naryPr>
                    <m:chr m:val="∑"/>
                    <m:limLoc m:val="undOvr"/>
                    <m:supHide m:val="1"/>
                    <m:ctrlPr>
                      <w:rPr>
                        <w:rFonts w:ascii="Cambria Math" w:hAnsi="Cambria Math" w:cstheme="minorHAnsi"/>
                        <w:i/>
                        <w:szCs w:val="22"/>
                      </w:rPr>
                    </m:ctrlPr>
                  </m:naryPr>
                  <m:sub>
                    <m:sSup>
                      <m:sSupPr>
                        <m:ctrlPr>
                          <w:rPr>
                            <w:rFonts w:ascii="Cambria Math" w:hAnsi="Cambria Math" w:cstheme="minorHAnsi"/>
                            <w:i/>
                            <w:szCs w:val="22"/>
                          </w:rPr>
                        </m:ctrlPr>
                      </m:sSupPr>
                      <m:e>
                        <m:r>
                          <w:rPr>
                            <w:rFonts w:ascii="Cambria Math" w:hAnsi="Cambria Math" w:cstheme="minorHAnsi"/>
                            <w:szCs w:val="22"/>
                          </w:rPr>
                          <m:t>j</m:t>
                        </m:r>
                      </m:e>
                      <m:sup>
                        <m:r>
                          <w:rPr>
                            <w:rFonts w:ascii="Cambria Math" w:hAnsi="Cambria Math" w:cstheme="minorHAnsi"/>
                            <w:szCs w:val="22"/>
                          </w:rPr>
                          <m:t>*</m:t>
                        </m:r>
                      </m:sup>
                    </m:sSup>
                  </m:sub>
                  <m:sup/>
                  <m:e>
                    <m:d>
                      <m:dPr>
                        <m:ctrlPr>
                          <w:rPr>
                            <w:rFonts w:ascii="Cambria Math" w:hAnsi="Cambria Math" w:cstheme="minorHAnsi"/>
                            <w:i/>
                            <w:szCs w:val="22"/>
                          </w:rPr>
                        </m:ctrlPr>
                      </m:dPr>
                      <m:e>
                        <m:sSubSup>
                          <m:sSubSupPr>
                            <m:ctrlPr>
                              <w:rPr>
                                <w:rFonts w:ascii="Cambria Math" w:hAnsi="Cambria Math" w:cstheme="minorHAnsi"/>
                                <w:b/>
                                <w:szCs w:val="22"/>
                              </w:rPr>
                            </m:ctrlPr>
                          </m:sSubSupPr>
                          <m:e>
                            <m:r>
                              <m:rPr>
                                <m:sty m:val="b"/>
                              </m:rPr>
                              <w:rPr>
                                <w:rFonts w:ascii="Cambria Math" w:hAnsi="Cambria Math" w:cstheme="minorHAnsi"/>
                                <w:szCs w:val="22"/>
                              </w:rPr>
                              <m:t>ṅ</m:t>
                            </m:r>
                          </m:e>
                          <m:sub>
                            <m:sSup>
                              <m:sSupPr>
                                <m:ctrlPr>
                                  <w:rPr>
                                    <w:rFonts w:ascii="Cambria Math" w:hAnsi="Cambria Math" w:cstheme="minorHAnsi"/>
                                    <w:b/>
                                    <w:i/>
                                    <w:szCs w:val="22"/>
                                  </w:rPr>
                                </m:ctrlPr>
                              </m:sSupPr>
                              <m:e>
                                <m:r>
                                  <m:rPr>
                                    <m:sty m:val="bi"/>
                                  </m:rPr>
                                  <w:rPr>
                                    <w:rFonts w:ascii="Cambria Math" w:hAnsi="Cambria Math" w:cstheme="minorHAnsi"/>
                                    <w:szCs w:val="22"/>
                                  </w:rPr>
                                  <m:t>j</m:t>
                                </m:r>
                              </m:e>
                              <m:sup>
                                <m:r>
                                  <m:rPr>
                                    <m:sty m:val="bi"/>
                                  </m:rPr>
                                  <w:rPr>
                                    <w:rFonts w:ascii="Cambria Math" w:hAnsi="Cambria Math" w:cstheme="minorHAnsi"/>
                                    <w:szCs w:val="22"/>
                                  </w:rPr>
                                  <m:t>*</m:t>
                                </m:r>
                              </m:sup>
                            </m:sSup>
                          </m:sub>
                          <m:sup>
                            <m:r>
                              <m:rPr>
                                <m:sty m:val="bi"/>
                              </m:rPr>
                              <w:rPr>
                                <w:rFonts w:ascii="Cambria Math" w:hAnsi="Cambria Math" w:cstheme="minorHAnsi"/>
                                <w:szCs w:val="22"/>
                              </w:rPr>
                              <m:t>q</m:t>
                            </m:r>
                          </m:sup>
                        </m:sSubSup>
                        <m:r>
                          <w:rPr>
                            <w:rFonts w:ascii="Cambria Math" w:hAnsi="Cambria Math" w:cstheme="minorHAnsi"/>
                            <w:szCs w:val="22"/>
                          </w:rPr>
                          <m:t>,t</m:t>
                        </m:r>
                      </m:e>
                    </m:d>
                  </m:e>
                </m:nary>
                <m:r>
                  <w:rPr>
                    <w:rFonts w:ascii="Cambria Math" w:hAnsi="Cambria Math" w:cstheme="minorHAnsi"/>
                    <w:szCs w:val="22"/>
                  </w:rPr>
                  <m:t>≤</m:t>
                </m:r>
                <m:sSub>
                  <m:sSubPr>
                    <m:ctrlPr>
                      <w:rPr>
                        <w:rFonts w:ascii="Cambria Math" w:hAnsi="Cambria Math" w:cstheme="minorHAnsi"/>
                        <w:b/>
                        <w:szCs w:val="22"/>
                      </w:rPr>
                    </m:ctrlPr>
                  </m:sSubPr>
                  <m:e>
                    <m:r>
                      <m:rPr>
                        <m:sty m:val="b"/>
                      </m:rPr>
                      <w:rPr>
                        <w:rFonts w:ascii="Cambria Math" w:hAnsi="Cambria Math" w:cstheme="minorHAnsi"/>
                        <w:szCs w:val="22"/>
                      </w:rPr>
                      <m:t>Ḃ</m:t>
                    </m:r>
                  </m:e>
                  <m:sub>
                    <m:r>
                      <m:rPr>
                        <m:sty m:val="bi"/>
                      </m:rPr>
                      <w:rPr>
                        <w:rFonts w:ascii="Cambria Math" w:hAnsi="Cambria Math" w:cstheme="minorHAnsi"/>
                        <w:szCs w:val="22"/>
                      </w:rPr>
                      <m:t>q</m:t>
                    </m:r>
                  </m:sub>
                </m:sSub>
              </m:oMath>
            </m:oMathPara>
          </w:p>
          <w:p w14:paraId="084C33DA" w14:textId="52F0C044" w:rsidR="00DE6416" w:rsidRPr="001E30D8" w:rsidRDefault="00DE6416" w:rsidP="00FA40DE">
            <w:pPr>
              <w:pStyle w:val="Tabletext0"/>
              <w:jc w:val="center"/>
              <w:rPr>
                <w:rFonts w:asciiTheme="minorHAnsi" w:hAnsiTheme="minorHAnsi" w:cstheme="minorHAnsi"/>
                <w:szCs w:val="22"/>
              </w:rPr>
            </w:pPr>
            <m:oMathPara>
              <m:oMath>
                <m:r>
                  <w:rPr>
                    <w:rFonts w:ascii="Cambria Math" w:hAnsi="Cambria Math" w:cstheme="minorHAnsi"/>
                    <w:szCs w:val="22"/>
                  </w:rPr>
                  <m:t>∀ q,t in allocation period q</m:t>
                </m:r>
              </m:oMath>
            </m:oMathPara>
          </w:p>
        </w:tc>
      </w:tr>
    </w:tbl>
    <w:p w14:paraId="5B587123" w14:textId="77777777" w:rsidR="00F66180" w:rsidRDefault="00F66180" w:rsidP="00330775">
      <w:pPr>
        <w:pStyle w:val="BodyText"/>
      </w:pPr>
    </w:p>
    <w:p w14:paraId="72272F3B" w14:textId="1B746521" w:rsidR="00330775" w:rsidRPr="00542624" w:rsidRDefault="00330775" w:rsidP="00330775">
      <w:pPr>
        <w:pStyle w:val="BodyText"/>
      </w:pPr>
      <w:r>
        <w:t>w</w:t>
      </w:r>
      <w:r w:rsidRPr="00542624">
        <w:t>here</w:t>
      </w:r>
    </w:p>
    <w:p w14:paraId="12704294" w14:textId="52596FE8" w:rsidR="00F66180" w:rsidRPr="00124570" w:rsidRDefault="00747E9D" w:rsidP="00124570">
      <w:pPr>
        <w:pStyle w:val="bullets"/>
      </w:pPr>
      <m:oMath>
        <m:sSubSup>
          <m:sSubSupPr>
            <m:ctrlPr>
              <w:rPr>
                <w:rFonts w:ascii="Cambria Math" w:hAnsi="Cambria Math"/>
              </w:rPr>
            </m:ctrlPr>
          </m:sSubSupPr>
          <m:e>
            <m:r>
              <m:rPr>
                <m:sty m:val="p"/>
              </m:rPr>
              <w:rPr>
                <w:rFonts w:ascii="Cambria Math" w:hAnsi="Cambria Math"/>
              </w:rPr>
              <m:t>ṅ</m:t>
            </m:r>
          </m:e>
          <m:sub>
            <m:sSup>
              <m:sSupPr>
                <m:ctrlPr>
                  <w:rPr>
                    <w:rFonts w:ascii="Cambria Math" w:hAnsi="Cambria Math"/>
                  </w:rPr>
                </m:ctrlPr>
              </m:sSupPr>
              <m:e>
                <m:r>
                  <m:rPr>
                    <m:sty m:val="bi"/>
                  </m:rPr>
                  <w:rPr>
                    <w:rFonts w:ascii="Cambria Math" w:hAnsi="Cambria Math"/>
                  </w:rPr>
                  <m:t>j</m:t>
                </m:r>
              </m:e>
              <m:sup>
                <m:r>
                  <m:rPr>
                    <m:sty m:val="p"/>
                  </m:rPr>
                  <w:rPr>
                    <w:rFonts w:ascii="Cambria Math" w:hAnsi="Cambria Math"/>
                  </w:rPr>
                  <m:t>*</m:t>
                </m:r>
              </m:sup>
            </m:sSup>
          </m:sub>
          <m:sup>
            <m:r>
              <m:rPr>
                <m:sty m:val="bi"/>
              </m:rPr>
              <w:rPr>
                <w:rFonts w:ascii="Cambria Math" w:hAnsi="Cambria Math"/>
              </w:rPr>
              <m:t>q</m:t>
            </m:r>
          </m:sup>
        </m:sSubSup>
      </m:oMath>
      <w:r w:rsidR="00124570" w:rsidRPr="00124570">
        <w:t xml:space="preserve"> = </w:t>
      </w:r>
      <w:r w:rsidR="00F66180" w:rsidRPr="00124570">
        <w:t xml:space="preserve">Annual funding allocation for implementing intervention j* </w:t>
      </w:r>
      <w:r w:rsidR="00786363" w:rsidRPr="006F5064">
        <w:t>in each allocation period q</w:t>
      </w:r>
      <w:r w:rsidR="00786363" w:rsidRPr="00124570">
        <w:t xml:space="preserve"> </w:t>
      </w:r>
      <w:r w:rsidR="00F66180" w:rsidRPr="00124570">
        <w:t xml:space="preserve">(constant within each allocation period </w:t>
      </w:r>
      <w:r w:rsidR="00F66180" w:rsidRPr="00124570">
        <w:rPr>
          <w:i/>
          <w:iCs/>
        </w:rPr>
        <w:t>q</w:t>
      </w:r>
      <w:r w:rsidR="00F66180" w:rsidRPr="00124570">
        <w:t>) (optimization decision variable)</w:t>
      </w:r>
    </w:p>
    <w:p w14:paraId="644BDDD2" w14:textId="2E74148B" w:rsidR="00330775" w:rsidRPr="00942583" w:rsidRDefault="00330775" w:rsidP="00D273E2">
      <w:pPr>
        <w:pStyle w:val="bullets"/>
      </w:pPr>
      <w:proofErr w:type="spellStart"/>
      <w:r w:rsidRPr="0010273D">
        <w:rPr>
          <w:rFonts w:asciiTheme="minorHAnsi" w:hAnsiTheme="minorHAnsi"/>
        </w:rPr>
        <w:t>Ḟ</w:t>
      </w:r>
      <w:r w:rsidRPr="0010273D">
        <w:rPr>
          <w:rFonts w:asciiTheme="minorHAnsi" w:hAnsiTheme="minorHAnsi"/>
          <w:vertAlign w:val="subscript"/>
        </w:rPr>
        <w:t>p</w:t>
      </w:r>
      <w:proofErr w:type="spellEnd"/>
      <w:r w:rsidRPr="0010273D">
        <w:rPr>
          <w:rFonts w:asciiTheme="minorHAnsi" w:hAnsiTheme="minorHAnsi"/>
        </w:rPr>
        <w:t>(</w:t>
      </w:r>
      <m:oMath>
        <m:sSubSup>
          <m:sSubSupPr>
            <m:ctrlPr>
              <w:rPr>
                <w:rFonts w:ascii="Cambria Math" w:hAnsi="Cambria Math"/>
              </w:rPr>
            </m:ctrlPr>
          </m:sSubSupPr>
          <m:e>
            <m:r>
              <m:rPr>
                <m:sty m:val="p"/>
              </m:rPr>
              <w:rPr>
                <w:rFonts w:ascii="Cambria Math" w:hAnsi="Cambria Math"/>
              </w:rPr>
              <m:t>ṅ</m:t>
            </m:r>
          </m:e>
          <m:sub>
            <m:sSup>
              <m:sSupPr>
                <m:ctrlPr>
                  <w:rPr>
                    <w:rFonts w:ascii="Cambria Math" w:hAnsi="Cambria Math"/>
                  </w:rPr>
                </m:ctrlPr>
              </m:sSupPr>
              <m:e>
                <m:r>
                  <w:rPr>
                    <w:rFonts w:ascii="Cambria Math" w:hAnsi="Cambria Math"/>
                  </w:rPr>
                  <m:t>j</m:t>
                </m:r>
              </m:e>
              <m:sup>
                <m:r>
                  <m:rPr>
                    <m:sty m:val="p"/>
                  </m:rPr>
                  <w:rPr>
                    <w:rFonts w:ascii="Cambria Math" w:hAnsi="Cambria Math"/>
                  </w:rPr>
                  <m:t>*</m:t>
                </m:r>
              </m:sup>
            </m:sSup>
          </m:sub>
          <m:sup>
            <m:r>
              <w:rPr>
                <w:rFonts w:ascii="Cambria Math" w:hAnsi="Cambria Math"/>
              </w:rPr>
              <m:t>q</m:t>
            </m:r>
          </m:sup>
        </m:sSubSup>
      </m:oMath>
      <w:r w:rsidRPr="0010273D">
        <w:rPr>
          <w:rFonts w:asciiTheme="minorHAnsi" w:hAnsiTheme="minorHAnsi"/>
        </w:rPr>
        <w:t>,</w:t>
      </w:r>
      <w:r w:rsidRPr="0010273D">
        <w:rPr>
          <w:rFonts w:asciiTheme="minorHAnsi" w:hAnsiTheme="minorHAnsi"/>
          <w:iCs/>
        </w:rPr>
        <w:t>t</w:t>
      </w:r>
      <w:r w:rsidRPr="0010273D">
        <w:rPr>
          <w:rFonts w:asciiTheme="minorHAnsi" w:hAnsiTheme="minorHAnsi"/>
        </w:rPr>
        <w:t>)</w:t>
      </w:r>
      <w:r>
        <w:rPr>
          <w:rFonts w:asciiTheme="minorHAnsi" w:hAnsiTheme="minorHAnsi"/>
        </w:rPr>
        <w:t xml:space="preserve"> = </w:t>
      </w:r>
      <w:r w:rsidRPr="00356846">
        <w:rPr>
          <w:rFonts w:eastAsiaTheme="minorEastAsia"/>
        </w:rPr>
        <w:t>Number of infections</w:t>
      </w:r>
      <w:r w:rsidR="00976E8B">
        <w:rPr>
          <w:rFonts w:eastAsiaTheme="minorEastAsia"/>
        </w:rPr>
        <w:t xml:space="preserve"> occurring</w:t>
      </w:r>
      <w:r w:rsidRPr="00356846">
        <w:rPr>
          <w:rFonts w:eastAsiaTheme="minorEastAsia"/>
        </w:rPr>
        <w:t xml:space="preserve"> in subpopulation </w:t>
      </w:r>
      <w:r w:rsidRPr="00542624">
        <w:rPr>
          <w:rFonts w:eastAsiaTheme="minorEastAsia"/>
          <w:i/>
          <w:iCs/>
        </w:rPr>
        <w:t>p</w:t>
      </w:r>
      <w:r w:rsidRPr="00356846">
        <w:rPr>
          <w:rFonts w:eastAsiaTheme="minorEastAsia"/>
        </w:rPr>
        <w:t xml:space="preserve"> </w:t>
      </w:r>
      <w:r w:rsidR="00976E8B">
        <w:rPr>
          <w:rFonts w:eastAsiaTheme="minorEastAsia"/>
        </w:rPr>
        <w:t>over</w:t>
      </w:r>
      <w:r w:rsidRPr="00356846">
        <w:rPr>
          <w:rFonts w:eastAsiaTheme="minorEastAsia"/>
        </w:rPr>
        <w:t xml:space="preserve"> time </w:t>
      </w:r>
      <w:r w:rsidRPr="00542624">
        <w:rPr>
          <w:rFonts w:eastAsiaTheme="minorEastAsia"/>
          <w:i/>
          <w:iCs/>
        </w:rPr>
        <w:t xml:space="preserve">t </w:t>
      </w:r>
      <w:r w:rsidR="00976E8B">
        <w:rPr>
          <w:rFonts w:eastAsiaTheme="minorEastAsia"/>
        </w:rPr>
        <w:t xml:space="preserve">given the annual funding allocation </w:t>
      </w:r>
      <m:oMath>
        <m:sSubSup>
          <m:sSubSupPr>
            <m:ctrlPr>
              <w:rPr>
                <w:rFonts w:ascii="Cambria Math" w:hAnsi="Cambria Math"/>
              </w:rPr>
            </m:ctrlPr>
          </m:sSubSupPr>
          <m:e>
            <m:r>
              <m:rPr>
                <m:sty m:val="p"/>
              </m:rPr>
              <w:rPr>
                <w:rFonts w:ascii="Cambria Math" w:hAnsi="Cambria Math"/>
              </w:rPr>
              <m:t>ṅ</m:t>
            </m:r>
          </m:e>
          <m:sub>
            <m:sSup>
              <m:sSupPr>
                <m:ctrlPr>
                  <w:rPr>
                    <w:rFonts w:ascii="Cambria Math" w:hAnsi="Cambria Math"/>
                  </w:rPr>
                </m:ctrlPr>
              </m:sSupPr>
              <m:e>
                <m:r>
                  <m:rPr>
                    <m:sty m:val="bi"/>
                  </m:rPr>
                  <w:rPr>
                    <w:rFonts w:ascii="Cambria Math" w:hAnsi="Cambria Math"/>
                  </w:rPr>
                  <m:t>j</m:t>
                </m:r>
              </m:e>
              <m:sup>
                <m:r>
                  <m:rPr>
                    <m:sty m:val="p"/>
                  </m:rPr>
                  <w:rPr>
                    <w:rFonts w:ascii="Cambria Math" w:hAnsi="Cambria Math"/>
                  </w:rPr>
                  <m:t>*</m:t>
                </m:r>
              </m:sup>
            </m:sSup>
          </m:sub>
          <m:sup>
            <m:r>
              <m:rPr>
                <m:sty m:val="bi"/>
              </m:rPr>
              <w:rPr>
                <w:rFonts w:ascii="Cambria Math" w:hAnsi="Cambria Math"/>
              </w:rPr>
              <m:t>q</m:t>
            </m:r>
          </m:sup>
        </m:sSubSup>
      </m:oMath>
      <w:r w:rsidRPr="00356846">
        <w:rPr>
          <w:rFonts w:eastAsiaTheme="minorEastAsia"/>
        </w:rPr>
        <w:t>, where</w:t>
      </w:r>
      <w:r w:rsidRPr="00356846">
        <w:rPr>
          <w:rFonts w:eastAsiaTheme="minorEastAsia"/>
        </w:rPr>
        <w:br/>
      </w:r>
      <m:oMath>
        <m:r>
          <w:rPr>
            <w:rFonts w:ascii="Cambria Math" w:hAnsi="Cambria Math"/>
          </w:rPr>
          <m:t xml:space="preserve">                                           </m:t>
        </m:r>
        <m:sSub>
          <m:sSubPr>
            <m:ctrlPr>
              <w:rPr>
                <w:rFonts w:ascii="Cambria Math" w:hAnsi="Cambria Math"/>
                <w:i/>
              </w:rPr>
            </m:ctrlPr>
          </m:sSubPr>
          <m:e>
            <m:r>
              <m:rPr>
                <m:sty m:val="p"/>
              </m:rPr>
              <w:rPr>
                <w:rFonts w:ascii="Cambria Math" w:hAnsi="Cambria Math"/>
              </w:rPr>
              <m:t>Ḟ</m:t>
            </m:r>
          </m:e>
          <m:sub>
            <m:r>
              <w:rPr>
                <w:rFonts w:ascii="Cambria Math" w:hAnsi="Cambria Math"/>
              </w:rPr>
              <m:t>p</m:t>
            </m:r>
          </m:sub>
        </m:sSub>
        <m:r>
          <w:rPr>
            <w:rFonts w:ascii="Cambria Math" w:hAnsi="Cambria Math"/>
          </w:rPr>
          <m:t>(</m:t>
        </m:r>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w:rPr>
            <w:rFonts w:ascii="Cambria Math" w:hAnsi="Cambria Math"/>
          </w:rPr>
          <m:t>,t)=</m:t>
        </m:r>
        <m:nary>
          <m:naryPr>
            <m:chr m:val="∑"/>
            <m:limLoc m:val="undOvr"/>
            <m:supHide m:val="1"/>
            <m:ctrlPr>
              <w:rPr>
                <w:rFonts w:ascii="Cambria Math" w:hAnsi="Cambria Math"/>
                <w:i/>
              </w:rPr>
            </m:ctrlPr>
          </m:naryPr>
          <m:sub>
            <m:r>
              <w:rPr>
                <w:rFonts w:ascii="Cambria Math" w:hAnsi="Cambria Math"/>
              </w:rPr>
              <m:t>p</m:t>
            </m:r>
          </m:sub>
          <m:sup/>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p</m:t>
                        </m:r>
                      </m:sub>
                    </m:sSub>
                    <m:r>
                      <w:rPr>
                        <w:rFonts w:ascii="Cambria Math" w:hAnsi="Cambria Math"/>
                      </w:rPr>
                      <m:t>(</m:t>
                    </m:r>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w:rPr>
                        <w:rFonts w:ascii="Cambria Math" w:hAnsi="Cambria Math"/>
                      </w:rPr>
                      <m:t>,t)</m:t>
                    </m:r>
                  </m:e>
                </m:d>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c</m:t>
                        </m:r>
                      </m:sub>
                      <m:sup/>
                      <m:e>
                        <m:d>
                          <m:dPr>
                            <m:begChr m:val="["/>
                            <m:endChr m:val="]"/>
                            <m:ctrlPr>
                              <w:rPr>
                                <w:rFonts w:ascii="Cambria Math" w:hAnsi="Cambria Math"/>
                                <w:i/>
                              </w:rPr>
                            </m:ctrlPr>
                          </m:dPr>
                          <m:e>
                            <m:sSubSup>
                              <m:sSubSupPr>
                                <m:ctrlPr>
                                  <w:rPr>
                                    <w:rFonts w:ascii="Cambria Math" w:hAnsi="Cambria Math"/>
                                  </w:rPr>
                                </m:ctrlPr>
                              </m:sSubSupPr>
                              <m:e>
                                <m:r>
                                  <m:rPr>
                                    <m:sty m:val="p"/>
                                  </m:rPr>
                                  <w:rPr>
                                    <w:rFonts w:ascii="Cambria Math" w:hAnsi="Cambria Math"/>
                                  </w:rPr>
                                  <m:t>X</m:t>
                                </m:r>
                              </m:e>
                              <m:sub>
                                <m:r>
                                  <w:rPr>
                                    <w:rFonts w:ascii="Cambria Math" w:hAnsi="Cambria Math"/>
                                  </w:rPr>
                                  <m:t>p</m:t>
                                </m:r>
                              </m:sub>
                              <m:sup>
                                <m:r>
                                  <w:rPr>
                                    <w:rFonts w:ascii="Cambria Math" w:hAnsi="Cambria Math"/>
                                  </w:rPr>
                                  <m:t>c</m:t>
                                </m:r>
                              </m:sup>
                            </m:sSubSup>
                            <m:r>
                              <w:rPr>
                                <w:rFonts w:ascii="Cambria Math" w:hAnsi="Cambria Math"/>
                              </w:rPr>
                              <m:t>(</m:t>
                            </m:r>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w:rPr>
                                <w:rFonts w:ascii="Cambria Math" w:hAnsi="Cambria Math"/>
                              </w:rPr>
                              <m:t>,t)</m:t>
                            </m:r>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1-s</m:t>
                                </m:r>
                              </m:e>
                              <m:sub>
                                <m:r>
                                  <w:rPr>
                                    <w:rFonts w:ascii="Cambria Math" w:hAnsi="Cambria Math"/>
                                  </w:rPr>
                                  <m:t>c</m:t>
                                </m:r>
                              </m:sub>
                            </m:sSub>
                          </m:e>
                        </m:d>
                      </m:e>
                    </m:nary>
                  </m:e>
                </m:d>
              </m:e>
            </m:d>
          </m:e>
        </m:nary>
        <m:r>
          <w:rPr>
            <w:rFonts w:ascii="Cambria Math" w:hAnsi="Cambria Math"/>
          </w:rPr>
          <m:t xml:space="preserve"> </m:t>
        </m:r>
      </m:oMath>
      <w:r w:rsidR="00942583">
        <w:rPr>
          <w:rFonts w:eastAsiaTheme="minorEastAsia"/>
        </w:rPr>
        <w:t xml:space="preserve"> </w:t>
      </w:r>
      <w:r w:rsidR="00942583">
        <w:rPr>
          <w:rFonts w:eastAsiaTheme="minorEastAsia"/>
        </w:rPr>
        <w:tab/>
      </w:r>
      <w:r w:rsidR="00942583">
        <w:rPr>
          <w:rFonts w:eastAsiaTheme="minorEastAsia"/>
        </w:rPr>
        <w:tab/>
        <w:t>(8.1)</w:t>
      </w:r>
    </w:p>
    <w:p w14:paraId="29EC3F54" w14:textId="77777777" w:rsidR="0096578C" w:rsidRPr="00F66180" w:rsidRDefault="0096578C" w:rsidP="0096578C">
      <w:pPr>
        <w:pStyle w:val="bullets"/>
        <w:numPr>
          <w:ilvl w:val="0"/>
          <w:numId w:val="0"/>
        </w:numPr>
        <w:ind w:left="360"/>
        <w:jc w:val="center"/>
      </w:pPr>
      <m:oMath>
        <m:r>
          <w:rPr>
            <w:rFonts w:ascii="Cambria Math" w:hAnsi="Cambria Math"/>
          </w:rPr>
          <m:t>∀</m:t>
        </m:r>
      </m:oMath>
      <w:r>
        <w:t xml:space="preserve"> q, j</w:t>
      </w:r>
      <w:r w:rsidRPr="000133BE">
        <w:t>*,</w:t>
      </w:r>
      <w:r>
        <w:t xml:space="preserve"> </w:t>
      </w:r>
      <w:r w:rsidRPr="000133BE">
        <w:t>t in allocation period q</w:t>
      </w:r>
    </w:p>
    <w:p w14:paraId="7669A185" w14:textId="5A02B1AD" w:rsidR="00D273E2" w:rsidRPr="001E30D8" w:rsidRDefault="00747E9D" w:rsidP="00D273E2">
      <w:pPr>
        <w:pStyle w:val="bullets"/>
      </w:pPr>
      <m:oMath>
        <m:sSub>
          <m:sSubPr>
            <m:ctrlPr>
              <w:rPr>
                <w:rFonts w:ascii="Cambria Math" w:hAnsi="Cambria Math"/>
              </w:rPr>
            </m:ctrlPr>
          </m:sSubPr>
          <m:e>
            <m:r>
              <w:rPr>
                <w:rFonts w:ascii="Cambria Math" w:hAnsi="Cambria Math"/>
              </w:rPr>
              <m:t>λ</m:t>
            </m:r>
          </m:e>
          <m:sub>
            <m:r>
              <w:rPr>
                <w:rFonts w:ascii="Cambria Math" w:hAnsi="Cambria Math"/>
              </w:rPr>
              <m:t>p</m:t>
            </m:r>
          </m:sub>
        </m:sSub>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sz w:val="22"/>
              </w:rPr>
              <m:t>,</m:t>
            </m:r>
            <m:r>
              <w:rPr>
                <w:rFonts w:ascii="Cambria Math" w:hAnsi="Cambria Math"/>
              </w:rPr>
              <m:t>t</m:t>
            </m:r>
          </m:e>
        </m:d>
        <m:r>
          <m:rPr>
            <m:sty m:val="p"/>
          </m:rPr>
          <w:rPr>
            <w:rFonts w:ascii="Cambria Math" w:hAnsi="Cambria Math"/>
          </w:rPr>
          <m:t xml:space="preserve">= </m:t>
        </m:r>
      </m:oMath>
      <w:r w:rsidR="004D624F" w:rsidRPr="00F03065">
        <w:t xml:space="preserve">Force of HIV infection for non-HIV-infected individuals (across all sexual and needle-sharing risks) in subpopulation </w:t>
      </w:r>
      <w:proofErr w:type="spellStart"/>
      <w:r w:rsidR="004D624F" w:rsidRPr="00F03065">
        <w:rPr>
          <w:i/>
          <w:iCs/>
        </w:rPr>
        <w:t>p</w:t>
      </w:r>
      <w:r w:rsidR="004D624F" w:rsidRPr="00F03065">
        <w:t xml:space="preserve"> at</w:t>
      </w:r>
      <w:proofErr w:type="spellEnd"/>
      <w:r w:rsidR="004D624F" w:rsidRPr="00F03065">
        <w:t xml:space="preserve"> time </w:t>
      </w:r>
      <w:r w:rsidR="004D624F" w:rsidRPr="00F03065">
        <w:rPr>
          <w:i/>
          <w:iCs/>
        </w:rPr>
        <w:t>t</w:t>
      </w:r>
      <w:r w:rsidR="004D624F" w:rsidRPr="001E30D8">
        <w:t xml:space="preserve"> </w:t>
      </w:r>
      <w:r w:rsidR="00D273E2" w:rsidRPr="001E30D8">
        <w:t xml:space="preserve">over time step </w:t>
      </w:r>
      <w:r w:rsidR="00D273E2" w:rsidRPr="001E30D8">
        <w:rPr>
          <w:i/>
          <w:iCs/>
        </w:rPr>
        <w:t>t</w:t>
      </w:r>
      <w:r w:rsidR="00D273E2" w:rsidRPr="001E30D8">
        <w:t xml:space="preserve"> for an uninfected individual in subpopulation </w:t>
      </w:r>
      <w:r w:rsidR="00D273E2" w:rsidRPr="001E30D8">
        <w:rPr>
          <w:i/>
          <w:iCs/>
        </w:rPr>
        <w:t>p</w:t>
      </w:r>
      <w:r w:rsidR="004D624F">
        <w:t>,</w:t>
      </w:r>
      <w:r w:rsidR="00D273E2" w:rsidRPr="001E30D8">
        <w:rPr>
          <w:i/>
          <w:iCs/>
        </w:rPr>
        <w:t xml:space="preserve"> </w:t>
      </w:r>
      <w:r w:rsidR="00976E8B">
        <w:rPr>
          <w:rFonts w:eastAsiaTheme="minorEastAsia"/>
        </w:rPr>
        <w:t xml:space="preserve">given the annual funding allocation </w:t>
      </w:r>
      <m:oMath>
        <m:sSubSup>
          <m:sSubSupPr>
            <m:ctrlPr>
              <w:rPr>
                <w:rFonts w:ascii="Cambria Math" w:hAnsi="Cambria Math"/>
              </w:rPr>
            </m:ctrlPr>
          </m:sSubSupPr>
          <m:e>
            <m:r>
              <m:rPr>
                <m:sty m:val="p"/>
              </m:rPr>
              <w:rPr>
                <w:rFonts w:ascii="Cambria Math" w:hAnsi="Cambria Math"/>
              </w:rPr>
              <m:t>ṅ</m:t>
            </m:r>
          </m:e>
          <m:sub>
            <m:sSup>
              <m:sSupPr>
                <m:ctrlPr>
                  <w:rPr>
                    <w:rFonts w:ascii="Cambria Math" w:hAnsi="Cambria Math"/>
                  </w:rPr>
                </m:ctrlPr>
              </m:sSupPr>
              <m:e>
                <m:r>
                  <m:rPr>
                    <m:sty m:val="bi"/>
                  </m:rPr>
                  <w:rPr>
                    <w:rFonts w:ascii="Cambria Math" w:hAnsi="Cambria Math"/>
                  </w:rPr>
                  <m:t>j</m:t>
                </m:r>
              </m:e>
              <m:sup>
                <m:r>
                  <m:rPr>
                    <m:sty m:val="p"/>
                  </m:rPr>
                  <w:rPr>
                    <w:rFonts w:ascii="Cambria Math" w:hAnsi="Cambria Math"/>
                  </w:rPr>
                  <m:t>*</m:t>
                </m:r>
              </m:sup>
            </m:sSup>
          </m:sub>
          <m:sup>
            <m:r>
              <m:rPr>
                <m:sty m:val="bi"/>
              </m:rPr>
              <w:rPr>
                <w:rFonts w:ascii="Cambria Math" w:hAnsi="Cambria Math"/>
              </w:rPr>
              <m:t>q</m:t>
            </m:r>
          </m:sup>
        </m:sSubSup>
      </m:oMath>
      <w:r w:rsidR="00D273E2" w:rsidRPr="001E30D8">
        <w:t xml:space="preserve">, where </w:t>
      </w:r>
    </w:p>
    <w:p w14:paraId="4D664F7F" w14:textId="16EA9809" w:rsidR="00D273E2" w:rsidRPr="008537B4" w:rsidRDefault="00747E9D" w:rsidP="00D273E2">
      <w:pPr>
        <w:pStyle w:val="bullets"/>
        <w:numPr>
          <w:ilvl w:val="0"/>
          <w:numId w:val="0"/>
        </w:numPr>
        <w:ind w:left="360"/>
        <w:rPr>
          <w:rFonts w:asciiTheme="minorHAnsi" w:eastAsiaTheme="minorEastAsia" w:hAnsiTheme="minorHAnsi"/>
        </w:rPr>
      </w:pPr>
      <m:oMath>
        <m:sSubSup>
          <m:sSubSupPr>
            <m:ctrlPr>
              <w:rPr>
                <w:rFonts w:ascii="Cambria Math" w:hAnsi="Cambria Math"/>
              </w:rPr>
            </m:ctrlPr>
          </m:sSubSupPr>
          <m:e>
            <m:sSub>
              <m:sSubPr>
                <m:ctrlPr>
                  <w:rPr>
                    <w:rFonts w:ascii="Cambria Math" w:hAnsi="Cambria Math"/>
                  </w:rPr>
                </m:ctrlPr>
              </m:sSubPr>
              <m:e>
                <m:r>
                  <w:rPr>
                    <w:rFonts w:ascii="Cambria Math" w:hAnsi="Cambria Math"/>
                  </w:rPr>
                  <m:t>λ</m:t>
                </m:r>
              </m:e>
              <m:sub>
                <m:r>
                  <w:rPr>
                    <w:rFonts w:ascii="Cambria Math" w:hAnsi="Cambria Math"/>
                  </w:rPr>
                  <m:t>p</m:t>
                </m:r>
              </m:sub>
            </m:sSub>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sz w:val="22"/>
                  </w:rPr>
                  <m:t>,</m:t>
                </m:r>
                <m:r>
                  <w:rPr>
                    <w:rFonts w:ascii="Cambria Math" w:hAnsi="Cambria Math"/>
                  </w:rPr>
                  <m:t>t</m:t>
                </m:r>
              </m:e>
            </m:d>
            <m:r>
              <m:rPr>
                <m:sty m:val="p"/>
              </m:rPr>
              <w:rPr>
                <w:rFonts w:ascii="Cambria Math" w:hAnsi="Cambria Math"/>
              </w:rPr>
              <m:t>=</m:t>
            </m:r>
            <m:r>
              <w:rPr>
                <w:rFonts w:ascii="Cambria Math" w:hAnsi="Cambria Math"/>
              </w:rPr>
              <m:t>λ</m:t>
            </m:r>
          </m:e>
          <m:sub>
            <m:r>
              <w:rPr>
                <w:rFonts w:ascii="Cambria Math" w:hAnsi="Cambria Math"/>
              </w:rPr>
              <m:t>p</m:t>
            </m:r>
          </m:sub>
          <m:sup>
            <m:r>
              <w:rPr>
                <w:rFonts w:ascii="Cambria Math" w:hAnsi="Cambria Math"/>
              </w:rPr>
              <m:t>z</m:t>
            </m:r>
            <m:r>
              <m:rPr>
                <m:sty m:val="p"/>
              </m:rPr>
              <w:rPr>
                <w:rFonts w:ascii="Cambria Math" w:hAnsi="Cambria Math"/>
              </w:rPr>
              <m:t>=1,</m:t>
            </m:r>
            <m:r>
              <w:rPr>
                <w:rFonts w:ascii="Cambria Math" w:hAnsi="Cambria Math"/>
              </w:rPr>
              <m:t>x</m:t>
            </m:r>
            <m:r>
              <m:rPr>
                <m:sty m:val="p"/>
              </m:rPr>
              <w:rPr>
                <w:rFonts w:ascii="Cambria Math" w:hAnsi="Cambria Math"/>
              </w:rPr>
              <m:t>=1</m:t>
            </m:r>
          </m:sup>
        </m:sSubSup>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sz w:val="22"/>
              </w:rPr>
              <m:t>,</m:t>
            </m:r>
            <m:r>
              <w:rPr>
                <w:rFonts w:ascii="Cambria Math" w:hAnsi="Cambria Math"/>
              </w:rPr>
              <m:t>t</m:t>
            </m:r>
          </m:e>
        </m:d>
        <m:r>
          <m:rPr>
            <m:sty m:val="p"/>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p</m:t>
            </m:r>
          </m:sub>
          <m:sup>
            <m:r>
              <w:rPr>
                <w:rFonts w:ascii="Cambria Math" w:hAnsi="Cambria Math"/>
              </w:rPr>
              <m:t>z</m:t>
            </m:r>
            <m:r>
              <m:rPr>
                <m:sty m:val="p"/>
              </m:rPr>
              <w:rPr>
                <w:rFonts w:ascii="Cambria Math" w:hAnsi="Cambria Math"/>
              </w:rPr>
              <m:t>=2,</m:t>
            </m:r>
            <m:r>
              <w:rPr>
                <w:rFonts w:ascii="Cambria Math" w:hAnsi="Cambria Math"/>
              </w:rPr>
              <m:t>x</m:t>
            </m:r>
            <m:r>
              <m:rPr>
                <m:sty m:val="p"/>
              </m:rPr>
              <w:rPr>
                <w:rFonts w:ascii="Cambria Math" w:hAnsi="Cambria Math"/>
              </w:rPr>
              <m:t>=2</m:t>
            </m:r>
          </m:sup>
        </m:sSubSup>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sz w:val="22"/>
              </w:rPr>
              <m:t>,</m:t>
            </m:r>
            <m:r>
              <w:rPr>
                <w:rFonts w:ascii="Cambria Math" w:hAnsi="Cambria Math"/>
              </w:rPr>
              <m:t>t</m:t>
            </m:r>
          </m:e>
        </m:d>
        <m:r>
          <m:rPr>
            <m:sty m:val="p"/>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p</m:t>
            </m:r>
          </m:sub>
          <m:sup>
            <m:r>
              <w:rPr>
                <w:rFonts w:ascii="Cambria Math" w:hAnsi="Cambria Math"/>
              </w:rPr>
              <m:t>z</m:t>
            </m:r>
            <m:r>
              <m:rPr>
                <m:sty m:val="p"/>
              </m:rPr>
              <w:rPr>
                <w:rFonts w:ascii="Cambria Math" w:hAnsi="Cambria Math"/>
              </w:rPr>
              <m:t>=1,</m:t>
            </m:r>
            <m:r>
              <w:rPr>
                <w:rFonts w:ascii="Cambria Math" w:hAnsi="Cambria Math"/>
              </w:rPr>
              <m:t>x</m:t>
            </m:r>
            <m:r>
              <m:rPr>
                <m:sty m:val="p"/>
              </m:rPr>
              <w:rPr>
                <w:rFonts w:ascii="Cambria Math" w:hAnsi="Cambria Math"/>
              </w:rPr>
              <m:t>=3</m:t>
            </m:r>
          </m:sup>
        </m:sSubSup>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sz w:val="22"/>
              </w:rPr>
              <m:t>,</m:t>
            </m:r>
            <m:r>
              <w:rPr>
                <w:rFonts w:ascii="Cambria Math" w:hAnsi="Cambria Math"/>
              </w:rPr>
              <m:t>t</m:t>
            </m:r>
          </m:e>
        </m:d>
        <m:r>
          <m:rPr>
            <m:sty m:val="p"/>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p</m:t>
            </m:r>
          </m:sub>
          <m:sup>
            <m:r>
              <w:rPr>
                <w:rFonts w:ascii="Cambria Math" w:hAnsi="Cambria Math"/>
              </w:rPr>
              <m:t>z</m:t>
            </m:r>
            <m:r>
              <m:rPr>
                <m:sty m:val="p"/>
              </m:rPr>
              <w:rPr>
                <w:rFonts w:ascii="Cambria Math" w:hAnsi="Cambria Math"/>
              </w:rPr>
              <m:t>=2,</m:t>
            </m:r>
            <m:r>
              <w:rPr>
                <w:rFonts w:ascii="Cambria Math" w:hAnsi="Cambria Math"/>
              </w:rPr>
              <m:t>x</m:t>
            </m:r>
            <m:r>
              <m:rPr>
                <m:sty m:val="p"/>
              </m:rPr>
              <w:rPr>
                <w:rFonts w:ascii="Cambria Math" w:hAnsi="Cambria Math"/>
              </w:rPr>
              <m:t>=3</m:t>
            </m:r>
          </m:sup>
        </m:sSubSup>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sz w:val="22"/>
              </w:rPr>
              <m:t>,</m:t>
            </m:r>
            <m:r>
              <w:rPr>
                <w:rFonts w:ascii="Cambria Math" w:hAnsi="Cambria Math"/>
              </w:rPr>
              <m:t>t</m:t>
            </m:r>
          </m:e>
        </m:d>
        <m:r>
          <m:rPr>
            <m:sty m:val="p"/>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p</m:t>
            </m:r>
          </m:sub>
          <m:sup>
            <m:r>
              <w:rPr>
                <w:rFonts w:ascii="Cambria Math" w:hAnsi="Cambria Math"/>
              </w:rPr>
              <m:t>z</m:t>
            </m:r>
            <m:r>
              <m:rPr>
                <m:sty m:val="p"/>
              </m:rPr>
              <w:rPr>
                <w:rFonts w:ascii="Cambria Math" w:hAnsi="Cambria Math"/>
              </w:rPr>
              <m:t>=3</m:t>
            </m:r>
          </m:sup>
        </m:sSubSup>
        <m:r>
          <m:rPr>
            <m:sty m:val="p"/>
          </m:rPr>
          <w:rPr>
            <w:rFonts w:ascii="Cambria Math" w:hAnsi="Cambria Math"/>
          </w:rPr>
          <m:t>(</m:t>
        </m:r>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sz w:val="22"/>
          </w:rPr>
          <m:t>,</m:t>
        </m:r>
        <m:r>
          <w:rPr>
            <w:rFonts w:ascii="Cambria Math" w:hAnsi="Cambria Math"/>
          </w:rPr>
          <m:t>t</m:t>
        </m:r>
        <m:r>
          <m:rPr>
            <m:sty m:val="p"/>
          </m:rPr>
          <w:rPr>
            <w:rFonts w:ascii="Cambria Math" w:hAnsi="Cambria Math"/>
          </w:rPr>
          <m:t>)</m:t>
        </m:r>
      </m:oMath>
      <w:r w:rsidR="00942583">
        <w:rPr>
          <w:rFonts w:asciiTheme="minorHAnsi" w:eastAsiaTheme="minorEastAsia" w:hAnsiTheme="minorHAnsi"/>
        </w:rPr>
        <w:t xml:space="preserve"> </w:t>
      </w:r>
      <w:r w:rsidR="00942583">
        <w:rPr>
          <w:rFonts w:eastAsiaTheme="minorEastAsia"/>
        </w:rPr>
        <w:t>(8.2)</w:t>
      </w:r>
    </w:p>
    <w:p w14:paraId="62956BAD" w14:textId="77777777" w:rsidR="0096578C" w:rsidRPr="00F66180" w:rsidRDefault="0096578C" w:rsidP="0096578C">
      <w:pPr>
        <w:pStyle w:val="bullets"/>
        <w:numPr>
          <w:ilvl w:val="0"/>
          <w:numId w:val="0"/>
        </w:numPr>
        <w:ind w:left="360"/>
        <w:jc w:val="center"/>
      </w:pPr>
      <m:oMath>
        <m:r>
          <w:rPr>
            <w:rFonts w:ascii="Cambria Math" w:hAnsi="Cambria Math"/>
          </w:rPr>
          <w:lastRenderedPageBreak/>
          <m:t>∀</m:t>
        </m:r>
      </m:oMath>
      <w:r>
        <w:t xml:space="preserve"> q, j</w:t>
      </w:r>
      <w:r w:rsidRPr="000133BE">
        <w:t>*,</w:t>
      </w:r>
      <w:r>
        <w:t xml:space="preserve"> </w:t>
      </w:r>
      <w:r w:rsidRPr="000133BE">
        <w:t>t in allocation period q</w:t>
      </w:r>
    </w:p>
    <w:p w14:paraId="35814C7B" w14:textId="15BABC43" w:rsidR="00F66180" w:rsidRPr="001E30D8" w:rsidRDefault="00747E9D" w:rsidP="00F66180">
      <w:pPr>
        <w:pStyle w:val="bullets"/>
      </w:pPr>
      <m:oMath>
        <m:sSubSup>
          <m:sSubSupPr>
            <m:ctrlPr>
              <w:rPr>
                <w:rFonts w:ascii="Cambria Math" w:hAnsi="Cambria Math"/>
              </w:rPr>
            </m:ctrlPr>
          </m:sSubSupPr>
          <m:e>
            <m:r>
              <w:rPr>
                <w:rFonts w:ascii="Cambria Math" w:hAnsi="Cambria Math"/>
              </w:rPr>
              <m:t>λ</m:t>
            </m:r>
          </m:e>
          <m:sub>
            <m:r>
              <w:rPr>
                <w:rFonts w:ascii="Cambria Math" w:hAnsi="Cambria Math"/>
              </w:rPr>
              <m:t>p</m:t>
            </m:r>
          </m:sub>
          <m:sup>
            <m:r>
              <w:rPr>
                <w:rFonts w:ascii="Cambria Math" w:hAnsi="Cambria Math"/>
              </w:rPr>
              <m:t>z</m:t>
            </m:r>
            <m:r>
              <m:rPr>
                <m:sty m:val="p"/>
              </m:rPr>
              <w:rPr>
                <w:rFonts w:ascii="Cambria Math" w:hAnsi="Cambria Math"/>
              </w:rPr>
              <m:t>,</m:t>
            </m:r>
            <m:r>
              <w:rPr>
                <w:rFonts w:ascii="Cambria Math" w:hAnsi="Cambria Math"/>
              </w:rPr>
              <m:t>x</m:t>
            </m:r>
          </m:sup>
        </m:sSubSup>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rPr>
              <m:t>,</m:t>
            </m:r>
            <m:r>
              <w:rPr>
                <w:rFonts w:ascii="Cambria Math" w:hAnsi="Cambria Math"/>
              </w:rPr>
              <m:t>t</m:t>
            </m:r>
          </m:e>
        </m:d>
        <m:r>
          <m:rPr>
            <m:sty m:val="p"/>
          </m:rPr>
          <w:rPr>
            <w:rFonts w:ascii="Cambria Math" w:hAnsi="Cambria Math"/>
          </w:rPr>
          <m:t xml:space="preserve">= </m:t>
        </m:r>
      </m:oMath>
      <w:r w:rsidR="004D624F">
        <w:t>Force of HIV infection</w:t>
      </w:r>
      <w:r w:rsidR="00F66180" w:rsidRPr="001E30D8">
        <w:t xml:space="preserve"> from risk type </w:t>
      </w:r>
      <w:r w:rsidR="00F66180" w:rsidRPr="001E30D8">
        <w:rPr>
          <w:i/>
          <w:iCs/>
        </w:rPr>
        <w:t>z</w:t>
      </w:r>
      <w:r w:rsidR="00F66180" w:rsidRPr="001E30D8">
        <w:t xml:space="preserve"> over time step </w:t>
      </w:r>
      <w:r w:rsidR="00F66180" w:rsidRPr="001E30D8">
        <w:rPr>
          <w:i/>
          <w:iCs/>
        </w:rPr>
        <w:t>t</w:t>
      </w:r>
      <w:r w:rsidR="00F66180" w:rsidRPr="001E30D8">
        <w:t xml:space="preserve"> for an uninfected individual not on </w:t>
      </w:r>
      <w:proofErr w:type="spellStart"/>
      <w:r w:rsidR="00F66180" w:rsidRPr="001E30D8">
        <w:t>PrEP</w:t>
      </w:r>
      <w:proofErr w:type="spellEnd"/>
      <w:r w:rsidR="00F66180" w:rsidRPr="001E30D8">
        <w:t xml:space="preserve"> in subpopulation </w:t>
      </w:r>
      <w:r w:rsidR="00F66180" w:rsidRPr="001E30D8">
        <w:rPr>
          <w:i/>
          <w:iCs/>
        </w:rPr>
        <w:t>p</w:t>
      </w:r>
      <w:r w:rsidR="00F66180" w:rsidRPr="001E30D8">
        <w:t xml:space="preserve"> who participates in sexual transmission risk behaviors of type </w:t>
      </w:r>
      <w:r w:rsidR="00F66180" w:rsidRPr="00544ADA">
        <w:rPr>
          <w:i/>
          <w:iCs/>
        </w:rPr>
        <w:t>x</w:t>
      </w:r>
      <w:r w:rsidR="00F66180" w:rsidRPr="001E30D8">
        <w:t xml:space="preserve">, at time </w:t>
      </w:r>
      <w:r w:rsidR="00F66180" w:rsidRPr="00544ADA">
        <w:rPr>
          <w:i/>
          <w:iCs/>
        </w:rPr>
        <w:t>t</w:t>
      </w:r>
      <w:r w:rsidR="00F66180" w:rsidRPr="001E30D8">
        <w:t xml:space="preserve">, given annual funding allocation for implementing intervention </w:t>
      </w:r>
      <w:r w:rsidR="00F66180" w:rsidRPr="001E30D8">
        <w:rPr>
          <w:i/>
          <w:iCs/>
        </w:rPr>
        <w:t>j*</w:t>
      </w:r>
      <w:r w:rsidR="00F66180" w:rsidRPr="001E30D8">
        <w:t xml:space="preserve">, where </w:t>
      </w:r>
    </w:p>
    <w:p w14:paraId="44BDA6A3" w14:textId="6A8748DB" w:rsidR="00F66180" w:rsidRPr="008537B4" w:rsidRDefault="00942583" w:rsidP="00F66180">
      <w:pPr>
        <w:pStyle w:val="bullets"/>
        <w:numPr>
          <w:ilvl w:val="0"/>
          <w:numId w:val="0"/>
        </w:numPr>
        <w:ind w:left="360"/>
        <w:rPr>
          <w:rFonts w:asciiTheme="minorHAnsi" w:eastAsiaTheme="minorEastAsia" w:hAnsiTheme="minorHAnsi"/>
        </w:rPr>
      </w:pPr>
      <m:oMath>
        <m:r>
          <w:rPr>
            <w:rFonts w:ascii="Cambria Math" w:hAnsi="Cambria Math"/>
          </w:rPr>
          <m:t xml:space="preserve">                        </m:t>
        </m:r>
        <m:sSubSup>
          <m:sSubSupPr>
            <m:ctrlPr>
              <w:rPr>
                <w:rFonts w:ascii="Cambria Math" w:hAnsi="Cambria Math"/>
              </w:rPr>
            </m:ctrlPr>
          </m:sSubSupPr>
          <m:e>
            <m:r>
              <w:rPr>
                <w:rFonts w:ascii="Cambria Math" w:hAnsi="Cambria Math"/>
              </w:rPr>
              <m:t>λ</m:t>
            </m:r>
          </m:e>
          <m:sub>
            <m:r>
              <w:rPr>
                <w:rFonts w:ascii="Cambria Math" w:hAnsi="Cambria Math"/>
              </w:rPr>
              <m:t>p</m:t>
            </m:r>
          </m:sub>
          <m:sup>
            <m:r>
              <w:rPr>
                <w:rFonts w:ascii="Cambria Math" w:hAnsi="Cambria Math"/>
              </w:rPr>
              <m:t>z</m:t>
            </m:r>
            <m:r>
              <m:rPr>
                <m:sty m:val="p"/>
              </m:rPr>
              <w:rPr>
                <w:rFonts w:ascii="Cambria Math" w:hAnsi="Cambria Math"/>
              </w:rPr>
              <m:t>,</m:t>
            </m:r>
            <m:r>
              <w:rPr>
                <w:rFonts w:ascii="Cambria Math" w:hAnsi="Cambria Math"/>
              </w:rPr>
              <m:t>x</m:t>
            </m:r>
          </m:sup>
        </m:sSubSup>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ṅ</m:t>
                </m:r>
              </m:e>
              <m:sub>
                <m:sSup>
                  <m:sSupPr>
                    <m:ctrlPr>
                      <w:rPr>
                        <w:rFonts w:ascii="Cambria Math" w:hAnsi="Cambria Math"/>
                        <w:b/>
                        <w:sz w:val="22"/>
                      </w:rPr>
                    </m:ctrlPr>
                  </m:sSupPr>
                  <m:e>
                    <m:r>
                      <m:rPr>
                        <m:sty m:val="bi"/>
                      </m:rPr>
                      <w:rPr>
                        <w:rFonts w:ascii="Cambria Math" w:hAnsi="Cambria Math"/>
                        <w:sz w:val="22"/>
                      </w:rPr>
                      <m:t>j</m:t>
                    </m:r>
                  </m:e>
                  <m:sup>
                    <m:r>
                      <m:rPr>
                        <m:sty m:val="b"/>
                      </m:rPr>
                      <w:rPr>
                        <w:rFonts w:ascii="Cambria Math" w:hAnsi="Cambria Math"/>
                        <w:sz w:val="22"/>
                      </w:rPr>
                      <m:t>*</m:t>
                    </m:r>
                  </m:sup>
                </m:sSup>
              </m:sub>
              <m:sup>
                <m:r>
                  <m:rPr>
                    <m:sty m:val="bi"/>
                  </m:rPr>
                  <w:rPr>
                    <w:rFonts w:ascii="Cambria Math" w:hAnsi="Cambria Math"/>
                    <w:sz w:val="22"/>
                  </w:rPr>
                  <m:t>q</m:t>
                </m:r>
              </m:sup>
            </m:sSubSup>
            <m:r>
              <m:rPr>
                <m:sty m:val="p"/>
              </m:rPr>
              <w:rPr>
                <w:rFonts w:ascii="Cambria Math" w:hAnsi="Cambria Math"/>
              </w:rPr>
              <m:t>,</m:t>
            </m:r>
            <m:r>
              <w:rPr>
                <w:rFonts w:ascii="Cambria Math" w:hAnsi="Cambria Math"/>
              </w:rPr>
              <m:t>t</m:t>
            </m:r>
          </m:e>
        </m:d>
        <m:r>
          <m:rPr>
            <m:sty m:val="p"/>
          </m:rP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w:rPr>
                            <w:rFonts w:ascii="Cambria Math" w:hAnsi="Cambria Math"/>
                          </w:rPr>
                          <m:t>ϱ</m:t>
                        </m:r>
                      </m:e>
                      <m:sub>
                        <m:r>
                          <w:rPr>
                            <w:rFonts w:ascii="Cambria Math" w:hAnsi="Cambria Math"/>
                          </w:rPr>
                          <m:t>p</m:t>
                        </m:r>
                        <m:r>
                          <m:rPr>
                            <m:sty m:val="p"/>
                          </m:rPr>
                          <w:rPr>
                            <w:rFonts w:ascii="Cambria Math" w:hAnsi="Cambria Math"/>
                          </w:rPr>
                          <m:t>,</m:t>
                        </m:r>
                        <m:r>
                          <w:rPr>
                            <w:rFonts w:ascii="Cambria Math" w:hAnsi="Cambria Math"/>
                          </w:rPr>
                          <m:t>x</m:t>
                        </m:r>
                      </m:sub>
                    </m:sSub>
                  </m:e>
                </m:d>
                <m:nary>
                  <m:naryPr>
                    <m:chr m:val="∑"/>
                    <m:limLoc m:val="undOvr"/>
                    <m:supHide m:val="1"/>
                    <m:ctrlPr>
                      <w:rPr>
                        <w:rFonts w:ascii="Cambria Math" w:hAnsi="Cambria Math"/>
                      </w:rPr>
                    </m:ctrlPr>
                  </m:naryPr>
                  <m:sub>
                    <m:r>
                      <w:rPr>
                        <w:rFonts w:ascii="Cambria Math" w:hAnsi="Cambria Math"/>
                      </w:rPr>
                      <m:t>y</m:t>
                    </m:r>
                  </m:sub>
                  <m:sup/>
                  <m:e>
                    <m:d>
                      <m:dPr>
                        <m:ctrlPr>
                          <w:rPr>
                            <w:rFonts w:ascii="Cambria Math" w:hAnsi="Cambria Math"/>
                          </w:rPr>
                        </m:ctrlPr>
                      </m:dPr>
                      <m:e>
                        <m:r>
                          <m:rPr>
                            <m:sty m:val="p"/>
                          </m:rPr>
                          <w:rPr>
                            <w:rFonts w:ascii="Cambria Math" w:hAnsi="Cambria Math"/>
                          </w:rPr>
                          <m:t>1-</m:t>
                        </m:r>
                        <m:nary>
                          <m:naryPr>
                            <m:chr m:val="∏"/>
                            <m:limLoc m:val="undOvr"/>
                            <m:supHide m:val="1"/>
                            <m:ctrlPr>
                              <w:rPr>
                                <w:rFonts w:ascii="Cambria Math" w:hAnsi="Cambria Math"/>
                              </w:rPr>
                            </m:ctrlPr>
                          </m:naryPr>
                          <m:sub>
                            <m:r>
                              <w:rPr>
                                <w:rFonts w:ascii="Cambria Math" w:hAnsi="Cambria Math"/>
                              </w:rPr>
                              <m:t>p</m:t>
                            </m:r>
                            <m:r>
                              <m:rPr>
                                <m:sty m:val="p"/>
                              </m:rPr>
                              <w:rPr>
                                <w:rFonts w:ascii="Cambria Math" w:hAnsi="Cambria Math"/>
                              </w:rPr>
                              <m:t>2</m:t>
                            </m:r>
                          </m:sub>
                          <m:sup/>
                          <m:e>
                            <m:d>
                              <m:dPr>
                                <m:begChr m:val="["/>
                                <m:endChr m:val="]"/>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c</m:t>
                                    </m:r>
                                  </m:sub>
                                  <m:sup/>
                                  <m:e>
                                    <m:d>
                                      <m:dPr>
                                        <m:begChr m:val="["/>
                                        <m:endChr m:val="]"/>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1-</m:t>
                                                </m:r>
                                                <m:r>
                                                  <m:rPr>
                                                    <m:sty m:val="p"/>
                                                  </m:rPr>
                                                  <w:rPr>
                                                    <w:rFonts w:ascii="Cambria Math" w:hAnsi="Cambria Math"/>
                                                    <w:noProof/>
                                                    <w:position w:val="-14"/>
                                                  </w:rPr>
                                                  <w:drawing>
                                                    <wp:inline distT="0" distB="0" distL="0" distR="0" wp14:anchorId="32D87806" wp14:editId="5F8DAFCB">
                                                      <wp:extent cx="373380" cy="2743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73380" cy="274320"/>
                                                              </a:xfrm>
                                                              <a:prstGeom prst="rect">
                                                                <a:avLst/>
                                                              </a:prstGeom>
                                                              <a:noFill/>
                                                              <a:ln>
                                                                <a:noFill/>
                                                              </a:ln>
                                                            </pic:spPr>
                                                          </pic:pic>
                                                        </a:graphicData>
                                                      </a:graphic>
                                                    </wp:inline>
                                                  </w:drawing>
                                                </m:r>
                                              </m:e>
                                            </m:d>
                                          </m:e>
                                          <m:sup>
                                            <m:argPr>
                                              <m:argSz m:val="-1"/>
                                            </m:argPr>
                                            <m:sSub>
                                              <m:sSubPr>
                                                <m:ctrlPr>
                                                  <w:rPr>
                                                    <w:rFonts w:ascii="Cambria Math" w:hAnsi="Cambria Math"/>
                                                  </w:rPr>
                                                </m:ctrlPr>
                                              </m:sSubPr>
                                              <m:e>
                                                <m:r>
                                                  <w:rPr>
                                                    <w:rFonts w:ascii="Cambria Math" w:hAnsi="Cambria Math"/>
                                                  </w:rPr>
                                                  <m:t>ξ</m:t>
                                                </m:r>
                                              </m:e>
                                              <m:sub>
                                                <m:r>
                                                  <w:rPr>
                                                    <w:rFonts w:ascii="Cambria Math" w:hAnsi="Cambria Math"/>
                                                  </w:rPr>
                                                  <m:t>z</m:t>
                                                </m:r>
                                                <m:r>
                                                  <m:rPr>
                                                    <m:sty m:val="p"/>
                                                  </m:rPr>
                                                  <w:rPr>
                                                    <w:rFonts w:ascii="Cambria Math" w:hAnsi="Cambria Math"/>
                                                  </w:rPr>
                                                  <m:t>,</m:t>
                                                </m:r>
                                                <m:r>
                                                  <w:rPr>
                                                    <w:rFonts w:ascii="Cambria Math" w:hAnsi="Cambria Math"/>
                                                    <w:vertAlign w:val="subscript"/>
                                                  </w:rPr>
                                                  <m:t>y</m:t>
                                                </m:r>
                                                <m:r>
                                                  <m:rPr>
                                                    <m:sty m:val="p"/>
                                                  </m:rPr>
                                                  <w:rPr>
                                                    <w:rFonts w:ascii="Cambria Math" w:hAnsi="Cambria Math"/>
                                                  </w:rPr>
                                                  <m:t>,</m:t>
                                                </m:r>
                                                <m:r>
                                                  <w:rPr>
                                                    <w:rFonts w:ascii="Cambria Math" w:hAnsi="Cambria Math"/>
                                                    <w:vertAlign w:val="subscript"/>
                                                  </w:rPr>
                                                  <m:t>p</m:t>
                                                </m:r>
                                                <m:r>
                                                  <m:rPr>
                                                    <m:sty m:val="p"/>
                                                  </m:rPr>
                                                  <w:rPr>
                                                    <w:rFonts w:ascii="Cambria Math" w:hAnsi="Cambria Math"/>
                                                    <w:vertAlign w:val="subscript"/>
                                                  </w:rPr>
                                                  <m:t>,</m:t>
                                                </m:r>
                                                <m:r>
                                                  <w:rPr>
                                                    <w:rFonts w:ascii="Cambria Math" w:hAnsi="Cambria Math"/>
                                                    <w:vertAlign w:val="subscript"/>
                                                  </w:rPr>
                                                  <m:t>p</m:t>
                                                </m:r>
                                                <m:r>
                                                  <m:rPr>
                                                    <m:sty m:val="p"/>
                                                  </m:rPr>
                                                  <w:rPr>
                                                    <w:rFonts w:ascii="Cambria Math" w:hAnsi="Cambria Math"/>
                                                    <w:vertAlign w:val="subscript"/>
                                                  </w:rPr>
                                                  <m:t>2,</m:t>
                                                </m:r>
                                                <m:r>
                                                  <w:rPr>
                                                    <w:rFonts w:ascii="Cambria Math" w:hAnsi="Cambria Math"/>
                                                    <w:vertAlign w:val="subscript"/>
                                                  </w:rPr>
                                                  <m:t>c</m:t>
                                                </m:r>
                                              </m:sub>
                                            </m:sSub>
                                            <m:r>
                                              <m:rPr>
                                                <m:sty m:val="p"/>
                                              </m:rPr>
                                              <w:rPr>
                                                <w:rFonts w:ascii="Cambria Math" w:hAnsi="Cambria Math"/>
                                                <w:vertAlign w:val="subscript"/>
                                              </w:rPr>
                                              <m:t>(</m:t>
                                            </m:r>
                                            <m:sSubSup>
                                              <m:sSubSupPr>
                                                <m:ctrlPr>
                                                  <w:rPr>
                                                    <w:rFonts w:ascii="Cambria Math" w:hAnsi="Cambria Math"/>
                                                    <w:sz w:val="22"/>
                                                  </w:rPr>
                                                </m:ctrlPr>
                                              </m:sSubSupPr>
                                              <m:e>
                                                <m:r>
                                                  <m:rPr>
                                                    <m:sty m:val="p"/>
                                                  </m:rPr>
                                                  <w:rPr>
                                                    <w:rFonts w:ascii="Cambria Math" w:hAnsi="Cambria Math"/>
                                                    <w:sz w:val="22"/>
                                                  </w:rPr>
                                                  <m:t>ṅ</m:t>
                                                </m:r>
                                              </m:e>
                                              <m:sub>
                                                <m:sSup>
                                                  <m:sSupPr>
                                                    <m:ctrlPr>
                                                      <w:rPr>
                                                        <w:rFonts w:ascii="Cambria Math" w:hAnsi="Cambria Math"/>
                                                        <w:sz w:val="22"/>
                                                      </w:rPr>
                                                    </m:ctrlPr>
                                                  </m:sSupPr>
                                                  <m:e>
                                                    <m:r>
                                                      <w:rPr>
                                                        <w:rFonts w:ascii="Cambria Math" w:hAnsi="Cambria Math"/>
                                                        <w:sz w:val="22"/>
                                                      </w:rPr>
                                                      <m:t>j</m:t>
                                                    </m:r>
                                                  </m:e>
                                                  <m:sup>
                                                    <m:r>
                                                      <m:rPr>
                                                        <m:sty m:val="p"/>
                                                      </m:rPr>
                                                      <w:rPr>
                                                        <w:rFonts w:ascii="Cambria Math" w:hAnsi="Cambria Math"/>
                                                        <w:sz w:val="22"/>
                                                      </w:rPr>
                                                      <m:t>*</m:t>
                                                    </m:r>
                                                  </m:sup>
                                                </m:sSup>
                                              </m:sub>
                                              <m:sup>
                                                <m:r>
                                                  <w:rPr>
                                                    <w:rFonts w:ascii="Cambria Math" w:hAnsi="Cambria Math"/>
                                                    <w:sz w:val="22"/>
                                                  </w:rPr>
                                                  <m:t>q</m:t>
                                                </m:r>
                                              </m:sup>
                                            </m:sSubSup>
                                            <m:r>
                                              <m:rPr>
                                                <m:sty m:val="p"/>
                                              </m:rPr>
                                              <w:rPr>
                                                <w:rFonts w:ascii="Cambria Math" w:hAnsi="Cambria Math"/>
                                              </w:rPr>
                                              <m:t>,</m:t>
                                            </m:r>
                                            <m:r>
                                              <w:rPr>
                                                <w:rFonts w:ascii="Cambria Math" w:hAnsi="Cambria Math"/>
                                                <w:vertAlign w:val="subscript"/>
                                              </w:rPr>
                                              <m:t>t</m:t>
                                            </m:r>
                                            <m:r>
                                              <m:rPr>
                                                <m:sty m:val="p"/>
                                              </m:rPr>
                                              <w:rPr>
                                                <w:rFonts w:ascii="Cambria Math" w:hAnsi="Cambria Math"/>
                                                <w:vertAlign w:val="subscript"/>
                                              </w:rPr>
                                              <m:t>)</m:t>
                                            </m:r>
                                          </m:sup>
                                        </m:sSup>
                                      </m:e>
                                    </m:d>
                                  </m:e>
                                </m:nary>
                              </m:e>
                            </m:d>
                          </m:e>
                        </m:nary>
                      </m:e>
                    </m:d>
                  </m:e>
                </m:nary>
              </m:e>
            </m:d>
          </m:e>
        </m:func>
      </m:oMath>
      <w:r>
        <w:rPr>
          <w:rFonts w:asciiTheme="minorHAnsi" w:eastAsiaTheme="minorEastAsia" w:hAnsiTheme="minorHAnsi"/>
        </w:rPr>
        <w:t xml:space="preserve"> </w:t>
      </w:r>
      <w:r>
        <w:rPr>
          <w:rFonts w:asciiTheme="minorHAnsi" w:eastAsiaTheme="minorEastAsia" w:hAnsiTheme="minorHAnsi"/>
        </w:rPr>
        <w:tab/>
      </w:r>
      <w:r>
        <w:rPr>
          <w:rFonts w:eastAsiaTheme="minorEastAsia"/>
        </w:rPr>
        <w:t>(8.3)</w:t>
      </w:r>
    </w:p>
    <w:p w14:paraId="3340CA79" w14:textId="77777777" w:rsidR="0096578C" w:rsidRPr="00F66180" w:rsidRDefault="0096578C" w:rsidP="0096578C">
      <w:pPr>
        <w:pStyle w:val="bullets"/>
        <w:numPr>
          <w:ilvl w:val="0"/>
          <w:numId w:val="0"/>
        </w:numPr>
        <w:ind w:left="360"/>
        <w:jc w:val="center"/>
      </w:pPr>
      <m:oMath>
        <m:r>
          <w:rPr>
            <w:rFonts w:ascii="Cambria Math" w:hAnsi="Cambria Math"/>
          </w:rPr>
          <m:t>∀</m:t>
        </m:r>
      </m:oMath>
      <w:r>
        <w:t xml:space="preserve"> q, j</w:t>
      </w:r>
      <w:r w:rsidRPr="000133BE">
        <w:t>*,</w:t>
      </w:r>
      <w:r>
        <w:t xml:space="preserve"> </w:t>
      </w:r>
      <w:r w:rsidRPr="000133BE">
        <w:t>t in allocation period q</w:t>
      </w:r>
    </w:p>
    <w:p w14:paraId="2B8B0C79" w14:textId="41E41A32" w:rsidR="00F66180" w:rsidRPr="001E30D8" w:rsidRDefault="00747E9D" w:rsidP="00F66180">
      <w:pPr>
        <w:pStyle w:val="bullets"/>
      </w:pPr>
      <m:oMath>
        <m:sSub>
          <m:sSubPr>
            <m:ctrlPr>
              <w:rPr>
                <w:rFonts w:ascii="Cambria Math" w:hAnsi="Cambria Math" w:cstheme="minorHAnsi"/>
                <w:i/>
              </w:rPr>
            </m:ctrlPr>
          </m:sSubPr>
          <m:e>
            <m:r>
              <w:rPr>
                <w:rFonts w:ascii="Cambria Math" w:hAnsi="Cambria Math" w:cstheme="minorHAnsi"/>
              </w:rPr>
              <m:t>ξ</m:t>
            </m:r>
          </m:e>
          <m:sub>
            <m:r>
              <w:rPr>
                <w:rFonts w:ascii="Cambria Math" w:hAnsi="Cambria Math" w:cstheme="minorHAnsi"/>
              </w:rPr>
              <m:t>z,y,p,p2,c</m:t>
            </m:r>
          </m:sub>
        </m:sSub>
        <m:d>
          <m:dPr>
            <m:ctrlPr>
              <w:rPr>
                <w:rFonts w:ascii="Cambria Math" w:hAnsi="Cambria Math" w:cstheme="minorHAnsi"/>
                <w:i/>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i/>
                        <w:sz w:val="22"/>
                      </w:rPr>
                    </m:ctrlPr>
                  </m:sSupPr>
                  <m:e>
                    <m:r>
                      <m:rPr>
                        <m:sty m:val="bi"/>
                      </m:rPr>
                      <w:rPr>
                        <w:rFonts w:ascii="Cambria Math" w:hAnsi="Cambria Math" w:cstheme="minorHAnsi"/>
                        <w:sz w:val="22"/>
                      </w:rPr>
                      <m:t>j</m:t>
                    </m:r>
                  </m:e>
                  <m:sup>
                    <m:r>
                      <m:rPr>
                        <m:sty m:val="bi"/>
                      </m:rPr>
                      <w:rPr>
                        <w:rFonts w:ascii="Cambria Math" w:hAnsi="Cambria Math" w:cstheme="minorHAnsi"/>
                        <w:sz w:val="22"/>
                      </w:rPr>
                      <m:t>*</m:t>
                    </m:r>
                  </m:sup>
                </m:sSup>
              </m:sub>
              <m:sup>
                <m:r>
                  <m:rPr>
                    <m:sty m:val="bi"/>
                  </m:rPr>
                  <w:rPr>
                    <w:rFonts w:ascii="Cambria Math" w:hAnsi="Cambria Math" w:cstheme="minorHAnsi"/>
                    <w:sz w:val="22"/>
                  </w:rPr>
                  <m:t>q</m:t>
                </m:r>
              </m:sup>
            </m:sSubSup>
            <m:r>
              <w:rPr>
                <w:rFonts w:ascii="Cambria Math" w:hAnsi="Cambria Math" w:cstheme="minorHAnsi"/>
              </w:rPr>
              <m:t>,t</m:t>
            </m:r>
          </m:e>
        </m:d>
        <m:r>
          <w:rPr>
            <w:rFonts w:ascii="Cambria Math" w:hAnsi="Cambria Math" w:cstheme="minorHAnsi"/>
          </w:rPr>
          <m:t xml:space="preserve">= </m:t>
        </m:r>
      </m:oMath>
      <w:r w:rsidR="00F66180" w:rsidRPr="001E30D8">
        <w:t xml:space="preserve">Number of partnerships of type </w:t>
      </w:r>
      <w:r w:rsidR="00F66180" w:rsidRPr="00544ADA">
        <w:rPr>
          <w:i/>
          <w:iCs/>
        </w:rPr>
        <w:t>y</w:t>
      </w:r>
      <w:r w:rsidR="00F66180" w:rsidRPr="001E30D8">
        <w:t xml:space="preserve"> involving risk type </w:t>
      </w:r>
      <w:r w:rsidR="00F66180" w:rsidRPr="00544ADA">
        <w:rPr>
          <w:i/>
          <w:iCs/>
        </w:rPr>
        <w:t>z</w:t>
      </w:r>
      <w:r w:rsidR="00F66180" w:rsidRPr="001E30D8">
        <w:t xml:space="preserve"> per uninfected individual in subpopulation </w:t>
      </w:r>
      <w:r w:rsidR="00F66180" w:rsidRPr="00544ADA">
        <w:rPr>
          <w:i/>
          <w:iCs/>
        </w:rPr>
        <w:t>p</w:t>
      </w:r>
      <w:r w:rsidR="00F66180" w:rsidRPr="001E30D8">
        <w:t xml:space="preserve"> with infected partners in subpopulation </w:t>
      </w:r>
      <w:r w:rsidR="00F66180" w:rsidRPr="00544ADA">
        <w:rPr>
          <w:i/>
          <w:iCs/>
        </w:rPr>
        <w:t>p2</w:t>
      </w:r>
      <w:r w:rsidR="00F66180" w:rsidRPr="001E30D8">
        <w:t xml:space="preserve"> in compartment </w:t>
      </w:r>
      <w:r w:rsidR="00F66180" w:rsidRPr="00544ADA">
        <w:rPr>
          <w:i/>
          <w:iCs/>
        </w:rPr>
        <w:t>c</w:t>
      </w:r>
      <w:r w:rsidR="00F66180" w:rsidRPr="001E30D8">
        <w:t xml:space="preserve">, given annual funding allocation for implementing intervention </w:t>
      </w:r>
      <w:r w:rsidR="00F66180" w:rsidRPr="001E30D8">
        <w:rPr>
          <w:i/>
          <w:iCs/>
        </w:rPr>
        <w:t>j*</w:t>
      </w:r>
      <w:r w:rsidR="00F66180" w:rsidRPr="001E30D8">
        <w:t>, where</w:t>
      </w:r>
    </w:p>
    <w:p w14:paraId="106A42BF" w14:textId="194B512B" w:rsidR="00F66180" w:rsidRPr="00942583" w:rsidRDefault="00942583" w:rsidP="00F66180">
      <w:pPr>
        <w:pStyle w:val="Tabletext0"/>
        <w:rPr>
          <w:rFonts w:eastAsiaTheme="minorEastAsia"/>
        </w:rPr>
      </w:pPr>
      <m:oMath>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ξ</m:t>
            </m:r>
          </m:e>
          <m:sub>
            <m:r>
              <w:rPr>
                <w:rFonts w:ascii="Cambria Math" w:hAnsi="Cambria Math" w:cstheme="minorHAnsi"/>
              </w:rPr>
              <m:t>z,y,p,p2,c</m:t>
            </m:r>
          </m:sub>
        </m:sSub>
        <m:r>
          <w:rPr>
            <w:rFonts w:ascii="Cambria Math" w:hAnsi="Cambria Math" w:cstheme="minorHAnsi"/>
          </w:rPr>
          <m:t>(</m:t>
        </m:r>
        <m:sSubSup>
          <m:sSubSupPr>
            <m:ctrlPr>
              <w:rPr>
                <w:rFonts w:ascii="Cambria Math" w:hAnsi="Cambria Math" w:cstheme="minorHAnsi"/>
                <w:b/>
                <w:szCs w:val="22"/>
              </w:rPr>
            </m:ctrlPr>
          </m:sSubSupPr>
          <m:e>
            <m:r>
              <m:rPr>
                <m:sty m:val="b"/>
              </m:rPr>
              <w:rPr>
                <w:rFonts w:ascii="Cambria Math" w:hAnsi="Cambria Math" w:cstheme="minorHAnsi"/>
                <w:szCs w:val="22"/>
              </w:rPr>
              <m:t>ṅ</m:t>
            </m:r>
          </m:e>
          <m:sub>
            <m:sSup>
              <m:sSupPr>
                <m:ctrlPr>
                  <w:rPr>
                    <w:rFonts w:ascii="Cambria Math" w:hAnsi="Cambria Math" w:cstheme="minorHAnsi"/>
                    <w:b/>
                    <w:i/>
                    <w:szCs w:val="22"/>
                  </w:rPr>
                </m:ctrlPr>
              </m:sSupPr>
              <m:e>
                <m:r>
                  <m:rPr>
                    <m:sty m:val="bi"/>
                  </m:rPr>
                  <w:rPr>
                    <w:rFonts w:ascii="Cambria Math" w:hAnsi="Cambria Math" w:cstheme="minorHAnsi"/>
                    <w:szCs w:val="22"/>
                  </w:rPr>
                  <m:t>j</m:t>
                </m:r>
              </m:e>
              <m:sup>
                <m:r>
                  <m:rPr>
                    <m:sty m:val="bi"/>
                  </m:rPr>
                  <w:rPr>
                    <w:rFonts w:ascii="Cambria Math" w:hAnsi="Cambria Math" w:cstheme="minorHAnsi"/>
                    <w:szCs w:val="22"/>
                  </w:rPr>
                  <m:t>*</m:t>
                </m:r>
              </m:sup>
            </m:sSup>
          </m:sub>
          <m:sup>
            <m:r>
              <m:rPr>
                <m:sty m:val="bi"/>
              </m:rPr>
              <w:rPr>
                <w:rFonts w:ascii="Cambria Math" w:hAnsi="Cambria Math" w:cstheme="minorHAnsi"/>
                <w:szCs w:val="22"/>
              </w:rPr>
              <m:t>q</m:t>
            </m:r>
          </m:sup>
        </m:sSubSup>
        <m:r>
          <w:rPr>
            <w:rFonts w:ascii="Cambria Math" w:hAnsi="Cambria Math" w:cstheme="minorHAnsi"/>
          </w:rPr>
          <m:t>,t)=</m:t>
        </m:r>
        <m:d>
          <m:dPr>
            <m:begChr m:val="["/>
            <m:endChr m:val="]"/>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m</m:t>
                </m:r>
              </m:e>
              <m:sub>
                <m:r>
                  <w:rPr>
                    <w:rFonts w:ascii="Cambria Math" w:hAnsi="Cambria Math" w:cstheme="minorHAnsi"/>
                  </w:rPr>
                  <m:t>p</m:t>
                </m:r>
              </m:sub>
              <m:sup>
                <m:r>
                  <w:rPr>
                    <w:rFonts w:ascii="Cambria Math" w:hAnsi="Cambria Math" w:cstheme="minorHAnsi"/>
                  </w:rPr>
                  <m:t>z</m:t>
                </m:r>
              </m:sup>
            </m:sSubSup>
          </m:e>
        </m:d>
        <m:d>
          <m:dPr>
            <m:begChr m:val="["/>
            <m:endChr m:val="]"/>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a</m:t>
                </m:r>
              </m:e>
              <m:sub>
                <m:r>
                  <w:rPr>
                    <w:rFonts w:ascii="Cambria Math" w:hAnsi="Cambria Math" w:cstheme="minorHAnsi"/>
                  </w:rPr>
                  <m:t>p,p2</m:t>
                </m:r>
              </m:sub>
              <m:sup>
                <m:r>
                  <w:rPr>
                    <w:rFonts w:ascii="Cambria Math" w:hAnsi="Cambria Math" w:cstheme="minorHAnsi"/>
                  </w:rPr>
                  <m:t>z</m:t>
                </m:r>
              </m:sup>
            </m:sSubSup>
          </m:e>
        </m:d>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O</m:t>
                </m:r>
              </m:e>
              <m:sub>
                <m:r>
                  <w:rPr>
                    <w:rFonts w:ascii="Cambria Math" w:hAnsi="Cambria Math" w:cstheme="minorHAnsi"/>
                  </w:rPr>
                  <m:t>p,y</m:t>
                </m:r>
              </m:sub>
            </m:sSub>
          </m:e>
        </m:d>
        <m:d>
          <m:dPr>
            <m:begChr m:val="["/>
            <m:endChr m:val="]"/>
            <m:ctrlPr>
              <w:rPr>
                <w:rFonts w:ascii="Cambria Math" w:hAnsi="Cambria Math" w:cstheme="minorHAnsi"/>
                <w:i/>
              </w:rPr>
            </m:ctrlPr>
          </m:dPr>
          <m:e>
            <m:f>
              <m:fPr>
                <m:ctrlPr>
                  <w:rPr>
                    <w:rFonts w:ascii="Cambria Math" w:hAnsi="Cambria Math" w:cstheme="minorHAnsi"/>
                    <w:i/>
                  </w:rPr>
                </m:ctrlPr>
              </m:fPr>
              <m:num>
                <m:d>
                  <m:dPr>
                    <m:begChr m:val="["/>
                    <m:endChr m:val="]"/>
                    <m:ctrlPr>
                      <w:rPr>
                        <w:rFonts w:ascii="Cambria Math" w:hAnsi="Cambria Math" w:cstheme="minorHAnsi"/>
                        <w:i/>
                      </w:rPr>
                    </m:ctrlPr>
                  </m:dPr>
                  <m:e>
                    <m:sSubSup>
                      <m:sSubSupPr>
                        <m:ctrlPr>
                          <w:rPr>
                            <w:rFonts w:ascii="Cambria Math" w:hAnsi="Cambria Math" w:cstheme="minorHAnsi"/>
                            <w:b/>
                            <w:szCs w:val="22"/>
                          </w:rPr>
                        </m:ctrlPr>
                      </m:sSubSupPr>
                      <m:e>
                        <m:r>
                          <m:rPr>
                            <m:sty m:val="b"/>
                          </m:rPr>
                          <w:rPr>
                            <w:rFonts w:ascii="Cambria Math" w:hAnsi="Cambria Math" w:cstheme="minorHAnsi"/>
                            <w:szCs w:val="22"/>
                          </w:rPr>
                          <m:t>X</m:t>
                        </m:r>
                      </m:e>
                      <m:sub>
                        <m:r>
                          <m:rPr>
                            <m:sty m:val="bi"/>
                          </m:rPr>
                          <w:rPr>
                            <w:rFonts w:ascii="Cambria Math" w:hAnsi="Cambria Math" w:cstheme="minorHAnsi"/>
                            <w:szCs w:val="22"/>
                          </w:rPr>
                          <m:t>p</m:t>
                        </m:r>
                        <m:r>
                          <m:rPr>
                            <m:sty m:val="bi"/>
                          </m:rPr>
                          <w:rPr>
                            <w:rFonts w:ascii="Cambria Math" w:hAnsi="Cambria Math" w:cstheme="minorHAnsi"/>
                            <w:szCs w:val="22"/>
                          </w:rPr>
                          <m:t>2</m:t>
                        </m:r>
                      </m:sub>
                      <m:sup>
                        <m:r>
                          <m:rPr>
                            <m:sty m:val="bi"/>
                          </m:rPr>
                          <w:rPr>
                            <w:rFonts w:ascii="Cambria Math" w:hAnsi="Cambria Math" w:cstheme="minorHAnsi"/>
                            <w:szCs w:val="22"/>
                          </w:rPr>
                          <m:t>c</m:t>
                        </m:r>
                      </m:sup>
                    </m:sSubSup>
                    <m:r>
                      <w:rPr>
                        <w:rFonts w:ascii="Cambria Math" w:hAnsi="Cambria Math" w:cstheme="minorHAnsi"/>
                      </w:rPr>
                      <m:t>(</m:t>
                    </m:r>
                    <m:sSubSup>
                      <m:sSubSupPr>
                        <m:ctrlPr>
                          <w:rPr>
                            <w:rFonts w:ascii="Cambria Math" w:hAnsi="Cambria Math" w:cstheme="minorHAnsi"/>
                            <w:b/>
                            <w:szCs w:val="22"/>
                          </w:rPr>
                        </m:ctrlPr>
                      </m:sSubSupPr>
                      <m:e>
                        <m:r>
                          <m:rPr>
                            <m:sty m:val="b"/>
                          </m:rPr>
                          <w:rPr>
                            <w:rFonts w:ascii="Cambria Math" w:hAnsi="Cambria Math" w:cstheme="minorHAnsi"/>
                            <w:szCs w:val="22"/>
                          </w:rPr>
                          <m:t>ṅ</m:t>
                        </m:r>
                      </m:e>
                      <m:sub>
                        <m:sSup>
                          <m:sSupPr>
                            <m:ctrlPr>
                              <w:rPr>
                                <w:rFonts w:ascii="Cambria Math" w:hAnsi="Cambria Math" w:cstheme="minorHAnsi"/>
                                <w:b/>
                                <w:i/>
                                <w:szCs w:val="22"/>
                              </w:rPr>
                            </m:ctrlPr>
                          </m:sSupPr>
                          <m:e>
                            <m:r>
                              <m:rPr>
                                <m:sty m:val="bi"/>
                              </m:rPr>
                              <w:rPr>
                                <w:rFonts w:ascii="Cambria Math" w:hAnsi="Cambria Math" w:cstheme="minorHAnsi"/>
                                <w:szCs w:val="22"/>
                              </w:rPr>
                              <m:t>j</m:t>
                            </m:r>
                          </m:e>
                          <m:sup>
                            <m:r>
                              <m:rPr>
                                <m:sty m:val="bi"/>
                              </m:rPr>
                              <w:rPr>
                                <w:rFonts w:ascii="Cambria Math" w:hAnsi="Cambria Math" w:cstheme="minorHAnsi"/>
                                <w:szCs w:val="22"/>
                              </w:rPr>
                              <m:t>*</m:t>
                            </m:r>
                          </m:sup>
                        </m:sSup>
                      </m:sub>
                      <m:sup>
                        <m:r>
                          <m:rPr>
                            <m:sty m:val="bi"/>
                          </m:rPr>
                          <w:rPr>
                            <w:rFonts w:ascii="Cambria Math" w:hAnsi="Cambria Math" w:cstheme="minorHAnsi"/>
                            <w:szCs w:val="22"/>
                          </w:rPr>
                          <m:t>q</m:t>
                        </m:r>
                      </m:sup>
                    </m:sSubSup>
                    <m:r>
                      <w:rPr>
                        <w:rFonts w:ascii="Cambria Math" w:hAnsi="Cambria Math" w:cstheme="minorHAnsi"/>
                      </w:rPr>
                      <m:t>,t)</m:t>
                    </m:r>
                  </m:e>
                </m:d>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c</m:t>
                        </m:r>
                      </m:sub>
                    </m:sSub>
                  </m:e>
                </m:d>
              </m:num>
              <m:den>
                <m:r>
                  <w:rPr>
                    <w:rFonts w:ascii="Cambria Math" w:hAnsi="Cambria Math" w:cstheme="minorHAnsi"/>
                  </w:rPr>
                  <m:t xml:space="preserve"> </m:t>
                </m:r>
                <m:nary>
                  <m:naryPr>
                    <m:chr m:val="∑"/>
                    <m:limLoc m:val="undOvr"/>
                    <m:supHide m:val="1"/>
                    <m:ctrlPr>
                      <w:rPr>
                        <w:rFonts w:ascii="Cambria Math" w:hAnsi="Cambria Math" w:cstheme="minorHAnsi"/>
                        <w:i/>
                      </w:rPr>
                    </m:ctrlPr>
                  </m:naryPr>
                  <m:sub>
                    <m:r>
                      <w:rPr>
                        <w:rFonts w:ascii="Cambria Math" w:hAnsi="Cambria Math" w:cstheme="minorHAnsi"/>
                      </w:rPr>
                      <m:t>c</m:t>
                    </m:r>
                  </m:sub>
                  <m:sup/>
                  <m:e>
                    <m:d>
                      <m:dPr>
                        <m:begChr m:val="["/>
                        <m:endChr m:val="]"/>
                        <m:ctrlPr>
                          <w:rPr>
                            <w:rFonts w:ascii="Cambria Math" w:hAnsi="Cambria Math" w:cstheme="minorHAnsi"/>
                            <w:i/>
                          </w:rPr>
                        </m:ctrlPr>
                      </m:dPr>
                      <m:e>
                        <m:sSubSup>
                          <m:sSubSupPr>
                            <m:ctrlPr>
                              <w:rPr>
                                <w:rFonts w:ascii="Cambria Math" w:hAnsi="Cambria Math" w:cstheme="minorHAnsi"/>
                                <w:b/>
                                <w:szCs w:val="22"/>
                              </w:rPr>
                            </m:ctrlPr>
                          </m:sSubSupPr>
                          <m:e>
                            <m:r>
                              <m:rPr>
                                <m:sty m:val="b"/>
                              </m:rPr>
                              <w:rPr>
                                <w:rFonts w:ascii="Cambria Math" w:hAnsi="Cambria Math" w:cstheme="minorHAnsi"/>
                                <w:szCs w:val="22"/>
                              </w:rPr>
                              <m:t>X</m:t>
                            </m:r>
                          </m:e>
                          <m:sub>
                            <m:r>
                              <m:rPr>
                                <m:sty m:val="bi"/>
                              </m:rPr>
                              <w:rPr>
                                <w:rFonts w:ascii="Cambria Math" w:hAnsi="Cambria Math" w:cstheme="minorHAnsi"/>
                                <w:szCs w:val="22"/>
                              </w:rPr>
                              <m:t>p</m:t>
                            </m:r>
                            <m:r>
                              <m:rPr>
                                <m:sty m:val="bi"/>
                              </m:rPr>
                              <w:rPr>
                                <w:rFonts w:ascii="Cambria Math" w:hAnsi="Cambria Math" w:cstheme="minorHAnsi"/>
                                <w:szCs w:val="22"/>
                              </w:rPr>
                              <m:t>2</m:t>
                            </m:r>
                          </m:sub>
                          <m:sup>
                            <m:r>
                              <m:rPr>
                                <m:sty m:val="bi"/>
                              </m:rPr>
                              <w:rPr>
                                <w:rFonts w:ascii="Cambria Math" w:hAnsi="Cambria Math" w:cstheme="minorHAnsi"/>
                                <w:szCs w:val="22"/>
                              </w:rPr>
                              <m:t>c</m:t>
                            </m:r>
                          </m:sup>
                        </m:sSubSup>
                        <m:r>
                          <w:rPr>
                            <w:rFonts w:ascii="Cambria Math" w:hAnsi="Cambria Math" w:cstheme="minorHAnsi"/>
                          </w:rPr>
                          <m:t>(</m:t>
                        </m:r>
                        <m:sSubSup>
                          <m:sSubSupPr>
                            <m:ctrlPr>
                              <w:rPr>
                                <w:rFonts w:ascii="Cambria Math" w:hAnsi="Cambria Math" w:cstheme="minorHAnsi"/>
                                <w:b/>
                                <w:szCs w:val="22"/>
                              </w:rPr>
                            </m:ctrlPr>
                          </m:sSubSupPr>
                          <m:e>
                            <m:r>
                              <m:rPr>
                                <m:sty m:val="b"/>
                              </m:rPr>
                              <w:rPr>
                                <w:rFonts w:ascii="Cambria Math" w:hAnsi="Cambria Math" w:cstheme="minorHAnsi"/>
                                <w:szCs w:val="22"/>
                              </w:rPr>
                              <m:t>ṅ</m:t>
                            </m:r>
                          </m:e>
                          <m:sub>
                            <m:sSup>
                              <m:sSupPr>
                                <m:ctrlPr>
                                  <w:rPr>
                                    <w:rFonts w:ascii="Cambria Math" w:hAnsi="Cambria Math" w:cstheme="minorHAnsi"/>
                                    <w:b/>
                                    <w:i/>
                                    <w:szCs w:val="22"/>
                                  </w:rPr>
                                </m:ctrlPr>
                              </m:sSupPr>
                              <m:e>
                                <m:r>
                                  <m:rPr>
                                    <m:sty m:val="bi"/>
                                  </m:rPr>
                                  <w:rPr>
                                    <w:rFonts w:ascii="Cambria Math" w:hAnsi="Cambria Math" w:cstheme="minorHAnsi"/>
                                    <w:szCs w:val="22"/>
                                  </w:rPr>
                                  <m:t>j</m:t>
                                </m:r>
                              </m:e>
                              <m:sup>
                                <m:r>
                                  <m:rPr>
                                    <m:sty m:val="bi"/>
                                  </m:rPr>
                                  <w:rPr>
                                    <w:rFonts w:ascii="Cambria Math" w:hAnsi="Cambria Math" w:cstheme="minorHAnsi"/>
                                    <w:szCs w:val="22"/>
                                  </w:rPr>
                                  <m:t>*</m:t>
                                </m:r>
                              </m:sup>
                            </m:sSup>
                          </m:sub>
                          <m:sup>
                            <m:r>
                              <m:rPr>
                                <m:sty m:val="bi"/>
                              </m:rPr>
                              <w:rPr>
                                <w:rFonts w:ascii="Cambria Math" w:hAnsi="Cambria Math" w:cstheme="minorHAnsi"/>
                                <w:szCs w:val="22"/>
                              </w:rPr>
                              <m:t>q</m:t>
                            </m:r>
                          </m:sup>
                        </m:sSubSup>
                        <m:r>
                          <w:rPr>
                            <w:rFonts w:ascii="Cambria Math" w:hAnsi="Cambria Math" w:cstheme="minorHAnsi"/>
                          </w:rPr>
                          <m:t>,t)</m:t>
                        </m:r>
                      </m:e>
                    </m:d>
                  </m:e>
                </m:nary>
              </m:den>
            </m:f>
          </m:e>
        </m:d>
      </m:oMath>
      <w:r>
        <w:rPr>
          <w:rFonts w:asciiTheme="minorHAnsi" w:eastAsiaTheme="minorEastAsia" w:hAnsiTheme="minorHAnsi" w:cstheme="minorHAnsi"/>
        </w:rPr>
        <w:t xml:space="preserve"> </w:t>
      </w:r>
      <w:r>
        <w:rPr>
          <w:rFonts w:asciiTheme="minorHAnsi" w:eastAsiaTheme="minorEastAsia" w:hAnsiTheme="minorHAnsi" w:cstheme="minorHAnsi"/>
        </w:rPr>
        <w:tab/>
      </w:r>
      <w:r>
        <w:rPr>
          <w:rFonts w:asciiTheme="minorHAnsi" w:eastAsiaTheme="minorEastAsia" w:hAnsiTheme="minorHAnsi" w:cstheme="minorHAnsi"/>
        </w:rPr>
        <w:tab/>
        <w:t xml:space="preserve"> </w:t>
      </w:r>
      <w:r w:rsidRPr="00942583">
        <w:rPr>
          <w:rFonts w:ascii="Verdana" w:eastAsiaTheme="minorEastAsia" w:hAnsi="Verdana"/>
          <w:sz w:val="20"/>
          <w:szCs w:val="18"/>
        </w:rPr>
        <w:t>(8.</w:t>
      </w:r>
      <w:r>
        <w:rPr>
          <w:rFonts w:ascii="Verdana" w:eastAsiaTheme="minorEastAsia" w:hAnsi="Verdana"/>
          <w:sz w:val="20"/>
          <w:szCs w:val="18"/>
        </w:rPr>
        <w:t>4</w:t>
      </w:r>
      <w:r w:rsidRPr="00942583">
        <w:rPr>
          <w:rFonts w:ascii="Verdana" w:eastAsiaTheme="minorEastAsia" w:hAnsi="Verdana"/>
          <w:sz w:val="20"/>
          <w:szCs w:val="18"/>
        </w:rPr>
        <w:t>)</w:t>
      </w:r>
    </w:p>
    <w:p w14:paraId="1C30E128" w14:textId="3A93DA48" w:rsidR="00D273E2" w:rsidRPr="00F66180" w:rsidRDefault="0096578C" w:rsidP="0096578C">
      <w:pPr>
        <w:pStyle w:val="bullets"/>
        <w:numPr>
          <w:ilvl w:val="0"/>
          <w:numId w:val="0"/>
        </w:numPr>
        <w:ind w:left="360"/>
        <w:jc w:val="center"/>
      </w:pPr>
      <m:oMath>
        <m:r>
          <w:rPr>
            <w:rFonts w:ascii="Cambria Math" w:hAnsi="Cambria Math"/>
          </w:rPr>
          <m:t>∀</m:t>
        </m:r>
      </m:oMath>
      <w:r>
        <w:t xml:space="preserve"> q, j</w:t>
      </w:r>
      <w:r w:rsidRPr="000133BE">
        <w:t>*,</w:t>
      </w:r>
      <w:r>
        <w:t xml:space="preserve"> </w:t>
      </w:r>
      <w:r w:rsidRPr="000133BE">
        <w:t>t in allocation period q</w:t>
      </w:r>
    </w:p>
    <w:p w14:paraId="02383E1B" w14:textId="2DF95DC6" w:rsidR="00F66180" w:rsidRDefault="00747E9D" w:rsidP="00F66180">
      <w:pPr>
        <w:pStyle w:val="bullets"/>
      </w:pPr>
      <m:oMath>
        <m:sSubSup>
          <m:sSubSupPr>
            <m:ctrlPr>
              <w:rPr>
                <w:rFonts w:ascii="Cambria Math" w:hAnsi="Cambria Math"/>
              </w:rPr>
            </m:ctrlPr>
          </m:sSubSupPr>
          <m:e>
            <m:r>
              <m:rPr>
                <m:sty m:val="bi"/>
              </m:rPr>
              <w:rPr>
                <w:rFonts w:ascii="Cambria Math" w:hAnsi="Cambria Math"/>
              </w:rPr>
              <m:t>X</m:t>
            </m:r>
          </m:e>
          <m:sub>
            <m:r>
              <m:rPr>
                <m:sty m:val="bi"/>
              </m:rPr>
              <w:rPr>
                <w:rFonts w:ascii="Cambria Math" w:hAnsi="Cambria Math"/>
              </w:rPr>
              <m:t>p</m:t>
            </m:r>
          </m:sub>
          <m:sup>
            <m:r>
              <m:rPr>
                <m:sty m:val="bi"/>
              </m:rPr>
              <w:rPr>
                <w:rFonts w:ascii="Cambria Math" w:hAnsi="Cambria Math"/>
              </w:rPr>
              <m:t>c</m:t>
            </m:r>
          </m:sup>
        </m:sSubSup>
      </m:oMath>
      <w:r w:rsidR="00F66180" w:rsidRPr="00F66180">
        <w:t>(</w:t>
      </w:r>
      <m:oMath>
        <m:sSubSup>
          <m:sSubSupPr>
            <m:ctrlPr>
              <w:rPr>
                <w:rFonts w:ascii="Cambria Math" w:hAnsi="Cambria Math"/>
              </w:rPr>
            </m:ctrlPr>
          </m:sSubSupPr>
          <m:e>
            <m:r>
              <m:rPr>
                <m:sty m:val="p"/>
              </m:rPr>
              <w:rPr>
                <w:rFonts w:ascii="Cambria Math" w:hAnsi="Cambria Math"/>
              </w:rPr>
              <m:t>ṅ</m:t>
            </m:r>
          </m:e>
          <m:sub>
            <m:sSup>
              <m:sSupPr>
                <m:ctrlPr>
                  <w:rPr>
                    <w:rFonts w:ascii="Cambria Math" w:hAnsi="Cambria Math"/>
                  </w:rPr>
                </m:ctrlPr>
              </m:sSupPr>
              <m:e>
                <m:r>
                  <m:rPr>
                    <m:sty m:val="bi"/>
                  </m:rPr>
                  <w:rPr>
                    <w:rFonts w:ascii="Cambria Math" w:hAnsi="Cambria Math"/>
                  </w:rPr>
                  <m:t>j</m:t>
                </m:r>
              </m:e>
              <m:sup>
                <m:r>
                  <m:rPr>
                    <m:sty m:val="p"/>
                  </m:rPr>
                  <w:rPr>
                    <w:rFonts w:ascii="Cambria Math" w:hAnsi="Cambria Math"/>
                  </w:rPr>
                  <m:t>*</m:t>
                </m:r>
              </m:sup>
            </m:sSup>
          </m:sub>
          <m:sup>
            <m:r>
              <m:rPr>
                <m:sty m:val="bi"/>
              </m:rPr>
              <w:rPr>
                <w:rFonts w:ascii="Cambria Math" w:hAnsi="Cambria Math"/>
              </w:rPr>
              <m:t>q</m:t>
            </m:r>
          </m:sup>
        </m:sSubSup>
      </m:oMath>
      <w:r w:rsidR="00F66180" w:rsidRPr="00F66180">
        <w:t>,t) = Number of individuals in compartment c and subpopulation p at time t given allocated budget</w:t>
      </w:r>
      <w:r w:rsidR="00B605F4">
        <w:t xml:space="preserve"> </w:t>
      </w:r>
      <m:oMath>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i/>
                    <w:sz w:val="22"/>
                  </w:rPr>
                </m:ctrlPr>
              </m:sSupPr>
              <m:e>
                <m:r>
                  <m:rPr>
                    <m:sty m:val="bi"/>
                  </m:rPr>
                  <w:rPr>
                    <w:rFonts w:ascii="Cambria Math" w:hAnsi="Cambria Math" w:cstheme="minorHAnsi"/>
                    <w:sz w:val="22"/>
                  </w:rPr>
                  <m:t>j</m:t>
                </m:r>
              </m:e>
              <m:sup>
                <m:r>
                  <m:rPr>
                    <m:sty m:val="bi"/>
                  </m:rPr>
                  <w:rPr>
                    <w:rFonts w:ascii="Cambria Math" w:hAnsi="Cambria Math" w:cstheme="minorHAnsi"/>
                    <w:sz w:val="22"/>
                  </w:rPr>
                  <m:t>*</m:t>
                </m:r>
              </m:sup>
            </m:sSup>
          </m:sub>
          <m:sup>
            <m:r>
              <m:rPr>
                <m:sty m:val="bi"/>
              </m:rPr>
              <w:rPr>
                <w:rFonts w:ascii="Cambria Math" w:hAnsi="Cambria Math" w:cstheme="minorHAnsi"/>
                <w:sz w:val="22"/>
              </w:rPr>
              <m:t>q</m:t>
            </m:r>
          </m:sup>
        </m:sSubSup>
        <m:r>
          <w:rPr>
            <w:rFonts w:ascii="Cambria Math" w:hAnsi="Cambria Math" w:cstheme="minorHAnsi"/>
          </w:rPr>
          <m:t>,t</m:t>
        </m:r>
      </m:oMath>
      <w:r w:rsidR="00F66180" w:rsidRPr="00F66180">
        <w:t xml:space="preserve">.  The direct impact of interventions within </w:t>
      </w:r>
      <w:r w:rsidR="00276B8E">
        <w:t>difference</w:t>
      </w:r>
      <w:r w:rsidR="00F66180" w:rsidRPr="00F66180">
        <w:t xml:space="preserve"> equations is to redistribute HIV-infected individuals across compartments so that more individuals are farther along the continuum of care.</w:t>
      </w:r>
    </w:p>
    <w:p w14:paraId="242BE45F" w14:textId="561C3A35" w:rsidR="00B605F4" w:rsidRPr="001E30D8" w:rsidRDefault="00747E9D" w:rsidP="00B605F4">
      <w:pPr>
        <w:pStyle w:val="bullets"/>
      </w:pPr>
      <m:oMath>
        <m:sSubSup>
          <m:sSubSupPr>
            <m:ctrlPr>
              <w:rPr>
                <w:rFonts w:ascii="Cambria Math" w:hAnsi="Cambria Math"/>
              </w:rPr>
            </m:ctrlPr>
          </m:sSubSupPr>
          <m:e>
            <m:r>
              <m:rPr>
                <m:sty m:val="p"/>
              </m:rPr>
              <w:rPr>
                <w:rFonts w:ascii="Cambria Math" w:hAnsi="Cambria Math"/>
              </w:rPr>
              <m:t>ℷ</m:t>
            </m:r>
          </m:e>
          <m:sub>
            <m:r>
              <w:rPr>
                <w:rFonts w:ascii="Cambria Math" w:hAnsi="Cambria Math"/>
              </w:rPr>
              <m:t>c,p</m:t>
            </m:r>
          </m:sub>
          <m:sup>
            <m:sSup>
              <m:sSupPr>
                <m:ctrlPr>
                  <w:rPr>
                    <w:rFonts w:ascii="Cambria Math" w:hAnsi="Cambria Math"/>
                    <w:i/>
                  </w:rPr>
                </m:ctrlPr>
              </m:sSupPr>
              <m:e>
                <m:r>
                  <w:rPr>
                    <w:rFonts w:ascii="Cambria Math" w:hAnsi="Cambria Math"/>
                  </w:rPr>
                  <m:t>j</m:t>
                </m:r>
              </m:e>
              <m:sup>
                <m:r>
                  <w:rPr>
                    <w:rFonts w:ascii="Cambria Math" w:hAnsi="Cambria Math"/>
                  </w:rPr>
                  <m:t>*</m:t>
                </m:r>
              </m:sup>
            </m:sSup>
          </m:sup>
        </m:sSubSup>
        <m:d>
          <m:dPr>
            <m:ctrlPr>
              <w:rPr>
                <w:rFonts w:ascii="Cambria Math" w:hAnsi="Cambria Math"/>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m:rPr>
                <m:sty m:val="p"/>
              </m:rPr>
              <w:rPr>
                <w:rFonts w:ascii="Cambria Math" w:hAnsi="Cambria Math"/>
              </w:rPr>
              <m:t>,</m:t>
            </m:r>
            <m:r>
              <m:rPr>
                <m:sty m:val="bi"/>
              </m:rPr>
              <w:rPr>
                <w:rFonts w:ascii="Cambria Math" w:hAnsi="Cambria Math"/>
              </w:rPr>
              <m:t>t</m:t>
            </m:r>
          </m:e>
        </m:d>
        <m:r>
          <m:rPr>
            <m:sty m:val="p"/>
          </m:rPr>
          <w:rPr>
            <w:rFonts w:ascii="Cambria Math" w:hAnsi="Cambria Math"/>
          </w:rPr>
          <m:t xml:space="preserve">= </m:t>
        </m:r>
      </m:oMath>
      <w:r w:rsidR="00B605F4" w:rsidRPr="001E30D8">
        <w:t>Rate (</w:t>
      </w:r>
      <w:r w:rsidR="00B605F4" w:rsidRPr="001E30D8">
        <w:rPr>
          <w:i/>
          <w:iCs/>
        </w:rPr>
        <w:t>j*</w:t>
      </w:r>
      <w:r w:rsidR="00B605F4" w:rsidRPr="001E30D8">
        <w:t xml:space="preserve"> = {1,</w:t>
      </w:r>
      <w:r w:rsidR="00B605F4">
        <w:t xml:space="preserve"> </w:t>
      </w:r>
      <w:r w:rsidR="00B605F4" w:rsidRPr="001E30D8">
        <w:t>…,</w:t>
      </w:r>
      <w:r w:rsidR="00B605F4">
        <w:t xml:space="preserve"> </w:t>
      </w:r>
      <w:r w:rsidR="00B605F4" w:rsidRPr="001E30D8">
        <w:t>5,</w:t>
      </w:r>
      <w:r w:rsidR="00B605F4">
        <w:t xml:space="preserve"> </w:t>
      </w:r>
      <w:r w:rsidR="00B605F4" w:rsidRPr="001E30D8">
        <w:t>7,</w:t>
      </w:r>
      <w:r w:rsidR="00B605F4">
        <w:t xml:space="preserve"> </w:t>
      </w:r>
      <w:r w:rsidR="00B605F4" w:rsidRPr="001E30D8">
        <w:t>…</w:t>
      </w:r>
      <w:r w:rsidR="00B605F4">
        <w:t xml:space="preserve">, </w:t>
      </w:r>
      <w:r w:rsidR="00B605F4" w:rsidRPr="001E30D8">
        <w:t>14}) or probability (</w:t>
      </w:r>
      <w:r w:rsidR="00B605F4" w:rsidRPr="001E30D8">
        <w:rPr>
          <w:i/>
          <w:iCs/>
        </w:rPr>
        <w:t>j*</w:t>
      </w:r>
      <w:r w:rsidR="00B605F4" w:rsidRPr="001E30D8">
        <w:t xml:space="preserve"> = 6) of progression for the transition addressed by intervention </w:t>
      </w:r>
      <w:r w:rsidR="00B605F4" w:rsidRPr="001E30D8">
        <w:rPr>
          <w:i/>
          <w:iCs/>
        </w:rPr>
        <w:t>j*</w:t>
      </w:r>
      <w:r w:rsidR="00B605F4" w:rsidRPr="001E30D8">
        <w:t xml:space="preserve"> in subpopulation </w:t>
      </w:r>
      <w:proofErr w:type="spellStart"/>
      <w:r w:rsidR="00B605F4" w:rsidRPr="001E30D8">
        <w:rPr>
          <w:i/>
          <w:iCs/>
        </w:rPr>
        <w:t>p</w:t>
      </w:r>
      <w:r w:rsidR="00B605F4" w:rsidRPr="001E30D8">
        <w:t xml:space="preserve"> at</w:t>
      </w:r>
      <w:proofErr w:type="spellEnd"/>
      <w:r w:rsidR="00B605F4" w:rsidRPr="001E30D8">
        <w:t xml:space="preserve"> time </w:t>
      </w:r>
      <w:r w:rsidR="00B605F4" w:rsidRPr="001E30D8">
        <w:rPr>
          <w:i/>
          <w:iCs/>
        </w:rPr>
        <w:t xml:space="preserve">t </w:t>
      </w:r>
      <w:r w:rsidR="00B605F4" w:rsidRPr="001E30D8">
        <w:t xml:space="preserve">given allocation </w:t>
      </w:r>
      <m:oMath>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oMath>
      <w:r w:rsidR="00B605F4" w:rsidRPr="001E30D8">
        <w:t>, considering constraint on maximum reach of intervention</w:t>
      </w:r>
      <w:r w:rsidR="00B605F4" w:rsidRPr="001E30D8">
        <w:rPr>
          <w:i/>
          <w:iCs/>
        </w:rPr>
        <w:t xml:space="preserve"> j*</w:t>
      </w:r>
      <w:r w:rsidR="004D624F">
        <w:t>, where</w:t>
      </w:r>
    </w:p>
    <w:p w14:paraId="42E4C470" w14:textId="14A1860C" w:rsidR="00B605F4" w:rsidRPr="000133BE" w:rsidRDefault="00942583" w:rsidP="00B605F4">
      <w:pPr>
        <w:pStyle w:val="bullets"/>
        <w:numPr>
          <w:ilvl w:val="0"/>
          <w:numId w:val="0"/>
        </w:numPr>
        <w:ind w:left="360"/>
      </w:pPr>
      <w:r>
        <w:t xml:space="preserve">                                       </w:t>
      </w:r>
      <m:oMath>
        <m:sSubSup>
          <m:sSubSupPr>
            <m:ctrlPr>
              <w:rPr>
                <w:rFonts w:ascii="Cambria Math" w:hAnsi="Cambria Math"/>
              </w:rPr>
            </m:ctrlPr>
          </m:sSubSupPr>
          <m:e>
            <m:r>
              <m:rPr>
                <m:sty m:val="p"/>
              </m:rPr>
              <w:rPr>
                <w:rFonts w:ascii="Cambria Math" w:hAnsi="Cambria Math"/>
              </w:rPr>
              <m:t>ℷ</m:t>
            </m:r>
          </m:e>
          <m:sub>
            <m:r>
              <w:rPr>
                <w:rFonts w:ascii="Cambria Math" w:hAnsi="Cambria Math"/>
              </w:rPr>
              <m:t>c,p</m:t>
            </m:r>
          </m:sub>
          <m:sup>
            <m:sSup>
              <m:sSupPr>
                <m:ctrlPr>
                  <w:rPr>
                    <w:rFonts w:ascii="Cambria Math" w:hAnsi="Cambria Math"/>
                    <w:i/>
                  </w:rPr>
                </m:ctrlPr>
              </m:sSupPr>
              <m:e>
                <m:r>
                  <w:rPr>
                    <w:rFonts w:ascii="Cambria Math" w:hAnsi="Cambria Math"/>
                  </w:rPr>
                  <m:t>j</m:t>
                </m:r>
              </m:e>
              <m:sup>
                <m:r>
                  <w:rPr>
                    <w:rFonts w:ascii="Cambria Math" w:hAnsi="Cambria Math"/>
                  </w:rPr>
                  <m:t>*</m:t>
                </m:r>
              </m:sup>
            </m:sSup>
          </m:sup>
        </m:sSubSup>
        <m:d>
          <m:dPr>
            <m:ctrlPr>
              <w:rPr>
                <w:rFonts w:ascii="Cambria Math" w:hAnsi="Cambria Math"/>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m:rPr>
                <m:sty m:val="p"/>
              </m:rPr>
              <w:rPr>
                <w:rFonts w:ascii="Cambria Math" w:hAnsi="Cambria Math"/>
              </w:rPr>
              <m:t>,</m:t>
            </m:r>
            <m:r>
              <m:rPr>
                <m:sty m:val="bi"/>
              </m:rPr>
              <w:rPr>
                <w:rFonts w:ascii="Cambria Math" w:hAnsi="Cambria Math"/>
              </w:rPr>
              <m:t>t</m:t>
            </m:r>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ψ</m:t>
            </m:r>
          </m:e>
          <m:sub>
            <m:r>
              <w:rPr>
                <w:rFonts w:ascii="Cambria Math" w:hAnsi="Cambria Math"/>
              </w:rPr>
              <m:t>c,p</m:t>
            </m:r>
          </m:sub>
          <m:sup>
            <m:sSup>
              <m:sSupPr>
                <m:ctrlPr>
                  <w:rPr>
                    <w:rFonts w:ascii="Cambria Math" w:hAnsi="Cambria Math"/>
                    <w:i/>
                  </w:rPr>
                </m:ctrlPr>
              </m:sSupPr>
              <m:e>
                <m:r>
                  <w:rPr>
                    <w:rFonts w:ascii="Cambria Math" w:hAnsi="Cambria Math"/>
                  </w:rPr>
                  <m:t>j</m:t>
                </m:r>
              </m:e>
              <m:sup>
                <m:r>
                  <w:rPr>
                    <w:rFonts w:ascii="Cambria Math" w:hAnsi="Cambria Math"/>
                  </w:rPr>
                  <m:t>*</m:t>
                </m:r>
              </m:sup>
            </m:sSup>
            <m:r>
              <m:rPr>
                <m:sty m:val="p"/>
              </m:rPr>
              <w:rPr>
                <w:rFonts w:ascii="Cambria Math" w:hAnsi="Cambria Math"/>
              </w:rPr>
              <m:t>,1</m:t>
            </m:r>
          </m:sup>
        </m:sSubSup>
        <m:d>
          <m:dPr>
            <m:ctrlPr>
              <w:rPr>
                <w:rFonts w:ascii="Cambria Math" w:hAnsi="Cambria Math"/>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m:rPr>
                <m:sty m:val="p"/>
              </m:rPr>
              <w:rPr>
                <w:rFonts w:ascii="Cambria Math" w:hAnsi="Cambria Math"/>
              </w:rPr>
              <m:t>,</m:t>
            </m:r>
            <m:r>
              <m:rPr>
                <m:sty m:val="bi"/>
              </m:rPr>
              <w:rPr>
                <w:rFonts w:ascii="Cambria Math" w:hAnsi="Cambria Math"/>
              </w:rPr>
              <m:t>t</m:t>
            </m:r>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ψ</m:t>
            </m:r>
          </m:e>
          <m:sub>
            <m:r>
              <w:rPr>
                <w:rFonts w:ascii="Cambria Math" w:hAnsi="Cambria Math"/>
              </w:rPr>
              <m:t>c,p</m:t>
            </m:r>
          </m:sub>
          <m:sup>
            <m:sSup>
              <m:sSupPr>
                <m:ctrlPr>
                  <w:rPr>
                    <w:rFonts w:ascii="Cambria Math" w:hAnsi="Cambria Math"/>
                    <w:i/>
                  </w:rPr>
                </m:ctrlPr>
              </m:sSupPr>
              <m:e>
                <m:r>
                  <w:rPr>
                    <w:rFonts w:ascii="Cambria Math" w:hAnsi="Cambria Math"/>
                  </w:rPr>
                  <m:t>j</m:t>
                </m:r>
              </m:e>
              <m:sup>
                <m:r>
                  <w:rPr>
                    <w:rFonts w:ascii="Cambria Math" w:hAnsi="Cambria Math"/>
                  </w:rPr>
                  <m:t>*</m:t>
                </m:r>
              </m:sup>
            </m:sSup>
            <m:r>
              <m:rPr>
                <m:sty m:val="p"/>
              </m:rPr>
              <w:rPr>
                <w:rFonts w:ascii="Cambria Math" w:hAnsi="Cambria Math"/>
              </w:rPr>
              <m:t>,2</m:t>
            </m:r>
          </m:sup>
        </m:sSubSup>
        <m:d>
          <m:dPr>
            <m:ctrlPr>
              <w:rPr>
                <w:rFonts w:ascii="Cambria Math" w:hAnsi="Cambria Math"/>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m:rPr>
                <m:sty m:val="p"/>
              </m:rPr>
              <w:rPr>
                <w:rFonts w:ascii="Cambria Math" w:hAnsi="Cambria Math"/>
              </w:rPr>
              <m:t>,</m:t>
            </m:r>
            <m:r>
              <m:rPr>
                <m:sty m:val="bi"/>
              </m:rPr>
              <w:rPr>
                <w:rFonts w:ascii="Cambria Math" w:hAnsi="Cambria Math"/>
              </w:rPr>
              <m:t>t</m:t>
            </m:r>
          </m:e>
        </m:d>
      </m:oMath>
      <w:r>
        <w:t xml:space="preserve"> </w:t>
      </w:r>
      <w:r>
        <w:tab/>
      </w:r>
      <w:r>
        <w:tab/>
      </w:r>
      <w:r>
        <w:tab/>
      </w:r>
      <w:r>
        <w:rPr>
          <w:rFonts w:eastAsiaTheme="minorEastAsia"/>
        </w:rPr>
        <w:t>(8.5)</w:t>
      </w:r>
    </w:p>
    <w:p w14:paraId="5D50D1CE" w14:textId="77777777" w:rsidR="00B605F4" w:rsidRDefault="00B605F4" w:rsidP="0096578C">
      <w:pPr>
        <w:pStyle w:val="bullets"/>
        <w:numPr>
          <w:ilvl w:val="0"/>
          <w:numId w:val="0"/>
        </w:numPr>
      </w:pPr>
    </w:p>
    <w:p w14:paraId="008DB2DE" w14:textId="4ADC7487" w:rsidR="00B605F4" w:rsidRPr="00124570" w:rsidRDefault="00B605F4" w:rsidP="00B605F4">
      <w:pPr>
        <w:pStyle w:val="bullets"/>
        <w:numPr>
          <w:ilvl w:val="0"/>
          <w:numId w:val="0"/>
        </w:numPr>
        <w:ind w:left="360"/>
        <w:jc w:val="center"/>
      </w:pPr>
      <m:oMath>
        <m:r>
          <w:rPr>
            <w:rFonts w:ascii="Cambria Math" w:hAnsi="Cambria Math"/>
          </w:rPr>
          <m:t>∀</m:t>
        </m:r>
      </m:oMath>
      <w:r>
        <w:t xml:space="preserve"> </w:t>
      </w:r>
      <w:r w:rsidR="0096578C">
        <w:t xml:space="preserve">q, </w:t>
      </w:r>
      <w:r>
        <w:t>j</w:t>
      </w:r>
      <w:r w:rsidRPr="000133BE">
        <w:t>*,</w:t>
      </w:r>
      <w:r>
        <w:t xml:space="preserve"> </w:t>
      </w:r>
      <w:r w:rsidRPr="000133BE">
        <w:t>t in allocation period q</w:t>
      </w:r>
    </w:p>
    <w:p w14:paraId="650EC4DB" w14:textId="42EEFAF0" w:rsidR="00124570" w:rsidRPr="009B126F" w:rsidRDefault="00747E9D" w:rsidP="00124570">
      <w:pPr>
        <w:pStyle w:val="bullets"/>
      </w:pPr>
      <m:oMath>
        <m:sSubSup>
          <m:sSubSupPr>
            <m:ctrlPr>
              <w:rPr>
                <w:rFonts w:ascii="Cambria Math" w:hAnsi="Cambria Math"/>
              </w:rPr>
            </m:ctrlPr>
          </m:sSubSupPr>
          <m:e>
            <m:r>
              <m:rPr>
                <m:sty m:val="p"/>
              </m:rPr>
              <w:rPr>
                <w:rFonts w:ascii="Cambria Math" w:eastAsiaTheme="minorEastAsia" w:hAnsi="Cambria Math"/>
                <w:sz w:val="22"/>
              </w:rPr>
              <m:t>ψ</m:t>
            </m:r>
          </m:e>
          <m:sub>
            <m:r>
              <w:rPr>
                <w:rFonts w:ascii="Cambria Math" w:hAnsi="Cambria Math"/>
              </w:rPr>
              <m:t>c,p</m:t>
            </m:r>
          </m:sub>
          <m:sup>
            <m:sSup>
              <m:sSupPr>
                <m:ctrlPr>
                  <w:rPr>
                    <w:rFonts w:ascii="Cambria Math" w:hAnsi="Cambria Math"/>
                    <w:i/>
                  </w:rPr>
                </m:ctrlPr>
              </m:sSupPr>
              <m:e>
                <m:r>
                  <w:rPr>
                    <w:rFonts w:ascii="Cambria Math" w:hAnsi="Cambria Math"/>
                  </w:rPr>
                  <m:t>j</m:t>
                </m:r>
              </m:e>
              <m:sup>
                <m:r>
                  <w:rPr>
                    <w:rFonts w:ascii="Cambria Math" w:hAnsi="Cambria Math"/>
                  </w:rPr>
                  <m:t>*</m:t>
                </m:r>
              </m:sup>
            </m:sSup>
            <m:r>
              <m:rPr>
                <m:sty m:val="p"/>
              </m:rPr>
              <w:rPr>
                <w:rFonts w:ascii="Cambria Math" w:hAnsi="Cambria Math"/>
              </w:rPr>
              <m:t>,1</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i/>
                        <w:sz w:val="22"/>
                      </w:rPr>
                    </m:ctrlPr>
                  </m:sSupPr>
                  <m:e>
                    <m:r>
                      <m:rPr>
                        <m:sty m:val="bi"/>
                      </m:rPr>
                      <w:rPr>
                        <w:rFonts w:ascii="Cambria Math" w:hAnsi="Cambria Math" w:cstheme="minorHAnsi"/>
                        <w:sz w:val="22"/>
                      </w:rPr>
                      <m:t>j</m:t>
                    </m:r>
                  </m:e>
                  <m:sup>
                    <m:r>
                      <m:rPr>
                        <m:sty m:val="bi"/>
                      </m:rPr>
                      <w:rPr>
                        <w:rFonts w:ascii="Cambria Math" w:hAnsi="Cambria Math" w:cstheme="minorHAnsi"/>
                        <w:sz w:val="22"/>
                      </w:rPr>
                      <m:t>*</m:t>
                    </m:r>
                  </m:sup>
                </m:sSup>
              </m:sub>
              <m:sup>
                <m:r>
                  <m:rPr>
                    <m:sty m:val="bi"/>
                  </m:rPr>
                  <w:rPr>
                    <w:rFonts w:ascii="Cambria Math" w:hAnsi="Cambria Math" w:cstheme="minorHAnsi"/>
                    <w:sz w:val="22"/>
                  </w:rPr>
                  <m:t>q</m:t>
                </m:r>
              </m:sup>
            </m:sSubSup>
            <m:r>
              <m:rPr>
                <m:sty m:val="p"/>
              </m:rPr>
              <w:rPr>
                <w:rFonts w:ascii="Cambria Math" w:hAnsi="Cambria Math"/>
              </w:rPr>
              <m:t>,</m:t>
            </m:r>
            <m:r>
              <m:rPr>
                <m:sty m:val="bi"/>
              </m:rPr>
              <w:rPr>
                <w:rFonts w:ascii="Cambria Math" w:hAnsi="Cambria Math"/>
              </w:rPr>
              <m:t>t</m:t>
            </m:r>
          </m:e>
        </m:d>
        <m:r>
          <m:rPr>
            <m:sty m:val="p"/>
          </m:rPr>
          <w:rPr>
            <w:rFonts w:ascii="Cambria Math" w:hAnsi="Cambria Math"/>
          </w:rPr>
          <m:t xml:space="preserve">= </m:t>
        </m:r>
      </m:oMath>
      <w:r w:rsidR="00124570" w:rsidRPr="009B126F">
        <w:t xml:space="preserve">Rate of progression targeted by intervention </w:t>
      </w:r>
      <w:r w:rsidR="00124570" w:rsidRPr="00544ADA">
        <w:rPr>
          <w:i/>
          <w:iCs/>
        </w:rPr>
        <w:t>j*</w:t>
      </w:r>
      <w:r w:rsidR="00124570" w:rsidRPr="009B126F">
        <w:t xml:space="preserve"> for subpopulation </w:t>
      </w:r>
      <w:r w:rsidR="00124570" w:rsidRPr="00544ADA">
        <w:rPr>
          <w:i/>
          <w:iCs/>
        </w:rPr>
        <w:t>p</w:t>
      </w:r>
      <w:r w:rsidR="00124570" w:rsidRPr="009B126F">
        <w:t xml:space="preserve"> in compartment </w:t>
      </w:r>
      <w:proofErr w:type="spellStart"/>
      <w:r w:rsidR="00124570" w:rsidRPr="00544ADA">
        <w:rPr>
          <w:i/>
          <w:iCs/>
        </w:rPr>
        <w:t>c</w:t>
      </w:r>
      <w:r w:rsidR="00124570" w:rsidRPr="009B126F">
        <w:t xml:space="preserve"> at</w:t>
      </w:r>
      <w:proofErr w:type="spellEnd"/>
      <w:r w:rsidR="00124570" w:rsidRPr="009B126F">
        <w:t xml:space="preserve"> time </w:t>
      </w:r>
      <w:r w:rsidR="00124570" w:rsidRPr="00544ADA">
        <w:rPr>
          <w:i/>
          <w:iCs/>
        </w:rPr>
        <w:t>t</w:t>
      </w:r>
      <w:r w:rsidR="00124570" w:rsidRPr="009B126F">
        <w:t xml:space="preserve">, due to the amount of allocated funding </w:t>
      </w:r>
      <m:oMath>
        <m:sSubSup>
          <m:sSubSupPr>
            <m:ctrlPr>
              <w:rPr>
                <w:rFonts w:ascii="Cambria Math" w:hAnsi="Cambria Math"/>
                <w:b/>
                <w:iCs/>
              </w:rPr>
            </m:ctrlPr>
          </m:sSubSupPr>
          <m:e>
            <m:r>
              <m:rPr>
                <m:sty m:val="b"/>
              </m:rPr>
              <w:rPr>
                <w:rFonts w:ascii="Cambria Math" w:hAnsi="Cambria Math"/>
              </w:rPr>
              <m:t>ṅ</m:t>
            </m:r>
          </m:e>
          <m:sub>
            <m:sSup>
              <m:sSupPr>
                <m:ctrlPr>
                  <w:rPr>
                    <w:rFonts w:ascii="Cambria Math" w:hAnsi="Cambria Math"/>
                    <w:b/>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oMath>
      <w:r w:rsidR="00124570" w:rsidRPr="009B126F">
        <w:t xml:space="preserve"> for intervention </w:t>
      </w:r>
      <w:r w:rsidR="00124570" w:rsidRPr="00544ADA">
        <w:rPr>
          <w:i/>
          <w:iCs/>
        </w:rPr>
        <w:t>j*</w:t>
      </w:r>
      <w:r w:rsidR="00124570" w:rsidRPr="009B126F">
        <w:t xml:space="preserve"> up to </w:t>
      </w:r>
      <w:r w:rsidR="000A5893" w:rsidRPr="006F5064">
        <w:rPr>
          <w:szCs w:val="20"/>
        </w:rPr>
        <w:t>the time 2 funding level</w:t>
      </w:r>
      <w:r w:rsidR="004D624F">
        <w:t>, where</w:t>
      </w:r>
    </w:p>
    <w:p w14:paraId="02A30251" w14:textId="7760696E" w:rsidR="00124570" w:rsidRPr="001E30D8" w:rsidRDefault="00942583" w:rsidP="00942583">
      <w:pPr>
        <w:pStyle w:val="equation"/>
        <w:tabs>
          <w:tab w:val="center" w:pos="4320"/>
        </w:tabs>
        <w:spacing w:before="40" w:after="40" w:line="240" w:lineRule="auto"/>
        <w:rPr>
          <w:rFonts w:asciiTheme="minorHAnsi" w:eastAsiaTheme="minorEastAsia" w:hAnsiTheme="minorHAnsi" w:cstheme="minorHAnsi"/>
        </w:rPr>
      </w:pPr>
      <m:oMath>
        <m:r>
          <m:t xml:space="preserve">                         </m:t>
        </m:r>
        <m:sSubSup>
          <m:sSubSupPr>
            <m:ctrlPr/>
          </m:sSubSupPr>
          <m:e>
            <m:r>
              <m:rPr>
                <m:sty m:val="p"/>
              </m:rPr>
              <w:rPr>
                <w:rFonts w:eastAsiaTheme="minorEastAsia"/>
                <w:sz w:val="22"/>
              </w:rPr>
              <m:t>ψ</m:t>
            </m:r>
          </m:e>
          <m:sub>
            <m:r>
              <m:t>c,p</m:t>
            </m:r>
          </m:sub>
          <m:sup>
            <m:sSup>
              <m:sSupPr>
                <m:ctrlPr>
                  <w:rPr>
                    <w:i/>
                  </w:rPr>
                </m:ctrlPr>
              </m:sSupPr>
              <m:e>
                <m:r>
                  <m:t>j</m:t>
                </m:r>
              </m:e>
              <m:sup>
                <m:r>
                  <m:t>*</m:t>
                </m:r>
              </m:sup>
            </m:sSup>
            <m:r>
              <m:rPr>
                <m:sty m:val="p"/>
              </m:rPr>
              <m:t>,1</m:t>
            </m:r>
          </m:sup>
        </m:sSubSup>
        <m:d>
          <m:dPr>
            <m:ctrlPr/>
          </m:dPr>
          <m:e>
            <m:sSubSup>
              <m:sSubSupPr>
                <m:ctrlPr>
                  <w:rPr>
                    <w:rFonts w:cstheme="minorHAnsi"/>
                    <w:b/>
                    <w:sz w:val="22"/>
                  </w:rPr>
                </m:ctrlPr>
              </m:sSubSupPr>
              <m:e>
                <m:r>
                  <m:rPr>
                    <m:sty m:val="b"/>
                  </m:rPr>
                  <w:rPr>
                    <w:rFonts w:cstheme="minorHAnsi"/>
                    <w:sz w:val="22"/>
                  </w:rPr>
                  <m:t>ṅ</m:t>
                </m:r>
              </m:e>
              <m:sub>
                <m:sSup>
                  <m:sSupPr>
                    <m:ctrlPr>
                      <w:rPr>
                        <w:rFonts w:cstheme="minorHAnsi"/>
                        <w:b/>
                        <w:i/>
                        <w:sz w:val="22"/>
                      </w:rPr>
                    </m:ctrlPr>
                  </m:sSupPr>
                  <m:e>
                    <m:r>
                      <m:rPr>
                        <m:sty m:val="bi"/>
                      </m:rPr>
                      <w:rPr>
                        <w:rFonts w:cstheme="minorHAnsi"/>
                        <w:sz w:val="22"/>
                      </w:rPr>
                      <m:t>j</m:t>
                    </m:r>
                  </m:e>
                  <m:sup>
                    <m:r>
                      <m:rPr>
                        <m:sty m:val="bi"/>
                      </m:rPr>
                      <w:rPr>
                        <w:rFonts w:cstheme="minorHAnsi"/>
                        <w:sz w:val="22"/>
                      </w:rPr>
                      <m:t>*</m:t>
                    </m:r>
                  </m:sup>
                </m:sSup>
              </m:sub>
              <m:sup>
                <m:r>
                  <m:rPr>
                    <m:sty m:val="bi"/>
                  </m:rPr>
                  <w:rPr>
                    <w:rFonts w:cstheme="minorHAnsi"/>
                    <w:sz w:val="22"/>
                  </w:rPr>
                  <m:t>q</m:t>
                </m:r>
              </m:sup>
            </m:sSubSup>
            <m:r>
              <m:rPr>
                <m:sty m:val="p"/>
              </m:rPr>
              <m:t>,</m:t>
            </m:r>
            <m:r>
              <m:rPr>
                <m:sty m:val="bi"/>
              </m:rPr>
              <m:t>t</m:t>
            </m:r>
          </m:e>
        </m:d>
        <m:r>
          <m:rPr>
            <m:sty m:val="p"/>
          </m:rPr>
          <m:t>=</m:t>
        </m:r>
        <m:r>
          <m:t>min</m:t>
        </m:r>
        <m:d>
          <m:dPr>
            <m:begChr m:val="["/>
            <m:endChr m:val="]"/>
            <m:ctrlPr/>
          </m:dPr>
          <m:e>
            <m:sSubSup>
              <m:sSubSupPr>
                <m:ctrlPr/>
              </m:sSubSupPr>
              <m:e>
                <m:r>
                  <m:rPr>
                    <m:sty m:val="p"/>
                  </m:rPr>
                  <m:t>ℶ</m:t>
                </m:r>
              </m:e>
              <m:sub>
                <m:r>
                  <m:t>c,p</m:t>
                </m:r>
              </m:sub>
              <m:sup>
                <m:sSup>
                  <m:sSupPr>
                    <m:ctrlPr>
                      <w:rPr>
                        <w:i/>
                      </w:rPr>
                    </m:ctrlPr>
                  </m:sSupPr>
                  <m:e>
                    <m:r>
                      <m:t>j</m:t>
                    </m:r>
                  </m:e>
                  <m:sup>
                    <m:r>
                      <m:t>*</m:t>
                    </m:r>
                  </m:sup>
                </m:sSup>
              </m:sup>
            </m:sSubSup>
            <m:d>
              <m:dPr>
                <m:ctrlPr/>
              </m:dPr>
              <m:e>
                <m:r>
                  <m:rPr>
                    <m:sty m:val="bi"/>
                  </m:rPr>
                  <m:t>t</m:t>
                </m:r>
              </m:e>
            </m:d>
            <m:r>
              <m:rPr>
                <m:sty m:val="p"/>
              </m:rPr>
              <m:t>+</m:t>
            </m:r>
            <m:sSub>
              <m:sSubPr>
                <m:ctrlPr/>
              </m:sSubPr>
              <m:e>
                <m:r>
                  <m:rPr>
                    <m:sty m:val="p"/>
                  </m:rPr>
                  <m:t>Σ</m:t>
                </m:r>
              </m:e>
              <m:sub>
                <m:sSup>
                  <m:sSupPr>
                    <m:ctrlPr>
                      <w:rPr>
                        <w:i/>
                      </w:rPr>
                    </m:ctrlPr>
                  </m:sSupPr>
                  <m:e>
                    <m:r>
                      <m:t>j</m:t>
                    </m:r>
                  </m:e>
                  <m:sup>
                    <m:r>
                      <m:t>*</m:t>
                    </m:r>
                  </m:sup>
                </m:sSup>
              </m:sub>
            </m:sSub>
            <m:d>
              <m:dPr>
                <m:ctrlPr>
                  <w:rPr>
                    <w:snapToGrid w:val="0"/>
                  </w:rPr>
                </m:ctrlPr>
              </m:dPr>
              <m:e>
                <m:d>
                  <m:dPr>
                    <m:begChr m:val="["/>
                    <m:endChr m:val="]"/>
                    <m:ctrlPr>
                      <w:rPr>
                        <w:snapToGrid w:val="0"/>
                      </w:rPr>
                    </m:ctrlPr>
                  </m:dPr>
                  <m:e>
                    <m:sSubSup>
                      <m:sSubSupPr>
                        <m:ctrlPr>
                          <w:rPr>
                            <w:b/>
                            <w:sz w:val="22"/>
                          </w:rPr>
                        </m:ctrlPr>
                      </m:sSubSupPr>
                      <m:e>
                        <m:r>
                          <m:rPr>
                            <m:sty m:val="b"/>
                          </m:rPr>
                          <w:rPr>
                            <w:sz w:val="22"/>
                          </w:rPr>
                          <m:t>ẏ</m:t>
                        </m:r>
                      </m:e>
                      <m:sub>
                        <m:r>
                          <w:rPr>
                            <w:sz w:val="22"/>
                          </w:rPr>
                          <m:t>c,p</m:t>
                        </m:r>
                      </m:sub>
                      <m:sup>
                        <m:sSup>
                          <m:sSupPr>
                            <m:ctrlPr>
                              <w:rPr>
                                <w:b/>
                                <w:i/>
                                <w:sz w:val="22"/>
                              </w:rPr>
                            </m:ctrlPr>
                          </m:sSupPr>
                          <m:e>
                            <m:r>
                              <m:rPr>
                                <m:sty m:val="bi"/>
                              </m:rPr>
                              <w:rPr>
                                <w:sz w:val="22"/>
                              </w:rPr>
                              <m:t>j</m:t>
                            </m:r>
                          </m:e>
                          <m:sup>
                            <m:r>
                              <m:rPr>
                                <m:sty m:val="bi"/>
                              </m:rPr>
                              <w:rPr>
                                <w:sz w:val="22"/>
                              </w:rPr>
                              <m:t>*</m:t>
                            </m:r>
                          </m:sup>
                        </m:sSup>
                      </m:sup>
                    </m:sSubSup>
                  </m:e>
                </m:d>
                <m:r>
                  <w:rPr>
                    <w:snapToGrid w:val="0"/>
                  </w:rPr>
                  <m:t>×</m:t>
                </m:r>
                <m:d>
                  <m:dPr>
                    <m:begChr m:val="["/>
                    <m:endChr m:val="]"/>
                    <m:ctrlPr/>
                  </m:dPr>
                  <m:e>
                    <m:r>
                      <m:t>max</m:t>
                    </m:r>
                    <m:d>
                      <m:dPr>
                        <m:ctrlPr/>
                      </m:dPr>
                      <m:e>
                        <m:f>
                          <m:fPr>
                            <m:ctrlPr/>
                          </m:fPr>
                          <m:num>
                            <m:sSubSup>
                              <m:sSubSupPr>
                                <m:ctrlPr>
                                  <w:rPr>
                                    <w:rFonts w:cstheme="minorHAnsi"/>
                                    <w:b/>
                                    <w:sz w:val="22"/>
                                  </w:rPr>
                                </m:ctrlPr>
                              </m:sSubSupPr>
                              <m:e>
                                <m:r>
                                  <m:rPr>
                                    <m:sty m:val="b"/>
                                  </m:rPr>
                                  <w:rPr>
                                    <w:rFonts w:cstheme="minorHAnsi"/>
                                    <w:sz w:val="22"/>
                                  </w:rPr>
                                  <m:t>ṅ</m:t>
                                </m:r>
                              </m:e>
                              <m:sub>
                                <m:sSup>
                                  <m:sSupPr>
                                    <m:ctrlPr>
                                      <w:rPr>
                                        <w:rFonts w:cstheme="minorHAnsi"/>
                                        <w:b/>
                                        <w:i/>
                                        <w:sz w:val="22"/>
                                      </w:rPr>
                                    </m:ctrlPr>
                                  </m:sSupPr>
                                  <m:e>
                                    <m:r>
                                      <m:rPr>
                                        <m:sty m:val="bi"/>
                                      </m:rPr>
                                      <w:rPr>
                                        <w:rFonts w:cstheme="minorHAnsi"/>
                                        <w:sz w:val="22"/>
                                      </w:rPr>
                                      <m:t>j</m:t>
                                    </m:r>
                                  </m:e>
                                  <m:sup>
                                    <m:r>
                                      <m:rPr>
                                        <m:sty m:val="bi"/>
                                      </m:rPr>
                                      <w:rPr>
                                        <w:rFonts w:cstheme="minorHAnsi"/>
                                        <w:sz w:val="22"/>
                                      </w:rPr>
                                      <m:t>*</m:t>
                                    </m:r>
                                  </m:sup>
                                </m:sSup>
                              </m:sub>
                              <m:sup>
                                <m:r>
                                  <m:rPr>
                                    <m:sty m:val="bi"/>
                                  </m:rPr>
                                  <w:rPr>
                                    <w:rFonts w:cstheme="minorHAnsi"/>
                                    <w:sz w:val="22"/>
                                  </w:rPr>
                                  <m:t>q</m:t>
                                </m:r>
                              </m:sup>
                            </m:sSubSup>
                          </m:num>
                          <m:den>
                            <m:d>
                              <m:dPr>
                                <m:ctrlPr>
                                  <w:rPr>
                                    <w:i/>
                                  </w:rPr>
                                </m:ctrlPr>
                              </m:dPr>
                              <m:e>
                                <m:sSub>
                                  <m:sSubPr>
                                    <m:ctrlPr>
                                      <w:rPr>
                                        <w:snapToGrid w:val="0"/>
                                      </w:rPr>
                                    </m:ctrlPr>
                                  </m:sSubPr>
                                  <m:e>
                                    <m:r>
                                      <m:t>J</m:t>
                                    </m:r>
                                  </m:e>
                                  <m:sub>
                                    <m:r>
                                      <m:t>p</m:t>
                                    </m:r>
                                    <m:r>
                                      <m:rPr>
                                        <m:sty m:val="p"/>
                                      </m:rPr>
                                      <m:t>,</m:t>
                                    </m:r>
                                    <m:sSup>
                                      <m:sSupPr>
                                        <m:ctrlPr/>
                                      </m:sSupPr>
                                      <m:e>
                                        <m:r>
                                          <m:t>j</m:t>
                                        </m:r>
                                      </m:e>
                                      <m:sup>
                                        <m:r>
                                          <m:t>*</m:t>
                                        </m:r>
                                      </m:sup>
                                    </m:sSup>
                                  </m:sub>
                                </m:sSub>
                                <m:d>
                                  <m:dPr>
                                    <m:ctrlPr>
                                      <w:rPr>
                                        <w:snapToGrid w:val="0"/>
                                      </w:rPr>
                                    </m:ctrlPr>
                                  </m:dPr>
                                  <m:e>
                                    <m:sSubSup>
                                      <m:sSubSupPr>
                                        <m:ctrlPr>
                                          <w:rPr>
                                            <w:rFonts w:cstheme="minorHAnsi"/>
                                            <w:b/>
                                            <w:sz w:val="22"/>
                                          </w:rPr>
                                        </m:ctrlPr>
                                      </m:sSubSupPr>
                                      <m:e>
                                        <m:r>
                                          <m:rPr>
                                            <m:sty m:val="b"/>
                                          </m:rPr>
                                          <w:rPr>
                                            <w:rFonts w:cstheme="minorHAnsi"/>
                                            <w:sz w:val="22"/>
                                          </w:rPr>
                                          <m:t>ṅ</m:t>
                                        </m:r>
                                      </m:e>
                                      <m:sub>
                                        <m:sSup>
                                          <m:sSupPr>
                                            <m:ctrlPr>
                                              <w:rPr>
                                                <w:rFonts w:cstheme="minorHAnsi"/>
                                                <w:b/>
                                                <w:i/>
                                                <w:sz w:val="22"/>
                                              </w:rPr>
                                            </m:ctrlPr>
                                          </m:sSupPr>
                                          <m:e>
                                            <m:r>
                                              <m:rPr>
                                                <m:sty m:val="bi"/>
                                              </m:rPr>
                                              <w:rPr>
                                                <w:rFonts w:cstheme="minorHAnsi"/>
                                                <w:sz w:val="22"/>
                                              </w:rPr>
                                              <m:t>j</m:t>
                                            </m:r>
                                          </m:e>
                                          <m:sup>
                                            <m:r>
                                              <m:rPr>
                                                <m:sty m:val="bi"/>
                                              </m:rPr>
                                              <w:rPr>
                                                <w:rFonts w:cstheme="minorHAnsi"/>
                                                <w:sz w:val="22"/>
                                              </w:rPr>
                                              <m:t>*</m:t>
                                            </m:r>
                                          </m:sup>
                                        </m:sSup>
                                      </m:sub>
                                      <m:sup>
                                        <m:r>
                                          <m:rPr>
                                            <m:sty m:val="bi"/>
                                          </m:rPr>
                                          <w:rPr>
                                            <w:rFonts w:cstheme="minorHAnsi"/>
                                            <w:sz w:val="22"/>
                                          </w:rPr>
                                          <m:t>q</m:t>
                                        </m:r>
                                      </m:sup>
                                    </m:sSubSup>
                                  </m:e>
                                </m:d>
                              </m:e>
                            </m:d>
                            <m:d>
                              <m:dPr>
                                <m:ctrlPr>
                                  <w:rPr>
                                    <w:i/>
                                  </w:rPr>
                                </m:ctrlPr>
                              </m:dPr>
                              <m:e>
                                <m:sSubSup>
                                  <m:sSubSupPr>
                                    <m:ctrlPr>
                                      <w:rPr>
                                        <w:b/>
                                        <w:sz w:val="22"/>
                                      </w:rPr>
                                    </m:ctrlPr>
                                  </m:sSubSupPr>
                                  <m:e>
                                    <m:r>
                                      <m:rPr>
                                        <m:sty m:val="b"/>
                                      </m:rPr>
                                      <w:rPr>
                                        <w:sz w:val="22"/>
                                      </w:rPr>
                                      <m:t>ẏ</m:t>
                                    </m:r>
                                  </m:e>
                                  <m:sub>
                                    <m:r>
                                      <w:rPr>
                                        <w:sz w:val="22"/>
                                      </w:rPr>
                                      <m:t>c,p</m:t>
                                    </m:r>
                                  </m:sub>
                                  <m:sup>
                                    <m:sSup>
                                      <m:sSupPr>
                                        <m:ctrlPr>
                                          <w:rPr>
                                            <w:b/>
                                            <w:i/>
                                            <w:sz w:val="22"/>
                                          </w:rPr>
                                        </m:ctrlPr>
                                      </m:sSupPr>
                                      <m:e>
                                        <m:r>
                                          <m:rPr>
                                            <m:sty m:val="bi"/>
                                          </m:rPr>
                                          <w:rPr>
                                            <w:sz w:val="22"/>
                                          </w:rPr>
                                          <m:t>j</m:t>
                                        </m:r>
                                      </m:e>
                                      <m:sup>
                                        <m:r>
                                          <m:rPr>
                                            <m:sty m:val="bi"/>
                                          </m:rPr>
                                          <w:rPr>
                                            <w:sz w:val="22"/>
                                          </w:rPr>
                                          <m:t>*</m:t>
                                        </m:r>
                                      </m:sup>
                                    </m:sSup>
                                  </m:sup>
                                </m:sSubSup>
                              </m:e>
                            </m:d>
                            <m:d>
                              <m:dPr>
                                <m:ctrlPr>
                                  <w:rPr>
                                    <w:i/>
                                  </w:rPr>
                                </m:ctrlPr>
                              </m:dPr>
                              <m:e>
                                <m:sSub>
                                  <m:sSubPr>
                                    <m:ctrlPr>
                                      <w:rPr>
                                        <w:i/>
                                        <w:sz w:val="22"/>
                                      </w:rPr>
                                    </m:ctrlPr>
                                  </m:sSubPr>
                                  <m:e>
                                    <m:r>
                                      <m:rPr>
                                        <m:sty m:val="p"/>
                                      </m:rPr>
                                      <m:t>Ṡ</m:t>
                                    </m:r>
                                  </m:e>
                                  <m:sub>
                                    <m:sSup>
                                      <m:sSupPr>
                                        <m:ctrlPr>
                                          <w:rPr>
                                            <w:i/>
                                            <w:sz w:val="22"/>
                                          </w:rPr>
                                        </m:ctrlPr>
                                      </m:sSupPr>
                                      <m:e>
                                        <m:r>
                                          <w:rPr>
                                            <w:sz w:val="22"/>
                                          </w:rPr>
                                          <m:t>j</m:t>
                                        </m:r>
                                      </m:e>
                                      <m:sup>
                                        <m:r>
                                          <w:rPr>
                                            <w:sz w:val="22"/>
                                          </w:rPr>
                                          <m:t>*</m:t>
                                        </m:r>
                                      </m:sup>
                                    </m:sSup>
                                  </m:sub>
                                </m:sSub>
                              </m:e>
                            </m:d>
                          </m:den>
                        </m:f>
                        <m:r>
                          <m:t>,1</m:t>
                        </m:r>
                      </m:e>
                    </m:d>
                  </m:e>
                </m:d>
              </m:e>
            </m:d>
            <m:r>
              <m:rPr>
                <m:sty m:val="p"/>
              </m:rPr>
              <m:t>,</m:t>
            </m:r>
            <m:sSub>
              <m:sSubPr>
                <m:ctrlPr>
                  <w:rPr>
                    <w:snapToGrid w:val="0"/>
                  </w:rPr>
                </m:ctrlPr>
              </m:sSubPr>
              <m:e>
                <m:r>
                  <m:t>R</m:t>
                </m:r>
              </m:e>
              <m:sub>
                <m:sSup>
                  <m:sSupPr>
                    <m:ctrlPr>
                      <w:rPr>
                        <w:i/>
                      </w:rPr>
                    </m:ctrlPr>
                  </m:sSupPr>
                  <m:e>
                    <m:r>
                      <m:t>j</m:t>
                    </m:r>
                  </m:e>
                  <m:sup>
                    <m:r>
                      <m:t>*</m:t>
                    </m:r>
                  </m:sup>
                </m:sSup>
                <m:r>
                  <m:rPr>
                    <m:sty m:val="p"/>
                  </m:rPr>
                  <m:t>,2</m:t>
                </m:r>
              </m:sub>
            </m:sSub>
          </m:e>
        </m:d>
      </m:oMath>
      <w:r>
        <w:rPr>
          <w:rFonts w:asciiTheme="minorHAnsi" w:eastAsiaTheme="minorEastAsia" w:hAnsiTheme="minorHAnsi" w:cstheme="minorHAnsi"/>
        </w:rPr>
        <w:t xml:space="preserve">              </w:t>
      </w:r>
      <w:r w:rsidRPr="00942583">
        <w:rPr>
          <w:rFonts w:ascii="Verdana" w:eastAsiaTheme="minorEastAsia" w:hAnsi="Verdana"/>
        </w:rPr>
        <w:t>(8.</w:t>
      </w:r>
      <w:r>
        <w:rPr>
          <w:rFonts w:ascii="Verdana" w:eastAsiaTheme="minorEastAsia" w:hAnsi="Verdana"/>
        </w:rPr>
        <w:t>6</w:t>
      </w:r>
      <w:r w:rsidRPr="00942583">
        <w:rPr>
          <w:rFonts w:ascii="Verdana" w:eastAsiaTheme="minorEastAsia" w:hAnsi="Verdana"/>
        </w:rPr>
        <w:t>)</w:t>
      </w:r>
    </w:p>
    <w:p w14:paraId="7D8695E3" w14:textId="6C73898B" w:rsidR="00124570" w:rsidRPr="00124570" w:rsidRDefault="0096578C" w:rsidP="0096578C">
      <w:pPr>
        <w:pStyle w:val="bullets"/>
        <w:numPr>
          <w:ilvl w:val="0"/>
          <w:numId w:val="0"/>
        </w:numPr>
        <w:ind w:left="360"/>
        <w:jc w:val="center"/>
      </w:pPr>
      <w:r>
        <w:rPr>
          <w:rFonts w:asciiTheme="minorHAnsi" w:eastAsiaTheme="minorEastAsia" w:hAnsiTheme="minorHAnsi" w:cstheme="minorHAnsi"/>
        </w:rPr>
        <w:br/>
      </w:r>
      <m:oMath>
        <m:r>
          <w:rPr>
            <w:rFonts w:ascii="Cambria Math" w:hAnsi="Cambria Math"/>
          </w:rPr>
          <m:t>∀</m:t>
        </m:r>
      </m:oMath>
      <w:r>
        <w:t xml:space="preserve"> q, j</w:t>
      </w:r>
      <w:r w:rsidRPr="000133BE">
        <w:t>*,</w:t>
      </w:r>
      <w:r>
        <w:t xml:space="preserve"> </w:t>
      </w:r>
      <w:r w:rsidRPr="000133BE">
        <w:t>t in allocation period q</w:t>
      </w:r>
    </w:p>
    <w:p w14:paraId="414F17D4" w14:textId="4E001C4E" w:rsidR="00124570" w:rsidRPr="009B126F" w:rsidRDefault="00747E9D" w:rsidP="00124570">
      <w:pPr>
        <w:pStyle w:val="bullets"/>
      </w:pPr>
      <m:oMath>
        <m:sSubSup>
          <m:sSubSupPr>
            <m:ctrlPr>
              <w:rPr>
                <w:rFonts w:ascii="Cambria Math" w:hAnsi="Cambria Math"/>
              </w:rPr>
            </m:ctrlPr>
          </m:sSubSupPr>
          <m:e>
            <m:r>
              <m:rPr>
                <m:sty m:val="p"/>
              </m:rPr>
              <w:rPr>
                <w:rFonts w:ascii="Cambria Math" w:eastAsiaTheme="minorEastAsia" w:hAnsi="Cambria Math"/>
                <w:sz w:val="22"/>
              </w:rPr>
              <m:t>ψ</m:t>
            </m:r>
          </m:e>
          <m:sub>
            <m:r>
              <w:rPr>
                <w:rFonts w:ascii="Cambria Math" w:hAnsi="Cambria Math"/>
              </w:rPr>
              <m:t>c</m:t>
            </m:r>
            <m:r>
              <m:rPr>
                <m:sty m:val="p"/>
              </m:rPr>
              <w:rPr>
                <w:rFonts w:ascii="Cambria Math" w:hAnsi="Cambria Math"/>
              </w:rPr>
              <m:t>,</m:t>
            </m:r>
            <m:r>
              <w:rPr>
                <w:rFonts w:ascii="Cambria Math" w:hAnsi="Cambria Math"/>
              </w:rPr>
              <m:t>p</m:t>
            </m:r>
          </m:sub>
          <m:sup>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,2</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r>
              <m:rPr>
                <m:sty m:val="p"/>
              </m:rPr>
              <w:rPr>
                <w:rFonts w:ascii="Cambria Math" w:hAnsi="Cambria Math"/>
              </w:rPr>
              <m:t>,</m:t>
            </m:r>
            <m:r>
              <m:rPr>
                <m:sty m:val="bi"/>
              </m:rPr>
              <w:rPr>
                <w:rFonts w:ascii="Cambria Math" w:hAnsi="Cambria Math"/>
              </w:rPr>
              <m:t>t</m:t>
            </m:r>
          </m:e>
        </m:d>
        <m:r>
          <m:rPr>
            <m:sty m:val="p"/>
          </m:rPr>
          <w:rPr>
            <w:rFonts w:ascii="Cambria Math" w:hAnsi="Cambria Math"/>
          </w:rPr>
          <m:t xml:space="preserve">= </m:t>
        </m:r>
      </m:oMath>
      <w:r w:rsidR="00124570" w:rsidRPr="009B126F">
        <w:t xml:space="preserve">Rate of progression targeted by intervention </w:t>
      </w:r>
      <w:r w:rsidR="00124570" w:rsidRPr="00544ADA">
        <w:rPr>
          <w:i/>
          <w:iCs/>
        </w:rPr>
        <w:t>j*</w:t>
      </w:r>
      <w:r w:rsidR="00124570" w:rsidRPr="009B126F">
        <w:t xml:space="preserve"> for subpopulation </w:t>
      </w:r>
      <w:r w:rsidR="00124570" w:rsidRPr="00544ADA">
        <w:rPr>
          <w:i/>
          <w:iCs/>
        </w:rPr>
        <w:t>p</w:t>
      </w:r>
      <w:r w:rsidR="00124570" w:rsidRPr="009B126F">
        <w:t xml:space="preserve"> in compartment </w:t>
      </w:r>
      <w:proofErr w:type="spellStart"/>
      <w:r w:rsidR="00124570" w:rsidRPr="00544ADA">
        <w:rPr>
          <w:i/>
          <w:iCs/>
        </w:rPr>
        <w:t>c</w:t>
      </w:r>
      <w:r w:rsidR="00124570" w:rsidRPr="009B126F">
        <w:t xml:space="preserve"> at</w:t>
      </w:r>
      <w:proofErr w:type="spellEnd"/>
      <w:r w:rsidR="00124570" w:rsidRPr="009B126F">
        <w:t xml:space="preserve"> time </w:t>
      </w:r>
      <w:r w:rsidR="00124570" w:rsidRPr="00544ADA">
        <w:rPr>
          <w:i/>
          <w:iCs/>
        </w:rPr>
        <w:t>t</w:t>
      </w:r>
      <w:r w:rsidR="00124570" w:rsidRPr="009B126F">
        <w:t xml:space="preserve">, due to the amount of allocated funding </w:t>
      </w:r>
      <m:oMath>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oMath>
      <w:r w:rsidR="00124570" w:rsidRPr="009B126F">
        <w:t xml:space="preserve"> beyond </w:t>
      </w:r>
      <w:r w:rsidR="000A5893" w:rsidRPr="006F5064">
        <w:rPr>
          <w:szCs w:val="20"/>
        </w:rPr>
        <w:t>the time 2 funding level</w:t>
      </w:r>
      <w:r w:rsidR="004D624F">
        <w:t>, where</w:t>
      </w:r>
    </w:p>
    <w:p w14:paraId="6B86D3C6" w14:textId="4E12153E" w:rsidR="00124570" w:rsidRPr="009B126F" w:rsidRDefault="00747E9D" w:rsidP="00124570">
      <w:pPr>
        <w:pStyle w:val="bullets"/>
        <w:numPr>
          <w:ilvl w:val="0"/>
          <w:numId w:val="0"/>
        </w:numPr>
        <w:ind w:left="360"/>
        <w:rPr>
          <w:rFonts w:ascii="Calibri" w:eastAsia="Calibri" w:hAnsi="Calibri" w:cs="Arial"/>
        </w:rPr>
      </w:pPr>
      <m:oMath>
        <m:sSubSup>
          <m:sSubSupPr>
            <m:ctrlPr>
              <w:rPr>
                <w:rFonts w:ascii="Cambria Math" w:hAnsi="Cambria Math"/>
              </w:rPr>
            </m:ctrlPr>
          </m:sSubSupPr>
          <m:e>
            <m:r>
              <m:rPr>
                <m:sty m:val="p"/>
              </m:rPr>
              <w:rPr>
                <w:rFonts w:ascii="Cambria Math" w:eastAsiaTheme="minorEastAsia" w:hAnsi="Cambria Math"/>
                <w:sz w:val="22"/>
              </w:rPr>
              <m:t>ψ</m:t>
            </m:r>
          </m:e>
          <m:sub>
            <m:r>
              <w:rPr>
                <w:rFonts w:ascii="Cambria Math" w:hAnsi="Cambria Math"/>
              </w:rPr>
              <m:t>c</m:t>
            </m:r>
            <m:r>
              <m:rPr>
                <m:sty m:val="p"/>
              </m:rPr>
              <w:rPr>
                <w:rFonts w:ascii="Cambria Math" w:hAnsi="Cambria Math"/>
              </w:rPr>
              <m:t>,</m:t>
            </m:r>
            <m:r>
              <w:rPr>
                <w:rFonts w:ascii="Cambria Math" w:hAnsi="Cambria Math"/>
              </w:rPr>
              <m:t>p</m:t>
            </m:r>
          </m:sub>
          <m:sup>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,2</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r>
              <m:rPr>
                <m:sty m:val="p"/>
              </m:rPr>
              <w:rPr>
                <w:rFonts w:ascii="Cambria Math" w:hAnsi="Cambria Math"/>
              </w:rPr>
              <m:t>,</m:t>
            </m:r>
            <m:r>
              <m:rPr>
                <m:sty m:val="bi"/>
              </m:rPr>
              <w:rPr>
                <w:rFonts w:ascii="Cambria Math" w:hAnsi="Cambria Math"/>
              </w:rPr>
              <m:t>t</m:t>
            </m:r>
          </m:e>
        </m:d>
        <m:r>
          <m:rPr>
            <m:sty m:val="p"/>
          </m:rPr>
          <w:rPr>
            <w:rFonts w:ascii="Cambria Math" w:hAnsi="Cambria Math"/>
          </w:rPr>
          <m:t>=</m:t>
        </m:r>
        <m:r>
          <w:rPr>
            <w:rFonts w:ascii="Cambria Math" w:hAnsi="Cambria Math"/>
          </w:rPr>
          <m:t>min</m:t>
        </m:r>
        <m:d>
          <m:dPr>
            <m:begChr m:val="["/>
            <m:endChr m:val="]"/>
            <m:ctrlPr>
              <w:rPr>
                <w:rFonts w:ascii="Cambria Math" w:hAnsi="Cambria Math"/>
              </w:rPr>
            </m:ctrlPr>
          </m:dPr>
          <m:e>
            <m:f>
              <m:fPr>
                <m:ctrlPr>
                  <w:rPr>
                    <w:rFonts w:ascii="Cambria Math" w:hAnsi="Cambria Math"/>
                  </w:rPr>
                </m:ctrlPr>
              </m:fPr>
              <m:num>
                <m:d>
                  <m:dPr>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num>
                              <m:den>
                                <m:sSub>
                                  <m:sSubPr>
                                    <m:ctrlPr>
                                      <w:rPr>
                                        <w:rFonts w:ascii="Cambria Math" w:hAnsi="Cambria Math"/>
                                        <w:sz w:val="22"/>
                                      </w:rPr>
                                    </m:ctrlPr>
                                  </m:sSubPr>
                                  <m:e>
                                    <m:r>
                                      <m:rPr>
                                        <m:sty m:val="p"/>
                                      </m:rPr>
                                      <w:rPr>
                                        <w:rFonts w:ascii="Cambria Math" w:hAnsi="Cambria Math"/>
                                      </w:rPr>
                                      <m:t>Ṡ</m:t>
                                    </m:r>
                                  </m:e>
                                  <m:sub>
                                    <m:sSup>
                                      <m:sSupPr>
                                        <m:ctrlPr>
                                          <w:rPr>
                                            <w:rFonts w:ascii="Cambria Math" w:hAnsi="Cambria Math"/>
                                            <w:sz w:val="22"/>
                                          </w:rPr>
                                        </m:ctrlPr>
                                      </m:sSupPr>
                                      <m:e>
                                        <m:r>
                                          <w:rPr>
                                            <w:rFonts w:ascii="Cambria Math" w:hAnsi="Cambria Math"/>
                                            <w:sz w:val="22"/>
                                          </w:rPr>
                                          <m:t>j</m:t>
                                        </m:r>
                                      </m:e>
                                      <m:sup>
                                        <m:r>
                                          <m:rPr>
                                            <m:sty m:val="p"/>
                                          </m:rPr>
                                          <w:rPr>
                                            <w:rFonts w:ascii="Cambria Math" w:hAnsi="Cambria Math"/>
                                            <w:sz w:val="22"/>
                                          </w:rPr>
                                          <m:t>*</m:t>
                                        </m:r>
                                      </m:sup>
                                    </m:sSup>
                                  </m:sub>
                                </m:sSub>
                              </m:den>
                            </m:f>
                          </m:e>
                        </m:d>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snapToGrid w:val="0"/>
                                      </w:rPr>
                                    </m:ctrlPr>
                                  </m:sSubPr>
                                  <m:e>
                                    <m:r>
                                      <w:rPr>
                                        <w:rFonts w:ascii="Cambria Math" w:hAnsi="Cambria Math"/>
                                      </w:rPr>
                                      <m:t>J</m:t>
                                    </m:r>
                                  </m:e>
                                  <m:sub>
                                    <m:r>
                                      <w:rPr>
                                        <w:rFonts w:ascii="Cambria Math" w:hAnsi="Cambria Math"/>
                                      </w:rPr>
                                      <m:t>p</m:t>
                                    </m:r>
                                    <m:r>
                                      <m:rPr>
                                        <m:sty m:val="p"/>
                                      </m:rPr>
                                      <w:rPr>
                                        <w:rFonts w:ascii="Cambria Math" w:hAnsi="Cambria Math"/>
                                      </w:rPr>
                                      <m:t>,</m:t>
                                    </m:r>
                                    <m:sSup>
                                      <m:sSupPr>
                                        <m:ctrlPr>
                                          <w:rPr>
                                            <w:rFonts w:ascii="Cambria Math" w:hAnsi="Cambria Math"/>
                                          </w:rPr>
                                        </m:ctrlPr>
                                      </m:sSupPr>
                                      <m:e>
                                        <m:r>
                                          <w:rPr>
                                            <w:rFonts w:ascii="Cambria Math" w:hAnsi="Cambria Math"/>
                                          </w:rPr>
                                          <m:t>j</m:t>
                                        </m:r>
                                      </m:e>
                                      <m:sup>
                                        <m:r>
                                          <m:rPr>
                                            <m:sty m:val="p"/>
                                          </m:rPr>
                                          <w:rPr>
                                            <w:rFonts w:ascii="Cambria Math" w:hAnsi="Cambria Math"/>
                                          </w:rPr>
                                          <m:t>*</m:t>
                                        </m:r>
                                      </m:sup>
                                    </m:sSup>
                                  </m:sub>
                                </m:sSub>
                                <m:d>
                                  <m:dPr>
                                    <m:ctrlPr>
                                      <w:rPr>
                                        <w:rFonts w:ascii="Cambria Math" w:hAnsi="Cambria Math"/>
                                        <w:snapToGrid w:val="0"/>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e>
                                </m:d>
                              </m:e>
                            </m:d>
                            <m:d>
                              <m:dPr>
                                <m:ctrlPr>
                                  <w:rPr>
                                    <w:rFonts w:ascii="Cambria Math" w:hAnsi="Cambria Math"/>
                                  </w:rPr>
                                </m:ctrlPr>
                              </m:dPr>
                              <m:e>
                                <m:sSubSup>
                                  <m:sSubSupPr>
                                    <m:ctrlPr>
                                      <w:rPr>
                                        <w:rFonts w:ascii="Cambria Math" w:hAnsi="Cambria Math"/>
                                        <w:b/>
                                        <w:sz w:val="22"/>
                                      </w:rPr>
                                    </m:ctrlPr>
                                  </m:sSubSupPr>
                                  <m:e>
                                    <m:r>
                                      <m:rPr>
                                        <m:sty m:val="b"/>
                                      </m:rPr>
                                      <w:rPr>
                                        <w:rFonts w:ascii="Cambria Math" w:hAnsi="Cambria Math"/>
                                        <w:sz w:val="22"/>
                                      </w:rPr>
                                      <m:t>ẏ</m:t>
                                    </m:r>
                                  </m:e>
                                  <m:sub>
                                    <m:r>
                                      <w:rPr>
                                        <w:rFonts w:ascii="Cambria Math" w:hAnsi="Cambria Math"/>
                                        <w:sz w:val="22"/>
                                      </w:rPr>
                                      <m:t>c</m:t>
                                    </m:r>
                                    <m:r>
                                      <m:rPr>
                                        <m:sty m:val="p"/>
                                      </m:rPr>
                                      <w:rPr>
                                        <w:rFonts w:ascii="Cambria Math" w:hAnsi="Cambria Math"/>
                                        <w:sz w:val="22"/>
                                      </w:rPr>
                                      <m:t>,</m:t>
                                    </m:r>
                                    <m:r>
                                      <w:rPr>
                                        <w:rFonts w:ascii="Cambria Math" w:hAnsi="Cambria Math"/>
                                        <w:sz w:val="22"/>
                                      </w:rPr>
                                      <m:t>p</m:t>
                                    </m:r>
                                  </m:sub>
                                  <m:sup>
                                    <m:sSup>
                                      <m:sSupPr>
                                        <m:ctrlPr>
                                          <w:rPr>
                                            <w:rFonts w:ascii="Cambria Math" w:hAnsi="Cambria Math"/>
                                            <w:sz w:val="22"/>
                                          </w:rPr>
                                        </m:ctrlPr>
                                      </m:sSupPr>
                                      <m:e>
                                        <m:r>
                                          <w:rPr>
                                            <w:rFonts w:ascii="Cambria Math" w:hAnsi="Cambria Math"/>
                                            <w:sz w:val="22"/>
                                          </w:rPr>
                                          <m:t>j</m:t>
                                        </m:r>
                                      </m:e>
                                      <m:sup>
                                        <m:r>
                                          <m:rPr>
                                            <m:sty m:val="p"/>
                                          </m:rPr>
                                          <w:rPr>
                                            <w:rFonts w:ascii="Cambria Math" w:hAnsi="Cambria Math"/>
                                            <w:sz w:val="22"/>
                                          </w:rPr>
                                          <m:t>*</m:t>
                                        </m:r>
                                      </m:sup>
                                    </m:sSup>
                                  </m:sup>
                                </m:sSubSup>
                                <m:r>
                                  <m:rPr>
                                    <m:sty m:val="b"/>
                                  </m:rPr>
                                  <w:rPr>
                                    <w:rFonts w:ascii="Cambria Math" w:hAnsi="Cambria Math"/>
                                    <w:sz w:val="22"/>
                                  </w:rPr>
                                  <m:t>-</m:t>
                                </m:r>
                                <m:sSubSup>
                                  <m:sSubSupPr>
                                    <m:ctrlPr>
                                      <w:rPr>
                                        <w:rFonts w:ascii="Cambria Math" w:hAnsi="Cambria Math"/>
                                      </w:rPr>
                                    </m:ctrlPr>
                                  </m:sSubSupPr>
                                  <m:e>
                                    <m:r>
                                      <m:rPr>
                                        <m:sty m:val="p"/>
                                      </m:rPr>
                                      <w:rPr>
                                        <w:rFonts w:ascii="Cambria Math" w:hAnsi="Cambria Math"/>
                                      </w:rPr>
                                      <m:t>ℶ</m:t>
                                    </m:r>
                                  </m:e>
                                  <m:sub>
                                    <m:r>
                                      <w:rPr>
                                        <w:rFonts w:ascii="Cambria Math" w:hAnsi="Cambria Math"/>
                                      </w:rPr>
                                      <m:t>c</m:t>
                                    </m:r>
                                    <m:r>
                                      <m:rPr>
                                        <m:sty m:val="p"/>
                                      </m:rPr>
                                      <w:rPr>
                                        <w:rFonts w:ascii="Cambria Math" w:hAnsi="Cambria Math"/>
                                      </w:rPr>
                                      <m:t>,</m:t>
                                    </m:r>
                                    <m:r>
                                      <w:rPr>
                                        <w:rFonts w:ascii="Cambria Math" w:hAnsi="Cambria Math"/>
                                      </w:rPr>
                                      <m:t>p</m:t>
                                    </m:r>
                                  </m:sub>
                                  <m:sup>
                                    <m:sSup>
                                      <m:sSupPr>
                                        <m:ctrlPr>
                                          <w:rPr>
                                            <w:rFonts w:ascii="Cambria Math" w:hAnsi="Cambria Math"/>
                                          </w:rPr>
                                        </m:ctrlPr>
                                      </m:sSupPr>
                                      <m:e>
                                        <m:r>
                                          <w:rPr>
                                            <w:rFonts w:ascii="Cambria Math" w:hAnsi="Cambria Math"/>
                                          </w:rPr>
                                          <m:t>j</m:t>
                                        </m:r>
                                      </m:e>
                                      <m:sup>
                                        <m:r>
                                          <m:rPr>
                                            <m:sty m:val="p"/>
                                          </m:rPr>
                                          <w:rPr>
                                            <w:rFonts w:ascii="Cambria Math" w:hAnsi="Cambria Math"/>
                                          </w:rPr>
                                          <m:t>*</m:t>
                                        </m:r>
                                      </m:sup>
                                    </m:sSup>
                                  </m:sup>
                                </m:sSubSup>
                                <m:d>
                                  <m:dPr>
                                    <m:ctrlPr>
                                      <w:rPr>
                                        <w:rFonts w:ascii="Cambria Math" w:hAnsi="Cambria Math"/>
                                      </w:rPr>
                                    </m:ctrlPr>
                                  </m:dPr>
                                  <m:e>
                                    <m:r>
                                      <m:rPr>
                                        <m:sty m:val="bi"/>
                                      </m:rPr>
                                      <w:rPr>
                                        <w:rFonts w:ascii="Cambria Math" w:hAnsi="Cambria Math"/>
                                      </w:rPr>
                                      <m:t>t</m:t>
                                    </m:r>
                                  </m:e>
                                </m:d>
                              </m:e>
                            </m:d>
                          </m:e>
                        </m:d>
                      </m:num>
                      <m:den>
                        <m:nary>
                          <m:naryPr>
                            <m:chr m:val="∑"/>
                            <m:limLoc m:val="undOvr"/>
                            <m:supHide m:val="1"/>
                            <m:ctrlPr>
                              <w:rPr>
                                <w:rFonts w:ascii="Cambria Math" w:hAnsi="Cambria Math"/>
                              </w:rPr>
                            </m:ctrlPr>
                          </m:naryPr>
                          <m:sub>
                            <m:r>
                              <w:rPr>
                                <w:rFonts w:ascii="Cambria Math" w:hAnsi="Cambria Math"/>
                              </w:rPr>
                              <m:t>p</m:t>
                            </m:r>
                          </m:sub>
                          <m:sup/>
                          <m:e>
                            <m:d>
                              <m:dPr>
                                <m:begChr m:val="["/>
                                <m:endChr m:val="]"/>
                                <m:ctrlPr>
                                  <w:rPr>
                                    <w:rFonts w:ascii="Cambria Math" w:hAnsi="Cambria Math"/>
                                  </w:rPr>
                                </m:ctrlPr>
                              </m:dPr>
                              <m:e>
                                <m:d>
                                  <m:dPr>
                                    <m:ctrlPr>
                                      <w:rPr>
                                        <w:rFonts w:ascii="Cambria Math" w:hAnsi="Cambria Math"/>
                                      </w:rPr>
                                    </m:ctrlPr>
                                  </m:dPr>
                                  <m:e>
                                    <m:sSub>
                                      <m:sSubPr>
                                        <m:ctrlPr>
                                          <w:rPr>
                                            <w:rFonts w:ascii="Cambria Math" w:hAnsi="Cambria Math"/>
                                            <w:snapToGrid w:val="0"/>
                                          </w:rPr>
                                        </m:ctrlPr>
                                      </m:sSubPr>
                                      <m:e>
                                        <m:r>
                                          <w:rPr>
                                            <w:rFonts w:ascii="Cambria Math" w:hAnsi="Cambria Math"/>
                                          </w:rPr>
                                          <m:t>J</m:t>
                                        </m:r>
                                      </m:e>
                                      <m:sub>
                                        <m:r>
                                          <w:rPr>
                                            <w:rFonts w:ascii="Cambria Math" w:hAnsi="Cambria Math"/>
                                          </w:rPr>
                                          <m:t>p</m:t>
                                        </m:r>
                                        <m:r>
                                          <m:rPr>
                                            <m:sty m:val="p"/>
                                          </m:rPr>
                                          <w:rPr>
                                            <w:rFonts w:ascii="Cambria Math" w:hAnsi="Cambria Math"/>
                                          </w:rPr>
                                          <m:t>,</m:t>
                                        </m:r>
                                        <m:sSup>
                                          <m:sSupPr>
                                            <m:ctrlPr>
                                              <w:rPr>
                                                <w:rFonts w:ascii="Cambria Math" w:hAnsi="Cambria Math"/>
                                              </w:rPr>
                                            </m:ctrlPr>
                                          </m:sSupPr>
                                          <m:e>
                                            <m:r>
                                              <w:rPr>
                                                <w:rFonts w:ascii="Cambria Math" w:hAnsi="Cambria Math"/>
                                              </w:rPr>
                                              <m:t>j</m:t>
                                            </m:r>
                                          </m:e>
                                          <m:sup>
                                            <m:r>
                                              <m:rPr>
                                                <m:sty m:val="p"/>
                                              </m:rPr>
                                              <w:rPr>
                                                <w:rFonts w:ascii="Cambria Math" w:hAnsi="Cambria Math"/>
                                              </w:rPr>
                                              <m:t>*</m:t>
                                            </m:r>
                                          </m:sup>
                                        </m:sSup>
                                      </m:sub>
                                    </m:sSub>
                                    <m:d>
                                      <m:dPr>
                                        <m:ctrlPr>
                                          <w:rPr>
                                            <w:rFonts w:ascii="Cambria Math" w:hAnsi="Cambria Math"/>
                                            <w:snapToGrid w:val="0"/>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e>
                                    </m:d>
                                  </m:e>
                                </m:d>
                                <m:d>
                                  <m:dPr>
                                    <m:ctrlPr>
                                      <w:rPr>
                                        <w:rFonts w:ascii="Cambria Math" w:hAnsi="Cambria Math"/>
                                      </w:rPr>
                                    </m:ctrlPr>
                                  </m:dPr>
                                  <m:e>
                                    <m:sSub>
                                      <m:sSubPr>
                                        <m:ctrlPr>
                                          <w:rPr>
                                            <w:rFonts w:ascii="Cambria Math" w:hAnsi="Cambria Math"/>
                                            <w:snapToGrid w:val="0"/>
                                          </w:rPr>
                                        </m:ctrlPr>
                                      </m:sSubPr>
                                      <m:e>
                                        <m:r>
                                          <w:rPr>
                                            <w:rFonts w:ascii="Cambria Math" w:hAnsi="Cambria Math"/>
                                          </w:rPr>
                                          <m:t>R</m:t>
                                        </m:r>
                                      </m:e>
                                      <m:sub>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,2</m:t>
                                        </m:r>
                                      </m:sub>
                                    </m:sSub>
                                    <m:r>
                                      <m:rPr>
                                        <m:sty m:val="b"/>
                                      </m:rPr>
                                      <w:rPr>
                                        <w:rFonts w:ascii="Cambria Math" w:hAnsi="Cambria Math"/>
                                        <w:sz w:val="22"/>
                                      </w:rPr>
                                      <m:t>-</m:t>
                                    </m:r>
                                    <m:d>
                                      <m:dPr>
                                        <m:begChr m:val="["/>
                                        <m:endChr m:val="]"/>
                                        <m:ctrlPr>
                                          <w:rPr>
                                            <w:rFonts w:ascii="Cambria Math" w:hAnsi="Cambria Math"/>
                                            <w:b/>
                                            <w:sz w:val="22"/>
                                          </w:rPr>
                                        </m:ctrlPr>
                                      </m:dPr>
                                      <m:e>
                                        <m:r>
                                          <m:rPr>
                                            <m:sty m:val="b"/>
                                          </m:rPr>
                                          <w:rPr>
                                            <w:rFonts w:ascii="Cambria Math" w:hAnsi="Cambria Math"/>
                                            <w:sz w:val="22"/>
                                          </w:rPr>
                                          <m:t>1-</m:t>
                                        </m:r>
                                        <m:sSup>
                                          <m:sSupPr>
                                            <m:ctrlPr>
                                              <w:rPr>
                                                <w:rFonts w:ascii="Cambria Math" w:hAnsi="Cambria Math"/>
                                                <w:b/>
                                                <w:sz w:val="22"/>
                                              </w:rPr>
                                            </m:ctrlPr>
                                          </m:sSupPr>
                                          <m:e>
                                            <m:r>
                                              <m:rPr>
                                                <m:sty m:val="bi"/>
                                              </m:rPr>
                                              <w:rPr>
                                                <w:rFonts w:ascii="Cambria Math" w:hAnsi="Cambria Math"/>
                                              </w:rPr>
                                              <m:t>e</m:t>
                                            </m:r>
                                          </m:e>
                                          <m:sup>
                                            <m:r>
                                              <m:rPr>
                                                <m:sty m:val="b"/>
                                              </m:rPr>
                                              <w:rPr>
                                                <w:rFonts w:ascii="Cambria Math" w:hAnsi="Cambria Math"/>
                                              </w:rPr>
                                              <m:t>-</m:t>
                                            </m:r>
                                            <m:sSubSup>
                                              <m:sSubSupPr>
                                                <m:ctrlPr>
                                                  <w:rPr>
                                                    <w:rFonts w:ascii="Cambria Math" w:hAnsi="Cambria Math"/>
                                                  </w:rPr>
                                                </m:ctrlPr>
                                              </m:sSubSupPr>
                                              <m:e>
                                                <m:r>
                                                  <m:rPr>
                                                    <m:sty m:val="p"/>
                                                  </m:rPr>
                                                  <w:rPr>
                                                    <w:rFonts w:ascii="Cambria Math" w:eastAsiaTheme="minorEastAsia" w:hAnsi="Cambria Math"/>
                                                    <w:sz w:val="22"/>
                                                  </w:rPr>
                                                  <m:t>ℷ</m:t>
                                                </m:r>
                                              </m:e>
                                              <m:sub>
                                                <m:r>
                                                  <w:rPr>
                                                    <w:rFonts w:ascii="Cambria Math" w:hAnsi="Cambria Math"/>
                                                  </w:rPr>
                                                  <m:t>c</m:t>
                                                </m:r>
                                                <m:r>
                                                  <m:rPr>
                                                    <m:sty m:val="p"/>
                                                  </m:rPr>
                                                  <w:rPr>
                                                    <w:rFonts w:ascii="Cambria Math" w:hAnsi="Cambria Math"/>
                                                  </w:rPr>
                                                  <m:t>,</m:t>
                                                </m:r>
                                                <m:r>
                                                  <w:rPr>
                                                    <w:rFonts w:ascii="Cambria Math" w:hAnsi="Cambria Math"/>
                                                  </w:rPr>
                                                  <m:t>p</m:t>
                                                </m:r>
                                              </m:sub>
                                              <m:sup>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,1</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e>
                                            </m:d>
                                          </m:sup>
                                        </m:sSup>
                                      </m:e>
                                    </m:d>
                                  </m:e>
                                </m:d>
                              </m:e>
                            </m:d>
                          </m:e>
                        </m:nary>
                      </m:den>
                    </m:f>
                  </m:e>
                </m:d>
                <m:r>
                  <m:rPr>
                    <m:sty m:val="p"/>
                  </m:rPr>
                  <w:rPr>
                    <w:rFonts w:ascii="Cambria Math" w:hAnsi="Cambria Math"/>
                  </w:rPr>
                  <m:t>×</m:t>
                </m:r>
                <m:d>
                  <m:dPr>
                    <m:ctrlPr>
                      <w:rPr>
                        <w:rFonts w:ascii="Cambria Math" w:hAnsi="Cambria Math"/>
                      </w:rPr>
                    </m:ctrlPr>
                  </m:dPr>
                  <m:e>
                    <m:d>
                      <m:dPr>
                        <m:begChr m:val="["/>
                        <m:endChr m:val="]"/>
                        <m:ctrlPr>
                          <w:rPr>
                            <w:rFonts w:ascii="Cambria Math" w:hAnsi="Cambria Math"/>
                          </w:rPr>
                        </m:ctrlPr>
                      </m:dPr>
                      <m:e>
                        <m:d>
                          <m:dPr>
                            <m:ctrlPr>
                              <w:rPr>
                                <w:rFonts w:ascii="Cambria Math" w:hAnsi="Cambria Math"/>
                              </w:rPr>
                            </m:ctrlPr>
                          </m:dPr>
                          <m:e>
                            <m:sSub>
                              <m:sSubPr>
                                <m:ctrlPr>
                                  <w:rPr>
                                    <w:rFonts w:ascii="Cambria Math" w:hAnsi="Cambria Math"/>
                                    <w:snapToGrid w:val="0"/>
                                  </w:rPr>
                                </m:ctrlPr>
                              </m:sSubPr>
                              <m:e>
                                <m:r>
                                  <w:rPr>
                                    <w:rFonts w:ascii="Cambria Math" w:hAnsi="Cambria Math"/>
                                  </w:rPr>
                                  <m:t>J</m:t>
                                </m:r>
                              </m:e>
                              <m:sub>
                                <m:r>
                                  <w:rPr>
                                    <w:rFonts w:ascii="Cambria Math" w:hAnsi="Cambria Math"/>
                                  </w:rPr>
                                  <m:t>p</m:t>
                                </m:r>
                                <m:r>
                                  <m:rPr>
                                    <m:sty m:val="p"/>
                                  </m:rPr>
                                  <w:rPr>
                                    <w:rFonts w:ascii="Cambria Math" w:hAnsi="Cambria Math"/>
                                  </w:rPr>
                                  <m:t>,</m:t>
                                </m:r>
                                <m:sSup>
                                  <m:sSupPr>
                                    <m:ctrlPr>
                                      <w:rPr>
                                        <w:rFonts w:ascii="Cambria Math" w:hAnsi="Cambria Math"/>
                                      </w:rPr>
                                    </m:ctrlPr>
                                  </m:sSupPr>
                                  <m:e>
                                    <m:r>
                                      <w:rPr>
                                        <w:rFonts w:ascii="Cambria Math" w:hAnsi="Cambria Math"/>
                                      </w:rPr>
                                      <m:t>j</m:t>
                                    </m:r>
                                  </m:e>
                                  <m:sup>
                                    <m:r>
                                      <m:rPr>
                                        <m:sty m:val="p"/>
                                      </m:rPr>
                                      <w:rPr>
                                        <w:rFonts w:ascii="Cambria Math" w:hAnsi="Cambria Math"/>
                                      </w:rPr>
                                      <m:t>*</m:t>
                                    </m:r>
                                  </m:sup>
                                </m:sSup>
                              </m:sub>
                            </m:sSub>
                            <m:d>
                              <m:dPr>
                                <m:ctrlPr>
                                  <w:rPr>
                                    <w:rFonts w:ascii="Cambria Math" w:hAnsi="Cambria Math"/>
                                    <w:snapToGrid w:val="0"/>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e>
                            </m:d>
                          </m:e>
                        </m:d>
                        <m:d>
                          <m:dPr>
                            <m:ctrlPr>
                              <w:rPr>
                                <w:rFonts w:ascii="Cambria Math" w:hAnsi="Cambria Math"/>
                              </w:rPr>
                            </m:ctrlPr>
                          </m:dPr>
                          <m:e>
                            <m:sSub>
                              <m:sSubPr>
                                <m:ctrlPr>
                                  <w:rPr>
                                    <w:rFonts w:ascii="Cambria Math" w:hAnsi="Cambria Math"/>
                                    <w:snapToGrid w:val="0"/>
                                  </w:rPr>
                                </m:ctrlPr>
                              </m:sSubPr>
                              <m:e>
                                <m:r>
                                  <w:rPr>
                                    <w:rFonts w:ascii="Cambria Math" w:hAnsi="Cambria Math"/>
                                  </w:rPr>
                                  <m:t>R</m:t>
                                </m:r>
                              </m:e>
                              <m:sub>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,2</m:t>
                                </m:r>
                              </m:sub>
                            </m:sSub>
                            <m:r>
                              <m:rPr>
                                <m:sty m:val="b"/>
                              </m:rPr>
                              <w:rPr>
                                <w:rFonts w:ascii="Cambria Math" w:hAnsi="Cambria Math"/>
                                <w:sz w:val="22"/>
                              </w:rPr>
                              <m:t>-</m:t>
                            </m:r>
                            <m:d>
                              <m:dPr>
                                <m:begChr m:val="["/>
                                <m:endChr m:val="]"/>
                                <m:ctrlPr>
                                  <w:rPr>
                                    <w:rFonts w:ascii="Cambria Math" w:hAnsi="Cambria Math"/>
                                    <w:b/>
                                    <w:sz w:val="22"/>
                                  </w:rPr>
                                </m:ctrlPr>
                              </m:dPr>
                              <m:e>
                                <m:r>
                                  <m:rPr>
                                    <m:sty m:val="b"/>
                                  </m:rPr>
                                  <w:rPr>
                                    <w:rFonts w:ascii="Cambria Math" w:hAnsi="Cambria Math"/>
                                    <w:sz w:val="22"/>
                                  </w:rPr>
                                  <m:t>1-</m:t>
                                </m:r>
                                <m:sSup>
                                  <m:sSupPr>
                                    <m:ctrlPr>
                                      <w:rPr>
                                        <w:rFonts w:ascii="Cambria Math" w:hAnsi="Cambria Math"/>
                                        <w:b/>
                                        <w:sz w:val="22"/>
                                      </w:rPr>
                                    </m:ctrlPr>
                                  </m:sSupPr>
                                  <m:e>
                                    <m:r>
                                      <m:rPr>
                                        <m:sty m:val="bi"/>
                                      </m:rPr>
                                      <w:rPr>
                                        <w:rFonts w:ascii="Cambria Math" w:hAnsi="Cambria Math"/>
                                      </w:rPr>
                                      <m:t>e</m:t>
                                    </m:r>
                                  </m:e>
                                  <m:sup>
                                    <m:r>
                                      <m:rPr>
                                        <m:sty m:val="b"/>
                                      </m:rPr>
                                      <w:rPr>
                                        <w:rFonts w:ascii="Cambria Math" w:hAnsi="Cambria Math"/>
                                      </w:rPr>
                                      <m:t>-</m:t>
                                    </m:r>
                                    <m:sSubSup>
                                      <m:sSubSupPr>
                                        <m:ctrlPr>
                                          <w:rPr>
                                            <w:rFonts w:ascii="Cambria Math" w:hAnsi="Cambria Math"/>
                                          </w:rPr>
                                        </m:ctrlPr>
                                      </m:sSubSupPr>
                                      <m:e>
                                        <m:r>
                                          <m:rPr>
                                            <m:sty m:val="p"/>
                                          </m:rPr>
                                          <w:rPr>
                                            <w:rFonts w:ascii="Cambria Math" w:eastAsiaTheme="minorEastAsia" w:hAnsi="Cambria Math"/>
                                            <w:sz w:val="22"/>
                                          </w:rPr>
                                          <m:t>ℷ</m:t>
                                        </m:r>
                                      </m:e>
                                      <m:sub>
                                        <m:r>
                                          <w:rPr>
                                            <w:rFonts w:ascii="Cambria Math" w:hAnsi="Cambria Math"/>
                                          </w:rPr>
                                          <m:t>c</m:t>
                                        </m:r>
                                        <m:r>
                                          <m:rPr>
                                            <m:sty m:val="p"/>
                                          </m:rPr>
                                          <w:rPr>
                                            <w:rFonts w:ascii="Cambria Math" w:hAnsi="Cambria Math"/>
                                          </w:rPr>
                                          <m:t>,</m:t>
                                        </m:r>
                                        <m:r>
                                          <w:rPr>
                                            <w:rFonts w:ascii="Cambria Math" w:hAnsi="Cambria Math"/>
                                          </w:rPr>
                                          <m:t>p</m:t>
                                        </m:r>
                                      </m:sub>
                                      <m:sup>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,1</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e>
                                    </m:d>
                                  </m:sup>
                                </m:sSup>
                              </m:e>
                            </m:d>
                          </m:e>
                        </m:d>
                      </m:e>
                    </m:d>
                  </m:e>
                </m:d>
              </m:num>
              <m:den>
                <m:d>
                  <m:dPr>
                    <m:ctrlPr>
                      <w:rPr>
                        <w:rFonts w:ascii="Cambria Math" w:hAnsi="Cambria Math"/>
                      </w:rPr>
                    </m:ctrlPr>
                  </m:dPr>
                  <m:e>
                    <m:sSub>
                      <m:sSubPr>
                        <m:ctrlPr>
                          <w:rPr>
                            <w:rFonts w:ascii="Cambria Math" w:hAnsi="Cambria Math"/>
                            <w:snapToGrid w:val="0"/>
                          </w:rPr>
                        </m:ctrlPr>
                      </m:sSubPr>
                      <m:e>
                        <m:r>
                          <w:rPr>
                            <w:rFonts w:ascii="Cambria Math" w:hAnsi="Cambria Math"/>
                          </w:rPr>
                          <m:t>J</m:t>
                        </m:r>
                      </m:e>
                      <m:sub>
                        <m:r>
                          <w:rPr>
                            <w:rFonts w:ascii="Cambria Math" w:hAnsi="Cambria Math"/>
                          </w:rPr>
                          <m:t>p</m:t>
                        </m:r>
                        <m:r>
                          <m:rPr>
                            <m:sty m:val="p"/>
                          </m:rPr>
                          <w:rPr>
                            <w:rFonts w:ascii="Cambria Math" w:hAnsi="Cambria Math"/>
                          </w:rPr>
                          <m:t>,</m:t>
                        </m:r>
                        <m:sSup>
                          <m:sSupPr>
                            <m:ctrlPr>
                              <w:rPr>
                                <w:rFonts w:ascii="Cambria Math" w:hAnsi="Cambria Math"/>
                              </w:rPr>
                            </m:ctrlPr>
                          </m:sSupPr>
                          <m:e>
                            <m:r>
                              <w:rPr>
                                <w:rFonts w:ascii="Cambria Math" w:hAnsi="Cambria Math"/>
                              </w:rPr>
                              <m:t>j</m:t>
                            </m:r>
                          </m:e>
                          <m:sup>
                            <m:r>
                              <m:rPr>
                                <m:sty m:val="p"/>
                              </m:rPr>
                              <w:rPr>
                                <w:rFonts w:ascii="Cambria Math" w:hAnsi="Cambria Math"/>
                              </w:rPr>
                              <m:t>*</m:t>
                            </m:r>
                          </m:sup>
                        </m:sSup>
                      </m:sub>
                    </m:sSub>
                    <m:d>
                      <m:dPr>
                        <m:ctrlPr>
                          <w:rPr>
                            <w:rFonts w:ascii="Cambria Math" w:hAnsi="Cambria Math"/>
                            <w:snapToGrid w:val="0"/>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sSup>
                              <m:sSupPr>
                                <m:ctrlPr>
                                  <w:rPr>
                                    <w:rFonts w:ascii="Cambria Math" w:hAnsi="Cambria Math" w:cstheme="minorHAnsi"/>
                                    <w:b/>
                                    <w:sz w:val="22"/>
                                  </w:rPr>
                                </m:ctrlPr>
                              </m:sSupPr>
                              <m:e>
                                <m:r>
                                  <m:rPr>
                                    <m:sty m:val="bi"/>
                                  </m:rPr>
                                  <w:rPr>
                                    <w:rFonts w:ascii="Cambria Math" w:hAnsi="Cambria Math" w:cstheme="minorHAnsi"/>
                                    <w:sz w:val="22"/>
                                  </w:rPr>
                                  <m:t>j</m:t>
                                </m:r>
                              </m:e>
                              <m:sup>
                                <m:r>
                                  <m:rPr>
                                    <m:sty m:val="b"/>
                                  </m:rPr>
                                  <w:rPr>
                                    <w:rFonts w:ascii="Cambria Math" w:hAnsi="Cambria Math" w:cstheme="minorHAnsi"/>
                                    <w:sz w:val="22"/>
                                  </w:rPr>
                                  <m:t>*</m:t>
                                </m:r>
                              </m:sup>
                            </m:sSup>
                          </m:sub>
                          <m:sup>
                            <m:r>
                              <m:rPr>
                                <m:sty m:val="bi"/>
                              </m:rPr>
                              <w:rPr>
                                <w:rFonts w:ascii="Cambria Math" w:hAnsi="Cambria Math" w:cstheme="minorHAnsi"/>
                                <w:sz w:val="22"/>
                              </w:rPr>
                              <m:t>q</m:t>
                            </m:r>
                          </m:sup>
                        </m:sSubSup>
                      </m:e>
                    </m:d>
                  </m:e>
                </m:d>
              </m:den>
            </m:f>
            <m:r>
              <m:rPr>
                <m:sty m:val="p"/>
              </m:rPr>
              <w:rPr>
                <w:rFonts w:ascii="Cambria Math" w:hAnsi="Cambria Math"/>
              </w:rPr>
              <m:t>,</m:t>
            </m:r>
            <m:sSub>
              <m:sSubPr>
                <m:ctrlPr>
                  <w:rPr>
                    <w:rFonts w:ascii="Cambria Math" w:hAnsi="Cambria Math"/>
                    <w:snapToGrid w:val="0"/>
                  </w:rPr>
                </m:ctrlPr>
              </m:sSubPr>
              <m:e>
                <m:r>
                  <w:rPr>
                    <w:rFonts w:ascii="Cambria Math" w:hAnsi="Cambria Math"/>
                  </w:rPr>
                  <m:t>R</m:t>
                </m:r>
              </m:e>
              <m:sub>
                <m:sSup>
                  <m:sSupPr>
                    <m:ctrlPr>
                      <w:rPr>
                        <w:rFonts w:ascii="Cambria Math" w:hAnsi="Cambria Math"/>
                      </w:rPr>
                    </m:ctrlPr>
                  </m:sSupPr>
                  <m:e>
                    <m:r>
                      <w:rPr>
                        <w:rFonts w:ascii="Cambria Math" w:hAnsi="Cambria Math"/>
                      </w:rPr>
                      <m:t>j</m:t>
                    </m:r>
                  </m:e>
                  <m:sup>
                    <m:r>
                      <m:rPr>
                        <m:sty m:val="p"/>
                      </m:rPr>
                      <w:rPr>
                        <w:rFonts w:ascii="Cambria Math" w:hAnsi="Cambria Math"/>
                      </w:rPr>
                      <m:t>*</m:t>
                    </m:r>
                  </m:sup>
                </m:sSup>
                <m:r>
                  <m:rPr>
                    <m:sty m:val="p"/>
                  </m:rPr>
                  <w:rPr>
                    <w:rFonts w:ascii="Cambria Math" w:hAnsi="Cambria Math"/>
                  </w:rPr>
                  <m:t>,2</m:t>
                </m:r>
              </m:sub>
            </m:sSub>
          </m:e>
        </m:d>
      </m:oMath>
      <w:r w:rsidR="00942583">
        <w:rPr>
          <w:rFonts w:ascii="Calibri" w:eastAsia="Calibri" w:hAnsi="Calibri" w:cs="Arial"/>
        </w:rPr>
        <w:t xml:space="preserve">    </w:t>
      </w:r>
      <w:r w:rsidR="00942583">
        <w:rPr>
          <w:rFonts w:eastAsiaTheme="minorEastAsia"/>
        </w:rPr>
        <w:t>(8.7)</w:t>
      </w:r>
    </w:p>
    <w:p w14:paraId="2E774E1D" w14:textId="005001CD" w:rsidR="00124570" w:rsidRPr="0096578C" w:rsidRDefault="0096578C" w:rsidP="0096578C">
      <w:pPr>
        <w:pStyle w:val="bullets"/>
        <w:numPr>
          <w:ilvl w:val="0"/>
          <w:numId w:val="0"/>
        </w:numPr>
        <w:ind w:left="360"/>
        <w:jc w:val="center"/>
      </w:pPr>
      <m:oMath>
        <m:r>
          <w:rPr>
            <w:rFonts w:ascii="Cambria Math" w:hAnsi="Cambria Math"/>
          </w:rPr>
          <m:t>∀</m:t>
        </m:r>
      </m:oMath>
      <w:r>
        <w:t xml:space="preserve"> q, j</w:t>
      </w:r>
      <w:r w:rsidRPr="000133BE">
        <w:t>*,</w:t>
      </w:r>
      <w:r>
        <w:t xml:space="preserve"> </w:t>
      </w:r>
      <w:r w:rsidRPr="000133BE">
        <w:t>t in allocation period q</w:t>
      </w:r>
    </w:p>
    <w:p w14:paraId="3B12D732" w14:textId="50C8D4DA" w:rsidR="00B605F4" w:rsidRPr="001E30D8" w:rsidRDefault="00747E9D" w:rsidP="00B605F4">
      <w:pPr>
        <w:pStyle w:val="bullets"/>
      </w:pPr>
      <m:oMath>
        <m:sSub>
          <m:sSubPr>
            <m:ctrlPr>
              <w:rPr>
                <w:rFonts w:ascii="Cambria Math" w:hAnsi="Cambria Math"/>
                <w:i/>
              </w:rPr>
            </m:ctrlPr>
          </m:sSubPr>
          <m:e>
            <m:r>
              <m:rPr>
                <m:sty m:val="b"/>
              </m:rPr>
              <w:rPr>
                <w:rFonts w:ascii="Cambria Math" w:hAnsi="Cambria Math"/>
              </w:rPr>
              <m:t>ẏ</m:t>
            </m:r>
          </m:e>
          <m:sub>
            <m:r>
              <w:rPr>
                <w:rFonts w:ascii="Cambria Math" w:hAnsi="Cambria Math"/>
              </w:rPr>
              <m:t>p,</m:t>
            </m:r>
            <m:sSup>
              <m:sSupPr>
                <m:ctrlPr>
                  <w:rPr>
                    <w:rFonts w:ascii="Cambria Math" w:hAnsi="Cambria Math"/>
                    <w:i/>
                  </w:rPr>
                </m:ctrlPr>
              </m:sSupPr>
              <m:e>
                <m:r>
                  <w:rPr>
                    <w:rFonts w:ascii="Cambria Math" w:hAnsi="Cambria Math"/>
                  </w:rPr>
                  <m:t>j</m:t>
                </m:r>
              </m:e>
              <m:sup>
                <m:r>
                  <w:rPr>
                    <w:rFonts w:ascii="Cambria Math" w:hAnsi="Cambria Math"/>
                  </w:rPr>
                  <m:t>*</m:t>
                </m:r>
              </m:sup>
            </m:sSup>
          </m:sub>
        </m:sSub>
        <m:d>
          <m:dPr>
            <m:ctrlPr>
              <w:rPr>
                <w:rFonts w:ascii="Cambria Math" w:hAnsi="Cambria Math"/>
                <w:i/>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w:rPr>
                <w:rFonts w:ascii="Cambria Math" w:hAnsi="Cambria Math"/>
              </w:rPr>
              <m:t>,t</m:t>
            </m:r>
          </m:e>
        </m:d>
        <m:r>
          <w:rPr>
            <w:rFonts w:ascii="Cambria Math" w:hAnsi="Cambria Math"/>
          </w:rPr>
          <m:t xml:space="preserve">= </m:t>
        </m:r>
      </m:oMath>
      <w:r w:rsidR="00B605F4" w:rsidRPr="001E30D8">
        <w:t xml:space="preserve">Number of times intervention </w:t>
      </w:r>
      <w:r w:rsidR="00B605F4" w:rsidRPr="001E30D8">
        <w:rPr>
          <w:i/>
          <w:iCs/>
        </w:rPr>
        <w:t>j*</w:t>
      </w:r>
      <w:r w:rsidR="00B605F4" w:rsidRPr="001E30D8">
        <w:t xml:space="preserve"> </w:t>
      </w:r>
      <w:r w:rsidR="00B605F4">
        <w:t xml:space="preserve">is </w:t>
      </w:r>
      <w:r w:rsidR="00B605F4" w:rsidRPr="001E30D8">
        <w:t xml:space="preserve">funded for individuals in subpopulation </w:t>
      </w:r>
      <w:r w:rsidR="00B605F4" w:rsidRPr="001E30D8">
        <w:rPr>
          <w:i/>
          <w:iCs/>
        </w:rPr>
        <w:t>p</w:t>
      </w:r>
      <w:r w:rsidR="00B605F4" w:rsidRPr="001E30D8">
        <w:t xml:space="preserve"> over time step </w:t>
      </w:r>
      <w:r w:rsidR="00B605F4" w:rsidRPr="001E30D8">
        <w:rPr>
          <w:i/>
          <w:iCs/>
        </w:rPr>
        <w:t>t</w:t>
      </w:r>
      <w:r w:rsidR="00B605F4" w:rsidRPr="001E30D8">
        <w:t xml:space="preserve">, given allocated budget </w:t>
      </w:r>
      <m:oMath>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oMath>
      <w:r w:rsidR="004D624F">
        <w:t>, where</w:t>
      </w:r>
    </w:p>
    <w:p w14:paraId="5CD65EB2" w14:textId="4A94F368" w:rsidR="00B605F4" w:rsidRPr="008537B4" w:rsidRDefault="00942583" w:rsidP="00942583">
      <w:pPr>
        <w:pStyle w:val="bullets"/>
        <w:numPr>
          <w:ilvl w:val="0"/>
          <w:numId w:val="0"/>
        </w:numPr>
        <w:ind w:left="360"/>
        <w:rPr>
          <w:rFonts w:eastAsiaTheme="minorEastAsia"/>
        </w:rPr>
      </w:pPr>
      <w:r>
        <w:t xml:space="preserve">                                           </w:t>
      </w:r>
      <m:oMath>
        <m:sSub>
          <m:sSubPr>
            <m:ctrlPr>
              <w:rPr>
                <w:rFonts w:ascii="Cambria Math" w:hAnsi="Cambria Math"/>
                <w:i/>
              </w:rPr>
            </m:ctrlPr>
          </m:sSubPr>
          <m:e>
            <m:r>
              <m:rPr>
                <m:sty m:val="b"/>
              </m:rPr>
              <w:rPr>
                <w:rFonts w:ascii="Cambria Math" w:hAnsi="Cambria Math"/>
              </w:rPr>
              <m:t>ẏ</m:t>
            </m:r>
          </m:e>
          <m:sub>
            <m:r>
              <w:rPr>
                <w:rFonts w:ascii="Cambria Math" w:hAnsi="Cambria Math"/>
              </w:rPr>
              <m:t>p,</m:t>
            </m:r>
            <m:sSup>
              <m:sSupPr>
                <m:ctrlPr>
                  <w:rPr>
                    <w:rFonts w:ascii="Cambria Math" w:hAnsi="Cambria Math"/>
                    <w:i/>
                  </w:rPr>
                </m:ctrlPr>
              </m:sSupPr>
              <m:e>
                <m:r>
                  <w:rPr>
                    <w:rFonts w:ascii="Cambria Math" w:hAnsi="Cambria Math"/>
                  </w:rPr>
                  <m:t>j</m:t>
                </m:r>
              </m:e>
              <m:sup>
                <m:r>
                  <w:rPr>
                    <w:rFonts w:ascii="Cambria Math" w:hAnsi="Cambria Math"/>
                  </w:rPr>
                  <m:t>*</m:t>
                </m:r>
              </m:sup>
            </m:sSup>
          </m:sub>
        </m:sSub>
        <m:d>
          <m:dPr>
            <m:ctrlPr>
              <w:rPr>
                <w:rFonts w:ascii="Cambria Math" w:hAnsi="Cambria Math"/>
                <w:i/>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w:rPr>
                <w:rFonts w:ascii="Cambria Math" w:hAnsi="Cambria Math"/>
              </w:rPr>
              <m:t>,t</m:t>
            </m:r>
          </m:e>
        </m:d>
        <m:r>
          <w:rPr>
            <w:rFonts w:ascii="Cambria Math" w:hAnsi="Cambria Math"/>
          </w:rPr>
          <m:t>=</m:t>
        </m:r>
        <m:d>
          <m:dPr>
            <m:ctrlPr>
              <w:rPr>
                <w:rFonts w:ascii="Cambria Math" w:hAnsi="Cambria Math"/>
                <w:i/>
              </w:rPr>
            </m:ctrlPr>
          </m:dPr>
          <m:e>
            <m:f>
              <m:fPr>
                <m:ctrlPr>
                  <w:rPr>
                    <w:rFonts w:ascii="Cambria Math" w:hAnsi="Cambria Math"/>
                    <w:i/>
                  </w:rPr>
                </m:ctrlPr>
              </m:fPr>
              <m:num>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num>
              <m:den>
                <m:sSub>
                  <m:sSubPr>
                    <m:ctrlPr>
                      <w:rPr>
                        <w:rFonts w:ascii="Cambria Math" w:hAnsi="Cambria Math"/>
                        <w:i/>
                      </w:rPr>
                    </m:ctrlPr>
                  </m:sSubPr>
                  <m:e>
                    <m:r>
                      <m:rPr>
                        <m:sty m:val="p"/>
                      </m:rPr>
                      <w:rPr>
                        <w:rFonts w:ascii="Cambria Math" w:hAnsi="Cambria Math"/>
                      </w:rPr>
                      <m:t>Ṡ</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J</m:t>
                    </m:r>
                  </m:e>
                  <m:sub>
                    <m:r>
                      <w:rPr>
                        <w:rFonts w:ascii="Cambria Math" w:hAnsi="Cambria Math"/>
                      </w:rPr>
                      <m:t>p,</m:t>
                    </m:r>
                    <m:sSup>
                      <m:sSupPr>
                        <m:ctrlPr>
                          <w:rPr>
                            <w:rFonts w:ascii="Cambria Math" w:hAnsi="Cambria Math"/>
                            <w:i/>
                          </w:rPr>
                        </m:ctrlPr>
                      </m:sSupPr>
                      <m:e>
                        <m:r>
                          <w:rPr>
                            <w:rFonts w:ascii="Cambria Math" w:hAnsi="Cambria Math"/>
                          </w:rPr>
                          <m:t>j</m:t>
                        </m:r>
                      </m:e>
                      <m:sup>
                        <m:r>
                          <w:rPr>
                            <w:rFonts w:ascii="Cambria Math" w:hAnsi="Cambria Math"/>
                          </w:rPr>
                          <m:t>*</m:t>
                        </m:r>
                      </m:sup>
                    </m:sSup>
                  </m:sub>
                </m:sSub>
                <m:d>
                  <m:dPr>
                    <m:ctrlPr>
                      <w:rPr>
                        <w:rFonts w:ascii="Cambria Math" w:hAnsi="Cambria Math"/>
                        <w:i/>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w:rPr>
                        <w:rFonts w:ascii="Cambria Math" w:hAnsi="Cambria Math"/>
                      </w:rPr>
                      <m:t>,t</m:t>
                    </m:r>
                  </m:e>
                </m:d>
              </m:num>
              <m:den>
                <m:nary>
                  <m:naryPr>
                    <m:chr m:val="∑"/>
                    <m:limLoc m:val="undOvr"/>
                    <m:supHide m:val="1"/>
                    <m:ctrlPr>
                      <w:rPr>
                        <w:rFonts w:ascii="Cambria Math" w:hAnsi="Cambria Math"/>
                        <w:i/>
                      </w:rPr>
                    </m:ctrlPr>
                  </m:naryPr>
                  <m:sub>
                    <m:r>
                      <w:rPr>
                        <w:rFonts w:ascii="Cambria Math" w:hAnsi="Cambria Math"/>
                      </w:rPr>
                      <m:t>p</m:t>
                    </m:r>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J</m:t>
                            </m:r>
                          </m:e>
                          <m:sub>
                            <m:r>
                              <w:rPr>
                                <w:rFonts w:ascii="Cambria Math" w:hAnsi="Cambria Math"/>
                              </w:rPr>
                              <m:t>p,</m:t>
                            </m:r>
                            <m:sSup>
                              <m:sSupPr>
                                <m:ctrlPr>
                                  <w:rPr>
                                    <w:rFonts w:ascii="Cambria Math" w:hAnsi="Cambria Math"/>
                                    <w:i/>
                                  </w:rPr>
                                </m:ctrlPr>
                              </m:sSupPr>
                              <m:e>
                                <m:r>
                                  <w:rPr>
                                    <w:rFonts w:ascii="Cambria Math" w:hAnsi="Cambria Math"/>
                                  </w:rPr>
                                  <m:t>j</m:t>
                                </m:r>
                              </m:e>
                              <m:sup>
                                <m:r>
                                  <w:rPr>
                                    <w:rFonts w:ascii="Cambria Math" w:hAnsi="Cambria Math"/>
                                  </w:rPr>
                                  <m:t>*</m:t>
                                </m:r>
                              </m:sup>
                            </m:sSup>
                          </m:sub>
                        </m:sSub>
                        <m:d>
                          <m:dPr>
                            <m:ctrlPr>
                              <w:rPr>
                                <w:rFonts w:ascii="Cambria Math" w:hAnsi="Cambria Math"/>
                                <w:i/>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m:t>
                                    </m:r>
                                  </m:sup>
                                </m:sSup>
                              </m:sub>
                              <m:sup>
                                <m:r>
                                  <m:rPr>
                                    <m:sty m:val="bi"/>
                                  </m:rPr>
                                  <w:rPr>
                                    <w:rFonts w:ascii="Cambria Math" w:hAnsi="Cambria Math"/>
                                  </w:rPr>
                                  <m:t>q</m:t>
                                </m:r>
                              </m:sup>
                            </m:sSubSup>
                            <m:r>
                              <w:rPr>
                                <w:rFonts w:ascii="Cambria Math" w:hAnsi="Cambria Math"/>
                              </w:rPr>
                              <m:t>,t</m:t>
                            </m:r>
                          </m:e>
                        </m:d>
                      </m:e>
                    </m:d>
                  </m:e>
                </m:nary>
              </m:den>
            </m:f>
          </m:e>
        </m:d>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(8.8)</w:t>
      </w:r>
      <w:r>
        <w:rPr>
          <w:rFonts w:eastAsiaTheme="minorEastAsia"/>
        </w:rPr>
        <w:tab/>
      </w:r>
    </w:p>
    <w:p w14:paraId="1E55D5CC" w14:textId="77777777" w:rsidR="0096578C" w:rsidRPr="0096578C" w:rsidRDefault="0096578C" w:rsidP="0096578C">
      <w:pPr>
        <w:pStyle w:val="bullets"/>
        <w:numPr>
          <w:ilvl w:val="0"/>
          <w:numId w:val="0"/>
        </w:numPr>
        <w:ind w:left="360"/>
        <w:jc w:val="center"/>
      </w:pPr>
      <m:oMath>
        <m:r>
          <w:rPr>
            <w:rFonts w:ascii="Cambria Math" w:hAnsi="Cambria Math"/>
          </w:rPr>
          <m:t>∀</m:t>
        </m:r>
      </m:oMath>
      <w:r>
        <w:t xml:space="preserve"> q, j</w:t>
      </w:r>
      <w:r w:rsidRPr="000133BE">
        <w:t>*,</w:t>
      </w:r>
      <w:r>
        <w:t xml:space="preserve"> </w:t>
      </w:r>
      <w:r w:rsidRPr="000133BE">
        <w:t>t in allocation period q</w:t>
      </w:r>
    </w:p>
    <w:p w14:paraId="15C2FC47" w14:textId="77777777" w:rsidR="00E54903" w:rsidRDefault="00E54903">
      <w:pPr>
        <w:pStyle w:val="BodyText"/>
        <w:rPr>
          <w:highlight w:val="green"/>
        </w:rPr>
      </w:pPr>
    </w:p>
    <w:p w14:paraId="70353F01" w14:textId="205A3658" w:rsidR="00051F8F" w:rsidRDefault="00051F8F" w:rsidP="00841835">
      <w:pPr>
        <w:pStyle w:val="BodyText"/>
      </w:pPr>
      <w:r>
        <w:t xml:space="preserve"> </w:t>
      </w:r>
    </w:p>
    <w:p w14:paraId="41A59C33" w14:textId="77777777" w:rsidR="00F177A4" w:rsidRPr="00C00335" w:rsidRDefault="00F177A4" w:rsidP="00841835">
      <w:pPr>
        <w:pStyle w:val="BodyText"/>
      </w:pPr>
    </w:p>
    <w:p w14:paraId="5804DDE6" w14:textId="77777777" w:rsidR="00A75DB2" w:rsidRPr="00C00335" w:rsidRDefault="00A75DB2" w:rsidP="00A158C0">
      <w:pPr>
        <w:sectPr w:rsidR="00A75DB2" w:rsidRPr="00C00335" w:rsidSect="00D869AD">
          <w:headerReference w:type="default" r:id="rId132"/>
          <w:type w:val="oddPage"/>
          <w:pgSz w:w="12240" w:h="15840" w:code="1"/>
          <w:pgMar w:top="1440" w:right="1440" w:bottom="1440" w:left="1440" w:header="720" w:footer="720" w:gutter="0"/>
          <w:pgNumType w:start="1" w:chapStyle="1"/>
          <w:cols w:space="720"/>
          <w:titlePg/>
          <w:docGrid w:linePitch="360"/>
        </w:sectPr>
      </w:pPr>
    </w:p>
    <w:p w14:paraId="0FAEED27" w14:textId="19721FEF" w:rsidR="00A221B8" w:rsidRPr="00C00335" w:rsidRDefault="00072F57" w:rsidP="00072F57">
      <w:pPr>
        <w:pStyle w:val="Heading1"/>
      </w:pPr>
      <w:bookmarkStart w:id="138" w:name="_Toc89257561"/>
      <w:r w:rsidRPr="00C00335">
        <w:lastRenderedPageBreak/>
        <w:t>Calculation of Model Outcomes</w:t>
      </w:r>
      <w:bookmarkEnd w:id="138"/>
    </w:p>
    <w:p w14:paraId="44CC98CE" w14:textId="77777777" w:rsidR="00EC715C" w:rsidRPr="00C00335" w:rsidRDefault="00EC715C" w:rsidP="00EC715C">
      <w:pPr>
        <w:pStyle w:val="Heading2"/>
      </w:pPr>
      <w:bookmarkStart w:id="139" w:name="_Toc89257562"/>
      <w:r w:rsidRPr="00C00335">
        <w:t xml:space="preserve">Health </w:t>
      </w:r>
      <w:r w:rsidR="008A3F21" w:rsidRPr="00C00335">
        <w:t>Outcomes</w:t>
      </w:r>
      <w:bookmarkEnd w:id="139"/>
    </w:p>
    <w:p w14:paraId="51322101" w14:textId="4F43F48D" w:rsidR="00DA5DC1" w:rsidRPr="00C00335" w:rsidRDefault="00DA5DC1" w:rsidP="00DA5DC1">
      <w:pPr>
        <w:pStyle w:val="BodyText"/>
      </w:pPr>
      <w:r w:rsidRPr="00C00335">
        <w:t xml:space="preserve">In this section, we define the relevant inputs and methods applied in the calculation of the model’s key (non-economic) health outcomes, including HIV incidence, and HIV prevalence. Outcomes were collected for </w:t>
      </w:r>
      <w:r w:rsidR="008128FA">
        <w:t>2021 to 2030 for this analysis</w:t>
      </w:r>
      <w:r w:rsidRPr="00C00335">
        <w:t>.</w:t>
      </w:r>
    </w:p>
    <w:p w14:paraId="6A7B0E3E" w14:textId="77777777" w:rsidR="00C7117F" w:rsidRPr="00C00335" w:rsidRDefault="00EC715C" w:rsidP="00C7117F">
      <w:pPr>
        <w:pStyle w:val="Heading3"/>
      </w:pPr>
      <w:bookmarkStart w:id="140" w:name="_Toc89257563"/>
      <w:r w:rsidRPr="00C00335">
        <w:t>Calculation of Health Outcomes</w:t>
      </w:r>
      <w:bookmarkEnd w:id="140"/>
    </w:p>
    <w:p w14:paraId="7F9CE302" w14:textId="79FE58B8" w:rsidR="00AC24A9" w:rsidRPr="00C00335" w:rsidRDefault="00EC715C" w:rsidP="008128FA">
      <w:pPr>
        <w:pStyle w:val="BodyText"/>
      </w:pPr>
      <w:r w:rsidRPr="00C00335">
        <w:t xml:space="preserve">Key health outcomes reported by the model include total number of new infections and HIV prevalence for all individuals actively moving through the model. They </w:t>
      </w:r>
      <w:r w:rsidR="003B42C2" w:rsidRPr="00C00335">
        <w:t>were calculated</w:t>
      </w:r>
      <w:r w:rsidRPr="00C00335">
        <w:t xml:space="preserve"> by</w:t>
      </w:r>
      <w:r w:rsidR="003B42C2" w:rsidRPr="00C00335">
        <w:t xml:space="preserve"> using</w:t>
      </w:r>
      <w:r w:rsidRPr="00C00335">
        <w:t xml:space="preserve"> </w:t>
      </w:r>
      <w:r w:rsidR="003B42C2" w:rsidRPr="00C00335">
        <w:t xml:space="preserve">Equations </w:t>
      </w:r>
      <w:r w:rsidR="00903B31" w:rsidRPr="00C00335">
        <w:t>(</w:t>
      </w:r>
      <w:r w:rsidR="008867F1">
        <w:t>9</w:t>
      </w:r>
      <w:r w:rsidR="00903B31" w:rsidRPr="00C00335">
        <w:t>.</w:t>
      </w:r>
      <w:r w:rsidR="003B42C2" w:rsidRPr="00C00335">
        <w:t>1</w:t>
      </w:r>
      <w:r w:rsidR="008B30F8" w:rsidRPr="00C00335">
        <w:t>)</w:t>
      </w:r>
      <w:r w:rsidR="003B42C2" w:rsidRPr="00C00335">
        <w:t xml:space="preserve"> to </w:t>
      </w:r>
      <w:r w:rsidR="00903B31" w:rsidRPr="00C00335">
        <w:t>(</w:t>
      </w:r>
      <w:r w:rsidR="008867F1">
        <w:t>9</w:t>
      </w:r>
      <w:r w:rsidR="00903B31" w:rsidRPr="00C00335">
        <w:t>.</w:t>
      </w:r>
      <w:r w:rsidR="008128FA">
        <w:t>2</w:t>
      </w:r>
      <w:r w:rsidR="008B30F8" w:rsidRPr="00C00335">
        <w:t>)</w:t>
      </w:r>
      <w:r w:rsidR="003B42C2" w:rsidRPr="00C00335">
        <w:t>, respectively</w:t>
      </w:r>
      <w:r w:rsidRPr="00C00335">
        <w:t>.</w:t>
      </w:r>
      <w:bookmarkStart w:id="141" w:name="_Ref19873855"/>
    </w:p>
    <w:p w14:paraId="40BDC128" w14:textId="10E0ACEF" w:rsidR="00AC24A9" w:rsidRPr="00C00335" w:rsidRDefault="00AC24A9" w:rsidP="00AC24A9">
      <w:pPr>
        <w:pStyle w:val="equation"/>
        <w:spacing w:after="360"/>
      </w:pPr>
      <w:r w:rsidRPr="00C00335">
        <w:rPr>
          <w:iCs/>
        </w:rPr>
        <w:tab/>
      </w:r>
      <m:oMath>
        <m:r>
          <m:rPr>
            <m:nor/>
          </m:rPr>
          <m:t xml:space="preserve">F = </m:t>
        </m:r>
        <m:nary>
          <m:naryPr>
            <m:chr m:val="∑"/>
            <m:limLoc m:val="undOvr"/>
            <m:supHide m:val="1"/>
            <m:ctrlPr/>
          </m:naryPr>
          <m:sub>
            <m:r>
              <m:rPr>
                <m:nor/>
              </m:rPr>
              <m:t>t</m:t>
            </m:r>
          </m:sub>
          <m:sup/>
          <m:e>
            <m:nary>
              <m:naryPr>
                <m:chr m:val="∑"/>
                <m:limLoc m:val="undOvr"/>
                <m:supHide m:val="1"/>
                <m:ctrlPr/>
              </m:naryPr>
              <m:sub>
                <m:r>
                  <m:rPr>
                    <m:nor/>
                  </m:rPr>
                  <m:t>p</m:t>
                </m:r>
              </m:sub>
              <m:sup/>
              <m:e>
                <m:d>
                  <m:dPr>
                    <m:begChr m:val="["/>
                    <m:endChr m:val="]"/>
                    <m:ctrlPr>
                      <w:rPr>
                        <w:i/>
                      </w:rPr>
                    </m:ctrlPr>
                  </m:dPr>
                  <m:e>
                    <m:d>
                      <m:dPr>
                        <m:ctrlPr/>
                      </m:dPr>
                      <m:e>
                        <m:sSub>
                          <m:sSubPr>
                            <m:ctrlPr/>
                          </m:sSubPr>
                          <m:e>
                            <m:r>
                              <m:t>λ</m:t>
                            </m:r>
                          </m:e>
                          <m:sub>
                            <m:r>
                              <m:t>p</m:t>
                            </m:r>
                          </m:sub>
                        </m:sSub>
                      </m:e>
                    </m:d>
                    <m:sSubSup>
                      <m:sSubSupPr>
                        <m:ctrlPr/>
                      </m:sSubSupPr>
                      <m:e>
                        <m:r>
                          <m:rPr>
                            <m:nor/>
                          </m:rPr>
                          <m:t>X</m:t>
                        </m:r>
                      </m:e>
                      <m:sub>
                        <m:r>
                          <m:rPr>
                            <m:nor/>
                          </m:rPr>
                          <m:t>p</m:t>
                        </m:r>
                      </m:sub>
                      <m:sup>
                        <m:r>
                          <m:rPr>
                            <m:nor/>
                          </m:rPr>
                          <m:t>c=1</m:t>
                        </m:r>
                      </m:sup>
                    </m:sSubSup>
                    <m:r>
                      <m:rPr>
                        <m:nor/>
                      </m:rPr>
                      <m:t>(t)+(1-</m:t>
                    </m:r>
                    <m:sSub>
                      <m:sSubPr>
                        <m:ctrlPr>
                          <w:rPr>
                            <w:i/>
                          </w:rPr>
                        </m:ctrlPr>
                      </m:sSubPr>
                      <m:e>
                        <m:r>
                          <m:t>i</m:t>
                        </m:r>
                      </m:e>
                      <m:sub>
                        <m:r>
                          <m:t>p</m:t>
                        </m:r>
                      </m:sub>
                    </m:sSub>
                    <m:r>
                      <m:rPr>
                        <m:nor/>
                      </m:rPr>
                      <m:t>)</m:t>
                    </m:r>
                    <m:sSubSup>
                      <m:sSubSupPr>
                        <m:ctrlPr/>
                      </m:sSubSupPr>
                      <m:e>
                        <m:d>
                          <m:dPr>
                            <m:ctrlPr/>
                          </m:dPr>
                          <m:e>
                            <m:sSub>
                              <m:sSubPr>
                                <m:ctrlPr/>
                              </m:sSubPr>
                              <m:e>
                                <m:r>
                                  <m:t>λ</m:t>
                                </m:r>
                              </m:e>
                              <m:sub>
                                <m:r>
                                  <m:t>p</m:t>
                                </m:r>
                              </m:sub>
                            </m:sSub>
                          </m:e>
                        </m:d>
                        <m:r>
                          <m:rPr>
                            <m:nor/>
                          </m:rPr>
                          <m:t>X</m:t>
                        </m:r>
                      </m:e>
                      <m:sub>
                        <m:r>
                          <m:rPr>
                            <m:nor/>
                          </m:rPr>
                          <m:t>p</m:t>
                        </m:r>
                      </m:sub>
                      <m:sup>
                        <m:r>
                          <m:rPr>
                            <m:nor/>
                          </m:rPr>
                          <m:t>c=2</m:t>
                        </m:r>
                      </m:sup>
                    </m:sSubSup>
                    <m:r>
                      <m:rPr>
                        <m:nor/>
                      </m:rPr>
                      <m:t>(t)</m:t>
                    </m:r>
                  </m:e>
                </m:d>
              </m:e>
            </m:nary>
          </m:e>
        </m:nary>
      </m:oMath>
      <w:r w:rsidRPr="00C00335">
        <w:tab/>
        <w:t>(</w:t>
      </w:r>
      <w:r>
        <w:t>9</w:t>
      </w:r>
      <w:r w:rsidRPr="00C00335">
        <w:t>.</w:t>
      </w:r>
      <w:r w:rsidR="008128FA">
        <w:t>1</w:t>
      </w:r>
      <w:r w:rsidRPr="00C00335">
        <w:t>)</w:t>
      </w:r>
    </w:p>
    <w:p w14:paraId="4AA7F811" w14:textId="22320177" w:rsidR="00AC24A9" w:rsidRPr="00C00335" w:rsidRDefault="00AC24A9" w:rsidP="00AC24A9">
      <w:pPr>
        <w:pStyle w:val="equation"/>
        <w:spacing w:after="360"/>
        <w:rPr>
          <w:oMath/>
        </w:rPr>
      </w:pPr>
      <w:r w:rsidRPr="00C00335">
        <w:tab/>
      </w:r>
      <m:oMath>
        <m:sSub>
          <m:sSubPr>
            <m:ctrlPr/>
          </m:sSubPr>
          <m:e>
            <m:r>
              <m:rPr>
                <m:nor/>
              </m:rPr>
              <m:t>P</m:t>
            </m:r>
          </m:e>
          <m:sub>
            <m:r>
              <m:rPr>
                <m:nor/>
              </m:rPr>
              <m:t>t</m:t>
            </m:r>
          </m:sub>
        </m:sSub>
        <m:r>
          <m:rPr>
            <m:nor/>
          </m:rPr>
          <m:t xml:space="preserve"> = </m:t>
        </m:r>
        <m:nary>
          <m:naryPr>
            <m:chr m:val="∑"/>
            <m:limLoc m:val="undOvr"/>
            <m:supHide m:val="1"/>
            <m:ctrlPr/>
          </m:naryPr>
          <m:sub>
            <m:r>
              <m:t>c</m:t>
            </m:r>
            <m:r>
              <m:rPr>
                <m:sty m:val="p"/>
              </m:rPr>
              <m:t>=3:25</m:t>
            </m:r>
          </m:sub>
          <m:sup/>
          <m:e>
            <m:nary>
              <m:naryPr>
                <m:chr m:val="∑"/>
                <m:limLoc m:val="undOvr"/>
                <m:supHide m:val="1"/>
                <m:ctrlPr/>
              </m:naryPr>
              <m:sub>
                <m:r>
                  <m:t>p</m:t>
                </m:r>
              </m:sub>
              <m:sup/>
              <m:e>
                <m:d>
                  <m:dPr>
                    <m:ctrlPr/>
                  </m:dPr>
                  <m:e>
                    <m:sSubSup>
                      <m:sSubSupPr>
                        <m:ctrlPr/>
                      </m:sSubSupPr>
                      <m:e>
                        <m:r>
                          <m:t>X</m:t>
                        </m:r>
                      </m:e>
                      <m:sub>
                        <m:r>
                          <m:t>p</m:t>
                        </m:r>
                      </m:sub>
                      <m:sup>
                        <m:r>
                          <m:t>c</m:t>
                        </m:r>
                      </m:sup>
                    </m:sSubSup>
                    <m:r>
                      <m:rPr>
                        <m:sty m:val="p"/>
                      </m:rPr>
                      <m:t>(</m:t>
                    </m:r>
                    <m:r>
                      <m:t>t</m:t>
                    </m:r>
                    <m:r>
                      <m:rPr>
                        <m:sty m:val="p"/>
                      </m:rPr>
                      <m:t>)</m:t>
                    </m:r>
                  </m:e>
                </m:d>
              </m:e>
            </m:nary>
          </m:e>
        </m:nary>
      </m:oMath>
      <w:r w:rsidRPr="00C00335">
        <w:tab/>
        <w:t>(</w:t>
      </w:r>
      <w:r>
        <w:t>9</w:t>
      </w:r>
      <w:r w:rsidRPr="00C00335">
        <w:t>.</w:t>
      </w:r>
      <w:r w:rsidR="008128FA">
        <w:t>2</w:t>
      </w:r>
      <w:r w:rsidRPr="00C00335">
        <w:t>)</w:t>
      </w:r>
    </w:p>
    <w:p w14:paraId="28E48A88" w14:textId="77777777" w:rsidR="00AC24A9" w:rsidRPr="00C00335" w:rsidRDefault="00AC24A9" w:rsidP="00AC24A9">
      <w:pPr>
        <w:pStyle w:val="BodyText"/>
        <w:keepNext/>
      </w:pPr>
      <w:r w:rsidRPr="00C00335">
        <w:t>where</w:t>
      </w:r>
    </w:p>
    <w:p w14:paraId="592B238A" w14:textId="77777777" w:rsidR="00AC24A9" w:rsidRPr="00C00335" w:rsidRDefault="00AC24A9" w:rsidP="00AC24A9">
      <w:pPr>
        <w:pStyle w:val="bullets"/>
      </w:pPr>
      <w:r w:rsidRPr="00C00335">
        <w:t xml:space="preserve">F = cumulative number of new HIV infections (incidence) over the outcome collection </w:t>
      </w:r>
      <w:proofErr w:type="gramStart"/>
      <w:r w:rsidRPr="00C00335">
        <w:t>period;</w:t>
      </w:r>
      <w:proofErr w:type="gramEnd"/>
    </w:p>
    <w:p w14:paraId="6ADD3415" w14:textId="32BCC5F9" w:rsidR="00AC24A9" w:rsidRPr="00C00335" w:rsidRDefault="00AC24A9" w:rsidP="00AC24A9">
      <w:pPr>
        <w:pStyle w:val="bullets"/>
      </w:pPr>
      <w:r w:rsidRPr="00C00335">
        <w:t>P</w:t>
      </w:r>
      <w:r w:rsidRPr="00C00335">
        <w:rPr>
          <w:vertAlign w:val="subscript"/>
        </w:rPr>
        <w:t>t</w:t>
      </w:r>
      <w:r w:rsidRPr="00C00335">
        <w:t xml:space="preserve"> = HIV prevalence at time t</w:t>
      </w:r>
      <w:r w:rsidR="00121507">
        <w:t>.</w:t>
      </w:r>
    </w:p>
    <w:p w14:paraId="4BA2DD9D" w14:textId="200F4D2E" w:rsidR="00A221B8" w:rsidRPr="00C00335" w:rsidRDefault="005A1936" w:rsidP="005C450F">
      <w:pPr>
        <w:pStyle w:val="Heading2"/>
      </w:pPr>
      <w:bookmarkStart w:id="142" w:name="_Toc89257564"/>
      <w:r w:rsidRPr="00C00335">
        <w:t xml:space="preserve">Economic </w:t>
      </w:r>
      <w:r w:rsidR="00C0054E" w:rsidRPr="00C00335">
        <w:t>Outcomes</w:t>
      </w:r>
      <w:bookmarkEnd w:id="141"/>
      <w:bookmarkEnd w:id="142"/>
    </w:p>
    <w:p w14:paraId="421CB7A9" w14:textId="35D241E5" w:rsidR="0051126D" w:rsidRPr="00E832D1" w:rsidRDefault="0051126D" w:rsidP="00626270">
      <w:pPr>
        <w:pStyle w:val="BodyText"/>
      </w:pPr>
      <w:r w:rsidRPr="00C00335">
        <w:t xml:space="preserve">In this section, we define the relevant inputs and methods applied in the calculation of the model’s economic outcomes, </w:t>
      </w:r>
      <w:r w:rsidRPr="00E832D1">
        <w:t>including the costs of testing, notification, and HIV treatment and care.</w:t>
      </w:r>
      <w:r w:rsidR="00B81425" w:rsidRPr="00E832D1">
        <w:t xml:space="preserve"> All economic outcomes were computed using </w:t>
      </w:r>
      <w:r w:rsidR="00215FA8" w:rsidRPr="00E832D1">
        <w:t>201</w:t>
      </w:r>
      <w:r w:rsidR="009C573E" w:rsidRPr="00E832D1">
        <w:t>9</w:t>
      </w:r>
      <w:r w:rsidR="00215FA8" w:rsidRPr="00E832D1">
        <w:t xml:space="preserve"> </w:t>
      </w:r>
      <w:r w:rsidR="001D44B7" w:rsidRPr="00E832D1">
        <w:t xml:space="preserve">as </w:t>
      </w:r>
      <w:r w:rsidR="00B81425" w:rsidRPr="00E832D1">
        <w:t>a common cost year</w:t>
      </w:r>
      <w:r w:rsidR="00626270" w:rsidRPr="00E832D1">
        <w:t xml:space="preserve"> </w:t>
      </w:r>
      <w:r w:rsidR="007D4FD4" w:rsidRPr="00E832D1">
        <w:t xml:space="preserve">(Bureau of Labor Statistics, </w:t>
      </w:r>
      <w:r w:rsidR="00044F97" w:rsidRPr="00E832D1">
        <w:t>201</w:t>
      </w:r>
      <w:r w:rsidR="009C573E" w:rsidRPr="00E832D1">
        <w:t>9</w:t>
      </w:r>
      <w:r w:rsidR="001D44B7" w:rsidRPr="00E832D1">
        <w:t>)</w:t>
      </w:r>
      <w:r w:rsidR="00B81425" w:rsidRPr="00E832D1">
        <w:t>.</w:t>
      </w:r>
    </w:p>
    <w:p w14:paraId="62BEB040" w14:textId="77777777" w:rsidR="005A1936" w:rsidRPr="00E832D1" w:rsidRDefault="005A1936" w:rsidP="00051B41">
      <w:pPr>
        <w:pStyle w:val="Heading3"/>
      </w:pPr>
      <w:bookmarkStart w:id="143" w:name="_Toc89257565"/>
      <w:r w:rsidRPr="00E832D1">
        <w:t xml:space="preserve">Testing </w:t>
      </w:r>
      <w:r w:rsidR="00C0054E" w:rsidRPr="00E832D1">
        <w:t>Cost Inputs</w:t>
      </w:r>
      <w:bookmarkEnd w:id="143"/>
    </w:p>
    <w:p w14:paraId="487C69A1" w14:textId="1DDEBCA7" w:rsidR="00F44C5F" w:rsidRPr="00C00335" w:rsidRDefault="005F2E5E" w:rsidP="00903B31">
      <w:pPr>
        <w:pStyle w:val="BodyText"/>
      </w:pPr>
      <w:r w:rsidRPr="00E832D1">
        <w:t xml:space="preserve">Costs are applied for testing and notification. Testing is assumed to </w:t>
      </w:r>
      <w:r w:rsidR="001B4D37" w:rsidRPr="00E832D1">
        <w:t xml:space="preserve">occur </w:t>
      </w:r>
      <w:r w:rsidRPr="00E832D1">
        <w:t xml:space="preserve">in </w:t>
      </w:r>
      <w:r w:rsidR="001B4D37" w:rsidRPr="00E832D1">
        <w:t xml:space="preserve">both </w:t>
      </w:r>
      <w:r w:rsidRPr="00E832D1">
        <w:t>clinical</w:t>
      </w:r>
      <w:r w:rsidR="001B4D37" w:rsidRPr="00E832D1">
        <w:t xml:space="preserve"> and non-clinical</w:t>
      </w:r>
      <w:r w:rsidRPr="00E832D1">
        <w:t xml:space="preserve"> setting</w:t>
      </w:r>
      <w:r w:rsidR="001B4D37" w:rsidRPr="00E832D1">
        <w:t>s</w:t>
      </w:r>
      <w:r w:rsidRPr="00E832D1">
        <w:t>. During scenarios in which an outreach intervention is applied, an additional outreach cost per test is also applied.</w:t>
      </w:r>
      <w:r w:rsidR="00051B41" w:rsidRPr="00E832D1">
        <w:t xml:space="preserve"> </w:t>
      </w:r>
      <w:r w:rsidR="00871E69" w:rsidRPr="00E832D1">
        <w:t>Table </w:t>
      </w:r>
      <w:r w:rsidR="00680212">
        <w:t>9</w:t>
      </w:r>
      <w:r w:rsidR="00871E69" w:rsidRPr="00E832D1">
        <w:t>.</w:t>
      </w:r>
      <w:r w:rsidR="00121507">
        <w:t>1</w:t>
      </w:r>
      <w:r w:rsidR="00064571" w:rsidRPr="00E832D1">
        <w:t xml:space="preserve"> report</w:t>
      </w:r>
      <w:r w:rsidR="00051B41" w:rsidRPr="00E832D1">
        <w:t>s</w:t>
      </w:r>
      <w:r w:rsidR="00064571" w:rsidRPr="00E832D1">
        <w:t xml:space="preserve"> the inputs applied in the mode</w:t>
      </w:r>
      <w:r w:rsidR="00F92A09" w:rsidRPr="00E832D1">
        <w:t xml:space="preserve">l used for calculating the costs related to </w:t>
      </w:r>
      <w:r w:rsidR="00064571" w:rsidRPr="00E832D1">
        <w:t>testing</w:t>
      </w:r>
      <w:r w:rsidR="00A1123E" w:rsidRPr="00C00335">
        <w:t>.</w:t>
      </w:r>
    </w:p>
    <w:p w14:paraId="7E65D029" w14:textId="4710FE10" w:rsidR="00C0054E" w:rsidRPr="00C00335" w:rsidRDefault="004F4E6D" w:rsidP="00903B31">
      <w:pPr>
        <w:pStyle w:val="TableTitle"/>
      </w:pPr>
      <w:bookmarkStart w:id="144" w:name="_Toc89257614"/>
      <w:r w:rsidRPr="00C00335">
        <w:lastRenderedPageBreak/>
        <w:t xml:space="preserve">Table </w:t>
      </w:r>
      <w:r w:rsidR="00176A62">
        <w:t>9</w:t>
      </w:r>
      <w:r w:rsidRPr="00C00335">
        <w:t>.</w:t>
      </w:r>
      <w:r w:rsidR="008128FA">
        <w:t>1</w:t>
      </w:r>
      <w:r w:rsidR="00C0054E" w:rsidRPr="00C00335">
        <w:t>.</w:t>
      </w:r>
      <w:r w:rsidR="00C0054E" w:rsidRPr="00C00335">
        <w:tab/>
      </w:r>
      <w:r w:rsidR="00C0054E" w:rsidRPr="00DC4F6D">
        <w:t>Testing Cost Inputs</w:t>
      </w:r>
      <w:bookmarkEnd w:id="144"/>
    </w:p>
    <w:tbl>
      <w:tblPr>
        <w:tblW w:w="9360" w:type="dxa"/>
        <w:tblBorders>
          <w:top w:val="single" w:sz="12" w:space="0" w:color="auto"/>
          <w:bottom w:val="single" w:sz="12" w:space="0" w:color="auto"/>
        </w:tblBorders>
        <w:tblLayout w:type="fixed"/>
        <w:tblLook w:val="04A0" w:firstRow="1" w:lastRow="0" w:firstColumn="1" w:lastColumn="0" w:noHBand="0" w:noVBand="1"/>
      </w:tblPr>
      <w:tblGrid>
        <w:gridCol w:w="3438"/>
        <w:gridCol w:w="2520"/>
        <w:gridCol w:w="3402"/>
      </w:tblGrid>
      <w:tr w:rsidR="00C0054E" w:rsidRPr="0023643C" w14:paraId="43DBA86B" w14:textId="77777777" w:rsidTr="00260D8A">
        <w:trPr>
          <w:tblHeader/>
        </w:trPr>
        <w:tc>
          <w:tcPr>
            <w:tcW w:w="3438" w:type="dxa"/>
            <w:tcBorders>
              <w:top w:val="single" w:sz="12" w:space="0" w:color="auto"/>
              <w:bottom w:val="single" w:sz="6" w:space="0" w:color="auto"/>
            </w:tcBorders>
            <w:vAlign w:val="bottom"/>
          </w:tcPr>
          <w:p w14:paraId="22EFBB8B" w14:textId="77777777" w:rsidR="00C0054E" w:rsidRPr="0023643C" w:rsidRDefault="00C0054E" w:rsidP="00FB4FDA">
            <w:pPr>
              <w:pStyle w:val="TableHeaders"/>
              <w:keepNext/>
            </w:pPr>
            <w:r w:rsidRPr="0023643C">
              <w:t>Input</w:t>
            </w:r>
          </w:p>
        </w:tc>
        <w:tc>
          <w:tcPr>
            <w:tcW w:w="2520" w:type="dxa"/>
            <w:tcBorders>
              <w:top w:val="single" w:sz="12" w:space="0" w:color="auto"/>
              <w:bottom w:val="single" w:sz="6" w:space="0" w:color="auto"/>
            </w:tcBorders>
            <w:noWrap/>
            <w:vAlign w:val="bottom"/>
          </w:tcPr>
          <w:p w14:paraId="61FA86B4" w14:textId="1C3255B9" w:rsidR="00C0054E" w:rsidRPr="0023643C" w:rsidRDefault="00C0054E" w:rsidP="00FB4FDA">
            <w:pPr>
              <w:pStyle w:val="TableHeaders"/>
              <w:keepNext/>
            </w:pPr>
            <w:proofErr w:type="spellStart"/>
            <w:r w:rsidRPr="0023643C">
              <w:t>Value</w:t>
            </w:r>
            <w:r w:rsidR="00BE20CA" w:rsidRPr="0023643C">
              <w:rPr>
                <w:vertAlign w:val="superscript"/>
              </w:rPr>
              <w:t>a</w:t>
            </w:r>
            <w:proofErr w:type="spellEnd"/>
          </w:p>
        </w:tc>
        <w:tc>
          <w:tcPr>
            <w:tcW w:w="3402" w:type="dxa"/>
            <w:tcBorders>
              <w:top w:val="single" w:sz="12" w:space="0" w:color="auto"/>
              <w:bottom w:val="single" w:sz="6" w:space="0" w:color="auto"/>
            </w:tcBorders>
            <w:vAlign w:val="bottom"/>
          </w:tcPr>
          <w:p w14:paraId="630EA4F8" w14:textId="77777777" w:rsidR="00C0054E" w:rsidRPr="0023643C" w:rsidRDefault="00C0054E" w:rsidP="00FB4FDA">
            <w:pPr>
              <w:pStyle w:val="TableHeaders"/>
              <w:keepNext/>
            </w:pPr>
            <w:r w:rsidRPr="0023643C">
              <w:t>Source</w:t>
            </w:r>
          </w:p>
        </w:tc>
      </w:tr>
      <w:tr w:rsidR="00C0054E" w:rsidRPr="0023643C" w14:paraId="705596FF" w14:textId="77777777" w:rsidTr="00260D8A">
        <w:tc>
          <w:tcPr>
            <w:tcW w:w="3438" w:type="dxa"/>
            <w:tcBorders>
              <w:top w:val="single" w:sz="6" w:space="0" w:color="auto"/>
              <w:bottom w:val="single" w:sz="6" w:space="0" w:color="808080" w:themeColor="background1" w:themeShade="80"/>
            </w:tcBorders>
          </w:tcPr>
          <w:p w14:paraId="5CD8E10B" w14:textId="6923B589" w:rsidR="00C0054E" w:rsidRPr="0023643C" w:rsidRDefault="00C0054E" w:rsidP="00FB4FDA">
            <w:pPr>
              <w:pStyle w:val="TableText"/>
              <w:keepNext/>
            </w:pPr>
            <w:r w:rsidRPr="0023643C">
              <w:t xml:space="preserve">Testing </w:t>
            </w:r>
            <w:r w:rsidRPr="0058458C">
              <w:t>cost</w:t>
            </w:r>
            <w:r w:rsidR="007A459F" w:rsidRPr="0058458C">
              <w:t xml:space="preserve"> in clinical setting</w:t>
            </w:r>
            <w:r w:rsidRPr="0058458C">
              <w:t>,</w:t>
            </w:r>
            <w:r w:rsidRPr="0023643C">
              <w:t xml:space="preserve"> including screen and confirmatory test</w:t>
            </w:r>
          </w:p>
        </w:tc>
        <w:tc>
          <w:tcPr>
            <w:tcW w:w="2520" w:type="dxa"/>
            <w:tcBorders>
              <w:top w:val="single" w:sz="6" w:space="0" w:color="auto"/>
              <w:bottom w:val="single" w:sz="6" w:space="0" w:color="808080" w:themeColor="background1" w:themeShade="80"/>
            </w:tcBorders>
            <w:noWrap/>
          </w:tcPr>
          <w:p w14:paraId="073E4A7A" w14:textId="77777777" w:rsidR="00C0054E" w:rsidRPr="0023643C" w:rsidRDefault="00C0054E" w:rsidP="00FB4FDA">
            <w:pPr>
              <w:pStyle w:val="TableText"/>
              <w:keepNext/>
              <w:rPr>
                <w:szCs w:val="18"/>
              </w:rPr>
            </w:pPr>
          </w:p>
        </w:tc>
        <w:tc>
          <w:tcPr>
            <w:tcW w:w="3402" w:type="dxa"/>
            <w:tcBorders>
              <w:top w:val="single" w:sz="6" w:space="0" w:color="auto"/>
              <w:bottom w:val="single" w:sz="6" w:space="0" w:color="808080" w:themeColor="background1" w:themeShade="80"/>
            </w:tcBorders>
          </w:tcPr>
          <w:p w14:paraId="7BBBD7E0" w14:textId="77777777" w:rsidR="00C0054E" w:rsidRPr="0023643C" w:rsidRDefault="00C0054E" w:rsidP="00FB4FDA">
            <w:pPr>
              <w:pStyle w:val="TableText"/>
              <w:keepNext/>
              <w:rPr>
                <w:szCs w:val="18"/>
              </w:rPr>
            </w:pPr>
          </w:p>
        </w:tc>
      </w:tr>
      <w:tr w:rsidR="00C0054E" w:rsidRPr="0023643C" w14:paraId="07D62F5A" w14:textId="77777777" w:rsidTr="00260D8A">
        <w:tc>
          <w:tcPr>
            <w:tcW w:w="3438" w:type="dxa"/>
            <w:tcBorders>
              <w:top w:val="single" w:sz="6" w:space="0" w:color="808080" w:themeColor="background1" w:themeShade="80"/>
              <w:bottom w:val="single" w:sz="6" w:space="0" w:color="808080" w:themeColor="background1" w:themeShade="80"/>
            </w:tcBorders>
          </w:tcPr>
          <w:p w14:paraId="1E8EA0C3" w14:textId="0AFF70AD" w:rsidR="00C0054E" w:rsidRPr="00E832D1" w:rsidRDefault="005F5C70" w:rsidP="00FB4FDA">
            <w:pPr>
              <w:pStyle w:val="TableTextIndent1"/>
              <w:keepNext/>
              <w:rPr>
                <w:szCs w:val="18"/>
              </w:rPr>
            </w:pPr>
            <w:r w:rsidRPr="00E832D1">
              <w:rPr>
                <w:szCs w:val="18"/>
              </w:rPr>
              <w:t>HIV-uninfected</w:t>
            </w:r>
            <w:r w:rsidR="00C0054E" w:rsidRPr="00E832D1">
              <w:rPr>
                <w:szCs w:val="18"/>
              </w:rPr>
              <w:t xml:space="preserve"> individual, rapid screen</w:t>
            </w:r>
          </w:p>
        </w:tc>
        <w:tc>
          <w:tcPr>
            <w:tcW w:w="2520" w:type="dxa"/>
            <w:tcBorders>
              <w:top w:val="single" w:sz="6" w:space="0" w:color="808080" w:themeColor="background1" w:themeShade="80"/>
              <w:bottom w:val="single" w:sz="6" w:space="0" w:color="808080" w:themeColor="background1" w:themeShade="80"/>
            </w:tcBorders>
            <w:noWrap/>
          </w:tcPr>
          <w:p w14:paraId="74B84539" w14:textId="0EC508D4" w:rsidR="00987E02" w:rsidRPr="00E832D1" w:rsidRDefault="00DC4F6D" w:rsidP="00FB4FDA">
            <w:pPr>
              <w:pStyle w:val="TableText"/>
              <w:keepNext/>
              <w:rPr>
                <w:szCs w:val="18"/>
              </w:rPr>
            </w:pPr>
            <w:r>
              <w:rPr>
                <w:szCs w:val="18"/>
              </w:rPr>
              <w:t>Time periods 1 and 2</w:t>
            </w:r>
            <w:r w:rsidR="00987E02" w:rsidRPr="00E832D1">
              <w:rPr>
                <w:szCs w:val="18"/>
              </w:rPr>
              <w:t xml:space="preserve">: </w:t>
            </w:r>
            <w:r w:rsidR="00C0054E" w:rsidRPr="00E832D1">
              <w:rPr>
                <w:szCs w:val="18"/>
              </w:rPr>
              <w:t xml:space="preserve">$22.13 </w:t>
            </w:r>
            <w:r w:rsidR="00987E02" w:rsidRPr="00E832D1">
              <w:rPr>
                <w:szCs w:val="18"/>
              </w:rPr>
              <w:t>(2012$)</w:t>
            </w:r>
          </w:p>
          <w:p w14:paraId="60BA1083" w14:textId="183DE10F" w:rsidR="00C0054E" w:rsidRPr="00E832D1" w:rsidRDefault="00DC4F6D" w:rsidP="00FB4FDA">
            <w:pPr>
              <w:pStyle w:val="TableText"/>
              <w:keepNext/>
              <w:rPr>
                <w:szCs w:val="18"/>
              </w:rPr>
            </w:pPr>
            <w:r>
              <w:rPr>
                <w:szCs w:val="18"/>
              </w:rPr>
              <w:t>Time period 3</w:t>
            </w:r>
            <w:r w:rsidR="00987E02" w:rsidRPr="00E832D1">
              <w:rPr>
                <w:szCs w:val="18"/>
              </w:rPr>
              <w:t xml:space="preserve">: $19.62 </w:t>
            </w:r>
            <w:r w:rsidR="00C0054E" w:rsidRPr="00E832D1">
              <w:rPr>
                <w:szCs w:val="18"/>
              </w:rPr>
              <w:t>(</w:t>
            </w:r>
            <w:r w:rsidR="00987E02" w:rsidRPr="00E832D1">
              <w:rPr>
                <w:szCs w:val="18"/>
              </w:rPr>
              <w:t>2014</w:t>
            </w:r>
            <w:r w:rsidR="00C0054E" w:rsidRPr="00E832D1">
              <w:rPr>
                <w:szCs w:val="18"/>
              </w:rPr>
              <w:t>$)</w:t>
            </w:r>
          </w:p>
        </w:tc>
        <w:tc>
          <w:tcPr>
            <w:tcW w:w="3402" w:type="dxa"/>
            <w:tcBorders>
              <w:top w:val="single" w:sz="6" w:space="0" w:color="808080" w:themeColor="background1" w:themeShade="80"/>
              <w:bottom w:val="single" w:sz="6" w:space="0" w:color="808080" w:themeColor="background1" w:themeShade="80"/>
            </w:tcBorders>
          </w:tcPr>
          <w:p w14:paraId="38AFD881" w14:textId="06D9B3FE" w:rsidR="008B196A" w:rsidRPr="00E832D1" w:rsidRDefault="00DC4F6D" w:rsidP="00FB4FDA">
            <w:pPr>
              <w:pStyle w:val="TableText"/>
              <w:keepNext/>
              <w:rPr>
                <w:szCs w:val="18"/>
              </w:rPr>
            </w:pPr>
            <w:r>
              <w:rPr>
                <w:szCs w:val="18"/>
              </w:rPr>
              <w:t>Time periods 1 and 2</w:t>
            </w:r>
            <w:r w:rsidR="008B196A" w:rsidRPr="00E832D1">
              <w:rPr>
                <w:szCs w:val="18"/>
              </w:rPr>
              <w:t xml:space="preserve">: </w:t>
            </w:r>
            <w:r w:rsidR="00C0054E" w:rsidRPr="00E832D1">
              <w:rPr>
                <w:szCs w:val="18"/>
              </w:rPr>
              <w:t>Based on cost components from Hutchinson et al. (2011), Pinkerton et al. (2010), and Farnham et al. (2008)</w:t>
            </w:r>
            <w:r w:rsidR="00987E02" w:rsidRPr="00E832D1">
              <w:rPr>
                <w:szCs w:val="18"/>
              </w:rPr>
              <w:t xml:space="preserve"> </w:t>
            </w:r>
          </w:p>
          <w:p w14:paraId="5D1849DB" w14:textId="052388B0" w:rsidR="00C0054E" w:rsidRPr="00E832D1" w:rsidRDefault="00DC4F6D" w:rsidP="00FB4FDA">
            <w:pPr>
              <w:pStyle w:val="TableText"/>
              <w:keepNext/>
              <w:rPr>
                <w:szCs w:val="18"/>
              </w:rPr>
            </w:pPr>
            <w:r>
              <w:rPr>
                <w:szCs w:val="18"/>
              </w:rPr>
              <w:t>Time period 3</w:t>
            </w:r>
            <w:r w:rsidR="008B196A" w:rsidRPr="00E832D1">
              <w:rPr>
                <w:szCs w:val="18"/>
              </w:rPr>
              <w:t>:</w:t>
            </w:r>
            <w:r w:rsidR="00987E02" w:rsidRPr="00E832D1">
              <w:rPr>
                <w:szCs w:val="18"/>
              </w:rPr>
              <w:t xml:space="preserve"> </w:t>
            </w:r>
            <w:r w:rsidR="008B196A" w:rsidRPr="00E832D1">
              <w:rPr>
                <w:szCs w:val="18"/>
              </w:rPr>
              <w:t>B</w:t>
            </w:r>
            <w:r w:rsidR="00987E02" w:rsidRPr="00E832D1">
              <w:rPr>
                <w:szCs w:val="18"/>
              </w:rPr>
              <w:t xml:space="preserve">ased on an average of </w:t>
            </w:r>
            <w:r w:rsidR="008B196A" w:rsidRPr="00E832D1">
              <w:rPr>
                <w:szCs w:val="18"/>
              </w:rPr>
              <w:t xml:space="preserve">INSTI, Determine, </w:t>
            </w:r>
            <w:proofErr w:type="spellStart"/>
            <w:r w:rsidR="008B196A" w:rsidRPr="00E832D1">
              <w:rPr>
                <w:szCs w:val="18"/>
              </w:rPr>
              <w:t>Unigold</w:t>
            </w:r>
            <w:proofErr w:type="spellEnd"/>
            <w:r w:rsidR="008B196A" w:rsidRPr="00E832D1">
              <w:rPr>
                <w:szCs w:val="18"/>
              </w:rPr>
              <w:t xml:space="preserve"> POC rapid cost (</w:t>
            </w:r>
            <w:proofErr w:type="spellStart"/>
            <w:r w:rsidR="008B196A" w:rsidRPr="00E832D1">
              <w:rPr>
                <w:szCs w:val="18"/>
              </w:rPr>
              <w:t>Hoenigl</w:t>
            </w:r>
            <w:proofErr w:type="spellEnd"/>
            <w:r w:rsidR="008B196A" w:rsidRPr="00E832D1">
              <w:rPr>
                <w:szCs w:val="18"/>
              </w:rPr>
              <w:t xml:space="preserve"> et al., 2015) and test performance data for </w:t>
            </w:r>
            <w:proofErr w:type="spellStart"/>
            <w:r w:rsidR="008B196A" w:rsidRPr="00E832D1">
              <w:rPr>
                <w:szCs w:val="18"/>
              </w:rPr>
              <w:t>Geenius</w:t>
            </w:r>
            <w:proofErr w:type="spellEnd"/>
            <w:r w:rsidR="008B196A" w:rsidRPr="00E832D1">
              <w:rPr>
                <w:szCs w:val="18"/>
              </w:rPr>
              <w:t xml:space="preserve"> (Bio-Rad, 2014)</w:t>
            </w:r>
            <w:r w:rsidR="000E01BA" w:rsidRPr="00E832D1">
              <w:rPr>
                <w:szCs w:val="18"/>
              </w:rPr>
              <w:t>.</w:t>
            </w:r>
          </w:p>
        </w:tc>
      </w:tr>
      <w:tr w:rsidR="00C0054E" w:rsidRPr="0023643C" w14:paraId="269F14CF" w14:textId="77777777" w:rsidTr="00260D8A">
        <w:tc>
          <w:tcPr>
            <w:tcW w:w="3438" w:type="dxa"/>
            <w:tcBorders>
              <w:top w:val="single" w:sz="6" w:space="0" w:color="808080" w:themeColor="background1" w:themeShade="80"/>
              <w:bottom w:val="single" w:sz="6" w:space="0" w:color="808080" w:themeColor="background1" w:themeShade="80"/>
            </w:tcBorders>
          </w:tcPr>
          <w:p w14:paraId="3EE34C8A" w14:textId="04925AED" w:rsidR="00C0054E" w:rsidRPr="00E832D1" w:rsidRDefault="005F5C70" w:rsidP="00FB4FDA">
            <w:pPr>
              <w:pStyle w:val="TableTextIndent1"/>
              <w:keepNext/>
              <w:rPr>
                <w:szCs w:val="18"/>
              </w:rPr>
            </w:pPr>
            <w:r w:rsidRPr="00E832D1">
              <w:rPr>
                <w:szCs w:val="18"/>
              </w:rPr>
              <w:t>HIV-uninfected</w:t>
            </w:r>
            <w:r w:rsidR="00C0054E" w:rsidRPr="00E832D1">
              <w:rPr>
                <w:szCs w:val="18"/>
              </w:rPr>
              <w:t xml:space="preserve"> individual, conventional screen</w:t>
            </w:r>
          </w:p>
        </w:tc>
        <w:tc>
          <w:tcPr>
            <w:tcW w:w="2520" w:type="dxa"/>
            <w:tcBorders>
              <w:top w:val="single" w:sz="6" w:space="0" w:color="808080" w:themeColor="background1" w:themeShade="80"/>
              <w:bottom w:val="single" w:sz="6" w:space="0" w:color="808080" w:themeColor="background1" w:themeShade="80"/>
            </w:tcBorders>
            <w:noWrap/>
          </w:tcPr>
          <w:p w14:paraId="39A47FA6" w14:textId="62BF417F" w:rsidR="00C0054E" w:rsidRPr="00E832D1" w:rsidRDefault="00DC4F6D" w:rsidP="00FB4FDA">
            <w:pPr>
              <w:pStyle w:val="TableText"/>
              <w:keepNext/>
              <w:rPr>
                <w:szCs w:val="18"/>
              </w:rPr>
            </w:pPr>
            <w:r>
              <w:rPr>
                <w:szCs w:val="18"/>
              </w:rPr>
              <w:t>Time periods 1 and 2</w:t>
            </w:r>
            <w:r w:rsidR="00C0054E" w:rsidRPr="00E832D1">
              <w:rPr>
                <w:szCs w:val="18"/>
              </w:rPr>
              <w:t>: $</w:t>
            </w:r>
            <w:r w:rsidR="00FA58E7" w:rsidRPr="00E832D1">
              <w:rPr>
                <w:szCs w:val="18"/>
              </w:rPr>
              <w:t>8.24</w:t>
            </w:r>
            <w:r w:rsidR="00C0054E" w:rsidRPr="00E832D1">
              <w:rPr>
                <w:szCs w:val="18"/>
              </w:rPr>
              <w:t xml:space="preserve"> (2012$)</w:t>
            </w:r>
          </w:p>
          <w:p w14:paraId="30FC107E" w14:textId="09349ED9" w:rsidR="003318A4" w:rsidRPr="00E832D1" w:rsidRDefault="00DC4F6D" w:rsidP="00FB4FDA">
            <w:pPr>
              <w:pStyle w:val="TableText"/>
              <w:keepNext/>
              <w:rPr>
                <w:szCs w:val="18"/>
              </w:rPr>
            </w:pPr>
            <w:r>
              <w:rPr>
                <w:szCs w:val="18"/>
              </w:rPr>
              <w:t>Time period 3</w:t>
            </w:r>
            <w:r w:rsidR="003318A4" w:rsidRPr="00E832D1">
              <w:rPr>
                <w:szCs w:val="18"/>
              </w:rPr>
              <w:t>: $10.36 (2012$)</w:t>
            </w:r>
          </w:p>
        </w:tc>
        <w:tc>
          <w:tcPr>
            <w:tcW w:w="3402" w:type="dxa"/>
            <w:tcBorders>
              <w:top w:val="single" w:sz="6" w:space="0" w:color="808080" w:themeColor="background1" w:themeShade="80"/>
              <w:bottom w:val="single" w:sz="6" w:space="0" w:color="808080" w:themeColor="background1" w:themeShade="80"/>
            </w:tcBorders>
          </w:tcPr>
          <w:p w14:paraId="51117AC1" w14:textId="1E1B1C92" w:rsidR="00C0054E" w:rsidRPr="00E832D1" w:rsidRDefault="00C0054E" w:rsidP="00712562">
            <w:pPr>
              <w:pStyle w:val="TableText"/>
              <w:keepNext/>
              <w:rPr>
                <w:szCs w:val="18"/>
              </w:rPr>
            </w:pPr>
            <w:r w:rsidRPr="00E832D1">
              <w:rPr>
                <w:szCs w:val="18"/>
              </w:rPr>
              <w:t>Based on cost components from Farnham et al. (2008)</w:t>
            </w:r>
            <w:r w:rsidR="00712562" w:rsidRPr="00E832D1">
              <w:rPr>
                <w:szCs w:val="18"/>
              </w:rPr>
              <w:t xml:space="preserve"> and</w:t>
            </w:r>
            <w:r w:rsidRPr="00E832D1">
              <w:rPr>
                <w:szCs w:val="18"/>
              </w:rPr>
              <w:t xml:space="preserve"> Hutchinson et al. (2011</w:t>
            </w:r>
            <w:r w:rsidR="00712562" w:rsidRPr="00E832D1">
              <w:rPr>
                <w:szCs w:val="18"/>
              </w:rPr>
              <w:t>, 2013</w:t>
            </w:r>
            <w:r w:rsidRPr="00E832D1">
              <w:rPr>
                <w:szCs w:val="18"/>
              </w:rPr>
              <w:t xml:space="preserve">), and adjusted to 2012$. </w:t>
            </w:r>
          </w:p>
        </w:tc>
      </w:tr>
      <w:tr w:rsidR="00C0054E" w:rsidRPr="0023643C" w14:paraId="6CF6B367" w14:textId="77777777" w:rsidTr="00260D8A">
        <w:tc>
          <w:tcPr>
            <w:tcW w:w="3438" w:type="dxa"/>
            <w:tcBorders>
              <w:top w:val="single" w:sz="6" w:space="0" w:color="808080" w:themeColor="background1" w:themeShade="80"/>
              <w:bottom w:val="single" w:sz="6" w:space="0" w:color="808080" w:themeColor="background1" w:themeShade="80"/>
            </w:tcBorders>
          </w:tcPr>
          <w:p w14:paraId="3FEE02BF" w14:textId="7DB6F887" w:rsidR="00C0054E" w:rsidRPr="00E832D1" w:rsidRDefault="005F5C70" w:rsidP="00FB4FDA">
            <w:pPr>
              <w:pStyle w:val="TableTextIndent1"/>
              <w:rPr>
                <w:szCs w:val="18"/>
              </w:rPr>
            </w:pPr>
            <w:r w:rsidRPr="00E832D1">
              <w:rPr>
                <w:szCs w:val="18"/>
              </w:rPr>
              <w:t>HIV-infected</w:t>
            </w:r>
            <w:r w:rsidR="00C0054E" w:rsidRPr="00E832D1">
              <w:rPr>
                <w:szCs w:val="18"/>
              </w:rPr>
              <w:t xml:space="preserve"> individual, rapid screen</w:t>
            </w:r>
          </w:p>
        </w:tc>
        <w:tc>
          <w:tcPr>
            <w:tcW w:w="2520" w:type="dxa"/>
            <w:tcBorders>
              <w:top w:val="single" w:sz="6" w:space="0" w:color="808080" w:themeColor="background1" w:themeShade="80"/>
              <w:bottom w:val="single" w:sz="6" w:space="0" w:color="808080" w:themeColor="background1" w:themeShade="80"/>
            </w:tcBorders>
            <w:noWrap/>
          </w:tcPr>
          <w:p w14:paraId="12FDC731" w14:textId="6600A560" w:rsidR="00C0054E" w:rsidRPr="00E832D1" w:rsidRDefault="00DC4F6D" w:rsidP="00FB4FDA">
            <w:pPr>
              <w:pStyle w:val="TableText"/>
              <w:rPr>
                <w:szCs w:val="18"/>
              </w:rPr>
            </w:pPr>
            <w:r>
              <w:rPr>
                <w:szCs w:val="18"/>
              </w:rPr>
              <w:t>Time periods 1 and 2</w:t>
            </w:r>
            <w:r w:rsidR="003318A4" w:rsidRPr="00E832D1">
              <w:rPr>
                <w:szCs w:val="18"/>
              </w:rPr>
              <w:t xml:space="preserve">: </w:t>
            </w:r>
            <w:r w:rsidR="00C0054E" w:rsidRPr="00E832D1">
              <w:rPr>
                <w:szCs w:val="18"/>
              </w:rPr>
              <w:t>$86.70 (2012$)</w:t>
            </w:r>
          </w:p>
          <w:p w14:paraId="28EC200C" w14:textId="4CF7831B" w:rsidR="003318A4" w:rsidRPr="00E832D1" w:rsidRDefault="00DC4F6D" w:rsidP="00FB4FDA">
            <w:pPr>
              <w:pStyle w:val="TableText"/>
              <w:rPr>
                <w:szCs w:val="18"/>
              </w:rPr>
            </w:pPr>
            <w:r>
              <w:rPr>
                <w:szCs w:val="18"/>
              </w:rPr>
              <w:t>Time period 3</w:t>
            </w:r>
            <w:r w:rsidR="003318A4" w:rsidRPr="00E832D1">
              <w:rPr>
                <w:szCs w:val="18"/>
              </w:rPr>
              <w:t>: $</w:t>
            </w:r>
            <w:r w:rsidR="00987E02" w:rsidRPr="00E832D1">
              <w:rPr>
                <w:szCs w:val="18"/>
              </w:rPr>
              <w:t>66.70</w:t>
            </w:r>
            <w:r w:rsidR="003318A4" w:rsidRPr="00E832D1">
              <w:rPr>
                <w:szCs w:val="18"/>
              </w:rPr>
              <w:t xml:space="preserve"> (</w:t>
            </w:r>
            <w:r w:rsidR="00987E02" w:rsidRPr="00E832D1">
              <w:rPr>
                <w:szCs w:val="18"/>
              </w:rPr>
              <w:t>2014</w:t>
            </w:r>
            <w:r w:rsidR="003318A4" w:rsidRPr="00E832D1">
              <w:rPr>
                <w:szCs w:val="18"/>
              </w:rPr>
              <w:t>$)</w:t>
            </w:r>
          </w:p>
        </w:tc>
        <w:tc>
          <w:tcPr>
            <w:tcW w:w="3402" w:type="dxa"/>
            <w:tcBorders>
              <w:top w:val="single" w:sz="6" w:space="0" w:color="808080" w:themeColor="background1" w:themeShade="80"/>
              <w:bottom w:val="single" w:sz="6" w:space="0" w:color="808080" w:themeColor="background1" w:themeShade="80"/>
            </w:tcBorders>
          </w:tcPr>
          <w:p w14:paraId="0B63548A" w14:textId="02094983" w:rsidR="008B196A" w:rsidRPr="00E832D1" w:rsidRDefault="00DC4F6D" w:rsidP="00712562">
            <w:pPr>
              <w:pStyle w:val="TableText"/>
              <w:rPr>
                <w:szCs w:val="18"/>
              </w:rPr>
            </w:pPr>
            <w:r>
              <w:rPr>
                <w:szCs w:val="18"/>
              </w:rPr>
              <w:t>Time periods 1 and 2</w:t>
            </w:r>
            <w:r w:rsidR="008B196A" w:rsidRPr="00E832D1">
              <w:rPr>
                <w:szCs w:val="18"/>
              </w:rPr>
              <w:t xml:space="preserve">: </w:t>
            </w:r>
            <w:r w:rsidR="00C0054E" w:rsidRPr="00E832D1">
              <w:rPr>
                <w:szCs w:val="18"/>
              </w:rPr>
              <w:t>Based on cost components from Hutchinson et al. (2011</w:t>
            </w:r>
            <w:r w:rsidR="00712562" w:rsidRPr="00E832D1">
              <w:rPr>
                <w:szCs w:val="18"/>
              </w:rPr>
              <w:t>, 2013</w:t>
            </w:r>
            <w:r w:rsidR="00C0054E" w:rsidRPr="00E832D1">
              <w:rPr>
                <w:szCs w:val="18"/>
              </w:rPr>
              <w:t>), Pinkerton et al. (2010), and Farnham et al. (2008) and adjusted to 2012$. Assumes a repeat screen and a Western blot confirmatory test</w:t>
            </w:r>
          </w:p>
          <w:p w14:paraId="05962ADA" w14:textId="61D3F9A9" w:rsidR="00C0054E" w:rsidRPr="00E832D1" w:rsidRDefault="00DC4F6D" w:rsidP="00712562">
            <w:pPr>
              <w:pStyle w:val="TableText"/>
              <w:rPr>
                <w:szCs w:val="18"/>
              </w:rPr>
            </w:pPr>
            <w:r>
              <w:rPr>
                <w:szCs w:val="18"/>
              </w:rPr>
              <w:t>Time period 3</w:t>
            </w:r>
            <w:r w:rsidR="008B196A" w:rsidRPr="00E832D1">
              <w:rPr>
                <w:szCs w:val="18"/>
              </w:rPr>
              <w:t xml:space="preserve">: Based on an average of INSTI, Determine, </w:t>
            </w:r>
            <w:proofErr w:type="spellStart"/>
            <w:r w:rsidR="008B196A" w:rsidRPr="00E832D1">
              <w:rPr>
                <w:szCs w:val="18"/>
              </w:rPr>
              <w:t>Unigold</w:t>
            </w:r>
            <w:proofErr w:type="spellEnd"/>
            <w:r w:rsidR="008B196A" w:rsidRPr="00E832D1">
              <w:rPr>
                <w:szCs w:val="18"/>
              </w:rPr>
              <w:t xml:space="preserve"> POC rapid cost (</w:t>
            </w:r>
            <w:proofErr w:type="spellStart"/>
            <w:r w:rsidR="008B196A" w:rsidRPr="00E832D1">
              <w:rPr>
                <w:szCs w:val="18"/>
              </w:rPr>
              <w:t>Hoenigl</w:t>
            </w:r>
            <w:proofErr w:type="spellEnd"/>
            <w:r w:rsidR="008B196A" w:rsidRPr="00E832D1">
              <w:rPr>
                <w:szCs w:val="18"/>
              </w:rPr>
              <w:t xml:space="preserve"> et al., 2015) and test performance data for </w:t>
            </w:r>
            <w:proofErr w:type="spellStart"/>
            <w:r w:rsidR="008B196A" w:rsidRPr="00E832D1">
              <w:rPr>
                <w:szCs w:val="18"/>
              </w:rPr>
              <w:t>Geenius</w:t>
            </w:r>
            <w:proofErr w:type="spellEnd"/>
            <w:r w:rsidR="008B196A" w:rsidRPr="00E832D1">
              <w:rPr>
                <w:szCs w:val="18"/>
              </w:rPr>
              <w:t xml:space="preserve"> (Bio-Rad, 2014)</w:t>
            </w:r>
            <w:r w:rsidR="008F1692" w:rsidRPr="00E832D1">
              <w:rPr>
                <w:szCs w:val="18"/>
              </w:rPr>
              <w:t>.</w:t>
            </w:r>
          </w:p>
        </w:tc>
      </w:tr>
      <w:tr w:rsidR="00C0054E" w:rsidRPr="0023643C" w14:paraId="54E5015E" w14:textId="77777777" w:rsidTr="00260D8A">
        <w:tc>
          <w:tcPr>
            <w:tcW w:w="3438" w:type="dxa"/>
            <w:tcBorders>
              <w:top w:val="single" w:sz="6" w:space="0" w:color="808080" w:themeColor="background1" w:themeShade="80"/>
              <w:bottom w:val="single" w:sz="6" w:space="0" w:color="808080" w:themeColor="background1" w:themeShade="80"/>
            </w:tcBorders>
          </w:tcPr>
          <w:p w14:paraId="4F4D57D3" w14:textId="6F695041" w:rsidR="00C0054E" w:rsidRPr="0023643C" w:rsidRDefault="005F5C70" w:rsidP="00FB4FDA">
            <w:pPr>
              <w:pStyle w:val="TableTextIndent1"/>
              <w:rPr>
                <w:szCs w:val="18"/>
              </w:rPr>
            </w:pPr>
            <w:r w:rsidRPr="0023643C">
              <w:rPr>
                <w:szCs w:val="18"/>
              </w:rPr>
              <w:t>HIV-infected</w:t>
            </w:r>
            <w:r w:rsidR="00C0054E" w:rsidRPr="0023643C">
              <w:rPr>
                <w:szCs w:val="18"/>
              </w:rPr>
              <w:t xml:space="preserve"> individual, conventional screen</w:t>
            </w:r>
          </w:p>
        </w:tc>
        <w:tc>
          <w:tcPr>
            <w:tcW w:w="2520" w:type="dxa"/>
            <w:tcBorders>
              <w:top w:val="single" w:sz="6" w:space="0" w:color="808080" w:themeColor="background1" w:themeShade="80"/>
              <w:bottom w:val="single" w:sz="6" w:space="0" w:color="808080" w:themeColor="background1" w:themeShade="80"/>
            </w:tcBorders>
            <w:noWrap/>
          </w:tcPr>
          <w:p w14:paraId="2F3ECA7F" w14:textId="1B594199" w:rsidR="00C0054E" w:rsidRPr="0023643C" w:rsidRDefault="00DC4F6D" w:rsidP="00FB4FDA">
            <w:pPr>
              <w:pStyle w:val="TableText"/>
              <w:rPr>
                <w:szCs w:val="18"/>
              </w:rPr>
            </w:pPr>
            <w:r>
              <w:rPr>
                <w:szCs w:val="18"/>
              </w:rPr>
              <w:t>Time periods 1 and 2</w:t>
            </w:r>
            <w:r w:rsidR="00C0054E" w:rsidRPr="0023643C">
              <w:rPr>
                <w:szCs w:val="18"/>
              </w:rPr>
              <w:t>: $6</w:t>
            </w:r>
            <w:r w:rsidR="003318A4" w:rsidRPr="0023643C">
              <w:rPr>
                <w:szCs w:val="18"/>
              </w:rPr>
              <w:t>0.02</w:t>
            </w:r>
            <w:r w:rsidR="00C0054E" w:rsidRPr="0023643C">
              <w:rPr>
                <w:szCs w:val="18"/>
              </w:rPr>
              <w:t xml:space="preserve"> (2012$)</w:t>
            </w:r>
          </w:p>
          <w:p w14:paraId="652F1896" w14:textId="0CB14D57" w:rsidR="003318A4" w:rsidRPr="0023643C" w:rsidRDefault="00DC4F6D" w:rsidP="00FB4FDA">
            <w:pPr>
              <w:pStyle w:val="TableText"/>
              <w:rPr>
                <w:szCs w:val="18"/>
              </w:rPr>
            </w:pPr>
            <w:r>
              <w:rPr>
                <w:szCs w:val="18"/>
              </w:rPr>
              <w:t>Time period 3</w:t>
            </w:r>
            <w:r w:rsidR="003318A4" w:rsidRPr="0023643C">
              <w:rPr>
                <w:szCs w:val="18"/>
              </w:rPr>
              <w:t>: $58.91 (2012$)</w:t>
            </w:r>
          </w:p>
        </w:tc>
        <w:tc>
          <w:tcPr>
            <w:tcW w:w="3402" w:type="dxa"/>
            <w:tcBorders>
              <w:top w:val="single" w:sz="6" w:space="0" w:color="808080" w:themeColor="background1" w:themeShade="80"/>
              <w:bottom w:val="single" w:sz="6" w:space="0" w:color="808080" w:themeColor="background1" w:themeShade="80"/>
            </w:tcBorders>
          </w:tcPr>
          <w:p w14:paraId="5ACF11A6" w14:textId="36194072" w:rsidR="00C0054E" w:rsidRPr="0023643C" w:rsidRDefault="00C0054E" w:rsidP="00712562">
            <w:pPr>
              <w:pStyle w:val="TableText"/>
              <w:rPr>
                <w:szCs w:val="18"/>
              </w:rPr>
            </w:pPr>
            <w:r w:rsidRPr="0023643C">
              <w:rPr>
                <w:szCs w:val="18"/>
              </w:rPr>
              <w:t>Based on cost components from Farnham et al. (2008) and Hutchinson et al. (2011</w:t>
            </w:r>
            <w:r w:rsidR="00712562" w:rsidRPr="0023643C">
              <w:rPr>
                <w:szCs w:val="18"/>
              </w:rPr>
              <w:t>, 2013</w:t>
            </w:r>
            <w:r w:rsidRPr="0023643C">
              <w:rPr>
                <w:szCs w:val="18"/>
              </w:rPr>
              <w:t>) and adjusted to 2012$. Assumed Western blot confirmatory test</w:t>
            </w:r>
            <w:r w:rsidR="003318A4" w:rsidRPr="0023643C">
              <w:rPr>
                <w:szCs w:val="18"/>
              </w:rPr>
              <w:t xml:space="preserve"> before </w:t>
            </w:r>
            <w:r w:rsidR="00987E02" w:rsidRPr="0023643C">
              <w:rPr>
                <w:szCs w:val="18"/>
              </w:rPr>
              <w:t>201</w:t>
            </w:r>
            <w:r w:rsidR="00987E02">
              <w:rPr>
                <w:szCs w:val="18"/>
              </w:rPr>
              <w:t>7</w:t>
            </w:r>
            <w:r w:rsidR="003318A4" w:rsidRPr="0023643C">
              <w:rPr>
                <w:szCs w:val="18"/>
              </w:rPr>
              <w:t xml:space="preserve">, and a </w:t>
            </w:r>
            <w:proofErr w:type="spellStart"/>
            <w:r w:rsidR="003318A4" w:rsidRPr="0023643C">
              <w:rPr>
                <w:szCs w:val="18"/>
              </w:rPr>
              <w:t>Geenius</w:t>
            </w:r>
            <w:proofErr w:type="spellEnd"/>
            <w:r w:rsidR="0048462A" w:rsidRPr="0023643C">
              <w:rPr>
                <w:szCs w:val="18"/>
              </w:rPr>
              <w:t xml:space="preserve"> HIV</w:t>
            </w:r>
            <w:r w:rsidR="003318A4" w:rsidRPr="0023643C">
              <w:rPr>
                <w:szCs w:val="18"/>
              </w:rPr>
              <w:t xml:space="preserve"> 1/2 confirmatory screen in </w:t>
            </w:r>
            <w:r w:rsidR="00987E02" w:rsidRPr="0023643C">
              <w:rPr>
                <w:szCs w:val="18"/>
              </w:rPr>
              <w:t>201</w:t>
            </w:r>
            <w:r w:rsidR="00987E02">
              <w:rPr>
                <w:szCs w:val="18"/>
              </w:rPr>
              <w:t>7</w:t>
            </w:r>
            <w:r w:rsidR="00987E02" w:rsidRPr="0023643C">
              <w:rPr>
                <w:szCs w:val="18"/>
              </w:rPr>
              <w:t xml:space="preserve"> </w:t>
            </w:r>
            <w:r w:rsidR="003318A4" w:rsidRPr="0023643C">
              <w:rPr>
                <w:szCs w:val="18"/>
              </w:rPr>
              <w:t>and after</w:t>
            </w:r>
            <w:r w:rsidR="008F1692" w:rsidRPr="0023643C">
              <w:rPr>
                <w:szCs w:val="18"/>
              </w:rPr>
              <w:t>.</w:t>
            </w:r>
          </w:p>
        </w:tc>
      </w:tr>
      <w:tr w:rsidR="00C0054E" w:rsidRPr="0023643C" w14:paraId="073E3A01" w14:textId="77777777" w:rsidTr="00260D8A">
        <w:tc>
          <w:tcPr>
            <w:tcW w:w="3438" w:type="dxa"/>
            <w:tcBorders>
              <w:top w:val="single" w:sz="6" w:space="0" w:color="808080" w:themeColor="background1" w:themeShade="80"/>
              <w:bottom w:val="single" w:sz="6" w:space="0" w:color="808080" w:themeColor="background1" w:themeShade="80"/>
            </w:tcBorders>
          </w:tcPr>
          <w:p w14:paraId="70725AD9" w14:textId="77777777" w:rsidR="00C0054E" w:rsidRPr="0023643C" w:rsidRDefault="00C0054E" w:rsidP="00FB4FDA">
            <w:pPr>
              <w:pStyle w:val="TableTextIndent1"/>
              <w:rPr>
                <w:szCs w:val="18"/>
              </w:rPr>
            </w:pPr>
            <w:r w:rsidRPr="0023643C">
              <w:rPr>
                <w:szCs w:val="18"/>
              </w:rPr>
              <w:t>NAT, applied for discrepant Western blot confirmatory test</w:t>
            </w:r>
          </w:p>
        </w:tc>
        <w:tc>
          <w:tcPr>
            <w:tcW w:w="2520" w:type="dxa"/>
            <w:tcBorders>
              <w:top w:val="single" w:sz="6" w:space="0" w:color="808080" w:themeColor="background1" w:themeShade="80"/>
              <w:bottom w:val="single" w:sz="6" w:space="0" w:color="808080" w:themeColor="background1" w:themeShade="80"/>
            </w:tcBorders>
            <w:noWrap/>
          </w:tcPr>
          <w:p w14:paraId="6E141FA7" w14:textId="70164FFE" w:rsidR="00C0054E" w:rsidRPr="0023643C" w:rsidRDefault="00C0054E" w:rsidP="00FB4FDA">
            <w:pPr>
              <w:pStyle w:val="TableText"/>
              <w:rPr>
                <w:szCs w:val="18"/>
              </w:rPr>
            </w:pPr>
            <w:r w:rsidRPr="0023643C">
              <w:rPr>
                <w:szCs w:val="18"/>
              </w:rPr>
              <w:t>$160.07 (2012$)</w:t>
            </w:r>
          </w:p>
        </w:tc>
        <w:tc>
          <w:tcPr>
            <w:tcW w:w="3402" w:type="dxa"/>
            <w:tcBorders>
              <w:top w:val="single" w:sz="6" w:space="0" w:color="808080" w:themeColor="background1" w:themeShade="80"/>
              <w:bottom w:val="single" w:sz="6" w:space="0" w:color="808080" w:themeColor="background1" w:themeShade="80"/>
            </w:tcBorders>
          </w:tcPr>
          <w:p w14:paraId="150F4E5E" w14:textId="77777777" w:rsidR="00C0054E" w:rsidRPr="0023643C" w:rsidRDefault="00C0054E" w:rsidP="00FB4FDA">
            <w:pPr>
              <w:pStyle w:val="TableText"/>
              <w:rPr>
                <w:szCs w:val="18"/>
              </w:rPr>
            </w:pPr>
            <w:r w:rsidRPr="0023643C">
              <w:rPr>
                <w:szCs w:val="18"/>
              </w:rPr>
              <w:t>Hutchinson et al. (2013)</w:t>
            </w:r>
          </w:p>
        </w:tc>
      </w:tr>
      <w:tr w:rsidR="00A97593" w:rsidRPr="0023643C" w14:paraId="68548C01" w14:textId="77777777" w:rsidTr="00260D8A">
        <w:tc>
          <w:tcPr>
            <w:tcW w:w="3438" w:type="dxa"/>
            <w:tcBorders>
              <w:top w:val="single" w:sz="6" w:space="0" w:color="808080" w:themeColor="background1" w:themeShade="80"/>
              <w:bottom w:val="single" w:sz="6" w:space="0" w:color="808080" w:themeColor="background1" w:themeShade="80"/>
            </w:tcBorders>
          </w:tcPr>
          <w:p w14:paraId="6DC70C72" w14:textId="2075416D" w:rsidR="00A97593" w:rsidRPr="0023643C" w:rsidRDefault="00A97593" w:rsidP="00FB4FDA">
            <w:pPr>
              <w:pStyle w:val="TableText"/>
            </w:pPr>
            <w:r w:rsidRPr="0023643C">
              <w:t>Additional cost per test performed in non-clinical (vs. clinical) setting</w:t>
            </w:r>
          </w:p>
        </w:tc>
        <w:tc>
          <w:tcPr>
            <w:tcW w:w="2520" w:type="dxa"/>
            <w:tcBorders>
              <w:top w:val="single" w:sz="6" w:space="0" w:color="808080" w:themeColor="background1" w:themeShade="80"/>
              <w:bottom w:val="single" w:sz="6" w:space="0" w:color="808080" w:themeColor="background1" w:themeShade="80"/>
            </w:tcBorders>
            <w:noWrap/>
          </w:tcPr>
          <w:p w14:paraId="08357032" w14:textId="7B4D77CA" w:rsidR="00A97593" w:rsidRPr="0023643C" w:rsidRDefault="00A97593" w:rsidP="00FB4FDA">
            <w:pPr>
              <w:pStyle w:val="TableText"/>
              <w:rPr>
                <w:szCs w:val="18"/>
              </w:rPr>
            </w:pPr>
            <w:r w:rsidRPr="0023643C">
              <w:rPr>
                <w:szCs w:val="18"/>
              </w:rPr>
              <w:t>$52.66 (2005$)</w:t>
            </w:r>
          </w:p>
        </w:tc>
        <w:tc>
          <w:tcPr>
            <w:tcW w:w="3402" w:type="dxa"/>
            <w:tcBorders>
              <w:top w:val="single" w:sz="6" w:space="0" w:color="808080" w:themeColor="background1" w:themeShade="80"/>
              <w:bottom w:val="single" w:sz="6" w:space="0" w:color="808080" w:themeColor="background1" w:themeShade="80"/>
            </w:tcBorders>
          </w:tcPr>
          <w:p w14:paraId="051DEE88" w14:textId="75CDDCAA" w:rsidR="00A97593" w:rsidRPr="0023643C" w:rsidRDefault="00A97593" w:rsidP="00FB4FDA">
            <w:pPr>
              <w:pStyle w:val="TableText"/>
              <w:rPr>
                <w:szCs w:val="18"/>
              </w:rPr>
            </w:pPr>
            <w:r w:rsidRPr="0023643C">
              <w:rPr>
                <w:szCs w:val="18"/>
              </w:rPr>
              <w:t>Shrestha et al. (2008)</w:t>
            </w:r>
          </w:p>
        </w:tc>
      </w:tr>
      <w:tr w:rsidR="00C0054E" w:rsidRPr="0023643C" w14:paraId="69F08214" w14:textId="77777777" w:rsidTr="00260D8A">
        <w:tc>
          <w:tcPr>
            <w:tcW w:w="3438" w:type="dxa"/>
            <w:tcBorders>
              <w:top w:val="single" w:sz="6" w:space="0" w:color="808080" w:themeColor="background1" w:themeShade="80"/>
              <w:bottom w:val="single" w:sz="6" w:space="0" w:color="808080" w:themeColor="background1" w:themeShade="80"/>
            </w:tcBorders>
          </w:tcPr>
          <w:p w14:paraId="7943E145" w14:textId="77777777" w:rsidR="00C0054E" w:rsidRPr="0023643C" w:rsidRDefault="00C0054E" w:rsidP="00FB4FDA">
            <w:pPr>
              <w:pStyle w:val="TableText"/>
            </w:pPr>
            <w:r w:rsidRPr="0023643C">
              <w:t>Notification costs</w:t>
            </w:r>
          </w:p>
        </w:tc>
        <w:tc>
          <w:tcPr>
            <w:tcW w:w="2520" w:type="dxa"/>
            <w:tcBorders>
              <w:top w:val="single" w:sz="6" w:space="0" w:color="808080" w:themeColor="background1" w:themeShade="80"/>
              <w:bottom w:val="single" w:sz="6" w:space="0" w:color="808080" w:themeColor="background1" w:themeShade="80"/>
            </w:tcBorders>
            <w:noWrap/>
          </w:tcPr>
          <w:p w14:paraId="3C261B03" w14:textId="77777777" w:rsidR="00C0054E" w:rsidRPr="0023643C" w:rsidRDefault="00C0054E" w:rsidP="00FB4FDA">
            <w:pPr>
              <w:pStyle w:val="TableText"/>
              <w:rPr>
                <w:szCs w:val="18"/>
              </w:rPr>
            </w:pPr>
          </w:p>
        </w:tc>
        <w:tc>
          <w:tcPr>
            <w:tcW w:w="3402" w:type="dxa"/>
            <w:tcBorders>
              <w:top w:val="single" w:sz="6" w:space="0" w:color="808080" w:themeColor="background1" w:themeShade="80"/>
              <w:bottom w:val="single" w:sz="6" w:space="0" w:color="808080" w:themeColor="background1" w:themeShade="80"/>
            </w:tcBorders>
          </w:tcPr>
          <w:p w14:paraId="1CE7212D" w14:textId="77777777" w:rsidR="00C0054E" w:rsidRPr="0023643C" w:rsidRDefault="00C0054E" w:rsidP="00FB4FDA">
            <w:pPr>
              <w:pStyle w:val="TableText"/>
              <w:rPr>
                <w:szCs w:val="18"/>
              </w:rPr>
            </w:pPr>
          </w:p>
        </w:tc>
      </w:tr>
      <w:tr w:rsidR="00C0054E" w:rsidRPr="0023643C" w14:paraId="0D8DE3CB" w14:textId="77777777" w:rsidTr="00260D8A">
        <w:tc>
          <w:tcPr>
            <w:tcW w:w="3438" w:type="dxa"/>
            <w:tcBorders>
              <w:top w:val="single" w:sz="6" w:space="0" w:color="808080" w:themeColor="background1" w:themeShade="80"/>
              <w:bottom w:val="single" w:sz="6" w:space="0" w:color="808080" w:themeColor="background1" w:themeShade="80"/>
            </w:tcBorders>
          </w:tcPr>
          <w:p w14:paraId="4ABB2516" w14:textId="3638CAD2" w:rsidR="00C0054E" w:rsidRPr="0023643C" w:rsidRDefault="005F5C70" w:rsidP="00FB4FDA">
            <w:pPr>
              <w:pStyle w:val="TableTextIndent1"/>
              <w:rPr>
                <w:szCs w:val="18"/>
              </w:rPr>
            </w:pPr>
            <w:r w:rsidRPr="0023643C">
              <w:rPr>
                <w:szCs w:val="18"/>
              </w:rPr>
              <w:t>HIV-uninfected</w:t>
            </w:r>
          </w:p>
        </w:tc>
        <w:tc>
          <w:tcPr>
            <w:tcW w:w="2520" w:type="dxa"/>
            <w:tcBorders>
              <w:top w:val="single" w:sz="6" w:space="0" w:color="808080" w:themeColor="background1" w:themeShade="80"/>
              <w:bottom w:val="single" w:sz="6" w:space="0" w:color="808080" w:themeColor="background1" w:themeShade="80"/>
            </w:tcBorders>
            <w:noWrap/>
          </w:tcPr>
          <w:p w14:paraId="088AA572" w14:textId="2E5F7C7B" w:rsidR="00C0054E" w:rsidRPr="0023643C" w:rsidRDefault="00C0054E" w:rsidP="007A0D82">
            <w:pPr>
              <w:pStyle w:val="TableText"/>
              <w:rPr>
                <w:szCs w:val="18"/>
              </w:rPr>
            </w:pPr>
            <w:r w:rsidRPr="0023643C">
              <w:rPr>
                <w:szCs w:val="18"/>
              </w:rPr>
              <w:t>$0.</w:t>
            </w:r>
            <w:r w:rsidR="007A0D82" w:rsidRPr="0023643C">
              <w:rPr>
                <w:szCs w:val="18"/>
              </w:rPr>
              <w:t xml:space="preserve">45 </w:t>
            </w:r>
            <w:r w:rsidRPr="0023643C">
              <w:rPr>
                <w:szCs w:val="18"/>
              </w:rPr>
              <w:t>(2009$)</w:t>
            </w:r>
          </w:p>
        </w:tc>
        <w:tc>
          <w:tcPr>
            <w:tcW w:w="3402" w:type="dxa"/>
            <w:tcBorders>
              <w:top w:val="single" w:sz="6" w:space="0" w:color="808080" w:themeColor="background1" w:themeShade="80"/>
              <w:bottom w:val="single" w:sz="6" w:space="0" w:color="808080" w:themeColor="background1" w:themeShade="80"/>
            </w:tcBorders>
          </w:tcPr>
          <w:p w14:paraId="49F9C1D5" w14:textId="77777777" w:rsidR="00C0054E" w:rsidRPr="0023643C" w:rsidRDefault="00C0054E" w:rsidP="00FB4FDA">
            <w:pPr>
              <w:pStyle w:val="TableText"/>
              <w:rPr>
                <w:szCs w:val="18"/>
              </w:rPr>
            </w:pPr>
            <w:r w:rsidRPr="0023643C">
              <w:rPr>
                <w:szCs w:val="18"/>
              </w:rPr>
              <w:t>Hutchinson et al. (2011)</w:t>
            </w:r>
          </w:p>
        </w:tc>
      </w:tr>
      <w:tr w:rsidR="00C0054E" w:rsidRPr="0023643C" w14:paraId="7560312A" w14:textId="77777777" w:rsidTr="00260D8A">
        <w:tc>
          <w:tcPr>
            <w:tcW w:w="3438" w:type="dxa"/>
            <w:tcBorders>
              <w:top w:val="single" w:sz="6" w:space="0" w:color="808080" w:themeColor="background1" w:themeShade="80"/>
              <w:bottom w:val="single" w:sz="6" w:space="0" w:color="808080" w:themeColor="background1" w:themeShade="80"/>
            </w:tcBorders>
          </w:tcPr>
          <w:p w14:paraId="1768AD4D" w14:textId="3BC9A1D9" w:rsidR="00C0054E" w:rsidRPr="0023643C" w:rsidRDefault="005F5C70" w:rsidP="00FB4FDA">
            <w:pPr>
              <w:pStyle w:val="TableTextIndent1"/>
              <w:rPr>
                <w:szCs w:val="18"/>
              </w:rPr>
            </w:pPr>
            <w:r w:rsidRPr="0023643C">
              <w:rPr>
                <w:szCs w:val="18"/>
              </w:rPr>
              <w:t>HIV-infected</w:t>
            </w:r>
            <w:r w:rsidR="00C0054E" w:rsidRPr="0023643C">
              <w:rPr>
                <w:szCs w:val="18"/>
              </w:rPr>
              <w:t>, conventional screen</w:t>
            </w:r>
          </w:p>
        </w:tc>
        <w:tc>
          <w:tcPr>
            <w:tcW w:w="2520" w:type="dxa"/>
            <w:tcBorders>
              <w:top w:val="single" w:sz="6" w:space="0" w:color="808080" w:themeColor="background1" w:themeShade="80"/>
              <w:bottom w:val="single" w:sz="6" w:space="0" w:color="808080" w:themeColor="background1" w:themeShade="80"/>
            </w:tcBorders>
            <w:noWrap/>
          </w:tcPr>
          <w:p w14:paraId="25CD328C" w14:textId="046D98F8" w:rsidR="00C0054E" w:rsidRPr="0023643C" w:rsidRDefault="00C0054E" w:rsidP="00FB4FDA">
            <w:pPr>
              <w:pStyle w:val="TableText"/>
              <w:rPr>
                <w:szCs w:val="18"/>
              </w:rPr>
            </w:pPr>
            <w:r w:rsidRPr="0023643C">
              <w:rPr>
                <w:szCs w:val="18"/>
              </w:rPr>
              <w:t>$5.88 (2009$)</w:t>
            </w:r>
          </w:p>
        </w:tc>
        <w:tc>
          <w:tcPr>
            <w:tcW w:w="3402" w:type="dxa"/>
            <w:tcBorders>
              <w:top w:val="single" w:sz="6" w:space="0" w:color="808080" w:themeColor="background1" w:themeShade="80"/>
              <w:bottom w:val="single" w:sz="6" w:space="0" w:color="808080" w:themeColor="background1" w:themeShade="80"/>
            </w:tcBorders>
          </w:tcPr>
          <w:p w14:paraId="4C18FAF4" w14:textId="77777777" w:rsidR="00C0054E" w:rsidRPr="0023643C" w:rsidRDefault="00C0054E" w:rsidP="00FB4FDA">
            <w:pPr>
              <w:pStyle w:val="TableText"/>
              <w:rPr>
                <w:szCs w:val="18"/>
              </w:rPr>
            </w:pPr>
            <w:r w:rsidRPr="0023643C">
              <w:rPr>
                <w:szCs w:val="18"/>
              </w:rPr>
              <w:t>Hutchinson et al. (2011)</w:t>
            </w:r>
          </w:p>
        </w:tc>
      </w:tr>
      <w:tr w:rsidR="00C0054E" w:rsidRPr="0023643C" w14:paraId="06828D4B" w14:textId="77777777" w:rsidTr="00260D8A">
        <w:tc>
          <w:tcPr>
            <w:tcW w:w="3438" w:type="dxa"/>
            <w:tcBorders>
              <w:top w:val="single" w:sz="6" w:space="0" w:color="808080" w:themeColor="background1" w:themeShade="80"/>
              <w:bottom w:val="single" w:sz="6" w:space="0" w:color="808080" w:themeColor="background1" w:themeShade="80"/>
            </w:tcBorders>
          </w:tcPr>
          <w:p w14:paraId="064AFFE3" w14:textId="4152C737" w:rsidR="00C0054E" w:rsidRPr="0023643C" w:rsidRDefault="005F5C70" w:rsidP="00FB4FDA">
            <w:pPr>
              <w:pStyle w:val="TableTextIndent1"/>
              <w:rPr>
                <w:szCs w:val="18"/>
              </w:rPr>
            </w:pPr>
            <w:r w:rsidRPr="0023643C">
              <w:rPr>
                <w:szCs w:val="18"/>
              </w:rPr>
              <w:t>HIV-infected</w:t>
            </w:r>
            <w:r w:rsidR="00C0054E" w:rsidRPr="0023643C">
              <w:rPr>
                <w:szCs w:val="18"/>
              </w:rPr>
              <w:t>, rapid screen</w:t>
            </w:r>
          </w:p>
        </w:tc>
        <w:tc>
          <w:tcPr>
            <w:tcW w:w="2520" w:type="dxa"/>
            <w:tcBorders>
              <w:top w:val="single" w:sz="6" w:space="0" w:color="808080" w:themeColor="background1" w:themeShade="80"/>
              <w:bottom w:val="single" w:sz="6" w:space="0" w:color="808080" w:themeColor="background1" w:themeShade="80"/>
            </w:tcBorders>
            <w:noWrap/>
          </w:tcPr>
          <w:p w14:paraId="06476309" w14:textId="2F0D2B4E" w:rsidR="00C0054E" w:rsidRPr="0023643C" w:rsidRDefault="00C0054E" w:rsidP="00FB4FDA">
            <w:pPr>
              <w:pStyle w:val="TableText"/>
              <w:rPr>
                <w:szCs w:val="18"/>
              </w:rPr>
            </w:pPr>
            <w:r w:rsidRPr="0023643C">
              <w:rPr>
                <w:szCs w:val="18"/>
              </w:rPr>
              <w:t>$10.86 (2009$)</w:t>
            </w:r>
          </w:p>
        </w:tc>
        <w:tc>
          <w:tcPr>
            <w:tcW w:w="3402" w:type="dxa"/>
            <w:tcBorders>
              <w:top w:val="single" w:sz="6" w:space="0" w:color="808080" w:themeColor="background1" w:themeShade="80"/>
              <w:bottom w:val="single" w:sz="6" w:space="0" w:color="808080" w:themeColor="background1" w:themeShade="80"/>
            </w:tcBorders>
          </w:tcPr>
          <w:p w14:paraId="7BAF1341" w14:textId="77777777" w:rsidR="00C0054E" w:rsidRPr="0023643C" w:rsidRDefault="00C0054E" w:rsidP="00FB4FDA">
            <w:pPr>
              <w:pStyle w:val="TableText"/>
              <w:rPr>
                <w:szCs w:val="18"/>
              </w:rPr>
            </w:pPr>
            <w:r w:rsidRPr="0023643C">
              <w:rPr>
                <w:szCs w:val="18"/>
              </w:rPr>
              <w:t>Hutchinson et al. (2011)</w:t>
            </w:r>
          </w:p>
        </w:tc>
      </w:tr>
      <w:tr w:rsidR="00C0054E" w:rsidRPr="00C00335" w14:paraId="7DF11AA9" w14:textId="77777777" w:rsidTr="00260D8A">
        <w:tc>
          <w:tcPr>
            <w:tcW w:w="3438" w:type="dxa"/>
            <w:tcBorders>
              <w:top w:val="single" w:sz="6" w:space="0" w:color="808080" w:themeColor="background1" w:themeShade="80"/>
              <w:bottom w:val="single" w:sz="12" w:space="0" w:color="auto"/>
            </w:tcBorders>
          </w:tcPr>
          <w:p w14:paraId="59732048" w14:textId="77777777" w:rsidR="00C0054E" w:rsidRPr="0023643C" w:rsidRDefault="00C0054E" w:rsidP="00FB4FDA">
            <w:pPr>
              <w:pStyle w:val="TableText"/>
            </w:pPr>
            <w:r w:rsidRPr="0023643C">
              <w:t>Outreach cost per test (when applied)</w:t>
            </w:r>
          </w:p>
        </w:tc>
        <w:tc>
          <w:tcPr>
            <w:tcW w:w="2520" w:type="dxa"/>
            <w:tcBorders>
              <w:top w:val="single" w:sz="6" w:space="0" w:color="808080" w:themeColor="background1" w:themeShade="80"/>
              <w:bottom w:val="single" w:sz="12" w:space="0" w:color="auto"/>
            </w:tcBorders>
            <w:noWrap/>
          </w:tcPr>
          <w:p w14:paraId="30AA402D" w14:textId="569AF480" w:rsidR="00C0054E" w:rsidRPr="0023643C" w:rsidRDefault="00C0054E" w:rsidP="00FB4FDA">
            <w:pPr>
              <w:pStyle w:val="TableText"/>
              <w:rPr>
                <w:szCs w:val="18"/>
              </w:rPr>
            </w:pPr>
            <w:r w:rsidRPr="0023643C">
              <w:rPr>
                <w:szCs w:val="18"/>
              </w:rPr>
              <w:t>$13.67 (2005$)</w:t>
            </w:r>
          </w:p>
        </w:tc>
        <w:tc>
          <w:tcPr>
            <w:tcW w:w="3402" w:type="dxa"/>
            <w:tcBorders>
              <w:top w:val="single" w:sz="6" w:space="0" w:color="808080" w:themeColor="background1" w:themeShade="80"/>
              <w:bottom w:val="single" w:sz="12" w:space="0" w:color="auto"/>
            </w:tcBorders>
          </w:tcPr>
          <w:p w14:paraId="0E6CC5E8" w14:textId="77777777" w:rsidR="00C0054E" w:rsidRPr="00C00335" w:rsidRDefault="00C0054E" w:rsidP="00FB4FDA">
            <w:pPr>
              <w:pStyle w:val="TableText"/>
              <w:rPr>
                <w:szCs w:val="18"/>
              </w:rPr>
            </w:pPr>
            <w:r w:rsidRPr="0023643C">
              <w:rPr>
                <w:szCs w:val="18"/>
              </w:rPr>
              <w:t>Shrestha et al. (2008)</w:t>
            </w:r>
          </w:p>
        </w:tc>
      </w:tr>
    </w:tbl>
    <w:p w14:paraId="2598CD3E" w14:textId="77777777" w:rsidR="00C0054E" w:rsidRPr="00E832D1" w:rsidRDefault="00C0054E" w:rsidP="009C30F0">
      <w:pPr>
        <w:pStyle w:val="Source2"/>
      </w:pPr>
      <w:r w:rsidRPr="00C00335">
        <w:lastRenderedPageBreak/>
        <w:t xml:space="preserve">Note: NAT = HIV nucleic acid </w:t>
      </w:r>
      <w:r w:rsidRPr="00E832D1">
        <w:t>amplification test</w:t>
      </w:r>
    </w:p>
    <w:p w14:paraId="0D1511A6" w14:textId="63CC2329" w:rsidR="00A97593" w:rsidRPr="00E832D1" w:rsidRDefault="00BE20CA" w:rsidP="00A97593">
      <w:pPr>
        <w:pStyle w:val="Source1"/>
      </w:pPr>
      <w:proofErr w:type="spellStart"/>
      <w:r w:rsidRPr="00E832D1">
        <w:rPr>
          <w:vertAlign w:val="superscript"/>
        </w:rPr>
        <w:t>a</w:t>
      </w:r>
      <w:proofErr w:type="spellEnd"/>
      <w:r w:rsidR="00626270" w:rsidRPr="00E832D1">
        <w:rPr>
          <w:vertAlign w:val="superscript"/>
        </w:rPr>
        <w:t xml:space="preserve"> </w:t>
      </w:r>
      <w:r w:rsidRPr="00E832D1">
        <w:t xml:space="preserve">All cost inputs were converted to </w:t>
      </w:r>
      <w:r w:rsidR="009D2976" w:rsidRPr="00E832D1">
        <w:t>2019</w:t>
      </w:r>
      <w:r w:rsidRPr="00E832D1">
        <w:t>$ in the calculation of economic outcomes.</w:t>
      </w:r>
    </w:p>
    <w:p w14:paraId="3E9902E7" w14:textId="77777777" w:rsidR="00807C26" w:rsidRPr="00E832D1" w:rsidRDefault="00807C26" w:rsidP="00807C26">
      <w:pPr>
        <w:pStyle w:val="Heading3"/>
      </w:pPr>
      <w:bookmarkStart w:id="145" w:name="_Toc89257566"/>
      <w:r w:rsidRPr="00E832D1">
        <w:t>Calculation of Testing and Notification Costs</w:t>
      </w:r>
      <w:bookmarkEnd w:id="145"/>
    </w:p>
    <w:p w14:paraId="0F112A58" w14:textId="549BBF97" w:rsidR="00807C26" w:rsidRPr="00C00335" w:rsidRDefault="00807C26" w:rsidP="00807C26">
      <w:pPr>
        <w:pStyle w:val="BodyText"/>
      </w:pPr>
      <w:r w:rsidRPr="00E832D1">
        <w:t xml:space="preserve">We calculated the cost of testing and notification by using Equations </w:t>
      </w:r>
      <w:r w:rsidR="00903B31" w:rsidRPr="00E832D1">
        <w:t>(</w:t>
      </w:r>
      <w:r w:rsidR="008867F1">
        <w:t>9</w:t>
      </w:r>
      <w:r w:rsidR="00903B31" w:rsidRPr="00E832D1">
        <w:t>.</w:t>
      </w:r>
      <w:r w:rsidR="008261F3">
        <w:t>3</w:t>
      </w:r>
      <w:r w:rsidRPr="00E832D1">
        <w:t xml:space="preserve">) to </w:t>
      </w:r>
      <w:r w:rsidR="00903B31" w:rsidRPr="00E832D1">
        <w:t>(</w:t>
      </w:r>
      <w:r w:rsidR="008867F1">
        <w:t>9</w:t>
      </w:r>
      <w:r w:rsidR="00903B31" w:rsidRPr="00E832D1">
        <w:t>.</w:t>
      </w:r>
      <w:r w:rsidR="008261F3">
        <w:t>7</w:t>
      </w:r>
      <w:r w:rsidRPr="00E832D1">
        <w:t xml:space="preserve">). The cost of testing varies by the type of test (rapid or conventional), the test result (positive or negative), </w:t>
      </w:r>
      <w:r w:rsidR="00887D05" w:rsidRPr="00E832D1">
        <w:t xml:space="preserve">the test setting (clinical versus non-clinical), </w:t>
      </w:r>
      <w:r w:rsidRPr="00E832D1">
        <w:t>and</w:t>
      </w:r>
      <w:r w:rsidRPr="00C00335">
        <w:t xml:space="preserve"> the test sensitivity, which varies by type of test. The cost for a NAT (HIV nucleic acid amplification test) is applied when the confirmatory test after a positive result is negative. Notification costs also vary by the type of test and test result. We assume the probability of notification does not change if a NAT is conducted. For ease of understanding, the calculations have been provided in words rather than symbols.</w:t>
      </w:r>
    </w:p>
    <w:p w14:paraId="72068323" w14:textId="77777777" w:rsidR="000D21B1" w:rsidRPr="00C00335" w:rsidRDefault="00450AC8" w:rsidP="00056A62">
      <w:pPr>
        <w:pStyle w:val="Heading4"/>
      </w:pPr>
      <w:r w:rsidRPr="00C00335">
        <w:t>Number of Tests</w:t>
      </w:r>
    </w:p>
    <w:p w14:paraId="7EE1B7B8" w14:textId="4B41A99B" w:rsidR="009D2964" w:rsidRPr="00C00335" w:rsidRDefault="000D21B1" w:rsidP="008B30F8">
      <w:pPr>
        <w:pStyle w:val="equation"/>
        <w:keepLines/>
        <w:spacing w:line="360" w:lineRule="atLeast"/>
        <w:ind w:left="720"/>
      </w:pPr>
      <w:r w:rsidRPr="00C00335">
        <w:t xml:space="preserve">Number of </w:t>
      </w:r>
      <w:r w:rsidR="00725382" w:rsidRPr="00C00335">
        <w:t xml:space="preserve">positive </w:t>
      </w:r>
      <w:r w:rsidRPr="00C00335">
        <w:t xml:space="preserve">tests </w:t>
      </w:r>
      <w:r w:rsidR="00FB6E34" w:rsidRPr="00C00335">
        <w:t xml:space="preserve">of </w:t>
      </w:r>
      <w:r w:rsidRPr="00C00335">
        <w:t xml:space="preserve">individuals in </w:t>
      </w:r>
      <w:r w:rsidRPr="00C00335">
        <w:rPr>
          <w:i/>
          <w:iCs/>
        </w:rPr>
        <w:t>p</w:t>
      </w:r>
      <w:r w:rsidRPr="00C00335">
        <w:t xml:space="preserve"> with HIV status </w:t>
      </w:r>
      <w:r w:rsidRPr="00C00335">
        <w:rPr>
          <w:i/>
        </w:rPr>
        <w:t>h</w:t>
      </w:r>
      <w:r w:rsidRPr="00C00335">
        <w:t xml:space="preserve">, </w:t>
      </w:r>
      <w:r w:rsidR="009D2964" w:rsidRPr="00C00335">
        <w:t xml:space="preserve">taking test type </w:t>
      </w:r>
      <w:r w:rsidR="009D2964" w:rsidRPr="00C00335">
        <w:rPr>
          <w:i/>
          <w:iCs/>
        </w:rPr>
        <w:t>g</w:t>
      </w:r>
      <w:r w:rsidR="009D2964" w:rsidRPr="00C00335">
        <w:t xml:space="preserve">, </w:t>
      </w:r>
      <w:r w:rsidRPr="00C00335">
        <w:t>at</w:t>
      </w:r>
      <w:r w:rsidR="009D2964" w:rsidRPr="00C00335">
        <w:t xml:space="preserve"> time</w:t>
      </w:r>
      <w:r w:rsidRPr="00C00335">
        <w:t xml:space="preserve"> </w:t>
      </w:r>
      <w:r w:rsidRPr="00C00335">
        <w:rPr>
          <w:i/>
        </w:rPr>
        <w:t>t</w:t>
      </w:r>
      <w:r w:rsidR="00450AC8" w:rsidRPr="00C00335">
        <w:t xml:space="preserve"> </w:t>
      </w:r>
      <w:r w:rsidRPr="00C00335">
        <w:t xml:space="preserve">= </w:t>
      </w:r>
      <w:r w:rsidR="007A404A" w:rsidRPr="00C00335">
        <w:br/>
      </w:r>
      <w:r w:rsidRPr="00C00335">
        <w:t>[Number of undiagnosed</w:t>
      </w:r>
      <w:r w:rsidR="009D2964" w:rsidRPr="00C00335">
        <w:t xml:space="preserve"> </w:t>
      </w:r>
      <w:r w:rsidR="005F5C70" w:rsidRPr="00C00335">
        <w:t>HIV-infected</w:t>
      </w:r>
      <w:r w:rsidRPr="00C00335">
        <w:t xml:space="preserve"> individuals in </w:t>
      </w:r>
      <w:r w:rsidRPr="00C00335">
        <w:rPr>
          <w:i/>
          <w:iCs/>
        </w:rPr>
        <w:t>p</w:t>
      </w:r>
      <w:r w:rsidRPr="00C00335">
        <w:t xml:space="preserve"> with HIV status </w:t>
      </w:r>
      <w:r w:rsidRPr="00C00335">
        <w:rPr>
          <w:i/>
          <w:iCs/>
        </w:rPr>
        <w:t>h</w:t>
      </w:r>
      <w:r w:rsidRPr="00C00335">
        <w:t>]</w:t>
      </w:r>
      <w:r w:rsidR="00450AC8" w:rsidRPr="00C00335">
        <w:t xml:space="preserve"> </w:t>
      </w:r>
      <w:r w:rsidR="007A404A" w:rsidRPr="00C00335">
        <w:br/>
      </w:r>
      <w:r w:rsidRPr="00C00335">
        <w:t>x [Testing rate</w:t>
      </w:r>
      <w:r w:rsidR="00393D59" w:rsidRPr="00C00335">
        <w:t xml:space="preserve"> over time </w:t>
      </w:r>
      <w:r w:rsidR="00393D59" w:rsidRPr="00C00335">
        <w:rPr>
          <w:i/>
          <w:iCs/>
        </w:rPr>
        <w:t>t</w:t>
      </w:r>
      <w:r w:rsidRPr="00C00335">
        <w:t>,</w:t>
      </w:r>
      <w:r w:rsidR="00725382" w:rsidRPr="00C00335">
        <w:t xml:space="preserve"> by</w:t>
      </w:r>
      <w:r w:rsidRPr="00C00335">
        <w:t xml:space="preserve"> </w:t>
      </w:r>
      <w:r w:rsidRPr="00C00335">
        <w:rPr>
          <w:i/>
          <w:iCs/>
        </w:rPr>
        <w:t>h</w:t>
      </w:r>
      <w:r w:rsidRPr="00C00335">
        <w:t xml:space="preserve"> and </w:t>
      </w:r>
      <w:r w:rsidRPr="00C00335">
        <w:rPr>
          <w:i/>
        </w:rPr>
        <w:t>p</w:t>
      </w:r>
      <w:r w:rsidRPr="00C00335">
        <w:t xml:space="preserve">] </w:t>
      </w:r>
      <w:r w:rsidR="007A404A" w:rsidRPr="00C00335">
        <w:br/>
      </w:r>
      <w:r w:rsidRPr="00C00335">
        <w:t xml:space="preserve">x [Percentage of tests that are </w:t>
      </w:r>
      <w:r w:rsidR="009D2964" w:rsidRPr="00C00335">
        <w:t xml:space="preserve">type </w:t>
      </w:r>
      <w:r w:rsidR="009D2964" w:rsidRPr="00C00335">
        <w:rPr>
          <w:i/>
          <w:iCs/>
        </w:rPr>
        <w:t>g</w:t>
      </w:r>
      <w:r w:rsidRPr="00C00335">
        <w:t xml:space="preserve">, by </w:t>
      </w:r>
      <w:r w:rsidRPr="00C00335">
        <w:rPr>
          <w:i/>
        </w:rPr>
        <w:t>p</w:t>
      </w:r>
      <w:r w:rsidRPr="00C00335">
        <w:t xml:space="preserve">] </w:t>
      </w:r>
      <w:r w:rsidR="007A404A" w:rsidRPr="00C00335">
        <w:br/>
      </w:r>
      <w:r w:rsidRPr="00C00335">
        <w:t>x [</w:t>
      </w:r>
      <w:r w:rsidR="009D2964" w:rsidRPr="00C00335">
        <w:t>S</w:t>
      </w:r>
      <w:r w:rsidRPr="00C00335">
        <w:t xml:space="preserve">ensitivity of </w:t>
      </w:r>
      <w:r w:rsidR="009D2964" w:rsidRPr="00C00335">
        <w:t xml:space="preserve">test type </w:t>
      </w:r>
      <w:r w:rsidR="009D2964" w:rsidRPr="00C00335">
        <w:rPr>
          <w:i/>
          <w:iCs/>
        </w:rPr>
        <w:t>g</w:t>
      </w:r>
      <w:r w:rsidRPr="00C00335">
        <w:t xml:space="preserve">, by </w:t>
      </w:r>
      <w:r w:rsidRPr="00C00335">
        <w:rPr>
          <w:i/>
        </w:rPr>
        <w:t>h</w:t>
      </w:r>
      <w:r w:rsidRPr="00C00335">
        <w:t>]</w:t>
      </w:r>
      <w:r w:rsidR="00535BFD" w:rsidRPr="00C00335">
        <w:br/>
      </w:r>
      <w:r w:rsidR="009D2964" w:rsidRPr="00C00335">
        <w:t xml:space="preserve">for </w:t>
      </w:r>
      <w:r w:rsidR="00725382" w:rsidRPr="00C00335">
        <w:rPr>
          <w:i/>
          <w:iCs/>
        </w:rPr>
        <w:t>h</w:t>
      </w:r>
      <w:r w:rsidR="00725382" w:rsidRPr="00C00335">
        <w:t xml:space="preserve"> = {1 to 5} and </w:t>
      </w:r>
      <w:r w:rsidR="009D2964" w:rsidRPr="00C00335">
        <w:t xml:space="preserve">all </w:t>
      </w:r>
      <w:r w:rsidR="009D2964" w:rsidRPr="00C00335">
        <w:rPr>
          <w:i/>
          <w:iCs/>
        </w:rPr>
        <w:t>p</w:t>
      </w:r>
      <w:r w:rsidR="009D2964" w:rsidRPr="00C00335">
        <w:t xml:space="preserve">, </w:t>
      </w:r>
      <w:r w:rsidR="009D2964" w:rsidRPr="00C00335">
        <w:rPr>
          <w:i/>
          <w:iCs/>
        </w:rPr>
        <w:t>g</w:t>
      </w:r>
      <w:r w:rsidR="009D2964" w:rsidRPr="00C00335">
        <w:t xml:space="preserve">, and </w:t>
      </w:r>
      <w:r w:rsidR="009D2964" w:rsidRPr="00C00335">
        <w:rPr>
          <w:i/>
          <w:iCs/>
        </w:rPr>
        <w:t>t</w:t>
      </w:r>
      <w:r w:rsidR="009D2964" w:rsidRPr="00C00335">
        <w:t>.</w:t>
      </w:r>
      <w:r w:rsidR="00725382" w:rsidRPr="00C00335">
        <w:tab/>
      </w:r>
      <w:r w:rsidR="00450AC8" w:rsidRPr="00C00335">
        <w:tab/>
      </w:r>
      <w:r w:rsidR="00903B31" w:rsidRPr="00C00335">
        <w:t>(</w:t>
      </w:r>
      <w:r w:rsidR="008867F1">
        <w:t>9</w:t>
      </w:r>
      <w:r w:rsidR="00903B31" w:rsidRPr="00C00335">
        <w:t>.</w:t>
      </w:r>
      <w:r w:rsidR="008261F3">
        <w:t>3</w:t>
      </w:r>
      <w:r w:rsidR="00725382" w:rsidRPr="00C00335">
        <w:t>)</w:t>
      </w:r>
    </w:p>
    <w:p w14:paraId="3451FE2A" w14:textId="68C48074" w:rsidR="00725382" w:rsidRPr="00C00335" w:rsidRDefault="000D21B1" w:rsidP="008B30F8">
      <w:pPr>
        <w:pStyle w:val="equation"/>
        <w:spacing w:line="360" w:lineRule="atLeast"/>
        <w:ind w:left="720"/>
      </w:pPr>
      <w:r w:rsidRPr="00C00335">
        <w:t>Number of negative tests</w:t>
      </w:r>
      <w:r w:rsidR="009D2964" w:rsidRPr="00C00335">
        <w:t xml:space="preserve"> of</w:t>
      </w:r>
      <w:r w:rsidR="00725382" w:rsidRPr="00C00335">
        <w:t xml:space="preserve"> </w:t>
      </w:r>
      <w:r w:rsidR="005F5C70" w:rsidRPr="00C00335">
        <w:t>HIV-infected</w:t>
      </w:r>
      <w:r w:rsidR="009D2964" w:rsidRPr="00C00335">
        <w:t xml:space="preserve"> individuals</w:t>
      </w:r>
      <w:r w:rsidR="00BD44D3" w:rsidRPr="00C00335">
        <w:t xml:space="preserve"> (missed diagnoses)</w:t>
      </w:r>
      <w:r w:rsidR="009D2964" w:rsidRPr="00C00335">
        <w:t xml:space="preserve"> in </w:t>
      </w:r>
      <w:r w:rsidR="009D2964" w:rsidRPr="00C00335">
        <w:rPr>
          <w:i/>
          <w:iCs/>
        </w:rPr>
        <w:t>p</w:t>
      </w:r>
      <w:r w:rsidR="00725382" w:rsidRPr="00C00335">
        <w:t xml:space="preserve"> with HIV status </w:t>
      </w:r>
      <w:r w:rsidR="00725382" w:rsidRPr="00C00335">
        <w:rPr>
          <w:i/>
          <w:iCs/>
        </w:rPr>
        <w:t>h</w:t>
      </w:r>
      <w:r w:rsidR="00725382" w:rsidRPr="00C00335">
        <w:t>,</w:t>
      </w:r>
      <w:r w:rsidR="009D2964" w:rsidRPr="00C00335">
        <w:t xml:space="preserve"> taking test type </w:t>
      </w:r>
      <w:r w:rsidR="009D2964" w:rsidRPr="00C00335">
        <w:rPr>
          <w:i/>
          <w:iCs/>
        </w:rPr>
        <w:t>g</w:t>
      </w:r>
      <w:r w:rsidR="009D2964" w:rsidRPr="00C00335">
        <w:t>,</w:t>
      </w:r>
      <w:r w:rsidRPr="00C00335">
        <w:t xml:space="preserve"> at</w:t>
      </w:r>
      <w:r w:rsidR="009D2964" w:rsidRPr="00C00335">
        <w:t xml:space="preserve"> time</w:t>
      </w:r>
      <w:r w:rsidRPr="00C00335">
        <w:t xml:space="preserve"> </w:t>
      </w:r>
      <w:r w:rsidRPr="00C00335">
        <w:rPr>
          <w:i/>
        </w:rPr>
        <w:t>t</w:t>
      </w:r>
      <w:r w:rsidRPr="00C00335">
        <w:t xml:space="preserve"> = </w:t>
      </w:r>
      <w:r w:rsidR="007A404A" w:rsidRPr="00C00335">
        <w:br/>
      </w:r>
      <w:r w:rsidR="00393D59" w:rsidRPr="00C00335">
        <w:t xml:space="preserve">[Number of undiagnosed </w:t>
      </w:r>
      <w:r w:rsidR="005F5C70" w:rsidRPr="00C00335">
        <w:t>HIV-infected</w:t>
      </w:r>
      <w:r w:rsidR="00393D59" w:rsidRPr="00C00335">
        <w:t xml:space="preserve"> individuals in </w:t>
      </w:r>
      <w:r w:rsidR="00393D59" w:rsidRPr="00C00335">
        <w:rPr>
          <w:i/>
          <w:iCs/>
        </w:rPr>
        <w:t>p</w:t>
      </w:r>
      <w:r w:rsidR="00393D59" w:rsidRPr="00C00335">
        <w:t xml:space="preserve"> with HIV status </w:t>
      </w:r>
      <w:r w:rsidR="00393D59" w:rsidRPr="00C00335">
        <w:rPr>
          <w:i/>
          <w:iCs/>
        </w:rPr>
        <w:t>h</w:t>
      </w:r>
      <w:r w:rsidR="00393D59" w:rsidRPr="00C00335">
        <w:t>]</w:t>
      </w:r>
      <w:r w:rsidR="00450AC8" w:rsidRPr="00C00335">
        <w:t xml:space="preserve"> </w:t>
      </w:r>
      <w:r w:rsidR="007A404A" w:rsidRPr="00C00335">
        <w:br/>
      </w:r>
      <w:r w:rsidR="00393D59" w:rsidRPr="00C00335">
        <w:t xml:space="preserve">x [Testing rate over time </w:t>
      </w:r>
      <w:r w:rsidR="00393D59" w:rsidRPr="00C00335">
        <w:rPr>
          <w:i/>
          <w:iCs/>
        </w:rPr>
        <w:t>t</w:t>
      </w:r>
      <w:r w:rsidR="00393D59" w:rsidRPr="00C00335">
        <w:t>,</w:t>
      </w:r>
      <w:r w:rsidR="00725382" w:rsidRPr="00C00335">
        <w:t xml:space="preserve"> by</w:t>
      </w:r>
      <w:r w:rsidR="00393D59" w:rsidRPr="00C00335">
        <w:t xml:space="preserve"> </w:t>
      </w:r>
      <w:r w:rsidR="00393D59" w:rsidRPr="00C00335">
        <w:rPr>
          <w:i/>
          <w:iCs/>
        </w:rPr>
        <w:t>h</w:t>
      </w:r>
      <w:r w:rsidR="00393D59" w:rsidRPr="00C00335">
        <w:t xml:space="preserve"> and </w:t>
      </w:r>
      <w:r w:rsidR="00393D59" w:rsidRPr="00C00335">
        <w:rPr>
          <w:i/>
        </w:rPr>
        <w:t>p</w:t>
      </w:r>
      <w:r w:rsidR="00393D59" w:rsidRPr="00C00335">
        <w:t xml:space="preserve">] </w:t>
      </w:r>
      <w:r w:rsidR="007A404A" w:rsidRPr="00C00335">
        <w:br/>
      </w:r>
      <w:r w:rsidR="00393D59" w:rsidRPr="00C00335">
        <w:t xml:space="preserve">x [Percentage of tests that are type </w:t>
      </w:r>
      <w:r w:rsidR="00393D59" w:rsidRPr="00C00335">
        <w:rPr>
          <w:i/>
          <w:iCs/>
        </w:rPr>
        <w:t>g</w:t>
      </w:r>
      <w:r w:rsidR="00393D59" w:rsidRPr="00C00335">
        <w:t xml:space="preserve">, by </w:t>
      </w:r>
      <w:r w:rsidR="00393D59" w:rsidRPr="00C00335">
        <w:rPr>
          <w:i/>
        </w:rPr>
        <w:t>p</w:t>
      </w:r>
      <w:r w:rsidR="00393D59" w:rsidRPr="00C00335">
        <w:t xml:space="preserve">] </w:t>
      </w:r>
      <w:r w:rsidR="007A404A" w:rsidRPr="00C00335">
        <w:br/>
      </w:r>
      <w:r w:rsidR="00393D59" w:rsidRPr="00C00335">
        <w:t xml:space="preserve">x [1 </w:t>
      </w:r>
      <w:r w:rsidR="001F5372" w:rsidRPr="00C00335">
        <w:t>−</w:t>
      </w:r>
      <w:r w:rsidR="00393D59" w:rsidRPr="00C00335">
        <w:t xml:space="preserve"> (Sensitivity of test type </w:t>
      </w:r>
      <w:r w:rsidR="00393D59" w:rsidRPr="00C00335">
        <w:rPr>
          <w:i/>
          <w:iCs/>
        </w:rPr>
        <w:t>g</w:t>
      </w:r>
      <w:r w:rsidR="00393D59" w:rsidRPr="00C00335">
        <w:t xml:space="preserve">, by </w:t>
      </w:r>
      <w:r w:rsidR="00393D59" w:rsidRPr="00C00335">
        <w:rPr>
          <w:i/>
        </w:rPr>
        <w:t>h</w:t>
      </w:r>
      <w:r w:rsidR="00393D59" w:rsidRPr="00C00335">
        <w:rPr>
          <w:iCs/>
        </w:rPr>
        <w:t>)</w:t>
      </w:r>
      <w:r w:rsidR="00393D59" w:rsidRPr="00C00335">
        <w:t>]</w:t>
      </w:r>
      <w:r w:rsidR="00535BFD" w:rsidRPr="00C00335">
        <w:br/>
      </w:r>
      <w:r w:rsidR="00725382" w:rsidRPr="00C00335">
        <w:t xml:space="preserve">for </w:t>
      </w:r>
      <w:r w:rsidR="00725382" w:rsidRPr="00C00335">
        <w:rPr>
          <w:i/>
          <w:iCs/>
        </w:rPr>
        <w:t>h</w:t>
      </w:r>
      <w:r w:rsidR="00725382" w:rsidRPr="00C00335">
        <w:t xml:space="preserve"> = {1 to 5} and all </w:t>
      </w:r>
      <w:r w:rsidR="00725382" w:rsidRPr="00C00335">
        <w:rPr>
          <w:i/>
          <w:iCs/>
        </w:rPr>
        <w:t>p</w:t>
      </w:r>
      <w:r w:rsidR="00725382" w:rsidRPr="00C00335">
        <w:t xml:space="preserve">, </w:t>
      </w:r>
      <w:r w:rsidR="00725382" w:rsidRPr="00C00335">
        <w:rPr>
          <w:i/>
          <w:iCs/>
        </w:rPr>
        <w:t>g</w:t>
      </w:r>
      <w:r w:rsidR="00725382" w:rsidRPr="00C00335">
        <w:t xml:space="preserve">, and </w:t>
      </w:r>
      <w:r w:rsidR="00725382" w:rsidRPr="00C00335">
        <w:rPr>
          <w:i/>
          <w:iCs/>
        </w:rPr>
        <w:t>t</w:t>
      </w:r>
      <w:r w:rsidR="00393D59" w:rsidRPr="00C00335">
        <w:t>.</w:t>
      </w:r>
      <w:r w:rsidR="004F4E6D" w:rsidRPr="00C00335">
        <w:tab/>
      </w:r>
      <w:r w:rsidR="00450AC8" w:rsidRPr="00C00335">
        <w:tab/>
      </w:r>
      <w:r w:rsidR="00903B31" w:rsidRPr="00C00335">
        <w:t>(</w:t>
      </w:r>
      <w:r w:rsidR="008867F1">
        <w:t>9</w:t>
      </w:r>
      <w:r w:rsidR="00903B31" w:rsidRPr="00C00335">
        <w:t>.</w:t>
      </w:r>
      <w:r w:rsidR="008261F3">
        <w:t>4</w:t>
      </w:r>
      <w:r w:rsidR="00725382" w:rsidRPr="00C00335">
        <w:t>)</w:t>
      </w:r>
    </w:p>
    <w:p w14:paraId="48904F86" w14:textId="32607622" w:rsidR="00725382" w:rsidRPr="00C00335" w:rsidRDefault="00725382" w:rsidP="008B30F8">
      <w:pPr>
        <w:pStyle w:val="equation"/>
        <w:spacing w:line="360" w:lineRule="atLeast"/>
        <w:ind w:left="720"/>
      </w:pPr>
      <w:r w:rsidRPr="00C00335">
        <w:t>Number of negative tests</w:t>
      </w:r>
      <w:r w:rsidR="00535BFD" w:rsidRPr="00C00335">
        <w:t xml:space="preserve"> of </w:t>
      </w:r>
      <w:r w:rsidR="005F5C70" w:rsidRPr="00C00335">
        <w:t>HIV-uninfected</w:t>
      </w:r>
      <w:r w:rsidR="00535BFD" w:rsidRPr="00C00335">
        <w:t xml:space="preserve"> (HIV status </w:t>
      </w:r>
      <w:r w:rsidR="00535BFD" w:rsidRPr="00C00335">
        <w:rPr>
          <w:i/>
          <w:iCs/>
        </w:rPr>
        <w:t>h=0</w:t>
      </w:r>
      <w:r w:rsidR="00535BFD" w:rsidRPr="00C00335">
        <w:t xml:space="preserve">) </w:t>
      </w:r>
      <w:r w:rsidRPr="00C00335">
        <w:t xml:space="preserve">individuals in </w:t>
      </w:r>
      <w:r w:rsidRPr="00C00335">
        <w:rPr>
          <w:i/>
          <w:iCs/>
        </w:rPr>
        <w:t>p</w:t>
      </w:r>
      <w:r w:rsidRPr="00C00335">
        <w:t xml:space="preserve">, taking test type </w:t>
      </w:r>
      <w:r w:rsidRPr="00C00335">
        <w:rPr>
          <w:i/>
          <w:iCs/>
        </w:rPr>
        <w:t>g</w:t>
      </w:r>
      <w:r w:rsidRPr="00C00335">
        <w:t xml:space="preserve">, at time </w:t>
      </w:r>
      <w:r w:rsidRPr="00C00335">
        <w:rPr>
          <w:i/>
        </w:rPr>
        <w:t>t</w:t>
      </w:r>
      <w:r w:rsidRPr="00C00335">
        <w:t xml:space="preserve"> = </w:t>
      </w:r>
      <w:r w:rsidR="007A404A" w:rsidRPr="00C00335">
        <w:br/>
      </w:r>
      <w:r w:rsidRPr="00C00335">
        <w:t xml:space="preserve">[Number of </w:t>
      </w:r>
      <w:r w:rsidR="005F5C70" w:rsidRPr="00C00335">
        <w:t>HIV-uninfected</w:t>
      </w:r>
      <w:r w:rsidRPr="00C00335">
        <w:t xml:space="preserve"> individuals in </w:t>
      </w:r>
      <w:r w:rsidRPr="00C00335">
        <w:rPr>
          <w:i/>
          <w:iCs/>
        </w:rPr>
        <w:t>p</w:t>
      </w:r>
      <w:r w:rsidRPr="00C00335">
        <w:t>]</w:t>
      </w:r>
      <w:r w:rsidR="00450AC8" w:rsidRPr="00C00335">
        <w:t xml:space="preserve"> </w:t>
      </w:r>
      <w:r w:rsidR="007A404A" w:rsidRPr="00C00335">
        <w:br/>
      </w:r>
      <w:r w:rsidRPr="00C00335">
        <w:t xml:space="preserve">x [Testing rate over time </w:t>
      </w:r>
      <w:r w:rsidRPr="00C00335">
        <w:rPr>
          <w:i/>
          <w:iCs/>
        </w:rPr>
        <w:t>t</w:t>
      </w:r>
      <w:r w:rsidRPr="00C00335">
        <w:t xml:space="preserve">, </w:t>
      </w:r>
      <w:r w:rsidR="00535BFD" w:rsidRPr="00C00335">
        <w:t xml:space="preserve">by </w:t>
      </w:r>
      <w:r w:rsidR="00535BFD" w:rsidRPr="00C00335">
        <w:rPr>
          <w:i/>
          <w:iCs/>
        </w:rPr>
        <w:t>h</w:t>
      </w:r>
      <w:r w:rsidR="00535BFD" w:rsidRPr="00C00335">
        <w:t xml:space="preserve"> and </w:t>
      </w:r>
      <w:r w:rsidR="00535BFD" w:rsidRPr="00C00335">
        <w:rPr>
          <w:i/>
        </w:rPr>
        <w:t>p</w:t>
      </w:r>
      <w:r w:rsidRPr="00C00335">
        <w:t xml:space="preserve">] </w:t>
      </w:r>
      <w:r w:rsidR="007A404A" w:rsidRPr="00C00335">
        <w:br/>
      </w:r>
      <w:r w:rsidRPr="00C00335">
        <w:t xml:space="preserve">x [Percentage of tests that are type </w:t>
      </w:r>
      <w:r w:rsidRPr="00C00335">
        <w:rPr>
          <w:i/>
          <w:iCs/>
        </w:rPr>
        <w:t>g</w:t>
      </w:r>
      <w:r w:rsidRPr="00C00335">
        <w:t xml:space="preserve">, by </w:t>
      </w:r>
      <w:r w:rsidRPr="00C00335">
        <w:rPr>
          <w:i/>
        </w:rPr>
        <w:t>p</w:t>
      </w:r>
      <w:r w:rsidRPr="00C00335">
        <w:t xml:space="preserve">] </w:t>
      </w:r>
      <w:r w:rsidR="007A404A" w:rsidRPr="00C00335">
        <w:br/>
      </w:r>
      <w:r w:rsidRPr="00C00335">
        <w:t xml:space="preserve">for </w:t>
      </w:r>
      <w:r w:rsidR="00535BFD" w:rsidRPr="00C00335">
        <w:rPr>
          <w:i/>
          <w:iCs/>
        </w:rPr>
        <w:t>h</w:t>
      </w:r>
      <w:r w:rsidR="00535BFD" w:rsidRPr="00C00335">
        <w:t xml:space="preserve"> = {0} and </w:t>
      </w:r>
      <w:r w:rsidRPr="00C00335">
        <w:t xml:space="preserve">all </w:t>
      </w:r>
      <w:r w:rsidRPr="00C00335">
        <w:rPr>
          <w:i/>
          <w:iCs/>
        </w:rPr>
        <w:t>p</w:t>
      </w:r>
      <w:r w:rsidRPr="00C00335">
        <w:t xml:space="preserve">, </w:t>
      </w:r>
      <w:r w:rsidRPr="00C00335">
        <w:rPr>
          <w:i/>
          <w:iCs/>
        </w:rPr>
        <w:t>g</w:t>
      </w:r>
      <w:r w:rsidRPr="00C00335">
        <w:t xml:space="preserve">, and </w:t>
      </w:r>
      <w:r w:rsidRPr="00C00335">
        <w:rPr>
          <w:i/>
          <w:iCs/>
        </w:rPr>
        <w:t>t</w:t>
      </w:r>
      <w:r w:rsidRPr="00C00335">
        <w:t>.</w:t>
      </w:r>
      <w:r w:rsidR="004F4E6D" w:rsidRPr="00C00335">
        <w:tab/>
      </w:r>
      <w:r w:rsidR="007A404A" w:rsidRPr="00C00335">
        <w:tab/>
      </w:r>
      <w:r w:rsidR="00903B31" w:rsidRPr="00C00335">
        <w:t>(</w:t>
      </w:r>
      <w:r w:rsidR="008867F1">
        <w:t>9</w:t>
      </w:r>
      <w:r w:rsidR="00903B31" w:rsidRPr="00C00335">
        <w:t>.</w:t>
      </w:r>
      <w:r w:rsidR="008261F3">
        <w:t>5</w:t>
      </w:r>
      <w:r w:rsidRPr="00C00335">
        <w:t>)</w:t>
      </w:r>
    </w:p>
    <w:p w14:paraId="63479F58" w14:textId="665490B0" w:rsidR="00393D59" w:rsidRPr="00C00335" w:rsidRDefault="00450AC8" w:rsidP="00CC1DD7">
      <w:pPr>
        <w:pStyle w:val="BodyText"/>
      </w:pPr>
      <w:r w:rsidRPr="00C00335">
        <w:t xml:space="preserve">The total number of tests conducted is the sum of all positive and negative tests of </w:t>
      </w:r>
      <w:r w:rsidR="005F5C70" w:rsidRPr="00C00335">
        <w:t>HIV-infected</w:t>
      </w:r>
      <w:r w:rsidRPr="00C00335">
        <w:t xml:space="preserve"> individuals (calculated using Equations </w:t>
      </w:r>
      <w:r w:rsidR="008F1692" w:rsidRPr="00C00335">
        <w:t>[</w:t>
      </w:r>
      <w:r w:rsidR="00680212">
        <w:t>9</w:t>
      </w:r>
      <w:r w:rsidR="00C0054E" w:rsidRPr="00C00335">
        <w:t>.</w:t>
      </w:r>
      <w:r w:rsidR="008261F3">
        <w:t>3</w:t>
      </w:r>
      <w:r w:rsidR="008F1692" w:rsidRPr="00C00335">
        <w:t>]</w:t>
      </w:r>
      <w:r w:rsidRPr="00C00335">
        <w:t xml:space="preserve"> and </w:t>
      </w:r>
      <w:r w:rsidR="008F1692" w:rsidRPr="00C00335">
        <w:t>[</w:t>
      </w:r>
      <w:r w:rsidR="00680212">
        <w:t>9</w:t>
      </w:r>
      <w:r w:rsidR="00C0054E" w:rsidRPr="00C00335">
        <w:t>.</w:t>
      </w:r>
      <w:r w:rsidR="008261F3">
        <w:t>4</w:t>
      </w:r>
      <w:r w:rsidR="008F1692" w:rsidRPr="00C00335">
        <w:t>]</w:t>
      </w:r>
      <w:r w:rsidRPr="00C00335">
        <w:t xml:space="preserve">, respectively) and all </w:t>
      </w:r>
      <w:r w:rsidRPr="00C00335">
        <w:lastRenderedPageBreak/>
        <w:t xml:space="preserve">negative tests of </w:t>
      </w:r>
      <w:r w:rsidR="005F5C70" w:rsidRPr="00C00335">
        <w:t>HIV-uninfected</w:t>
      </w:r>
      <w:r w:rsidRPr="00C00335">
        <w:t xml:space="preserve"> individuals (calculated using </w:t>
      </w:r>
      <w:r w:rsidR="00CC1DD7" w:rsidRPr="00C00335">
        <w:t>Equation [</w:t>
      </w:r>
      <w:r w:rsidR="00680212">
        <w:t>9</w:t>
      </w:r>
      <w:r w:rsidR="00CC1DD7" w:rsidRPr="00C00335">
        <w:t>.</w:t>
      </w:r>
      <w:r w:rsidR="008261F3">
        <w:t>5</w:t>
      </w:r>
      <w:r w:rsidR="008F1692" w:rsidRPr="00C00335">
        <w:t>]</w:t>
      </w:r>
      <w:r w:rsidRPr="00C00335">
        <w:t xml:space="preserve">) across all </w:t>
      </w:r>
      <w:r w:rsidRPr="00C00335">
        <w:rPr>
          <w:i/>
          <w:iCs/>
        </w:rPr>
        <w:t>p</w:t>
      </w:r>
      <w:r w:rsidRPr="00C00335">
        <w:t xml:space="preserve">, </w:t>
      </w:r>
      <w:r w:rsidRPr="00C00335">
        <w:rPr>
          <w:i/>
          <w:iCs/>
        </w:rPr>
        <w:t>h</w:t>
      </w:r>
      <w:r w:rsidRPr="00C00335">
        <w:t xml:space="preserve">, </w:t>
      </w:r>
      <w:r w:rsidRPr="00C00335">
        <w:rPr>
          <w:i/>
          <w:iCs/>
        </w:rPr>
        <w:t>g</w:t>
      </w:r>
      <w:r w:rsidRPr="00C00335">
        <w:t xml:space="preserve">, and </w:t>
      </w:r>
      <w:r w:rsidRPr="00C00335">
        <w:rPr>
          <w:i/>
          <w:iCs/>
        </w:rPr>
        <w:t>t</w:t>
      </w:r>
      <w:r w:rsidRPr="00C00335">
        <w:t>.</w:t>
      </w:r>
    </w:p>
    <w:p w14:paraId="4DB8E0BD" w14:textId="77777777" w:rsidR="000F420A" w:rsidRPr="00C00335" w:rsidRDefault="000D460B" w:rsidP="00056A62">
      <w:pPr>
        <w:pStyle w:val="Heading4"/>
      </w:pPr>
      <w:bookmarkStart w:id="146" w:name="_Hlk527640646"/>
      <w:r w:rsidRPr="00C00335">
        <w:t>Cost</w:t>
      </w:r>
      <w:r w:rsidR="00535BFD" w:rsidRPr="00C00335">
        <w:t>s</w:t>
      </w:r>
      <w:r w:rsidRPr="00C00335">
        <w:t xml:space="preserve"> of Testing</w:t>
      </w:r>
    </w:p>
    <w:p w14:paraId="48929078" w14:textId="5724E7D7" w:rsidR="000D460B" w:rsidRPr="00C00335" w:rsidRDefault="00450AC8" w:rsidP="008B30F8">
      <w:pPr>
        <w:pStyle w:val="equation"/>
        <w:spacing w:line="360" w:lineRule="atLeast"/>
        <w:ind w:left="720"/>
      </w:pPr>
      <w:r w:rsidRPr="00C00335">
        <w:t xml:space="preserve">Cost of testing </w:t>
      </w:r>
      <w:r w:rsidR="006366A3" w:rsidRPr="00C00335">
        <w:t xml:space="preserve">individuals with HIV status </w:t>
      </w:r>
      <w:r w:rsidR="006366A3" w:rsidRPr="00C00335">
        <w:rPr>
          <w:i/>
          <w:iCs/>
        </w:rPr>
        <w:t>h</w:t>
      </w:r>
      <w:r w:rsidR="006366A3" w:rsidRPr="00C00335">
        <w:t xml:space="preserve"> in </w:t>
      </w:r>
      <w:r w:rsidRPr="00C00335">
        <w:rPr>
          <w:i/>
          <w:iCs/>
        </w:rPr>
        <w:t>p</w:t>
      </w:r>
      <w:r w:rsidRPr="00C00335">
        <w:t xml:space="preserve"> </w:t>
      </w:r>
      <w:r w:rsidR="006366A3" w:rsidRPr="00C00335">
        <w:t xml:space="preserve">taking test type </w:t>
      </w:r>
      <w:r w:rsidR="006366A3" w:rsidRPr="00C00335">
        <w:rPr>
          <w:i/>
          <w:iCs/>
        </w:rPr>
        <w:t>g</w:t>
      </w:r>
      <w:r w:rsidR="006366A3" w:rsidRPr="00C00335">
        <w:t xml:space="preserve">, </w:t>
      </w:r>
      <w:r w:rsidRPr="00C00335">
        <w:t xml:space="preserve">at time </w:t>
      </w:r>
      <w:r w:rsidRPr="00C00335">
        <w:rPr>
          <w:i/>
          <w:iCs/>
        </w:rPr>
        <w:t>t</w:t>
      </w:r>
      <w:r w:rsidRPr="00C00335">
        <w:t xml:space="preserve"> =</w:t>
      </w:r>
      <w:r w:rsidR="008B30F8" w:rsidRPr="00C00335">
        <w:t xml:space="preserve"> </w:t>
      </w:r>
      <w:r w:rsidR="001B4D37">
        <w:br/>
      </w:r>
      <w:r w:rsidR="006C6D1C" w:rsidRPr="00C00335">
        <w:t>(</w:t>
      </w:r>
      <w:r w:rsidRPr="00C00335">
        <w:t>[</w:t>
      </w:r>
      <w:r w:rsidR="006366A3" w:rsidRPr="00C00335">
        <w:t xml:space="preserve">Number of positive tests of </w:t>
      </w:r>
      <w:r w:rsidR="005F5C70" w:rsidRPr="00C00335">
        <w:t>HIV-infected</w:t>
      </w:r>
      <w:r w:rsidR="006366A3" w:rsidRPr="00C00335">
        <w:t xml:space="preserve"> </w:t>
      </w:r>
      <w:r w:rsidR="006366A3" w:rsidRPr="00E832D1">
        <w:t xml:space="preserve">individuals in </w:t>
      </w:r>
      <w:r w:rsidR="006366A3" w:rsidRPr="00E832D1">
        <w:rPr>
          <w:i/>
          <w:iCs/>
        </w:rPr>
        <w:t>p</w:t>
      </w:r>
      <w:r w:rsidR="006366A3" w:rsidRPr="00E832D1">
        <w:t xml:space="preserve"> with HIV status </w:t>
      </w:r>
      <w:r w:rsidR="006366A3" w:rsidRPr="00E832D1">
        <w:rPr>
          <w:i/>
        </w:rPr>
        <w:t>h</w:t>
      </w:r>
      <w:r w:rsidR="006C6D1C" w:rsidRPr="00E832D1">
        <w:rPr>
          <w:i/>
        </w:rPr>
        <w:t xml:space="preserve"> </w:t>
      </w:r>
      <w:r w:rsidR="006C6D1C" w:rsidRPr="00E832D1">
        <w:rPr>
          <w:iCs/>
        </w:rPr>
        <w:t>= {1 to 5}</w:t>
      </w:r>
      <w:r w:rsidR="006366A3" w:rsidRPr="00E832D1">
        <w:t xml:space="preserve">, taking test type </w:t>
      </w:r>
      <w:r w:rsidR="006366A3" w:rsidRPr="00E832D1">
        <w:rPr>
          <w:i/>
          <w:iCs/>
        </w:rPr>
        <w:t>g</w:t>
      </w:r>
      <w:r w:rsidR="006366A3" w:rsidRPr="00E832D1">
        <w:t xml:space="preserve">, at time </w:t>
      </w:r>
      <w:r w:rsidR="006366A3" w:rsidRPr="00E832D1">
        <w:rPr>
          <w:i/>
        </w:rPr>
        <w:t>t</w:t>
      </w:r>
      <w:r w:rsidRPr="00E832D1">
        <w:t>]</w:t>
      </w:r>
      <w:r w:rsidR="006366A3" w:rsidRPr="00E832D1">
        <w:t xml:space="preserve"> </w:t>
      </w:r>
      <w:r w:rsidRPr="00E832D1">
        <w:t xml:space="preserve">x </w:t>
      </w:r>
      <w:r w:rsidR="006366A3" w:rsidRPr="00E832D1">
        <w:t>[(</w:t>
      </w:r>
      <w:r w:rsidRPr="00E832D1">
        <w:t>Cost of positive test</w:t>
      </w:r>
      <w:r w:rsidR="006366A3" w:rsidRPr="00E832D1">
        <w:t xml:space="preserve"> type </w:t>
      </w:r>
      <w:r w:rsidR="006366A3" w:rsidRPr="00E832D1">
        <w:rPr>
          <w:i/>
          <w:iCs/>
        </w:rPr>
        <w:t>g</w:t>
      </w:r>
      <w:r w:rsidRPr="00E832D1">
        <w:t xml:space="preserve"> at </w:t>
      </w:r>
      <w:r w:rsidRPr="00E832D1">
        <w:rPr>
          <w:i/>
        </w:rPr>
        <w:t>t</w:t>
      </w:r>
      <w:r w:rsidR="006366A3" w:rsidRPr="00E832D1">
        <w:t>)</w:t>
      </w:r>
      <w:r w:rsidR="001B4D37" w:rsidRPr="00E832D1">
        <w:t xml:space="preserve"> + (Percentage </w:t>
      </w:r>
      <w:r w:rsidR="00887D05" w:rsidRPr="00E832D1">
        <w:t>of tests performed in non-clinical settings</w:t>
      </w:r>
      <w:r w:rsidR="001B4D37" w:rsidRPr="00E832D1">
        <w:t>) x (Additional cost per test performed in non-clinical setting)</w:t>
      </w:r>
      <w:r w:rsidRPr="00E832D1">
        <w:t xml:space="preserve"> </w:t>
      </w:r>
      <w:r w:rsidR="006366A3" w:rsidRPr="00E832D1">
        <w:t>+ (</w:t>
      </w:r>
      <w:r w:rsidRPr="00E832D1">
        <w:t xml:space="preserve">1 </w:t>
      </w:r>
      <w:r w:rsidR="001F5372" w:rsidRPr="00E832D1">
        <w:t>−</w:t>
      </w:r>
      <w:r w:rsidRPr="00E832D1">
        <w:t xml:space="preserve"> </w:t>
      </w:r>
      <w:r w:rsidR="006366A3" w:rsidRPr="00E832D1">
        <w:t>[</w:t>
      </w:r>
      <w:r w:rsidRPr="00E832D1">
        <w:t>Test sensitivity of confirmatory screen</w:t>
      </w:r>
      <w:r w:rsidR="006366A3" w:rsidRPr="00E832D1">
        <w:t>,</w:t>
      </w:r>
      <w:r w:rsidRPr="00E832D1">
        <w:t xml:space="preserve"> </w:t>
      </w:r>
      <w:r w:rsidR="006366A3" w:rsidRPr="00E832D1">
        <w:t>by</w:t>
      </w:r>
      <w:r w:rsidRPr="00E832D1">
        <w:t xml:space="preserve"> HIV status </w:t>
      </w:r>
      <w:r w:rsidRPr="00E832D1">
        <w:rPr>
          <w:i/>
        </w:rPr>
        <w:t>h</w:t>
      </w:r>
      <w:r w:rsidR="006366A3" w:rsidRPr="00E832D1">
        <w:t>]) x (Cost of NAT</w:t>
      </w:r>
      <w:r w:rsidRPr="00E832D1">
        <w:t>)</w:t>
      </w:r>
      <w:r w:rsidR="006366A3" w:rsidRPr="00E832D1">
        <w:t>]</w:t>
      </w:r>
      <w:r w:rsidR="006C6D1C" w:rsidRPr="00E832D1">
        <w:t xml:space="preserve"> </w:t>
      </w:r>
      <w:r w:rsidR="00056A62" w:rsidRPr="00E832D1">
        <w:br/>
      </w:r>
      <w:r w:rsidR="006C6D1C" w:rsidRPr="00E832D1">
        <w:t xml:space="preserve">+ [Number of negative tests of individuals in </w:t>
      </w:r>
      <w:r w:rsidR="006C6D1C" w:rsidRPr="00E832D1">
        <w:rPr>
          <w:i/>
          <w:iCs/>
        </w:rPr>
        <w:t>p</w:t>
      </w:r>
      <w:r w:rsidR="006C6D1C" w:rsidRPr="00E832D1">
        <w:t xml:space="preserve"> with HIV status </w:t>
      </w:r>
      <w:r w:rsidR="006C6D1C" w:rsidRPr="00E832D1">
        <w:rPr>
          <w:i/>
          <w:iCs/>
        </w:rPr>
        <w:t>h</w:t>
      </w:r>
      <w:r w:rsidR="006C6D1C" w:rsidRPr="00E832D1">
        <w:t xml:space="preserve">, taking test type </w:t>
      </w:r>
      <w:r w:rsidR="006C6D1C" w:rsidRPr="00E832D1">
        <w:rPr>
          <w:i/>
          <w:iCs/>
        </w:rPr>
        <w:t>g</w:t>
      </w:r>
      <w:r w:rsidR="006C6D1C" w:rsidRPr="00E832D1">
        <w:t xml:space="preserve">, at time </w:t>
      </w:r>
      <w:r w:rsidR="006C6D1C" w:rsidRPr="00E832D1">
        <w:rPr>
          <w:i/>
        </w:rPr>
        <w:t>t</w:t>
      </w:r>
      <w:r w:rsidR="006C6D1C" w:rsidRPr="00E832D1">
        <w:rPr>
          <w:iCs/>
        </w:rPr>
        <w:t>]</w:t>
      </w:r>
      <w:r w:rsidR="006C6D1C" w:rsidRPr="00E832D1">
        <w:t xml:space="preserve"> x [(Cost of negative test type </w:t>
      </w:r>
      <w:r w:rsidR="006C6D1C" w:rsidRPr="00E832D1">
        <w:rPr>
          <w:i/>
          <w:iCs/>
        </w:rPr>
        <w:t>g</w:t>
      </w:r>
      <w:r w:rsidR="006C6D1C" w:rsidRPr="00E832D1">
        <w:t xml:space="preserve"> at </w:t>
      </w:r>
      <w:r w:rsidR="006C6D1C" w:rsidRPr="00E832D1">
        <w:rPr>
          <w:i/>
        </w:rPr>
        <w:t>t</w:t>
      </w:r>
      <w:r w:rsidR="006C6D1C" w:rsidRPr="00E832D1">
        <w:t>)</w:t>
      </w:r>
      <w:r w:rsidR="00887D05" w:rsidRPr="00E832D1">
        <w:t xml:space="preserve"> + (Percentage of tests performed in non-clinical settings) x (Additional cost per test performed in non-clinical setting)</w:t>
      </w:r>
      <w:r w:rsidR="00056A62" w:rsidRPr="00E832D1">
        <w:t>]</w:t>
      </w:r>
      <w:r w:rsidR="008B30F8" w:rsidRPr="00E832D1">
        <w:t xml:space="preserve"> </w:t>
      </w:r>
      <w:r w:rsidR="00056A62" w:rsidRPr="00E832D1">
        <w:br/>
      </w:r>
      <w:r w:rsidR="006C6D1C" w:rsidRPr="00E832D1">
        <w:t>+ [Outreach cost per test, if applicable])</w:t>
      </w:r>
      <w:r w:rsidR="006C6D1C" w:rsidRPr="00E832D1">
        <w:rPr>
          <w:iCs/>
        </w:rPr>
        <w:t xml:space="preserve"> </w:t>
      </w:r>
      <w:r w:rsidR="006C6D1C" w:rsidRPr="00E832D1">
        <w:t>x (D</w:t>
      </w:r>
      <w:r w:rsidR="000D460B" w:rsidRPr="00E832D1">
        <w:t xml:space="preserve">iscount </w:t>
      </w:r>
      <w:r w:rsidR="008F4292" w:rsidRPr="00E832D1">
        <w:t>factor</w:t>
      </w:r>
      <w:r w:rsidR="005654D9" w:rsidRPr="00E832D1">
        <w:t xml:space="preserve"> </w:t>
      </w:r>
      <w:r w:rsidR="000D460B" w:rsidRPr="00E832D1">
        <w:t xml:space="preserve">at </w:t>
      </w:r>
      <w:r w:rsidR="000D460B" w:rsidRPr="00E832D1">
        <w:rPr>
          <w:i/>
        </w:rPr>
        <w:t>t</w:t>
      </w:r>
      <w:r w:rsidR="000D460B" w:rsidRPr="00E832D1">
        <w:t>)</w:t>
      </w:r>
      <w:r w:rsidR="00056A62" w:rsidRPr="00C00335">
        <w:t xml:space="preserve"> </w:t>
      </w:r>
      <w:r w:rsidR="00056A62" w:rsidRPr="00C00335">
        <w:br/>
        <w:t xml:space="preserve">for all </w:t>
      </w:r>
      <w:r w:rsidR="00056A62" w:rsidRPr="00C00335">
        <w:rPr>
          <w:i/>
          <w:iCs/>
        </w:rPr>
        <w:t>h</w:t>
      </w:r>
      <w:r w:rsidR="00056A62" w:rsidRPr="00C00335">
        <w:t xml:space="preserve">, </w:t>
      </w:r>
      <w:r w:rsidR="00056A62" w:rsidRPr="00C00335">
        <w:rPr>
          <w:i/>
          <w:iCs/>
        </w:rPr>
        <w:t>p</w:t>
      </w:r>
      <w:r w:rsidR="00056A62" w:rsidRPr="00C00335">
        <w:t xml:space="preserve">, </w:t>
      </w:r>
      <w:r w:rsidR="00056A62" w:rsidRPr="00C00335">
        <w:rPr>
          <w:i/>
          <w:iCs/>
        </w:rPr>
        <w:t>g</w:t>
      </w:r>
      <w:r w:rsidR="00056A62" w:rsidRPr="00C00335">
        <w:t xml:space="preserve">, and </w:t>
      </w:r>
      <w:r w:rsidR="00056A62" w:rsidRPr="00C00335">
        <w:rPr>
          <w:i/>
          <w:iCs/>
        </w:rPr>
        <w:t>t</w:t>
      </w:r>
      <w:r w:rsidR="0051126D" w:rsidRPr="00C00335">
        <w:rPr>
          <w:i/>
          <w:iCs/>
        </w:rPr>
        <w:t>.</w:t>
      </w:r>
      <w:r w:rsidR="006C6D1C" w:rsidRPr="00C00335">
        <w:tab/>
      </w:r>
      <w:r w:rsidR="006C6D1C" w:rsidRPr="00C00335">
        <w:tab/>
      </w:r>
      <w:r w:rsidR="00903B31" w:rsidRPr="00C00335">
        <w:t>(</w:t>
      </w:r>
      <w:r w:rsidR="008867F1">
        <w:t>9</w:t>
      </w:r>
      <w:r w:rsidR="00903B31" w:rsidRPr="00C00335">
        <w:t>.</w:t>
      </w:r>
      <w:r w:rsidR="008261F3">
        <w:t>6</w:t>
      </w:r>
      <w:r w:rsidR="006C6D1C" w:rsidRPr="00C00335">
        <w:t>)</w:t>
      </w:r>
    </w:p>
    <w:p w14:paraId="39BD3551" w14:textId="55F8F836" w:rsidR="008E5FDD" w:rsidRPr="00C00335" w:rsidRDefault="00535BFD" w:rsidP="008F1692">
      <w:pPr>
        <w:pStyle w:val="BodyText"/>
      </w:pPr>
      <w:r w:rsidRPr="00C00335">
        <w:t xml:space="preserve">The total cost of testing is the sum of the cost of testing </w:t>
      </w:r>
      <w:r w:rsidR="00056A62" w:rsidRPr="00C00335">
        <w:t xml:space="preserve">(calculated using </w:t>
      </w:r>
      <w:r w:rsidR="00CC1DD7" w:rsidRPr="00C00335">
        <w:t>Equation [</w:t>
      </w:r>
      <w:r w:rsidR="008867F1">
        <w:t>9</w:t>
      </w:r>
      <w:r w:rsidR="00CC1DD7" w:rsidRPr="00C00335">
        <w:t>.</w:t>
      </w:r>
      <w:r w:rsidR="008261F3">
        <w:t>6</w:t>
      </w:r>
      <w:r w:rsidR="008F1692" w:rsidRPr="00C00335">
        <w:t>]</w:t>
      </w:r>
      <w:r w:rsidR="00056A62" w:rsidRPr="00C00335">
        <w:t xml:space="preserve">) </w:t>
      </w:r>
      <w:r w:rsidRPr="00C00335">
        <w:t xml:space="preserve">across all </w:t>
      </w:r>
      <w:r w:rsidR="00056A62" w:rsidRPr="00C00335">
        <w:rPr>
          <w:i/>
          <w:iCs/>
        </w:rPr>
        <w:t>h</w:t>
      </w:r>
      <w:r w:rsidRPr="00C00335">
        <w:t xml:space="preserve">, </w:t>
      </w:r>
      <w:r w:rsidR="00056A62" w:rsidRPr="00C00335">
        <w:rPr>
          <w:i/>
          <w:iCs/>
        </w:rPr>
        <w:t>p</w:t>
      </w:r>
      <w:r w:rsidRPr="00C00335">
        <w:t xml:space="preserve">, </w:t>
      </w:r>
      <w:r w:rsidRPr="00C00335">
        <w:rPr>
          <w:i/>
          <w:iCs/>
        </w:rPr>
        <w:t>g</w:t>
      </w:r>
      <w:r w:rsidRPr="00C00335">
        <w:t xml:space="preserve">, and </w:t>
      </w:r>
      <w:r w:rsidRPr="00C00335">
        <w:rPr>
          <w:i/>
          <w:iCs/>
        </w:rPr>
        <w:t>t</w:t>
      </w:r>
      <w:r w:rsidRPr="00C00335">
        <w:t>.</w:t>
      </w:r>
    </w:p>
    <w:bookmarkEnd w:id="146"/>
    <w:p w14:paraId="2AB34995" w14:textId="77777777" w:rsidR="00E50D5E" w:rsidRPr="00C00335" w:rsidRDefault="00E50D5E" w:rsidP="00535BFD">
      <w:pPr>
        <w:pStyle w:val="Heading4"/>
      </w:pPr>
      <w:r w:rsidRPr="00C00335">
        <w:t>Notification Costs</w:t>
      </w:r>
    </w:p>
    <w:p w14:paraId="3B1A94D9" w14:textId="0715E999" w:rsidR="00535BFD" w:rsidRPr="00C00335" w:rsidRDefault="00535BFD" w:rsidP="008B30F8">
      <w:pPr>
        <w:pStyle w:val="equation"/>
        <w:spacing w:line="360" w:lineRule="atLeast"/>
        <w:ind w:left="720"/>
      </w:pPr>
      <w:r w:rsidRPr="00C00335">
        <w:t>Cost of notification</w:t>
      </w:r>
      <w:r w:rsidR="00F56109" w:rsidRPr="00C00335">
        <w:t xml:space="preserve"> of HIV test results for individuals in </w:t>
      </w:r>
      <w:r w:rsidR="00F56109" w:rsidRPr="00C00335">
        <w:rPr>
          <w:i/>
          <w:iCs/>
        </w:rPr>
        <w:t>p</w:t>
      </w:r>
      <w:r w:rsidR="00F56109" w:rsidRPr="00C00335">
        <w:t xml:space="preserve"> with HIV status </w:t>
      </w:r>
      <w:r w:rsidR="00F56109" w:rsidRPr="00C00335">
        <w:rPr>
          <w:i/>
          <w:iCs/>
        </w:rPr>
        <w:t>h</w:t>
      </w:r>
      <w:r w:rsidR="00F56109" w:rsidRPr="00C00335">
        <w:t xml:space="preserve"> taking test type </w:t>
      </w:r>
      <w:r w:rsidR="00F56109" w:rsidRPr="00C00335">
        <w:rPr>
          <w:i/>
          <w:iCs/>
        </w:rPr>
        <w:t>g</w:t>
      </w:r>
      <w:r w:rsidR="00F56109" w:rsidRPr="00C00335">
        <w:t xml:space="preserve"> at time </w:t>
      </w:r>
      <w:r w:rsidR="00F56109" w:rsidRPr="00C00335">
        <w:rPr>
          <w:i/>
          <w:iCs/>
        </w:rPr>
        <w:t>t</w:t>
      </w:r>
      <w:r w:rsidRPr="00C00335">
        <w:t xml:space="preserve"> = </w:t>
      </w:r>
      <w:r w:rsidR="00F56109" w:rsidRPr="00C00335">
        <w:t xml:space="preserve">(Probability of notification, by p and test type </w:t>
      </w:r>
      <w:r w:rsidR="00F56109" w:rsidRPr="00C00335">
        <w:rPr>
          <w:i/>
          <w:iCs/>
        </w:rPr>
        <w:t>g</w:t>
      </w:r>
      <w:r w:rsidR="00F56109" w:rsidRPr="00C00335">
        <w:t>, at time t)</w:t>
      </w:r>
      <w:r w:rsidR="00056A62" w:rsidRPr="00C00335">
        <w:br/>
      </w:r>
      <w:r w:rsidRPr="00C00335">
        <w:t>x ([</w:t>
      </w:r>
      <w:r w:rsidR="00F56109" w:rsidRPr="00C00335">
        <w:t xml:space="preserve">Number of positive tests </w:t>
      </w:r>
      <w:r w:rsidR="00457B8E" w:rsidRPr="00C00335">
        <w:t xml:space="preserve">of </w:t>
      </w:r>
      <w:r w:rsidR="00F56109" w:rsidRPr="00C00335">
        <w:t xml:space="preserve">individuals in </w:t>
      </w:r>
      <w:r w:rsidR="00F56109" w:rsidRPr="00C00335">
        <w:rPr>
          <w:i/>
          <w:iCs/>
        </w:rPr>
        <w:t>p</w:t>
      </w:r>
      <w:r w:rsidR="00F56109" w:rsidRPr="00C00335">
        <w:t xml:space="preserve"> with HIV status </w:t>
      </w:r>
      <w:r w:rsidR="00F56109" w:rsidRPr="00C00335">
        <w:rPr>
          <w:i/>
        </w:rPr>
        <w:t>h</w:t>
      </w:r>
      <w:r w:rsidR="00F56109" w:rsidRPr="00C00335">
        <w:t xml:space="preserve">, taking test type </w:t>
      </w:r>
      <w:r w:rsidR="00F56109" w:rsidRPr="00C00335">
        <w:rPr>
          <w:i/>
          <w:iCs/>
        </w:rPr>
        <w:t>g</w:t>
      </w:r>
      <w:r w:rsidR="00F56109" w:rsidRPr="00C00335">
        <w:t xml:space="preserve">, at time </w:t>
      </w:r>
      <w:r w:rsidR="00F56109" w:rsidRPr="00C00335">
        <w:rPr>
          <w:i/>
        </w:rPr>
        <w:t>t</w:t>
      </w:r>
      <w:r w:rsidRPr="00C00335">
        <w:t xml:space="preserve">] x [Cost of notification of positive </w:t>
      </w:r>
      <w:r w:rsidR="00F56109" w:rsidRPr="00C00335">
        <w:t xml:space="preserve">results from test type </w:t>
      </w:r>
      <w:r w:rsidR="00F56109" w:rsidRPr="00C00335">
        <w:rPr>
          <w:i/>
          <w:iCs/>
        </w:rPr>
        <w:t>g</w:t>
      </w:r>
      <w:r w:rsidRPr="00C00335">
        <w:t>] + [</w:t>
      </w:r>
      <w:r w:rsidR="00F56109" w:rsidRPr="00C00335">
        <w:t xml:space="preserve">Number of negative tests of individuals in </w:t>
      </w:r>
      <w:r w:rsidR="00F56109" w:rsidRPr="00C00335">
        <w:rPr>
          <w:i/>
          <w:iCs/>
        </w:rPr>
        <w:t>p</w:t>
      </w:r>
      <w:r w:rsidR="00F56109" w:rsidRPr="00C00335">
        <w:t xml:space="preserve"> with HIV status </w:t>
      </w:r>
      <w:r w:rsidR="00F56109" w:rsidRPr="00C00335">
        <w:rPr>
          <w:i/>
          <w:iCs/>
        </w:rPr>
        <w:t>h</w:t>
      </w:r>
      <w:r w:rsidR="00F56109" w:rsidRPr="00C00335">
        <w:t xml:space="preserve">, taking test type </w:t>
      </w:r>
      <w:r w:rsidR="00F56109" w:rsidRPr="00C00335">
        <w:rPr>
          <w:i/>
          <w:iCs/>
        </w:rPr>
        <w:t>g</w:t>
      </w:r>
      <w:r w:rsidR="00F56109" w:rsidRPr="00C00335">
        <w:t xml:space="preserve">, at time </w:t>
      </w:r>
      <w:r w:rsidR="00F56109" w:rsidRPr="00C00335">
        <w:rPr>
          <w:i/>
        </w:rPr>
        <w:t>t</w:t>
      </w:r>
      <w:r w:rsidRPr="00C00335">
        <w:t xml:space="preserve">] x [Cost of notification of negative </w:t>
      </w:r>
      <w:r w:rsidR="00F56109" w:rsidRPr="00C00335">
        <w:t xml:space="preserve">results from test type </w:t>
      </w:r>
      <w:r w:rsidR="00F56109" w:rsidRPr="00C00335">
        <w:rPr>
          <w:i/>
          <w:iCs/>
        </w:rPr>
        <w:t>g</w:t>
      </w:r>
      <w:r w:rsidRPr="00C00335">
        <w:t xml:space="preserve">]) </w:t>
      </w:r>
      <w:r w:rsidR="00F56109" w:rsidRPr="00C00335">
        <w:t>x (</w:t>
      </w:r>
      <w:r w:rsidRPr="00C00335">
        <w:t xml:space="preserve">Discount </w:t>
      </w:r>
      <w:r w:rsidR="008F4292" w:rsidRPr="00C00335">
        <w:t xml:space="preserve">factor </w:t>
      </w:r>
      <w:r w:rsidRPr="00C00335">
        <w:t xml:space="preserve">at </w:t>
      </w:r>
      <w:r w:rsidRPr="00C00335">
        <w:rPr>
          <w:i/>
        </w:rPr>
        <w:t>t</w:t>
      </w:r>
      <w:r w:rsidRPr="00C00335">
        <w:t>)</w:t>
      </w:r>
      <w:r w:rsidR="00056A62" w:rsidRPr="00C00335">
        <w:br/>
        <w:t xml:space="preserve">for all </w:t>
      </w:r>
      <w:r w:rsidR="00056A62" w:rsidRPr="00C00335">
        <w:rPr>
          <w:i/>
          <w:iCs/>
        </w:rPr>
        <w:t>h</w:t>
      </w:r>
      <w:r w:rsidR="00056A62" w:rsidRPr="00C00335">
        <w:t xml:space="preserve">, </w:t>
      </w:r>
      <w:r w:rsidR="00056A62" w:rsidRPr="00C00335">
        <w:rPr>
          <w:i/>
          <w:iCs/>
        </w:rPr>
        <w:t>p</w:t>
      </w:r>
      <w:r w:rsidR="00056A62" w:rsidRPr="00C00335">
        <w:t xml:space="preserve">, </w:t>
      </w:r>
      <w:r w:rsidR="00056A62" w:rsidRPr="00C00335">
        <w:rPr>
          <w:i/>
          <w:iCs/>
        </w:rPr>
        <w:t>g</w:t>
      </w:r>
      <w:r w:rsidR="00056A62" w:rsidRPr="00C00335">
        <w:t xml:space="preserve">, and </w:t>
      </w:r>
      <w:r w:rsidR="00056A62" w:rsidRPr="00C00335">
        <w:rPr>
          <w:i/>
          <w:iCs/>
        </w:rPr>
        <w:t>t.</w:t>
      </w:r>
      <w:r w:rsidR="00F56109" w:rsidRPr="00C00335">
        <w:tab/>
      </w:r>
      <w:r w:rsidR="00F56109" w:rsidRPr="00C00335">
        <w:tab/>
      </w:r>
      <w:r w:rsidR="00903B31" w:rsidRPr="00C00335">
        <w:t>(</w:t>
      </w:r>
      <w:r w:rsidR="008867F1">
        <w:t>9</w:t>
      </w:r>
      <w:r w:rsidR="00903B31" w:rsidRPr="00C00335">
        <w:t>.</w:t>
      </w:r>
      <w:r w:rsidR="008261F3">
        <w:t>7</w:t>
      </w:r>
      <w:r w:rsidR="00F56109" w:rsidRPr="00C00335">
        <w:t>)</w:t>
      </w:r>
    </w:p>
    <w:p w14:paraId="05CD19C2" w14:textId="76031EA2" w:rsidR="00F56109" w:rsidRPr="00E832D1" w:rsidRDefault="00F56109" w:rsidP="008F1692">
      <w:pPr>
        <w:pStyle w:val="BodyText"/>
      </w:pPr>
      <w:r w:rsidRPr="00C00335">
        <w:t xml:space="preserve">The total notification cost is the sum of the cost of notification </w:t>
      </w:r>
      <w:r w:rsidR="00056A62" w:rsidRPr="00C00335">
        <w:t xml:space="preserve">(calculated using </w:t>
      </w:r>
      <w:r w:rsidR="00CC1DD7" w:rsidRPr="00C00335">
        <w:t>Equation [</w:t>
      </w:r>
      <w:r w:rsidR="008867F1">
        <w:t>9</w:t>
      </w:r>
      <w:r w:rsidR="00CC1DD7" w:rsidRPr="00E832D1">
        <w:t>.</w:t>
      </w:r>
      <w:r w:rsidR="008261F3">
        <w:t>7</w:t>
      </w:r>
      <w:r w:rsidR="008F1692" w:rsidRPr="00E832D1">
        <w:t>]</w:t>
      </w:r>
      <w:r w:rsidR="00056A62" w:rsidRPr="00E832D1">
        <w:t xml:space="preserve">) </w:t>
      </w:r>
      <w:r w:rsidRPr="00E832D1">
        <w:t xml:space="preserve">across all </w:t>
      </w:r>
      <w:r w:rsidR="00056A62" w:rsidRPr="00E832D1">
        <w:rPr>
          <w:i/>
          <w:iCs/>
        </w:rPr>
        <w:t>h</w:t>
      </w:r>
      <w:r w:rsidR="00056A62" w:rsidRPr="00E832D1">
        <w:t xml:space="preserve">, </w:t>
      </w:r>
      <w:r w:rsidR="00056A62" w:rsidRPr="00E832D1">
        <w:rPr>
          <w:i/>
          <w:iCs/>
        </w:rPr>
        <w:t>p</w:t>
      </w:r>
      <w:r w:rsidR="00056A62" w:rsidRPr="00E832D1">
        <w:t xml:space="preserve">, </w:t>
      </w:r>
      <w:r w:rsidR="00056A62" w:rsidRPr="00E832D1">
        <w:rPr>
          <w:i/>
          <w:iCs/>
        </w:rPr>
        <w:t>g</w:t>
      </w:r>
      <w:r w:rsidR="00056A62" w:rsidRPr="00E832D1">
        <w:t xml:space="preserve">, and </w:t>
      </w:r>
      <w:r w:rsidR="00056A62" w:rsidRPr="00E832D1">
        <w:rPr>
          <w:i/>
          <w:iCs/>
        </w:rPr>
        <w:t>t</w:t>
      </w:r>
      <w:r w:rsidRPr="00E832D1">
        <w:t>.</w:t>
      </w:r>
    </w:p>
    <w:p w14:paraId="3055E289" w14:textId="11AD90D2" w:rsidR="000B0022" w:rsidRPr="00E832D1" w:rsidRDefault="000B0022" w:rsidP="000B0022">
      <w:pPr>
        <w:pStyle w:val="Heading3"/>
      </w:pPr>
      <w:bookmarkStart w:id="147" w:name="_Toc89257567"/>
      <w:r w:rsidRPr="00E832D1">
        <w:t>Calculation of Transitions Between HIV Continuum-of-Care Stages</w:t>
      </w:r>
      <w:r w:rsidR="00FC377F" w:rsidRPr="00E832D1">
        <w:t xml:space="preserve"> and Maintaining Viral Load Suppression</w:t>
      </w:r>
      <w:bookmarkEnd w:id="147"/>
    </w:p>
    <w:p w14:paraId="0685D652" w14:textId="7CDC916B" w:rsidR="000B0022" w:rsidRPr="00E832D1" w:rsidRDefault="000B0022" w:rsidP="006F6364">
      <w:pPr>
        <w:pStyle w:val="BodyText"/>
      </w:pPr>
      <w:r w:rsidRPr="00E832D1">
        <w:t xml:space="preserve">Costs are incurred for each individual </w:t>
      </w:r>
      <w:r w:rsidR="00DA5557" w:rsidRPr="00E832D1">
        <w:t>who</w:t>
      </w:r>
      <w:r w:rsidR="00FC377F" w:rsidRPr="00E832D1">
        <w:t xml:space="preserve"> successfully</w:t>
      </w:r>
      <w:r w:rsidRPr="00E832D1">
        <w:t xml:space="preserve"> transitions</w:t>
      </w:r>
      <w:r w:rsidR="00B83A0E" w:rsidRPr="00E832D1">
        <w:t xml:space="preserve"> from one continuum-of-care stage (</w:t>
      </w:r>
      <w:r w:rsidR="00B83A0E" w:rsidRPr="00E832D1">
        <w:rPr>
          <w:i/>
          <w:iCs/>
        </w:rPr>
        <w:t>r</w:t>
      </w:r>
      <w:r w:rsidR="00B83A0E" w:rsidRPr="00E832D1">
        <w:t>)</w:t>
      </w:r>
      <w:r w:rsidRPr="00E832D1">
        <w:t xml:space="preserve"> </w:t>
      </w:r>
      <w:r w:rsidR="00B83A0E" w:rsidRPr="00E832D1">
        <w:t>to a higher</w:t>
      </w:r>
      <w:r w:rsidR="00D4353B" w:rsidRPr="00E832D1">
        <w:t xml:space="preserve"> continuum-of-care stage</w:t>
      </w:r>
      <w:r w:rsidR="00A57569" w:rsidRPr="00E832D1">
        <w:t xml:space="preserve">. We also apply a cost </w:t>
      </w:r>
      <w:r w:rsidR="00B83A0E" w:rsidRPr="00E832D1">
        <w:t xml:space="preserve">for each individual </w:t>
      </w:r>
      <w:r w:rsidR="00DA5557" w:rsidRPr="00E832D1">
        <w:t>who</w:t>
      </w:r>
      <w:r w:rsidR="00B83A0E" w:rsidRPr="00E832D1">
        <w:t xml:space="preserve"> maintain</w:t>
      </w:r>
      <w:r w:rsidR="00A57569" w:rsidRPr="00E832D1">
        <w:t>s VLS</w:t>
      </w:r>
      <w:r w:rsidR="006F6364" w:rsidRPr="00E832D1">
        <w:t xml:space="preserve">. These costs are reported in Table </w:t>
      </w:r>
      <w:r w:rsidR="00680212">
        <w:t>9</w:t>
      </w:r>
      <w:r w:rsidR="006F6364" w:rsidRPr="00E832D1">
        <w:t>.</w:t>
      </w:r>
      <w:r w:rsidR="008261F3">
        <w:t>2</w:t>
      </w:r>
      <w:r w:rsidR="006F6364" w:rsidRPr="00E832D1">
        <w:t xml:space="preserve">. We applied the same costs for these transitions and for maintenance of VLS as we estimated for the cost of an intervention that effectively results in the corresponding transition (as reported in </w:t>
      </w:r>
      <w:r w:rsidR="006F6364" w:rsidRPr="0005114B">
        <w:t>Table</w:t>
      </w:r>
      <w:r w:rsidR="001A4ED1" w:rsidRPr="0005114B">
        <w:t> </w:t>
      </w:r>
      <w:r w:rsidR="006F6364" w:rsidRPr="0005114B">
        <w:t>8.2</w:t>
      </w:r>
      <w:r w:rsidR="006F6364" w:rsidRPr="00E832D1">
        <w:t xml:space="preserve">) or lack thereof, in the case of maintenance of VLS. </w:t>
      </w:r>
    </w:p>
    <w:p w14:paraId="44BCEF46" w14:textId="0D76E2E0" w:rsidR="000B0022" w:rsidRPr="00E832D1" w:rsidRDefault="000B0022" w:rsidP="00AF5B78">
      <w:pPr>
        <w:pStyle w:val="TableTitle"/>
      </w:pPr>
      <w:bookmarkStart w:id="148" w:name="_Toc89257615"/>
      <w:r w:rsidRPr="00E832D1">
        <w:lastRenderedPageBreak/>
        <w:t xml:space="preserve">Table </w:t>
      </w:r>
      <w:r w:rsidR="008867F1">
        <w:t>9</w:t>
      </w:r>
      <w:r w:rsidRPr="00E832D1">
        <w:t>.</w:t>
      </w:r>
      <w:r w:rsidR="008128FA">
        <w:t>2</w:t>
      </w:r>
      <w:r w:rsidRPr="00E832D1">
        <w:t>.</w:t>
      </w:r>
      <w:r w:rsidRPr="00E832D1">
        <w:tab/>
      </w:r>
      <w:r w:rsidR="00B83A0E" w:rsidRPr="00E832D1">
        <w:t>C</w:t>
      </w:r>
      <w:r w:rsidRPr="00E832D1">
        <w:t>ost</w:t>
      </w:r>
      <w:r w:rsidR="00AD78A3" w:rsidRPr="00E832D1">
        <w:t>s</w:t>
      </w:r>
      <w:r w:rsidR="00B83A0E" w:rsidRPr="00E832D1">
        <w:t xml:space="preserve"> of</w:t>
      </w:r>
      <w:r w:rsidR="006F6364" w:rsidRPr="00E832D1">
        <w:t xml:space="preserve"> </w:t>
      </w:r>
      <w:r w:rsidR="00604096" w:rsidRPr="00E832D1">
        <w:t>T</w:t>
      </w:r>
      <w:r w:rsidR="006F6364" w:rsidRPr="00E832D1">
        <w:t xml:space="preserve">ransitions along the HIV </w:t>
      </w:r>
      <w:r w:rsidR="00604096" w:rsidRPr="00E832D1">
        <w:t>C</w:t>
      </w:r>
      <w:r w:rsidR="006F6364" w:rsidRPr="00E832D1">
        <w:t>ontinuum-of-</w:t>
      </w:r>
      <w:r w:rsidR="00604096" w:rsidRPr="00E832D1">
        <w:t>C</w:t>
      </w:r>
      <w:r w:rsidR="006F6364" w:rsidRPr="00E832D1">
        <w:t xml:space="preserve">are and </w:t>
      </w:r>
      <w:r w:rsidR="00604096" w:rsidRPr="00E832D1">
        <w:t>M</w:t>
      </w:r>
      <w:r w:rsidR="006F6364" w:rsidRPr="00E832D1">
        <w:t>aintenance of VLS</w:t>
      </w:r>
      <w:bookmarkEnd w:id="148"/>
      <w:r w:rsidR="00B83A0E" w:rsidRPr="00E832D1">
        <w:t xml:space="preserve"> </w:t>
      </w:r>
    </w:p>
    <w:tbl>
      <w:tblPr>
        <w:tblW w:w="5000" w:type="pct"/>
        <w:tblBorders>
          <w:top w:val="single" w:sz="12" w:space="0" w:color="auto"/>
          <w:bottom w:val="single" w:sz="12" w:space="0" w:color="auto"/>
          <w:insideH w:val="single" w:sz="6" w:space="0" w:color="808080" w:themeColor="background1" w:themeShade="80"/>
        </w:tblBorders>
        <w:tblLayout w:type="fixed"/>
        <w:tblCellMar>
          <w:left w:w="58" w:type="dxa"/>
          <w:right w:w="58" w:type="dxa"/>
        </w:tblCellMar>
        <w:tblLook w:val="04A0" w:firstRow="1" w:lastRow="0" w:firstColumn="1" w:lastColumn="0" w:noHBand="0" w:noVBand="1"/>
      </w:tblPr>
      <w:tblGrid>
        <w:gridCol w:w="3624"/>
        <w:gridCol w:w="1607"/>
        <w:gridCol w:w="4129"/>
      </w:tblGrid>
      <w:tr w:rsidR="000B0022" w:rsidRPr="00E832D1" w14:paraId="4C0F3676" w14:textId="77777777" w:rsidTr="00AF5B78">
        <w:trPr>
          <w:cantSplit/>
        </w:trPr>
        <w:tc>
          <w:tcPr>
            <w:tcW w:w="3870" w:type="dxa"/>
            <w:tcBorders>
              <w:top w:val="single" w:sz="12" w:space="0" w:color="auto"/>
              <w:bottom w:val="single" w:sz="6" w:space="0" w:color="auto"/>
            </w:tcBorders>
          </w:tcPr>
          <w:p w14:paraId="3A0B62D0" w14:textId="22DDAC8B" w:rsidR="000B0022" w:rsidRPr="00E832D1" w:rsidRDefault="00B83A0E" w:rsidP="003C3DFE">
            <w:pPr>
              <w:pStyle w:val="TableHeaders"/>
              <w:keepNext/>
            </w:pPr>
            <w:r w:rsidRPr="00E832D1">
              <w:t>Cost</w:t>
            </w:r>
          </w:p>
        </w:tc>
        <w:tc>
          <w:tcPr>
            <w:tcW w:w="1710" w:type="dxa"/>
            <w:tcBorders>
              <w:top w:val="single" w:sz="12" w:space="0" w:color="auto"/>
              <w:bottom w:val="single" w:sz="6" w:space="0" w:color="auto"/>
            </w:tcBorders>
          </w:tcPr>
          <w:p w14:paraId="61DA980F" w14:textId="77777777" w:rsidR="000B0022" w:rsidRPr="00E832D1" w:rsidRDefault="000B0022" w:rsidP="003C3DFE">
            <w:pPr>
              <w:pStyle w:val="TableHeaders"/>
              <w:keepNext/>
            </w:pPr>
            <w:r w:rsidRPr="00E832D1">
              <w:t>Value</w:t>
            </w:r>
          </w:p>
        </w:tc>
        <w:tc>
          <w:tcPr>
            <w:tcW w:w="4410" w:type="dxa"/>
            <w:tcBorders>
              <w:top w:val="single" w:sz="12" w:space="0" w:color="auto"/>
              <w:bottom w:val="single" w:sz="6" w:space="0" w:color="auto"/>
            </w:tcBorders>
          </w:tcPr>
          <w:p w14:paraId="1A0850C4" w14:textId="77777777" w:rsidR="000B0022" w:rsidRPr="00E832D1" w:rsidRDefault="000B0022" w:rsidP="003C3DFE">
            <w:pPr>
              <w:pStyle w:val="TableHeaders"/>
              <w:keepNext/>
            </w:pPr>
            <w:r w:rsidRPr="00E832D1">
              <w:t>Source</w:t>
            </w:r>
          </w:p>
        </w:tc>
      </w:tr>
      <w:tr w:rsidR="00AD78A3" w:rsidRPr="00E832D1" w14:paraId="3CD64148" w14:textId="77777777" w:rsidTr="00AF5B78">
        <w:trPr>
          <w:cantSplit/>
        </w:trPr>
        <w:tc>
          <w:tcPr>
            <w:tcW w:w="3870" w:type="dxa"/>
            <w:tcBorders>
              <w:top w:val="single" w:sz="6" w:space="0" w:color="auto"/>
            </w:tcBorders>
          </w:tcPr>
          <w:p w14:paraId="38C070A0" w14:textId="083A49BD" w:rsidR="00AD78A3" w:rsidRPr="00E832D1" w:rsidRDefault="00B83A0E" w:rsidP="003C3DFE">
            <w:pPr>
              <w:pStyle w:val="TableText"/>
            </w:pPr>
            <w:r w:rsidRPr="00E832D1">
              <w:t>Cost for t</w:t>
            </w:r>
            <w:r w:rsidR="00FC377F" w:rsidRPr="00E832D1">
              <w:t xml:space="preserve">esting, </w:t>
            </w:r>
            <w:proofErr w:type="gramStart"/>
            <w:r w:rsidR="00FC377F" w:rsidRPr="00E832D1">
              <w:t>diagnosis</w:t>
            </w:r>
            <w:proofErr w:type="gramEnd"/>
            <w:r w:rsidR="00FC377F" w:rsidRPr="00E832D1">
              <w:t xml:space="preserve"> and notification</w:t>
            </w:r>
            <w:r w:rsidRPr="00E832D1">
              <w:t xml:space="preserve"> of all tested individuals per unaware HIV-infected person effectively diagnosed</w:t>
            </w:r>
            <w:r w:rsidR="00FC377F" w:rsidRPr="00E832D1">
              <w:t xml:space="preserve">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1 to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2,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1 to </w:t>
            </w:r>
            <w:r w:rsidR="00FC377F" w:rsidRPr="00E832D1">
              <w:rPr>
                <w:i/>
                <w:iCs/>
              </w:rPr>
              <w:t>r</w:t>
            </w:r>
            <w:r w:rsidR="004B6293" w:rsidRPr="00E832D1">
              <w:rPr>
                <w:i/>
                <w:iCs/>
              </w:rPr>
              <w:t xml:space="preserve"> </w:t>
            </w:r>
            <w:r w:rsidR="00FC377F" w:rsidRPr="00E832D1">
              <w:t>=</w:t>
            </w:r>
            <w:r w:rsidR="004B6293" w:rsidRPr="00E832D1">
              <w:t> </w:t>
            </w:r>
            <w:r w:rsidR="00FC377F" w:rsidRPr="00E832D1">
              <w:t>3)</w:t>
            </w:r>
          </w:p>
        </w:tc>
        <w:tc>
          <w:tcPr>
            <w:tcW w:w="1710" w:type="dxa"/>
            <w:tcBorders>
              <w:top w:val="single" w:sz="6" w:space="0" w:color="auto"/>
            </w:tcBorders>
          </w:tcPr>
          <w:p w14:paraId="49AD8E9B" w14:textId="53F7D9A5" w:rsidR="00AD78A3" w:rsidRPr="00E832D1" w:rsidRDefault="00AD78A3" w:rsidP="003C3DFE">
            <w:pPr>
              <w:pStyle w:val="TableText"/>
            </w:pPr>
            <w:r w:rsidRPr="00E832D1">
              <w:t>$</w:t>
            </w:r>
            <w:r w:rsidR="00171980" w:rsidRPr="008436B6">
              <w:rPr>
                <w:iCs/>
              </w:rPr>
              <w:t>27,329</w:t>
            </w:r>
            <w:r w:rsidR="00171980" w:rsidRPr="00312968">
              <w:t xml:space="preserve"> (201</w:t>
            </w:r>
            <w:r w:rsidR="00171980">
              <w:t>9</w:t>
            </w:r>
            <w:r w:rsidR="00171980" w:rsidRPr="00312968">
              <w:t>$) per effectively diagnosed HIV-infected person</w:t>
            </w:r>
          </w:p>
        </w:tc>
        <w:tc>
          <w:tcPr>
            <w:tcW w:w="4410" w:type="dxa"/>
            <w:tcBorders>
              <w:top w:val="single" w:sz="6" w:space="0" w:color="auto"/>
            </w:tcBorders>
          </w:tcPr>
          <w:p w14:paraId="22449A0A" w14:textId="31C0AF99" w:rsidR="00AD78A3" w:rsidRPr="00E832D1" w:rsidRDefault="00AD78A3" w:rsidP="003C3DFE">
            <w:pPr>
              <w:pStyle w:val="TableText"/>
            </w:pPr>
            <w:r w:rsidRPr="00E832D1">
              <w:t xml:space="preserve">Equal to </w:t>
            </w:r>
            <w:r w:rsidR="004B6293" w:rsidRPr="00E832D1">
              <w:t>t</w:t>
            </w:r>
            <w:r w:rsidRPr="00E832D1">
              <w:t>esting cost</w:t>
            </w:r>
            <w:r w:rsidR="00FC377F" w:rsidRPr="00E832D1">
              <w:t>, as reported in Table 8.2.</w:t>
            </w:r>
            <w:r w:rsidRPr="00E832D1">
              <w:t xml:space="preserve"> </w:t>
            </w:r>
          </w:p>
        </w:tc>
      </w:tr>
      <w:tr w:rsidR="00AD78A3" w:rsidRPr="00E832D1" w14:paraId="21899D0C" w14:textId="77777777" w:rsidTr="00AF5B78">
        <w:trPr>
          <w:cantSplit/>
        </w:trPr>
        <w:tc>
          <w:tcPr>
            <w:tcW w:w="3870" w:type="dxa"/>
          </w:tcPr>
          <w:p w14:paraId="66ACE2BF" w14:textId="018A246E" w:rsidR="00AD78A3" w:rsidRPr="00E832D1" w:rsidRDefault="00B83A0E" w:rsidP="003C3DFE">
            <w:pPr>
              <w:pStyle w:val="TableText"/>
            </w:pPr>
            <w:r w:rsidRPr="00E832D1">
              <w:t xml:space="preserve">Cost to effectively </w:t>
            </w:r>
            <w:r w:rsidR="00A57569" w:rsidRPr="00E832D1">
              <w:t>l</w:t>
            </w:r>
            <w:r w:rsidR="00FC377F" w:rsidRPr="00E832D1">
              <w:t>ink</w:t>
            </w:r>
            <w:r w:rsidR="00A57569" w:rsidRPr="00E832D1">
              <w:t xml:space="preserve"> one newly diagnosed person</w:t>
            </w:r>
            <w:r w:rsidR="00FC377F" w:rsidRPr="00E832D1">
              <w:t xml:space="preserve"> to care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1 to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3)</w:t>
            </w:r>
          </w:p>
        </w:tc>
        <w:tc>
          <w:tcPr>
            <w:tcW w:w="1710" w:type="dxa"/>
          </w:tcPr>
          <w:p w14:paraId="1183A165" w14:textId="77777777" w:rsidR="00AD78A3" w:rsidRPr="00E832D1" w:rsidRDefault="00AD78A3" w:rsidP="003C3DFE">
            <w:pPr>
              <w:pStyle w:val="TableText"/>
            </w:pPr>
            <w:r w:rsidRPr="00E832D1">
              <w:t>$539 (2002$)</w:t>
            </w:r>
          </w:p>
        </w:tc>
        <w:tc>
          <w:tcPr>
            <w:tcW w:w="4410" w:type="dxa"/>
          </w:tcPr>
          <w:p w14:paraId="01D3484F" w14:textId="481D3D3C" w:rsidR="00AD78A3" w:rsidRPr="00E832D1" w:rsidRDefault="00AD78A3" w:rsidP="003C3DFE">
            <w:pPr>
              <w:pStyle w:val="TableText"/>
            </w:pPr>
            <w:r w:rsidRPr="00E832D1">
              <w:t xml:space="preserve">Assumed same as </w:t>
            </w:r>
            <w:r w:rsidR="00FC377F" w:rsidRPr="00E832D1">
              <w:t>cost of linkage to care at diagnosis intervention, as reported in Table</w:t>
            </w:r>
            <w:r w:rsidR="004B6293" w:rsidRPr="00E832D1">
              <w:t> </w:t>
            </w:r>
            <w:r w:rsidR="00FC377F" w:rsidRPr="00E832D1">
              <w:t>8.2</w:t>
            </w:r>
          </w:p>
        </w:tc>
      </w:tr>
    </w:tbl>
    <w:p w14:paraId="206B4E36" w14:textId="188459C7" w:rsidR="000E78F7" w:rsidRPr="00135091" w:rsidRDefault="000E78F7" w:rsidP="000E78F7">
      <w:pPr>
        <w:pStyle w:val="table-continued"/>
        <w:rPr>
          <w:highlight w:val="green"/>
        </w:rPr>
      </w:pPr>
      <w:r w:rsidRPr="00E832D1">
        <w:t>(continued)</w:t>
      </w:r>
      <w:r w:rsidRPr="00135091">
        <w:rPr>
          <w:sz w:val="20"/>
          <w:highlight w:val="green"/>
        </w:rPr>
        <w:br w:type="page"/>
      </w:r>
    </w:p>
    <w:p w14:paraId="217F6C4B" w14:textId="51D1FA00" w:rsidR="000E78F7" w:rsidRPr="00E832D1" w:rsidRDefault="000E78F7" w:rsidP="00AF5B78">
      <w:pPr>
        <w:pStyle w:val="TableTitlecont"/>
      </w:pPr>
      <w:r w:rsidRPr="00E832D1">
        <w:lastRenderedPageBreak/>
        <w:t xml:space="preserve">Table </w:t>
      </w:r>
      <w:r w:rsidR="008867F1">
        <w:t>9</w:t>
      </w:r>
      <w:r w:rsidRPr="00E832D1">
        <w:t>.</w:t>
      </w:r>
      <w:r w:rsidR="008128FA">
        <w:t>2</w:t>
      </w:r>
      <w:r w:rsidRPr="00E832D1">
        <w:t>.</w:t>
      </w:r>
      <w:r w:rsidRPr="00E832D1">
        <w:tab/>
        <w:t>Costs of Transitions along the HIV Continuum-of-Care and Maintenance of VLS (continued)</w:t>
      </w:r>
    </w:p>
    <w:tbl>
      <w:tblPr>
        <w:tblW w:w="5000" w:type="pct"/>
        <w:tblBorders>
          <w:top w:val="single" w:sz="12" w:space="0" w:color="auto"/>
          <w:bottom w:val="single" w:sz="12" w:space="0" w:color="auto"/>
          <w:insideH w:val="single" w:sz="6" w:space="0" w:color="808080" w:themeColor="background1" w:themeShade="80"/>
        </w:tblBorders>
        <w:tblLayout w:type="fixed"/>
        <w:tblCellMar>
          <w:left w:w="58" w:type="dxa"/>
          <w:right w:w="58" w:type="dxa"/>
        </w:tblCellMar>
        <w:tblLook w:val="04A0" w:firstRow="1" w:lastRow="0" w:firstColumn="1" w:lastColumn="0" w:noHBand="0" w:noVBand="1"/>
      </w:tblPr>
      <w:tblGrid>
        <w:gridCol w:w="3624"/>
        <w:gridCol w:w="1607"/>
        <w:gridCol w:w="4129"/>
      </w:tblGrid>
      <w:tr w:rsidR="000E78F7" w:rsidRPr="00E832D1" w14:paraId="4C24EB58" w14:textId="77777777" w:rsidTr="00AF5B78">
        <w:trPr>
          <w:cantSplit/>
        </w:trPr>
        <w:tc>
          <w:tcPr>
            <w:tcW w:w="3624" w:type="dxa"/>
            <w:tcBorders>
              <w:top w:val="single" w:sz="12" w:space="0" w:color="auto"/>
              <w:bottom w:val="single" w:sz="6" w:space="0" w:color="auto"/>
            </w:tcBorders>
          </w:tcPr>
          <w:p w14:paraId="306A35A4" w14:textId="77777777" w:rsidR="000E78F7" w:rsidRPr="00E832D1" w:rsidRDefault="000E78F7" w:rsidP="000E78F7">
            <w:pPr>
              <w:pStyle w:val="TableHeaders"/>
              <w:keepNext/>
            </w:pPr>
            <w:r w:rsidRPr="00E832D1">
              <w:t>Cost</w:t>
            </w:r>
          </w:p>
        </w:tc>
        <w:tc>
          <w:tcPr>
            <w:tcW w:w="1607" w:type="dxa"/>
            <w:tcBorders>
              <w:top w:val="single" w:sz="12" w:space="0" w:color="auto"/>
              <w:bottom w:val="single" w:sz="6" w:space="0" w:color="auto"/>
            </w:tcBorders>
          </w:tcPr>
          <w:p w14:paraId="7598977C" w14:textId="77777777" w:rsidR="000E78F7" w:rsidRPr="00E832D1" w:rsidRDefault="000E78F7" w:rsidP="000E78F7">
            <w:pPr>
              <w:pStyle w:val="TableHeaders"/>
              <w:keepNext/>
            </w:pPr>
            <w:r w:rsidRPr="00E832D1">
              <w:t>Value</w:t>
            </w:r>
          </w:p>
        </w:tc>
        <w:tc>
          <w:tcPr>
            <w:tcW w:w="4129" w:type="dxa"/>
            <w:tcBorders>
              <w:top w:val="single" w:sz="12" w:space="0" w:color="auto"/>
              <w:bottom w:val="single" w:sz="6" w:space="0" w:color="auto"/>
            </w:tcBorders>
          </w:tcPr>
          <w:p w14:paraId="79F8781D" w14:textId="77777777" w:rsidR="000E78F7" w:rsidRPr="00E832D1" w:rsidRDefault="000E78F7" w:rsidP="000E78F7">
            <w:pPr>
              <w:pStyle w:val="TableHeaders"/>
              <w:keepNext/>
            </w:pPr>
            <w:r w:rsidRPr="00E832D1">
              <w:t>Source</w:t>
            </w:r>
          </w:p>
        </w:tc>
      </w:tr>
      <w:tr w:rsidR="00AD78A3" w:rsidRPr="00E832D1" w14:paraId="44236F4C" w14:textId="77777777" w:rsidTr="00AF5B78">
        <w:trPr>
          <w:cantSplit/>
        </w:trPr>
        <w:tc>
          <w:tcPr>
            <w:tcW w:w="3624" w:type="dxa"/>
          </w:tcPr>
          <w:p w14:paraId="2A7F1D0B" w14:textId="2EBCEA0A" w:rsidR="00AD78A3" w:rsidRPr="00E832D1" w:rsidRDefault="00A57569" w:rsidP="003C3DFE">
            <w:pPr>
              <w:pStyle w:val="TableText"/>
            </w:pPr>
            <w:r w:rsidRPr="00E832D1">
              <w:t xml:space="preserve">Cost to effectively link one previously diagnosed person to care </w:t>
            </w:r>
            <w:r w:rsidR="00FC377F" w:rsidRPr="00E832D1">
              <w:t>(</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2 to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3)</w:t>
            </w:r>
          </w:p>
        </w:tc>
        <w:tc>
          <w:tcPr>
            <w:tcW w:w="1607" w:type="dxa"/>
          </w:tcPr>
          <w:p w14:paraId="6989FD98" w14:textId="77777777" w:rsidR="00AD78A3" w:rsidRPr="00E832D1" w:rsidRDefault="00AD78A3" w:rsidP="003C3DFE">
            <w:pPr>
              <w:pStyle w:val="TableText"/>
            </w:pPr>
            <w:r w:rsidRPr="00E832D1">
              <w:t>$1,078 (2002$)</w:t>
            </w:r>
          </w:p>
        </w:tc>
        <w:tc>
          <w:tcPr>
            <w:tcW w:w="4129" w:type="dxa"/>
          </w:tcPr>
          <w:p w14:paraId="6DD29ECF" w14:textId="6D2B98D1" w:rsidR="00AD78A3" w:rsidRPr="00E832D1" w:rsidRDefault="00FC377F" w:rsidP="003C3DFE">
            <w:pPr>
              <w:pStyle w:val="TableText"/>
            </w:pPr>
            <w:r w:rsidRPr="00E832D1">
              <w:t>Assumed same as cost of linkage to care after diagnosis intervention, as reported in Table</w:t>
            </w:r>
            <w:r w:rsidR="004B6293" w:rsidRPr="00E832D1">
              <w:t> </w:t>
            </w:r>
            <w:r w:rsidRPr="00E832D1">
              <w:t>8.2</w:t>
            </w:r>
          </w:p>
        </w:tc>
      </w:tr>
      <w:tr w:rsidR="00AD78A3" w:rsidRPr="00E832D1" w14:paraId="576E75DD" w14:textId="77777777" w:rsidTr="00AF5B78">
        <w:trPr>
          <w:cantSplit/>
        </w:trPr>
        <w:tc>
          <w:tcPr>
            <w:tcW w:w="3624" w:type="dxa"/>
            <w:tcBorders>
              <w:bottom w:val="single" w:sz="6" w:space="0" w:color="808080" w:themeColor="background1" w:themeShade="80"/>
            </w:tcBorders>
          </w:tcPr>
          <w:p w14:paraId="07184DEF" w14:textId="79FC5C7D" w:rsidR="00AD78A3" w:rsidRPr="00E832D1" w:rsidRDefault="00A57569" w:rsidP="003C3DFE">
            <w:pPr>
              <w:pStyle w:val="TableText"/>
            </w:pPr>
            <w:r w:rsidRPr="00E832D1">
              <w:t xml:space="preserve">Cost to prescribe </w:t>
            </w:r>
            <w:r w:rsidR="00FC377F" w:rsidRPr="00E832D1">
              <w:t xml:space="preserve">ART </w:t>
            </w:r>
            <w:r w:rsidRPr="00E832D1">
              <w:t>to one individual linked to care but not on ART</w:t>
            </w:r>
            <w:r w:rsidR="00FC377F" w:rsidRPr="00E832D1">
              <w:t xml:space="preserve">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3 to </w:t>
            </w:r>
            <w:r w:rsidR="00FC377F" w:rsidRPr="00E832D1">
              <w:rPr>
                <w:i/>
                <w:iCs/>
              </w:rPr>
              <w:t>r</w:t>
            </w:r>
            <w:r w:rsidR="004B6293" w:rsidRPr="00E832D1">
              <w:rPr>
                <w:i/>
                <w:iCs/>
              </w:rPr>
              <w:t> </w:t>
            </w:r>
            <w:r w:rsidR="00FC377F" w:rsidRPr="00E832D1">
              <w:t>=</w:t>
            </w:r>
            <w:r w:rsidR="004B6293" w:rsidRPr="00E832D1">
              <w:t> </w:t>
            </w:r>
            <w:r w:rsidR="00FC377F" w:rsidRPr="00E832D1">
              <w:t xml:space="preserve">4,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3 to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5)</w:t>
            </w:r>
          </w:p>
        </w:tc>
        <w:tc>
          <w:tcPr>
            <w:tcW w:w="1607" w:type="dxa"/>
            <w:tcBorders>
              <w:bottom w:val="single" w:sz="6" w:space="0" w:color="808080" w:themeColor="background1" w:themeShade="80"/>
            </w:tcBorders>
          </w:tcPr>
          <w:p w14:paraId="4A72810C" w14:textId="77777777" w:rsidR="00AD78A3" w:rsidRPr="00E832D1" w:rsidRDefault="00AD78A3" w:rsidP="003C3DFE">
            <w:pPr>
              <w:pStyle w:val="TableText"/>
            </w:pPr>
            <w:r w:rsidRPr="00E832D1">
              <w:t>$25 (2017$)</w:t>
            </w:r>
          </w:p>
        </w:tc>
        <w:tc>
          <w:tcPr>
            <w:tcW w:w="4129" w:type="dxa"/>
            <w:tcBorders>
              <w:bottom w:val="single" w:sz="6" w:space="0" w:color="808080" w:themeColor="background1" w:themeShade="80"/>
            </w:tcBorders>
          </w:tcPr>
          <w:p w14:paraId="25CD7E2E" w14:textId="122B62AC" w:rsidR="00AD78A3" w:rsidRPr="00E832D1" w:rsidRDefault="00FC377F" w:rsidP="003C3DFE">
            <w:pPr>
              <w:pStyle w:val="TableText"/>
            </w:pPr>
            <w:r w:rsidRPr="00E832D1">
              <w:t>Assumed same as cost of ART prescription intervention, as reported in Table 8.2</w:t>
            </w:r>
          </w:p>
        </w:tc>
      </w:tr>
      <w:tr w:rsidR="00AD78A3" w:rsidRPr="00E832D1" w14:paraId="6E8EFDE0" w14:textId="77777777" w:rsidTr="00AF5B78">
        <w:trPr>
          <w:cantSplit/>
        </w:trPr>
        <w:tc>
          <w:tcPr>
            <w:tcW w:w="3624" w:type="dxa"/>
            <w:tcBorders>
              <w:top w:val="single" w:sz="6" w:space="0" w:color="808080" w:themeColor="background1" w:themeShade="80"/>
              <w:bottom w:val="single" w:sz="6" w:space="0" w:color="808080" w:themeColor="background1" w:themeShade="80"/>
            </w:tcBorders>
          </w:tcPr>
          <w:p w14:paraId="4BC0A603" w14:textId="324B4226" w:rsidR="00AD78A3" w:rsidRPr="00E832D1" w:rsidRDefault="00A57569" w:rsidP="003C3DFE">
            <w:pPr>
              <w:pStyle w:val="TableText"/>
            </w:pPr>
            <w:r w:rsidRPr="00E832D1">
              <w:t>Cost of one individual previously prescribed ART but who is not VLS b</w:t>
            </w:r>
            <w:r w:rsidR="00FC377F" w:rsidRPr="00E832D1">
              <w:t>ecoming VLS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4 to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5)</w:t>
            </w:r>
          </w:p>
        </w:tc>
        <w:tc>
          <w:tcPr>
            <w:tcW w:w="1607" w:type="dxa"/>
            <w:tcBorders>
              <w:top w:val="single" w:sz="6" w:space="0" w:color="808080" w:themeColor="background1" w:themeShade="80"/>
              <w:bottom w:val="single" w:sz="6" w:space="0" w:color="808080" w:themeColor="background1" w:themeShade="80"/>
            </w:tcBorders>
          </w:tcPr>
          <w:p w14:paraId="38AD929D" w14:textId="77777777" w:rsidR="00AD78A3" w:rsidRPr="00E832D1" w:rsidRDefault="00AD78A3" w:rsidP="003C3DFE">
            <w:pPr>
              <w:pStyle w:val="TableText"/>
            </w:pPr>
            <w:r w:rsidRPr="00E832D1">
              <w:t>$416 (2002$)</w:t>
            </w:r>
          </w:p>
        </w:tc>
        <w:tc>
          <w:tcPr>
            <w:tcW w:w="4129" w:type="dxa"/>
            <w:tcBorders>
              <w:top w:val="single" w:sz="6" w:space="0" w:color="808080" w:themeColor="background1" w:themeShade="80"/>
              <w:bottom w:val="single" w:sz="6" w:space="0" w:color="808080" w:themeColor="background1" w:themeShade="80"/>
            </w:tcBorders>
          </w:tcPr>
          <w:p w14:paraId="75DE5C7C" w14:textId="1619FE2B" w:rsidR="00AD78A3" w:rsidRPr="00E832D1" w:rsidRDefault="00FC377F" w:rsidP="003C3DFE">
            <w:pPr>
              <w:pStyle w:val="TableText"/>
              <w:rPr>
                <w:color w:val="000000"/>
              </w:rPr>
            </w:pPr>
            <w:r w:rsidRPr="00E832D1">
              <w:t>Assumed same as cost of ART adherence intervention, as reported in Table 8.2</w:t>
            </w:r>
          </w:p>
        </w:tc>
      </w:tr>
      <w:tr w:rsidR="00AD78A3" w:rsidRPr="00E832D1" w14:paraId="3F38F751" w14:textId="77777777" w:rsidTr="00AF5B78">
        <w:trPr>
          <w:cantSplit/>
        </w:trPr>
        <w:tc>
          <w:tcPr>
            <w:tcW w:w="3624" w:type="dxa"/>
            <w:tcBorders>
              <w:top w:val="single" w:sz="6" w:space="0" w:color="808080" w:themeColor="background1" w:themeShade="80"/>
              <w:bottom w:val="single" w:sz="12" w:space="0" w:color="000000" w:themeColor="text1"/>
            </w:tcBorders>
          </w:tcPr>
          <w:p w14:paraId="00801C93" w14:textId="1C8C1DD6" w:rsidR="00AD78A3" w:rsidRPr="00E832D1" w:rsidRDefault="00A57569" w:rsidP="003C3DFE">
            <w:pPr>
              <w:pStyle w:val="TableText"/>
            </w:pPr>
            <w:r w:rsidRPr="00E832D1">
              <w:t xml:space="preserve">Annual cost of an individual who maintains </w:t>
            </w:r>
            <w:r w:rsidR="00FC377F" w:rsidRPr="00E832D1">
              <w:t xml:space="preserve">VLS (and preventing loss of VLS from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 xml:space="preserve">5 to </w:t>
            </w:r>
            <w:r w:rsidR="00FC377F" w:rsidRPr="00E832D1">
              <w:rPr>
                <w:i/>
                <w:iCs/>
              </w:rPr>
              <w:t>r</w:t>
            </w:r>
            <w:r w:rsidR="004B6293" w:rsidRPr="00E832D1">
              <w:rPr>
                <w:i/>
                <w:iCs/>
              </w:rPr>
              <w:t xml:space="preserve"> </w:t>
            </w:r>
            <w:r w:rsidR="00FC377F" w:rsidRPr="00E832D1">
              <w:t>=</w:t>
            </w:r>
            <w:r w:rsidR="004B6293" w:rsidRPr="00E832D1">
              <w:t xml:space="preserve"> </w:t>
            </w:r>
            <w:r w:rsidR="00FC377F" w:rsidRPr="00E832D1">
              <w:t>4)</w:t>
            </w:r>
          </w:p>
        </w:tc>
        <w:tc>
          <w:tcPr>
            <w:tcW w:w="1607" w:type="dxa"/>
            <w:tcBorders>
              <w:top w:val="single" w:sz="6" w:space="0" w:color="808080" w:themeColor="background1" w:themeShade="80"/>
              <w:bottom w:val="single" w:sz="12" w:space="0" w:color="000000" w:themeColor="text1"/>
            </w:tcBorders>
          </w:tcPr>
          <w:p w14:paraId="4DD4EF92" w14:textId="3C5080B3" w:rsidR="00AD78A3" w:rsidRPr="00E832D1" w:rsidRDefault="00FC377F" w:rsidP="003C3DFE">
            <w:pPr>
              <w:pStyle w:val="TableText"/>
              <w:rPr>
                <w:color w:val="000000"/>
              </w:rPr>
            </w:pPr>
            <w:r w:rsidRPr="00E832D1">
              <w:t>$416 (2002$)</w:t>
            </w:r>
          </w:p>
        </w:tc>
        <w:tc>
          <w:tcPr>
            <w:tcW w:w="4129" w:type="dxa"/>
            <w:tcBorders>
              <w:top w:val="single" w:sz="6" w:space="0" w:color="808080" w:themeColor="background1" w:themeShade="80"/>
              <w:bottom w:val="single" w:sz="12" w:space="0" w:color="000000" w:themeColor="text1"/>
            </w:tcBorders>
          </w:tcPr>
          <w:p w14:paraId="7CF78868" w14:textId="6F95F472" w:rsidR="00AD78A3" w:rsidRPr="00E832D1" w:rsidRDefault="00FC377F" w:rsidP="003C3DFE">
            <w:pPr>
              <w:pStyle w:val="TableText"/>
              <w:rPr>
                <w:color w:val="000000"/>
              </w:rPr>
            </w:pPr>
            <w:r w:rsidRPr="00E832D1">
              <w:t>Assumed same as cost of ART adherence intervention, as reported in Table 8.2</w:t>
            </w:r>
          </w:p>
        </w:tc>
      </w:tr>
    </w:tbl>
    <w:p w14:paraId="6C85CDC2" w14:textId="728A88EF" w:rsidR="00A57569" w:rsidRPr="00C00335" w:rsidRDefault="00A57569" w:rsidP="000E78F7">
      <w:pPr>
        <w:pStyle w:val="Source1"/>
      </w:pPr>
      <w:r w:rsidRPr="00E832D1">
        <w:t>Note: ART = antiretroviral therapy, VLS = viral load suppression</w:t>
      </w:r>
    </w:p>
    <w:p w14:paraId="2861E18C" w14:textId="6207971C" w:rsidR="005E0E74" w:rsidRPr="00C00335" w:rsidRDefault="005F2789" w:rsidP="000B0022">
      <w:pPr>
        <w:pStyle w:val="Heading3"/>
      </w:pPr>
      <w:bookmarkStart w:id="149" w:name="_Toc89257568"/>
      <w:r>
        <w:t xml:space="preserve">Calculation of </w:t>
      </w:r>
      <w:r w:rsidR="00202595" w:rsidRPr="00C00335">
        <w:t xml:space="preserve">HIV </w:t>
      </w:r>
      <w:r w:rsidR="008B30F8" w:rsidRPr="00C00335">
        <w:t xml:space="preserve">Treatment </w:t>
      </w:r>
      <w:r w:rsidR="00202595" w:rsidRPr="00C00335">
        <w:t xml:space="preserve">and </w:t>
      </w:r>
      <w:r w:rsidR="008B30F8" w:rsidRPr="00C00335">
        <w:t>Care Costs</w:t>
      </w:r>
      <w:bookmarkEnd w:id="149"/>
    </w:p>
    <w:p w14:paraId="4E1688EE" w14:textId="1C8E041C" w:rsidR="005E0E74" w:rsidRPr="00C00335" w:rsidRDefault="005E0E74" w:rsidP="00A921C5">
      <w:pPr>
        <w:pStyle w:val="BodyText"/>
      </w:pPr>
      <w:r w:rsidRPr="00C00335">
        <w:t>HIV treatment and care costs</w:t>
      </w:r>
      <w:r w:rsidR="00056A62" w:rsidRPr="00C00335">
        <w:t xml:space="preserve">, listed in </w:t>
      </w:r>
      <w:r w:rsidR="00CC1DD7" w:rsidRPr="00C00335">
        <w:t xml:space="preserve">Table </w:t>
      </w:r>
      <w:r w:rsidR="0005114B">
        <w:t>9</w:t>
      </w:r>
      <w:r w:rsidR="00CC1DD7" w:rsidRPr="00C00335">
        <w:t>.</w:t>
      </w:r>
      <w:r w:rsidR="008261F3">
        <w:t>3</w:t>
      </w:r>
      <w:r w:rsidR="00056A62" w:rsidRPr="00C00335">
        <w:t>,</w:t>
      </w:r>
      <w:r w:rsidRPr="00C00335">
        <w:t xml:space="preserve"> vary by </w:t>
      </w:r>
      <w:r w:rsidR="00056A62" w:rsidRPr="00C00335">
        <w:t xml:space="preserve">both HIV status and </w:t>
      </w:r>
      <w:r w:rsidR="003F2DC6" w:rsidRPr="00C00335">
        <w:t>care continuum</w:t>
      </w:r>
      <w:r w:rsidR="00056A62" w:rsidRPr="00C00335">
        <w:t xml:space="preserve"> status</w:t>
      </w:r>
      <w:r w:rsidRPr="00C00335">
        <w:t xml:space="preserve">. </w:t>
      </w:r>
      <w:r w:rsidR="0051126D" w:rsidRPr="00C00335">
        <w:t xml:space="preserve">The total HIV treatment and care costs </w:t>
      </w:r>
      <w:r w:rsidR="00A921C5" w:rsidRPr="00C00335">
        <w:t>accrued by the model</w:t>
      </w:r>
      <w:r w:rsidR="0051126D" w:rsidRPr="00C00335">
        <w:t xml:space="preserve">ed population over the </w:t>
      </w:r>
      <w:r w:rsidR="00A921C5" w:rsidRPr="00C00335">
        <w:t>outcome collection period are</w:t>
      </w:r>
      <w:r w:rsidR="0051126D" w:rsidRPr="00C00335">
        <w:t xml:space="preserve"> calculated </w:t>
      </w:r>
      <w:r w:rsidR="00A921C5" w:rsidRPr="00C00335">
        <w:t xml:space="preserve">by </w:t>
      </w:r>
      <w:r w:rsidR="0051126D" w:rsidRPr="00C00335">
        <w:t xml:space="preserve">using Equation </w:t>
      </w:r>
      <w:r w:rsidR="00903B31" w:rsidRPr="00C00335">
        <w:t>(</w:t>
      </w:r>
      <w:r w:rsidR="008867F1">
        <w:t>9</w:t>
      </w:r>
      <w:r w:rsidR="00903B31" w:rsidRPr="00C00335">
        <w:t>.</w:t>
      </w:r>
      <w:r w:rsidR="008261F3">
        <w:t>8</w:t>
      </w:r>
      <w:r w:rsidR="008B30F8" w:rsidRPr="00C00335">
        <w:t>)</w:t>
      </w:r>
      <w:r w:rsidR="0051126D" w:rsidRPr="00C00335">
        <w:t>.</w:t>
      </w:r>
    </w:p>
    <w:p w14:paraId="5306F27E" w14:textId="6E1FADAB" w:rsidR="006F6153" w:rsidRPr="00C00335" w:rsidRDefault="006F6153" w:rsidP="00626270">
      <w:pPr>
        <w:pStyle w:val="BodyText"/>
        <w:keepNext/>
      </w:pPr>
      <w:r w:rsidRPr="00C00335">
        <w:t xml:space="preserve">Total treatment and care costs are calculated </w:t>
      </w:r>
      <w:r w:rsidR="00626270" w:rsidRPr="00C00335">
        <w:t xml:space="preserve">using Equation </w:t>
      </w:r>
      <w:r w:rsidR="00903B31" w:rsidRPr="00C00335">
        <w:t>(</w:t>
      </w:r>
      <w:r w:rsidR="008867F1">
        <w:t>9</w:t>
      </w:r>
      <w:r w:rsidR="00903B31" w:rsidRPr="00C00335">
        <w:t>.</w:t>
      </w:r>
      <w:r w:rsidR="008261F3">
        <w:t>8</w:t>
      </w:r>
      <w:r w:rsidR="00626270" w:rsidRPr="00C00335">
        <w:t>):</w:t>
      </w:r>
    </w:p>
    <w:p w14:paraId="4C919D12" w14:textId="5091E6A7" w:rsidR="006F6153" w:rsidRPr="00C00335" w:rsidRDefault="006F6153" w:rsidP="006F6153">
      <w:pPr>
        <w:pStyle w:val="equation"/>
        <w:rPr>
          <w:oMath/>
        </w:rPr>
      </w:pPr>
      <w:r w:rsidRPr="00C00335">
        <w:tab/>
      </w:r>
      <m:oMath>
        <m:r>
          <m:rPr>
            <m:nor/>
          </m:rPr>
          <m:t xml:space="preserve">D = </m:t>
        </m:r>
        <m:nary>
          <m:naryPr>
            <m:chr m:val="∑"/>
            <m:limLoc m:val="undOvr"/>
            <m:supHide m:val="1"/>
            <m:ctrlPr>
              <w:rPr>
                <w:i/>
              </w:rPr>
            </m:ctrlPr>
          </m:naryPr>
          <m:sub>
            <m:r>
              <m:rPr>
                <m:nor/>
              </m:rPr>
              <m:t>p</m:t>
            </m:r>
          </m:sub>
          <m:sup/>
          <m:e>
            <m:nary>
              <m:naryPr>
                <m:chr m:val="∑"/>
                <m:limLoc m:val="undOvr"/>
                <m:supHide m:val="1"/>
                <m:ctrlPr>
                  <w:rPr>
                    <w:i/>
                  </w:rPr>
                </m:ctrlPr>
              </m:naryPr>
              <m:sub>
                <m:r>
                  <m:rPr>
                    <m:nor/>
                  </m:rPr>
                  <m:t>t</m:t>
                </m:r>
              </m:sub>
              <m:sup/>
              <m:e>
                <m:nary>
                  <m:naryPr>
                    <m:chr m:val="∑"/>
                    <m:limLoc m:val="undOvr"/>
                    <m:supHide m:val="1"/>
                    <m:ctrlPr>
                      <w:rPr>
                        <w:i/>
                      </w:rPr>
                    </m:ctrlPr>
                  </m:naryPr>
                  <m:sub>
                    <m:r>
                      <m:rPr>
                        <m:nor/>
                      </m:rPr>
                      <m:t>c=3:25</m:t>
                    </m:r>
                  </m:sub>
                  <m:sup/>
                  <m:e>
                    <m:d>
                      <m:dPr>
                        <m:ctrlPr>
                          <w:rPr>
                            <w:i/>
                          </w:rPr>
                        </m:ctrlPr>
                      </m:dPr>
                      <m:e>
                        <m:sSubSup>
                          <m:sSubSupPr>
                            <m:ctrlPr>
                              <w:rPr>
                                <w:i/>
                              </w:rPr>
                            </m:ctrlPr>
                          </m:sSubSupPr>
                          <m:e>
                            <m:r>
                              <m:rPr>
                                <m:nor/>
                              </m:rPr>
                              <m:t>X</m:t>
                            </m:r>
                          </m:e>
                          <m:sub>
                            <m:r>
                              <m:rPr>
                                <m:nor/>
                              </m:rPr>
                              <m:t>p</m:t>
                            </m:r>
                          </m:sub>
                          <m:sup>
                            <m:r>
                              <m:rPr>
                                <m:nor/>
                              </m:rPr>
                              <m:t>c</m:t>
                            </m:r>
                          </m:sup>
                        </m:sSubSup>
                        <m:d>
                          <m:dPr>
                            <m:ctrlPr>
                              <w:rPr>
                                <w:i/>
                              </w:rPr>
                            </m:ctrlPr>
                          </m:dPr>
                          <m:e>
                            <m:r>
                              <m:rPr>
                                <m:nor/>
                              </m:rPr>
                              <m:t>t</m:t>
                            </m:r>
                          </m:e>
                        </m:d>
                        <m:r>
                          <m:rPr>
                            <m:nor/>
                          </m:rPr>
                          <m:t>*</m:t>
                        </m:r>
                        <m:sSub>
                          <m:sSubPr>
                            <m:ctrlPr>
                              <w:rPr>
                                <w:i/>
                              </w:rPr>
                            </m:ctrlPr>
                          </m:sSubPr>
                          <m:e>
                            <m:r>
                              <m:rPr>
                                <m:nor/>
                              </m:rPr>
                              <m:t>J</m:t>
                            </m:r>
                          </m:e>
                          <m:sub>
                            <m:r>
                              <m:rPr>
                                <m:nor/>
                              </m:rPr>
                              <m:t>c</m:t>
                            </m:r>
                          </m:sub>
                        </m:sSub>
                        <m:r>
                          <m:rPr>
                            <m:nor/>
                          </m:rPr>
                          <m:t>*</m:t>
                        </m:r>
                        <m:f>
                          <m:fPr>
                            <m:ctrlPr>
                              <w:rPr>
                                <w:i/>
                              </w:rPr>
                            </m:ctrlPr>
                          </m:fPr>
                          <m:num>
                            <m:r>
                              <m:rPr>
                                <m:nor/>
                              </m:rPr>
                              <m:t>1</m:t>
                            </m:r>
                          </m:num>
                          <m:den>
                            <m:sSup>
                              <m:sSupPr>
                                <m:ctrlPr>
                                  <w:rPr>
                                    <w:i/>
                                  </w:rPr>
                                </m:ctrlPr>
                              </m:sSupPr>
                              <m:e>
                                <m:r>
                                  <m:rPr>
                                    <m:nor/>
                                  </m:rPr>
                                  <m:t>(1+U)</m:t>
                                </m:r>
                              </m:e>
                              <m:sup>
                                <m:r>
                                  <m:rPr>
                                    <m:nor/>
                                  </m:rPr>
                                  <m:t>t</m:t>
                                </m:r>
                              </m:sup>
                            </m:sSup>
                          </m:den>
                        </m:f>
                        <m:r>
                          <m:rPr>
                            <m:nor/>
                          </m:rPr>
                          <m:t>*q(t)</m:t>
                        </m:r>
                      </m:e>
                    </m:d>
                  </m:e>
                </m:nary>
              </m:e>
            </m:nary>
          </m:e>
        </m:nary>
      </m:oMath>
      <w:r w:rsidRPr="00C00335">
        <w:tab/>
      </w:r>
      <w:r w:rsidR="00903B31" w:rsidRPr="00C00335">
        <w:t>(</w:t>
      </w:r>
      <w:r w:rsidR="008867F1">
        <w:t>9</w:t>
      </w:r>
      <w:r w:rsidR="00903B31" w:rsidRPr="00C00335">
        <w:t>.</w:t>
      </w:r>
      <w:r w:rsidR="008261F3">
        <w:t>8</w:t>
      </w:r>
      <w:r w:rsidRPr="00C00335">
        <w:t>)</w:t>
      </w:r>
    </w:p>
    <w:p w14:paraId="09439874" w14:textId="77777777" w:rsidR="006F6153" w:rsidRPr="00C00335" w:rsidRDefault="006F6153" w:rsidP="006F6153">
      <w:pPr>
        <w:pStyle w:val="BodyText"/>
        <w:rPr>
          <w:i/>
        </w:rPr>
      </w:pPr>
      <w:r w:rsidRPr="00C00335">
        <w:t>where</w:t>
      </w:r>
    </w:p>
    <w:p w14:paraId="013C569D" w14:textId="77777777" w:rsidR="006F6153" w:rsidRPr="00E832D1" w:rsidRDefault="006F6153" w:rsidP="002B1372">
      <w:pPr>
        <w:pStyle w:val="bullets"/>
      </w:pPr>
      <w:r w:rsidRPr="00C00335">
        <w:t xml:space="preserve">D = cumulative treatment </w:t>
      </w:r>
      <w:r w:rsidRPr="00E832D1">
        <w:t>and care costs over the outcome collection period,</w:t>
      </w:r>
    </w:p>
    <w:p w14:paraId="02D3688E" w14:textId="77777777" w:rsidR="006F6153" w:rsidRPr="00E832D1" w:rsidRDefault="006F6153" w:rsidP="002B1372">
      <w:pPr>
        <w:pStyle w:val="bullets"/>
      </w:pPr>
      <w:r w:rsidRPr="00E832D1">
        <w:t>U</w:t>
      </w:r>
      <w:r w:rsidRPr="00E832D1">
        <w:rPr>
          <w:vertAlign w:val="subscript"/>
        </w:rPr>
        <w:t xml:space="preserve"> </w:t>
      </w:r>
      <w:r w:rsidRPr="00E832D1">
        <w:t>= discount rate for costs, and</w:t>
      </w:r>
    </w:p>
    <w:p w14:paraId="035EC6D0" w14:textId="77777777" w:rsidR="006F6153" w:rsidRPr="00E832D1" w:rsidRDefault="006F6153" w:rsidP="002B1372">
      <w:pPr>
        <w:pStyle w:val="bullets"/>
      </w:pPr>
      <w:proofErr w:type="spellStart"/>
      <w:r w:rsidRPr="00E832D1">
        <w:t>J</w:t>
      </w:r>
      <w:r w:rsidRPr="00E832D1">
        <w:rPr>
          <w:vertAlign w:val="subscript"/>
        </w:rPr>
        <w:t>c</w:t>
      </w:r>
      <w:proofErr w:type="spellEnd"/>
      <w:r w:rsidRPr="00E832D1">
        <w:t xml:space="preserve"> = annual treatment and care costs for an individual in compartment c</w:t>
      </w:r>
    </w:p>
    <w:p w14:paraId="6C5A3C40" w14:textId="20BC65EF" w:rsidR="0090437C" w:rsidRPr="00E832D1" w:rsidRDefault="0090437C" w:rsidP="00903B31">
      <w:pPr>
        <w:pStyle w:val="TableTitle"/>
      </w:pPr>
      <w:bookmarkStart w:id="150" w:name="_Toc89257616"/>
      <w:r w:rsidRPr="00E832D1">
        <w:lastRenderedPageBreak/>
        <w:t xml:space="preserve">Table </w:t>
      </w:r>
      <w:r w:rsidR="008867F1">
        <w:t>9</w:t>
      </w:r>
      <w:r w:rsidRPr="00E832D1">
        <w:t>.</w:t>
      </w:r>
      <w:r w:rsidR="008128FA">
        <w:t>3</w:t>
      </w:r>
      <w:r w:rsidRPr="00E832D1">
        <w:t>.</w:t>
      </w:r>
      <w:r w:rsidRPr="00E832D1">
        <w:tab/>
        <w:t>Annual HIV Treatment and Care Costs</w:t>
      </w:r>
      <w:bookmarkEnd w:id="150"/>
    </w:p>
    <w:tbl>
      <w:tblPr>
        <w:tblW w:w="9360" w:type="dxa"/>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2361"/>
        <w:gridCol w:w="3013"/>
        <w:gridCol w:w="1265"/>
        <w:gridCol w:w="2721"/>
      </w:tblGrid>
      <w:tr w:rsidR="0090437C" w:rsidRPr="00E832D1" w14:paraId="569EDA14" w14:textId="77777777" w:rsidTr="00260D8A">
        <w:trPr>
          <w:cantSplit/>
          <w:tblHeader/>
        </w:trPr>
        <w:tc>
          <w:tcPr>
            <w:tcW w:w="2361" w:type="dxa"/>
            <w:tcBorders>
              <w:top w:val="single" w:sz="12" w:space="0" w:color="000000"/>
              <w:bottom w:val="single" w:sz="6" w:space="0" w:color="auto"/>
            </w:tcBorders>
            <w:shd w:val="clear" w:color="auto" w:fill="auto"/>
            <w:vAlign w:val="bottom"/>
          </w:tcPr>
          <w:p w14:paraId="5CC663C0" w14:textId="77777777" w:rsidR="0090437C" w:rsidRPr="00E832D1" w:rsidRDefault="0090437C" w:rsidP="00871E69">
            <w:pPr>
              <w:pStyle w:val="TableHeaders"/>
              <w:keepNext/>
            </w:pPr>
            <w:r w:rsidRPr="00E832D1">
              <w:t>HIV Status</w:t>
            </w:r>
          </w:p>
        </w:tc>
        <w:tc>
          <w:tcPr>
            <w:tcW w:w="3013" w:type="dxa"/>
            <w:tcBorders>
              <w:top w:val="single" w:sz="12" w:space="0" w:color="000000"/>
              <w:bottom w:val="single" w:sz="6" w:space="0" w:color="auto"/>
            </w:tcBorders>
            <w:shd w:val="clear" w:color="auto" w:fill="auto"/>
            <w:vAlign w:val="bottom"/>
          </w:tcPr>
          <w:p w14:paraId="41EDAA5F" w14:textId="3307F3EC" w:rsidR="0090437C" w:rsidRPr="00E832D1" w:rsidRDefault="003F2DC6" w:rsidP="00871E69">
            <w:pPr>
              <w:pStyle w:val="TableHeaders"/>
              <w:keepNext/>
            </w:pPr>
            <w:r w:rsidRPr="00E832D1">
              <w:t xml:space="preserve">Care </w:t>
            </w:r>
            <w:r w:rsidR="0090437C" w:rsidRPr="00E832D1">
              <w:t>Continuum Stage</w:t>
            </w:r>
          </w:p>
        </w:tc>
        <w:tc>
          <w:tcPr>
            <w:tcW w:w="1265" w:type="dxa"/>
            <w:tcBorders>
              <w:top w:val="single" w:sz="12" w:space="0" w:color="000000"/>
              <w:bottom w:val="single" w:sz="6" w:space="0" w:color="auto"/>
            </w:tcBorders>
            <w:shd w:val="clear" w:color="auto" w:fill="auto"/>
            <w:noWrap/>
            <w:vAlign w:val="bottom"/>
          </w:tcPr>
          <w:p w14:paraId="55ADCE62" w14:textId="4E03B5D1" w:rsidR="0090437C" w:rsidRPr="00E832D1" w:rsidRDefault="0090437C" w:rsidP="00871E69">
            <w:pPr>
              <w:pStyle w:val="TableHeaders"/>
              <w:keepNext/>
            </w:pPr>
            <w:proofErr w:type="spellStart"/>
            <w:r w:rsidRPr="00E832D1">
              <w:t>Value</w:t>
            </w:r>
            <w:r w:rsidRPr="00E832D1">
              <w:rPr>
                <w:vertAlign w:val="superscript"/>
              </w:rPr>
              <w:t>a</w:t>
            </w:r>
            <w:proofErr w:type="spellEnd"/>
            <w:r w:rsidRPr="00E832D1">
              <w:t xml:space="preserve"> </w:t>
            </w:r>
          </w:p>
        </w:tc>
        <w:tc>
          <w:tcPr>
            <w:tcW w:w="2721" w:type="dxa"/>
            <w:tcBorders>
              <w:top w:val="single" w:sz="12" w:space="0" w:color="000000"/>
              <w:bottom w:val="single" w:sz="6" w:space="0" w:color="auto"/>
            </w:tcBorders>
            <w:shd w:val="clear" w:color="auto" w:fill="auto"/>
            <w:vAlign w:val="bottom"/>
          </w:tcPr>
          <w:p w14:paraId="07D37792" w14:textId="77777777" w:rsidR="0090437C" w:rsidRPr="00E832D1" w:rsidRDefault="0090437C" w:rsidP="00871E69">
            <w:pPr>
              <w:pStyle w:val="TableHeaders"/>
              <w:keepNext/>
            </w:pPr>
            <w:r w:rsidRPr="00E832D1">
              <w:t>Source</w:t>
            </w:r>
          </w:p>
        </w:tc>
      </w:tr>
      <w:tr w:rsidR="0090437C" w:rsidRPr="00E832D1" w14:paraId="1ED1DC05" w14:textId="77777777" w:rsidTr="00260D8A">
        <w:trPr>
          <w:cantSplit/>
        </w:trPr>
        <w:tc>
          <w:tcPr>
            <w:tcW w:w="2361" w:type="dxa"/>
            <w:tcBorders>
              <w:top w:val="single" w:sz="6" w:space="0" w:color="auto"/>
              <w:bottom w:val="single" w:sz="6" w:space="0" w:color="808080" w:themeColor="background1" w:themeShade="80"/>
            </w:tcBorders>
          </w:tcPr>
          <w:p w14:paraId="27211A64" w14:textId="77777777" w:rsidR="0090437C" w:rsidRPr="00E832D1" w:rsidRDefault="0090437C" w:rsidP="00871E69">
            <w:pPr>
              <w:pStyle w:val="TableText"/>
              <w:keepNext/>
              <w:rPr>
                <w:szCs w:val="18"/>
              </w:rPr>
            </w:pPr>
            <w:r w:rsidRPr="00E832D1">
              <w:rPr>
                <w:szCs w:val="18"/>
              </w:rPr>
              <w:t>Uninfected</w:t>
            </w:r>
          </w:p>
        </w:tc>
        <w:tc>
          <w:tcPr>
            <w:tcW w:w="3013" w:type="dxa"/>
            <w:tcBorders>
              <w:top w:val="single" w:sz="6" w:space="0" w:color="auto"/>
              <w:bottom w:val="single" w:sz="6" w:space="0" w:color="808080" w:themeColor="background1" w:themeShade="80"/>
            </w:tcBorders>
          </w:tcPr>
          <w:p w14:paraId="3BFE4219" w14:textId="77777777" w:rsidR="0090437C" w:rsidRPr="00E832D1" w:rsidRDefault="0090437C" w:rsidP="00871E69">
            <w:pPr>
              <w:pStyle w:val="TableText"/>
              <w:keepNext/>
              <w:rPr>
                <w:szCs w:val="18"/>
              </w:rPr>
            </w:pPr>
            <w:r w:rsidRPr="00E832D1">
              <w:rPr>
                <w:szCs w:val="18"/>
              </w:rPr>
              <w:t>N/A</w:t>
            </w:r>
          </w:p>
        </w:tc>
        <w:tc>
          <w:tcPr>
            <w:tcW w:w="1265" w:type="dxa"/>
            <w:tcBorders>
              <w:top w:val="single" w:sz="6" w:space="0" w:color="auto"/>
              <w:bottom w:val="single" w:sz="6" w:space="0" w:color="808080" w:themeColor="background1" w:themeShade="80"/>
            </w:tcBorders>
            <w:shd w:val="clear" w:color="auto" w:fill="auto"/>
            <w:noWrap/>
          </w:tcPr>
          <w:p w14:paraId="243A95C5" w14:textId="77777777" w:rsidR="0090437C" w:rsidRPr="00E832D1" w:rsidRDefault="0090437C" w:rsidP="00871E69">
            <w:pPr>
              <w:pStyle w:val="TableText"/>
              <w:keepNext/>
              <w:rPr>
                <w:szCs w:val="18"/>
              </w:rPr>
            </w:pPr>
            <w:r w:rsidRPr="00E832D1">
              <w:rPr>
                <w:szCs w:val="18"/>
              </w:rPr>
              <w:t>$0</w:t>
            </w:r>
          </w:p>
        </w:tc>
        <w:tc>
          <w:tcPr>
            <w:tcW w:w="2721" w:type="dxa"/>
            <w:tcBorders>
              <w:top w:val="single" w:sz="6" w:space="0" w:color="auto"/>
              <w:bottom w:val="single" w:sz="6" w:space="0" w:color="808080" w:themeColor="background1" w:themeShade="80"/>
            </w:tcBorders>
          </w:tcPr>
          <w:p w14:paraId="7690747D" w14:textId="77777777" w:rsidR="0090437C" w:rsidRPr="00E832D1" w:rsidRDefault="0090437C" w:rsidP="00871E69">
            <w:pPr>
              <w:pStyle w:val="TableText"/>
              <w:keepNext/>
              <w:rPr>
                <w:szCs w:val="18"/>
              </w:rPr>
            </w:pPr>
            <w:r w:rsidRPr="00E832D1">
              <w:rPr>
                <w:szCs w:val="18"/>
              </w:rPr>
              <w:t>Assumed</w:t>
            </w:r>
          </w:p>
        </w:tc>
      </w:tr>
      <w:tr w:rsidR="0090437C" w:rsidRPr="00E832D1" w14:paraId="53099136"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73F261FD" w14:textId="77777777" w:rsidR="0090437C" w:rsidRPr="00E832D1" w:rsidRDefault="0090437C" w:rsidP="00871E69">
            <w:pPr>
              <w:pStyle w:val="TableText"/>
              <w:keepNext/>
              <w:rPr>
                <w:szCs w:val="18"/>
              </w:rPr>
            </w:pPr>
            <w:r w:rsidRPr="00E832D1">
              <w:rPr>
                <w:szCs w:val="18"/>
              </w:rPr>
              <w:t>Acute</w:t>
            </w:r>
          </w:p>
        </w:tc>
        <w:tc>
          <w:tcPr>
            <w:tcW w:w="3013" w:type="dxa"/>
            <w:tcBorders>
              <w:top w:val="single" w:sz="6" w:space="0" w:color="808080" w:themeColor="background1" w:themeShade="80"/>
              <w:bottom w:val="single" w:sz="6" w:space="0" w:color="808080" w:themeColor="background1" w:themeShade="80"/>
            </w:tcBorders>
          </w:tcPr>
          <w:p w14:paraId="34A60D43" w14:textId="59B628A7" w:rsidR="0090437C" w:rsidRPr="00E832D1" w:rsidRDefault="000965E6" w:rsidP="00871E69">
            <w:pPr>
              <w:pStyle w:val="TableText"/>
              <w:keepNext/>
              <w:rPr>
                <w:szCs w:val="18"/>
              </w:rPr>
            </w:pPr>
            <w:r w:rsidRPr="00E832D1">
              <w:rPr>
                <w:szCs w:val="18"/>
              </w:rPr>
              <w:t>Unaware of infection</w:t>
            </w:r>
          </w:p>
        </w:tc>
        <w:tc>
          <w:tcPr>
            <w:tcW w:w="1265" w:type="dxa"/>
            <w:tcBorders>
              <w:top w:val="single" w:sz="6" w:space="0" w:color="808080" w:themeColor="background1" w:themeShade="80"/>
              <w:bottom w:val="single" w:sz="6" w:space="0" w:color="808080" w:themeColor="background1" w:themeShade="80"/>
            </w:tcBorders>
            <w:shd w:val="clear" w:color="auto" w:fill="auto"/>
            <w:noWrap/>
          </w:tcPr>
          <w:p w14:paraId="6157A1D3" w14:textId="7F62EDCF" w:rsidR="0090437C" w:rsidRPr="00E832D1" w:rsidRDefault="009B20EC" w:rsidP="00871E69">
            <w:pPr>
              <w:pStyle w:val="TableText"/>
              <w:keepNext/>
              <w:rPr>
                <w:szCs w:val="18"/>
              </w:rPr>
            </w:pPr>
            <w:r w:rsidRPr="00E832D1">
              <w:rPr>
                <w:szCs w:val="18"/>
              </w:rPr>
              <w:t>$4,372</w:t>
            </w:r>
            <w:r w:rsidR="009D2976" w:rsidRPr="00E832D1">
              <w:rPr>
                <w:vertAlign w:val="superscript"/>
              </w:rPr>
              <w:t>b</w:t>
            </w:r>
          </w:p>
        </w:tc>
        <w:tc>
          <w:tcPr>
            <w:tcW w:w="2721" w:type="dxa"/>
            <w:vMerge w:val="restart"/>
            <w:tcBorders>
              <w:top w:val="single" w:sz="6" w:space="0" w:color="808080" w:themeColor="background1" w:themeShade="80"/>
              <w:bottom w:val="single" w:sz="12" w:space="0" w:color="auto"/>
            </w:tcBorders>
          </w:tcPr>
          <w:p w14:paraId="79E7F75D" w14:textId="20642C2B" w:rsidR="0090437C" w:rsidRPr="00E832D1" w:rsidRDefault="0090437C" w:rsidP="00871E69">
            <w:pPr>
              <w:pStyle w:val="TableText"/>
              <w:keepNext/>
              <w:rPr>
                <w:szCs w:val="18"/>
              </w:rPr>
            </w:pPr>
            <w:proofErr w:type="spellStart"/>
            <w:r w:rsidRPr="00E832D1">
              <w:rPr>
                <w:szCs w:val="18"/>
              </w:rPr>
              <w:t>Gebo</w:t>
            </w:r>
            <w:proofErr w:type="spellEnd"/>
            <w:r w:rsidRPr="00E832D1">
              <w:rPr>
                <w:szCs w:val="18"/>
              </w:rPr>
              <w:t xml:space="preserve"> et al. (2010), </w:t>
            </w:r>
            <w:r w:rsidR="0032547C" w:rsidRPr="00E832D1">
              <w:rPr>
                <w:szCs w:val="18"/>
              </w:rPr>
              <w:t>U.S. Department of Veterans Affairs (2018).</w:t>
            </w:r>
          </w:p>
        </w:tc>
      </w:tr>
      <w:tr w:rsidR="0090437C" w:rsidRPr="00E832D1" w14:paraId="090E0840"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3114AA25" w14:textId="77777777" w:rsidR="0090437C" w:rsidRPr="00E832D1" w:rsidRDefault="0090437C" w:rsidP="00871E69">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00D02C01" w14:textId="21ED7B8E" w:rsidR="0090437C" w:rsidRPr="00E832D1" w:rsidRDefault="000965E6" w:rsidP="00871E69">
            <w:pPr>
              <w:pStyle w:val="TableText"/>
              <w:keepNext/>
              <w:rPr>
                <w:szCs w:val="18"/>
              </w:rPr>
            </w:pPr>
            <w:r w:rsidRPr="00E832D1">
              <w:rPr>
                <w:szCs w:val="18"/>
              </w:rPr>
              <w:t>Aware but not linked to HIV care</w:t>
            </w:r>
          </w:p>
        </w:tc>
        <w:tc>
          <w:tcPr>
            <w:tcW w:w="1265" w:type="dxa"/>
            <w:tcBorders>
              <w:top w:val="single" w:sz="6" w:space="0" w:color="808080" w:themeColor="background1" w:themeShade="80"/>
              <w:bottom w:val="single" w:sz="6" w:space="0" w:color="808080" w:themeColor="background1" w:themeShade="80"/>
            </w:tcBorders>
            <w:shd w:val="clear" w:color="auto" w:fill="auto"/>
            <w:noWrap/>
          </w:tcPr>
          <w:p w14:paraId="4D34DEAE" w14:textId="6562F13B" w:rsidR="0090437C" w:rsidRPr="00E832D1" w:rsidRDefault="009B20EC" w:rsidP="00871E69">
            <w:pPr>
              <w:pStyle w:val="TableText"/>
              <w:keepNext/>
              <w:rPr>
                <w:szCs w:val="18"/>
              </w:rPr>
            </w:pPr>
            <w:r w:rsidRPr="00E832D1">
              <w:rPr>
                <w:szCs w:val="18"/>
              </w:rPr>
              <w:t>$4,372</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004F9B86" w14:textId="77777777" w:rsidR="0090437C" w:rsidRPr="00E832D1" w:rsidRDefault="0090437C" w:rsidP="00871E69">
            <w:pPr>
              <w:pStyle w:val="TableText"/>
              <w:keepNext/>
              <w:rPr>
                <w:szCs w:val="18"/>
              </w:rPr>
            </w:pPr>
          </w:p>
        </w:tc>
      </w:tr>
      <w:tr w:rsidR="0090437C" w:rsidRPr="00E832D1" w14:paraId="3592F7DA"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7A5F24F0" w14:textId="77777777" w:rsidR="0090437C" w:rsidRPr="00E832D1" w:rsidRDefault="0090437C" w:rsidP="00871E69">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2F19016B" w14:textId="67C980AC" w:rsidR="0090437C" w:rsidRPr="00E832D1" w:rsidRDefault="000965E6" w:rsidP="00871E69">
            <w:pPr>
              <w:pStyle w:val="TableText"/>
              <w:keepNext/>
              <w:rPr>
                <w:szCs w:val="18"/>
              </w:rPr>
            </w:pPr>
            <w:r w:rsidRPr="00E832D1">
              <w:rPr>
                <w:szCs w:val="18"/>
              </w:rPr>
              <w:t>Linked to HIV care but not prescribed ART</w:t>
            </w:r>
          </w:p>
        </w:tc>
        <w:tc>
          <w:tcPr>
            <w:tcW w:w="1265" w:type="dxa"/>
            <w:tcBorders>
              <w:top w:val="single" w:sz="6" w:space="0" w:color="808080" w:themeColor="background1" w:themeShade="80"/>
              <w:bottom w:val="single" w:sz="6" w:space="0" w:color="808080" w:themeColor="background1" w:themeShade="80"/>
            </w:tcBorders>
            <w:shd w:val="clear" w:color="auto" w:fill="auto"/>
            <w:noWrap/>
          </w:tcPr>
          <w:p w14:paraId="6D582230" w14:textId="1FCD5E45" w:rsidR="0090437C" w:rsidRPr="00E832D1" w:rsidRDefault="009B20EC" w:rsidP="00871E69">
            <w:pPr>
              <w:pStyle w:val="TableText"/>
              <w:keepNext/>
              <w:rPr>
                <w:szCs w:val="18"/>
              </w:rPr>
            </w:pPr>
            <w:r w:rsidRPr="00E832D1">
              <w:rPr>
                <w:szCs w:val="18"/>
              </w:rPr>
              <w:t>$4,853</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69246DBE" w14:textId="77777777" w:rsidR="0090437C" w:rsidRPr="00E832D1" w:rsidRDefault="0090437C" w:rsidP="00871E69">
            <w:pPr>
              <w:pStyle w:val="TableText"/>
              <w:keepNext/>
              <w:rPr>
                <w:szCs w:val="18"/>
              </w:rPr>
            </w:pPr>
          </w:p>
        </w:tc>
      </w:tr>
      <w:tr w:rsidR="000F405F" w:rsidRPr="00E832D1" w14:paraId="08B66DB6" w14:textId="77777777" w:rsidTr="008B196A">
        <w:trPr>
          <w:cantSplit/>
        </w:trPr>
        <w:tc>
          <w:tcPr>
            <w:tcW w:w="2361" w:type="dxa"/>
            <w:tcBorders>
              <w:top w:val="single" w:sz="6" w:space="0" w:color="808080" w:themeColor="background1" w:themeShade="80"/>
              <w:bottom w:val="single" w:sz="6" w:space="0" w:color="808080" w:themeColor="background1" w:themeShade="80"/>
            </w:tcBorders>
          </w:tcPr>
          <w:p w14:paraId="623B3A43" w14:textId="77777777" w:rsidR="000F405F" w:rsidRPr="00E832D1" w:rsidRDefault="000F405F" w:rsidP="000F405F">
            <w:pPr>
              <w:pStyle w:val="TableText"/>
              <w:keepNext/>
              <w:rPr>
                <w:szCs w:val="18"/>
              </w:rPr>
            </w:pPr>
            <w:r w:rsidRPr="00E832D1">
              <w:rPr>
                <w:szCs w:val="18"/>
              </w:rPr>
              <w:t>CD4 &gt;500</w:t>
            </w:r>
          </w:p>
        </w:tc>
        <w:tc>
          <w:tcPr>
            <w:tcW w:w="3013" w:type="dxa"/>
            <w:tcBorders>
              <w:top w:val="single" w:sz="6" w:space="0" w:color="808080" w:themeColor="background1" w:themeShade="80"/>
              <w:bottom w:val="single" w:sz="6" w:space="0" w:color="808080" w:themeColor="background1" w:themeShade="80"/>
            </w:tcBorders>
          </w:tcPr>
          <w:p w14:paraId="153714E7" w14:textId="6369735E" w:rsidR="000F405F" w:rsidRPr="00E832D1" w:rsidRDefault="000F405F" w:rsidP="000F405F">
            <w:pPr>
              <w:pStyle w:val="TableText"/>
              <w:keepNext/>
              <w:rPr>
                <w:szCs w:val="18"/>
              </w:rPr>
            </w:pPr>
            <w:r w:rsidRPr="00E832D1">
              <w:rPr>
                <w:szCs w:val="18"/>
              </w:rPr>
              <w:t>Unaware of infection</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7D299F5B" w14:textId="24A63DE2" w:rsidR="000F405F" w:rsidRPr="00E832D1" w:rsidRDefault="009B20EC" w:rsidP="000F405F">
            <w:pPr>
              <w:pStyle w:val="TableText"/>
              <w:keepNext/>
              <w:rPr>
                <w:szCs w:val="18"/>
              </w:rPr>
            </w:pPr>
            <w:r w:rsidRPr="00E832D1">
              <w:rPr>
                <w:szCs w:val="18"/>
              </w:rPr>
              <w:t>$4,372</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40D3642A" w14:textId="77777777" w:rsidR="000F405F" w:rsidRPr="00E832D1" w:rsidRDefault="000F405F" w:rsidP="000F405F">
            <w:pPr>
              <w:pStyle w:val="TableText"/>
              <w:keepNext/>
              <w:rPr>
                <w:szCs w:val="18"/>
              </w:rPr>
            </w:pPr>
          </w:p>
        </w:tc>
      </w:tr>
      <w:tr w:rsidR="000F405F" w:rsidRPr="00E832D1" w14:paraId="1A7EB35F" w14:textId="77777777" w:rsidTr="008B196A">
        <w:trPr>
          <w:cantSplit/>
        </w:trPr>
        <w:tc>
          <w:tcPr>
            <w:tcW w:w="2361" w:type="dxa"/>
            <w:tcBorders>
              <w:top w:val="single" w:sz="6" w:space="0" w:color="808080" w:themeColor="background1" w:themeShade="80"/>
              <w:bottom w:val="single" w:sz="6" w:space="0" w:color="808080" w:themeColor="background1" w:themeShade="80"/>
            </w:tcBorders>
          </w:tcPr>
          <w:p w14:paraId="599B9969" w14:textId="77777777" w:rsidR="000F405F" w:rsidRPr="00E832D1" w:rsidRDefault="000F405F" w:rsidP="000F405F">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4159371F" w14:textId="4EAF0788" w:rsidR="000F405F" w:rsidRPr="00E832D1" w:rsidRDefault="000F405F" w:rsidP="000F405F">
            <w:pPr>
              <w:pStyle w:val="TableText"/>
              <w:keepNext/>
              <w:rPr>
                <w:szCs w:val="18"/>
              </w:rPr>
            </w:pPr>
            <w:r w:rsidRPr="00E832D1">
              <w:rPr>
                <w:szCs w:val="18"/>
              </w:rPr>
              <w:t>Aware but not linked to HIV care</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16A48245" w14:textId="18A0BF27" w:rsidR="000F405F" w:rsidRPr="00E832D1" w:rsidRDefault="009B20EC" w:rsidP="000F405F">
            <w:pPr>
              <w:pStyle w:val="TableText"/>
              <w:keepNext/>
              <w:rPr>
                <w:szCs w:val="18"/>
              </w:rPr>
            </w:pPr>
            <w:r w:rsidRPr="00E832D1">
              <w:rPr>
                <w:szCs w:val="18"/>
              </w:rPr>
              <w:t>$4,372</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40265B05" w14:textId="77777777" w:rsidR="000F405F" w:rsidRPr="00E832D1" w:rsidRDefault="000F405F" w:rsidP="000F405F">
            <w:pPr>
              <w:pStyle w:val="TableText"/>
              <w:keepNext/>
              <w:rPr>
                <w:szCs w:val="18"/>
              </w:rPr>
            </w:pPr>
          </w:p>
        </w:tc>
      </w:tr>
      <w:tr w:rsidR="009B20EC" w:rsidRPr="00E832D1" w14:paraId="23C8D829" w14:textId="77777777" w:rsidTr="008B196A">
        <w:trPr>
          <w:cantSplit/>
        </w:trPr>
        <w:tc>
          <w:tcPr>
            <w:tcW w:w="2361" w:type="dxa"/>
            <w:tcBorders>
              <w:top w:val="single" w:sz="6" w:space="0" w:color="808080" w:themeColor="background1" w:themeShade="80"/>
              <w:bottom w:val="single" w:sz="6" w:space="0" w:color="808080" w:themeColor="background1" w:themeShade="80"/>
            </w:tcBorders>
          </w:tcPr>
          <w:p w14:paraId="09B41437"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5C782725" w14:textId="590B1161" w:rsidR="009B20EC" w:rsidRPr="00E832D1" w:rsidRDefault="009B20EC" w:rsidP="009B20EC">
            <w:pPr>
              <w:pStyle w:val="TableText"/>
              <w:keepNext/>
              <w:rPr>
                <w:szCs w:val="18"/>
              </w:rPr>
            </w:pPr>
            <w:r w:rsidRPr="00E832D1">
              <w:rPr>
                <w:szCs w:val="18"/>
              </w:rPr>
              <w:t>Linked to HIV care but not prescribed ART</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088293E1" w14:textId="69D1E98C" w:rsidR="009B20EC" w:rsidRPr="00E832D1" w:rsidRDefault="009B20EC" w:rsidP="009B20EC">
            <w:pPr>
              <w:pStyle w:val="TableText"/>
              <w:keepNext/>
              <w:rPr>
                <w:szCs w:val="18"/>
              </w:rPr>
            </w:pPr>
            <w:r w:rsidRPr="00E832D1">
              <w:rPr>
                <w:rFonts w:ascii="Calibri" w:hAnsi="Calibri" w:cs="Calibri"/>
                <w:sz w:val="22"/>
              </w:rPr>
              <w:t>$4,853</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146FE5A0" w14:textId="77777777" w:rsidR="009B20EC" w:rsidRPr="00E832D1" w:rsidRDefault="009B20EC" w:rsidP="009B20EC">
            <w:pPr>
              <w:pStyle w:val="TableText"/>
              <w:keepNext/>
              <w:rPr>
                <w:szCs w:val="18"/>
              </w:rPr>
            </w:pPr>
          </w:p>
        </w:tc>
      </w:tr>
      <w:tr w:rsidR="009B20EC" w:rsidRPr="00E832D1" w14:paraId="04631184" w14:textId="77777777" w:rsidTr="008B196A">
        <w:trPr>
          <w:cantSplit/>
        </w:trPr>
        <w:tc>
          <w:tcPr>
            <w:tcW w:w="2361" w:type="dxa"/>
            <w:tcBorders>
              <w:top w:val="single" w:sz="6" w:space="0" w:color="808080" w:themeColor="background1" w:themeShade="80"/>
              <w:bottom w:val="single" w:sz="6" w:space="0" w:color="808080" w:themeColor="background1" w:themeShade="80"/>
            </w:tcBorders>
          </w:tcPr>
          <w:p w14:paraId="6B1956BD"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46217331" w14:textId="4EF217AF" w:rsidR="009B20EC" w:rsidRPr="00E832D1" w:rsidRDefault="009B20EC" w:rsidP="009B20EC">
            <w:pPr>
              <w:pStyle w:val="TableText"/>
              <w:keepNext/>
              <w:rPr>
                <w:szCs w:val="18"/>
              </w:rPr>
            </w:pPr>
            <w:r w:rsidRPr="00E832D1">
              <w:rPr>
                <w:szCs w:val="18"/>
              </w:rPr>
              <w:t>Prescribed ART</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0C4CF340" w14:textId="34F98A69" w:rsidR="009B20EC" w:rsidRPr="00E832D1" w:rsidRDefault="009B20EC" w:rsidP="009B20EC">
            <w:pPr>
              <w:pStyle w:val="TableText"/>
              <w:keepNext/>
              <w:rPr>
                <w:szCs w:val="18"/>
              </w:rPr>
            </w:pPr>
            <w:r w:rsidRPr="00E832D1">
              <w:rPr>
                <w:rFonts w:ascii="Calibri" w:hAnsi="Calibri" w:cs="Calibri"/>
                <w:sz w:val="22"/>
              </w:rPr>
              <w:t>$32,174</w:t>
            </w:r>
            <w:r w:rsidR="009D2976" w:rsidRPr="00E832D1">
              <w:rPr>
                <w:vertAlign w:val="superscript"/>
              </w:rPr>
              <w:t>c</w:t>
            </w:r>
          </w:p>
        </w:tc>
        <w:tc>
          <w:tcPr>
            <w:tcW w:w="2721" w:type="dxa"/>
            <w:vMerge/>
            <w:tcBorders>
              <w:top w:val="single" w:sz="6" w:space="0" w:color="808080" w:themeColor="background1" w:themeShade="80"/>
              <w:bottom w:val="single" w:sz="12" w:space="0" w:color="auto"/>
            </w:tcBorders>
          </w:tcPr>
          <w:p w14:paraId="7F1C868F" w14:textId="77777777" w:rsidR="009B20EC" w:rsidRPr="00E832D1" w:rsidRDefault="009B20EC" w:rsidP="009B20EC">
            <w:pPr>
              <w:pStyle w:val="TableText"/>
              <w:keepNext/>
              <w:rPr>
                <w:szCs w:val="18"/>
              </w:rPr>
            </w:pPr>
          </w:p>
        </w:tc>
      </w:tr>
      <w:tr w:rsidR="009B20EC" w:rsidRPr="00E832D1" w14:paraId="1D3363C4"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67A3A847" w14:textId="77777777" w:rsidR="009B20EC" w:rsidRPr="00E832D1" w:rsidRDefault="009B20EC" w:rsidP="009B20EC">
            <w:pPr>
              <w:pStyle w:val="TableText"/>
              <w:keepNext/>
              <w:rPr>
                <w:szCs w:val="18"/>
              </w:rPr>
            </w:pPr>
            <w:r w:rsidRPr="00E832D1">
              <w:rPr>
                <w:szCs w:val="18"/>
              </w:rPr>
              <w:t>CD4 350–500</w:t>
            </w:r>
          </w:p>
        </w:tc>
        <w:tc>
          <w:tcPr>
            <w:tcW w:w="3013" w:type="dxa"/>
            <w:tcBorders>
              <w:top w:val="single" w:sz="6" w:space="0" w:color="808080" w:themeColor="background1" w:themeShade="80"/>
              <w:bottom w:val="single" w:sz="6" w:space="0" w:color="808080" w:themeColor="background1" w:themeShade="80"/>
            </w:tcBorders>
          </w:tcPr>
          <w:p w14:paraId="0C7B95E5" w14:textId="5923869D" w:rsidR="009B20EC" w:rsidRPr="00E832D1" w:rsidRDefault="009B20EC" w:rsidP="009B20EC">
            <w:pPr>
              <w:pStyle w:val="TableText"/>
              <w:keepNext/>
              <w:rPr>
                <w:szCs w:val="18"/>
              </w:rPr>
            </w:pPr>
            <w:r w:rsidRPr="00E832D1">
              <w:rPr>
                <w:szCs w:val="18"/>
              </w:rPr>
              <w:t>Unaware of infection</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7C322D75" w14:textId="643F9CDC" w:rsidR="009B20EC" w:rsidRPr="00E832D1" w:rsidRDefault="009B20EC" w:rsidP="009B20EC">
            <w:pPr>
              <w:pStyle w:val="TableText"/>
              <w:keepNext/>
              <w:rPr>
                <w:szCs w:val="18"/>
              </w:rPr>
            </w:pPr>
            <w:r w:rsidRPr="00E832D1">
              <w:rPr>
                <w:rFonts w:ascii="Calibri" w:hAnsi="Calibri" w:cs="Calibri"/>
                <w:sz w:val="22"/>
              </w:rPr>
              <w:t>$4,681</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2C06D558" w14:textId="77777777" w:rsidR="009B20EC" w:rsidRPr="00E832D1" w:rsidRDefault="009B20EC" w:rsidP="009B20EC">
            <w:pPr>
              <w:pStyle w:val="TableText"/>
              <w:keepNext/>
              <w:rPr>
                <w:szCs w:val="18"/>
              </w:rPr>
            </w:pPr>
          </w:p>
        </w:tc>
      </w:tr>
      <w:tr w:rsidR="009B20EC" w:rsidRPr="00E832D1" w14:paraId="3A8B4970"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57872507"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76A45AAD" w14:textId="507951E8" w:rsidR="009B20EC" w:rsidRPr="00E832D1" w:rsidRDefault="009B20EC" w:rsidP="009B20EC">
            <w:pPr>
              <w:pStyle w:val="TableText"/>
              <w:keepNext/>
              <w:rPr>
                <w:szCs w:val="18"/>
              </w:rPr>
            </w:pPr>
            <w:r w:rsidRPr="00E832D1">
              <w:rPr>
                <w:szCs w:val="18"/>
              </w:rPr>
              <w:t>Aware but not linked to HIV care</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1A379696" w14:textId="77717F08" w:rsidR="009B20EC" w:rsidRPr="00E832D1" w:rsidRDefault="009B20EC" w:rsidP="009B20EC">
            <w:pPr>
              <w:pStyle w:val="TableText"/>
              <w:keepNext/>
              <w:rPr>
                <w:szCs w:val="18"/>
              </w:rPr>
            </w:pPr>
            <w:r w:rsidRPr="00E832D1">
              <w:rPr>
                <w:rFonts w:ascii="Calibri" w:hAnsi="Calibri" w:cs="Calibri"/>
                <w:sz w:val="22"/>
              </w:rPr>
              <w:t>$4,681</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6198B602" w14:textId="77777777" w:rsidR="009B20EC" w:rsidRPr="00E832D1" w:rsidRDefault="009B20EC" w:rsidP="009B20EC">
            <w:pPr>
              <w:pStyle w:val="TableText"/>
              <w:keepNext/>
              <w:rPr>
                <w:szCs w:val="18"/>
              </w:rPr>
            </w:pPr>
          </w:p>
        </w:tc>
      </w:tr>
      <w:tr w:rsidR="009B20EC" w:rsidRPr="00E832D1" w14:paraId="2429E82A"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0C8D17F2"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1BDC529E" w14:textId="7FE84740" w:rsidR="009B20EC" w:rsidRPr="00E832D1" w:rsidRDefault="009B20EC" w:rsidP="009B20EC">
            <w:pPr>
              <w:pStyle w:val="TableText"/>
              <w:keepNext/>
              <w:rPr>
                <w:szCs w:val="18"/>
              </w:rPr>
            </w:pPr>
            <w:r w:rsidRPr="00E832D1">
              <w:rPr>
                <w:szCs w:val="18"/>
              </w:rPr>
              <w:t>Linked to HIV care but not prescribed ART</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6E5A379C" w14:textId="58235150" w:rsidR="009B20EC" w:rsidRPr="00E832D1" w:rsidRDefault="009B20EC" w:rsidP="009B20EC">
            <w:pPr>
              <w:pStyle w:val="TableText"/>
              <w:keepNext/>
              <w:rPr>
                <w:szCs w:val="18"/>
              </w:rPr>
            </w:pPr>
            <w:r w:rsidRPr="00E832D1">
              <w:rPr>
                <w:rFonts w:ascii="Calibri" w:hAnsi="Calibri" w:cs="Calibri"/>
                <w:sz w:val="22"/>
              </w:rPr>
              <w:t>$5,255</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16144F10" w14:textId="77777777" w:rsidR="009B20EC" w:rsidRPr="00E832D1" w:rsidRDefault="009B20EC" w:rsidP="009B20EC">
            <w:pPr>
              <w:pStyle w:val="TableText"/>
              <w:keepNext/>
              <w:rPr>
                <w:szCs w:val="18"/>
              </w:rPr>
            </w:pPr>
          </w:p>
        </w:tc>
      </w:tr>
      <w:tr w:rsidR="009B20EC" w:rsidRPr="00E832D1" w14:paraId="51401099"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76BC5471"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3200744E" w14:textId="79FEEDB9" w:rsidR="009B20EC" w:rsidRPr="00E832D1" w:rsidRDefault="009B20EC" w:rsidP="009B20EC">
            <w:pPr>
              <w:pStyle w:val="TableText"/>
              <w:keepNext/>
              <w:rPr>
                <w:szCs w:val="18"/>
              </w:rPr>
            </w:pPr>
            <w:r w:rsidRPr="00E832D1">
              <w:rPr>
                <w:szCs w:val="18"/>
              </w:rPr>
              <w:t>Prescribed ART</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567A948C" w14:textId="5DF34A32" w:rsidR="009B20EC" w:rsidRPr="00E832D1" w:rsidRDefault="009B20EC" w:rsidP="009B20EC">
            <w:pPr>
              <w:pStyle w:val="TableText"/>
              <w:keepNext/>
              <w:rPr>
                <w:szCs w:val="18"/>
              </w:rPr>
            </w:pPr>
            <w:r w:rsidRPr="00E832D1">
              <w:rPr>
                <w:rFonts w:ascii="Calibri" w:hAnsi="Calibri" w:cs="Calibri"/>
                <w:sz w:val="22"/>
              </w:rPr>
              <w:t>$32,764</w:t>
            </w:r>
            <w:r w:rsidR="009D2976" w:rsidRPr="00E832D1">
              <w:rPr>
                <w:vertAlign w:val="superscript"/>
              </w:rPr>
              <w:t>c</w:t>
            </w:r>
            <w:r w:rsidR="002A388E" w:rsidRPr="00E832D1" w:rsidDel="00BE6C42">
              <w:rPr>
                <w:szCs w:val="18"/>
              </w:rPr>
              <w:t xml:space="preserve"> </w:t>
            </w:r>
          </w:p>
        </w:tc>
        <w:tc>
          <w:tcPr>
            <w:tcW w:w="2721" w:type="dxa"/>
            <w:vMerge/>
            <w:tcBorders>
              <w:top w:val="single" w:sz="6" w:space="0" w:color="808080" w:themeColor="background1" w:themeShade="80"/>
              <w:bottom w:val="single" w:sz="12" w:space="0" w:color="auto"/>
            </w:tcBorders>
          </w:tcPr>
          <w:p w14:paraId="37A1B240" w14:textId="77777777" w:rsidR="009B20EC" w:rsidRPr="00E832D1" w:rsidRDefault="009B20EC" w:rsidP="009B20EC">
            <w:pPr>
              <w:pStyle w:val="TableText"/>
              <w:keepNext/>
              <w:rPr>
                <w:szCs w:val="18"/>
              </w:rPr>
            </w:pPr>
          </w:p>
        </w:tc>
      </w:tr>
      <w:tr w:rsidR="009B20EC" w:rsidRPr="00E832D1" w14:paraId="524F5665"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21C9A523" w14:textId="77777777" w:rsidR="009B20EC" w:rsidRPr="00E832D1" w:rsidRDefault="009B20EC" w:rsidP="009B20EC">
            <w:pPr>
              <w:pStyle w:val="TableText"/>
              <w:keepNext/>
              <w:rPr>
                <w:szCs w:val="18"/>
              </w:rPr>
            </w:pPr>
            <w:r w:rsidRPr="00E832D1">
              <w:rPr>
                <w:szCs w:val="18"/>
              </w:rPr>
              <w:t>CD4 200–350</w:t>
            </w:r>
          </w:p>
        </w:tc>
        <w:tc>
          <w:tcPr>
            <w:tcW w:w="3013" w:type="dxa"/>
            <w:tcBorders>
              <w:top w:val="single" w:sz="6" w:space="0" w:color="808080" w:themeColor="background1" w:themeShade="80"/>
              <w:bottom w:val="single" w:sz="6" w:space="0" w:color="808080" w:themeColor="background1" w:themeShade="80"/>
            </w:tcBorders>
          </w:tcPr>
          <w:p w14:paraId="4FD0E43D" w14:textId="06265515" w:rsidR="009B20EC" w:rsidRPr="00E832D1" w:rsidRDefault="009B20EC" w:rsidP="009B20EC">
            <w:pPr>
              <w:pStyle w:val="TableText"/>
              <w:keepNext/>
              <w:rPr>
                <w:szCs w:val="18"/>
              </w:rPr>
            </w:pPr>
            <w:r w:rsidRPr="00E832D1">
              <w:rPr>
                <w:szCs w:val="18"/>
              </w:rPr>
              <w:t>Unaware of infection</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1BD0DEAA" w14:textId="59723BBA" w:rsidR="009B20EC" w:rsidRPr="00E832D1" w:rsidRDefault="009B20EC" w:rsidP="009B20EC">
            <w:pPr>
              <w:pStyle w:val="TableText"/>
              <w:keepNext/>
              <w:rPr>
                <w:szCs w:val="18"/>
              </w:rPr>
            </w:pPr>
            <w:r w:rsidRPr="00E832D1">
              <w:rPr>
                <w:rFonts w:ascii="Calibri" w:hAnsi="Calibri" w:cs="Calibri"/>
                <w:sz w:val="22"/>
              </w:rPr>
              <w:t>$5,978</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36FAE5D1" w14:textId="77777777" w:rsidR="009B20EC" w:rsidRPr="00E832D1" w:rsidRDefault="009B20EC" w:rsidP="009B20EC">
            <w:pPr>
              <w:pStyle w:val="TableText"/>
              <w:keepNext/>
              <w:rPr>
                <w:szCs w:val="18"/>
              </w:rPr>
            </w:pPr>
          </w:p>
        </w:tc>
      </w:tr>
      <w:tr w:rsidR="009B20EC" w:rsidRPr="00E832D1" w14:paraId="203B6F5C"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48B247DE"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7A7BEE0E" w14:textId="630DB36C" w:rsidR="009B20EC" w:rsidRPr="00E832D1" w:rsidRDefault="009B20EC" w:rsidP="009B20EC">
            <w:pPr>
              <w:pStyle w:val="TableText"/>
              <w:keepNext/>
              <w:rPr>
                <w:szCs w:val="18"/>
              </w:rPr>
            </w:pPr>
            <w:r w:rsidRPr="00E832D1">
              <w:rPr>
                <w:szCs w:val="18"/>
              </w:rPr>
              <w:t>Aware but not linked to HIV care</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7F688A31" w14:textId="0E6A2710" w:rsidR="009B20EC" w:rsidRPr="00E832D1" w:rsidRDefault="009B20EC" w:rsidP="009B20EC">
            <w:pPr>
              <w:pStyle w:val="TableText"/>
              <w:keepNext/>
              <w:rPr>
                <w:szCs w:val="18"/>
              </w:rPr>
            </w:pPr>
            <w:r w:rsidRPr="00E832D1">
              <w:rPr>
                <w:rFonts w:ascii="Calibri" w:hAnsi="Calibri" w:cs="Calibri"/>
                <w:sz w:val="22"/>
              </w:rPr>
              <w:t>$5,978</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688A646C" w14:textId="77777777" w:rsidR="009B20EC" w:rsidRPr="00E832D1" w:rsidRDefault="009B20EC" w:rsidP="009B20EC">
            <w:pPr>
              <w:pStyle w:val="TableText"/>
              <w:keepNext/>
              <w:rPr>
                <w:szCs w:val="18"/>
              </w:rPr>
            </w:pPr>
          </w:p>
        </w:tc>
      </w:tr>
      <w:tr w:rsidR="009B20EC" w:rsidRPr="00E832D1" w14:paraId="640CD8C4"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232BD405"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6371951D" w14:textId="165FF473" w:rsidR="009B20EC" w:rsidRPr="00E832D1" w:rsidRDefault="009B20EC" w:rsidP="009B20EC">
            <w:pPr>
              <w:pStyle w:val="TableText"/>
              <w:keepNext/>
              <w:rPr>
                <w:szCs w:val="18"/>
              </w:rPr>
            </w:pPr>
            <w:r w:rsidRPr="00E832D1">
              <w:rPr>
                <w:szCs w:val="18"/>
              </w:rPr>
              <w:t>Linked to HIV care but not prescribed ART</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17725673" w14:textId="19695826" w:rsidR="009B20EC" w:rsidRPr="00E832D1" w:rsidRDefault="009B20EC" w:rsidP="009B20EC">
            <w:pPr>
              <w:pStyle w:val="TableText"/>
              <w:keepNext/>
              <w:rPr>
                <w:szCs w:val="18"/>
              </w:rPr>
            </w:pPr>
            <w:r w:rsidRPr="00E832D1">
              <w:rPr>
                <w:rFonts w:ascii="Calibri" w:hAnsi="Calibri" w:cs="Calibri"/>
                <w:sz w:val="22"/>
              </w:rPr>
              <w:t>$6,684</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186B363F" w14:textId="77777777" w:rsidR="009B20EC" w:rsidRPr="00E832D1" w:rsidRDefault="009B20EC" w:rsidP="009B20EC">
            <w:pPr>
              <w:pStyle w:val="TableText"/>
              <w:keepNext/>
              <w:rPr>
                <w:szCs w:val="18"/>
              </w:rPr>
            </w:pPr>
          </w:p>
        </w:tc>
      </w:tr>
      <w:tr w:rsidR="009B20EC" w:rsidRPr="00E832D1" w14:paraId="23913600"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5BE4B4CA"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6FF87E33" w14:textId="6A969C36" w:rsidR="009B20EC" w:rsidRPr="00E832D1" w:rsidRDefault="009B20EC" w:rsidP="009B20EC">
            <w:pPr>
              <w:pStyle w:val="TableText"/>
              <w:keepNext/>
              <w:rPr>
                <w:szCs w:val="18"/>
              </w:rPr>
            </w:pPr>
            <w:r w:rsidRPr="00E832D1">
              <w:rPr>
                <w:szCs w:val="18"/>
              </w:rPr>
              <w:t>Prescribed ART</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2B0E5C0C" w14:textId="79675A48" w:rsidR="009B20EC" w:rsidRPr="00E832D1" w:rsidRDefault="009B20EC" w:rsidP="009B20EC">
            <w:pPr>
              <w:pStyle w:val="TableText"/>
              <w:keepNext/>
              <w:rPr>
                <w:szCs w:val="18"/>
              </w:rPr>
            </w:pPr>
            <w:r w:rsidRPr="00E832D1">
              <w:rPr>
                <w:rFonts w:ascii="Calibri" w:hAnsi="Calibri" w:cs="Calibri"/>
                <w:sz w:val="22"/>
              </w:rPr>
              <w:t>$34,859</w:t>
            </w:r>
            <w:r w:rsidR="009D2976" w:rsidRPr="00E832D1">
              <w:rPr>
                <w:vertAlign w:val="superscript"/>
              </w:rPr>
              <w:t>c</w:t>
            </w:r>
            <w:r w:rsidR="002A388E" w:rsidRPr="00E832D1" w:rsidDel="00B35FC7">
              <w:rPr>
                <w:szCs w:val="18"/>
              </w:rPr>
              <w:t xml:space="preserve"> </w:t>
            </w:r>
          </w:p>
        </w:tc>
        <w:tc>
          <w:tcPr>
            <w:tcW w:w="2721" w:type="dxa"/>
            <w:vMerge/>
            <w:tcBorders>
              <w:top w:val="single" w:sz="6" w:space="0" w:color="808080" w:themeColor="background1" w:themeShade="80"/>
              <w:bottom w:val="single" w:sz="12" w:space="0" w:color="auto"/>
            </w:tcBorders>
          </w:tcPr>
          <w:p w14:paraId="60EDF307" w14:textId="77777777" w:rsidR="009B20EC" w:rsidRPr="00E832D1" w:rsidRDefault="009B20EC" w:rsidP="009B20EC">
            <w:pPr>
              <w:pStyle w:val="TableText"/>
              <w:keepNext/>
              <w:rPr>
                <w:szCs w:val="18"/>
              </w:rPr>
            </w:pPr>
          </w:p>
        </w:tc>
      </w:tr>
      <w:tr w:rsidR="009B20EC" w:rsidRPr="00E832D1" w14:paraId="28A2FEF9"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14D16B67" w14:textId="77777777" w:rsidR="009B20EC" w:rsidRPr="00E832D1" w:rsidRDefault="009B20EC" w:rsidP="009B20EC">
            <w:pPr>
              <w:pStyle w:val="TableText"/>
              <w:keepNext/>
              <w:rPr>
                <w:szCs w:val="18"/>
              </w:rPr>
            </w:pPr>
            <w:r w:rsidRPr="00E832D1">
              <w:rPr>
                <w:szCs w:val="18"/>
              </w:rPr>
              <w:t>CD4 &lt; 200</w:t>
            </w:r>
          </w:p>
        </w:tc>
        <w:tc>
          <w:tcPr>
            <w:tcW w:w="3013" w:type="dxa"/>
            <w:tcBorders>
              <w:top w:val="single" w:sz="6" w:space="0" w:color="808080" w:themeColor="background1" w:themeShade="80"/>
              <w:bottom w:val="single" w:sz="6" w:space="0" w:color="808080" w:themeColor="background1" w:themeShade="80"/>
            </w:tcBorders>
          </w:tcPr>
          <w:p w14:paraId="41121A3F" w14:textId="56B095FB" w:rsidR="009B20EC" w:rsidRPr="00E832D1" w:rsidRDefault="009B20EC" w:rsidP="009B20EC">
            <w:pPr>
              <w:pStyle w:val="TableText"/>
              <w:keepNext/>
              <w:rPr>
                <w:szCs w:val="18"/>
              </w:rPr>
            </w:pPr>
            <w:r w:rsidRPr="00E832D1">
              <w:rPr>
                <w:szCs w:val="18"/>
              </w:rPr>
              <w:t>Unaware of infection</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6E85B5D4" w14:textId="0CFF6A01" w:rsidR="009B20EC" w:rsidRPr="00E832D1" w:rsidRDefault="009B20EC" w:rsidP="009B20EC">
            <w:pPr>
              <w:pStyle w:val="TableText"/>
              <w:keepNext/>
              <w:rPr>
                <w:szCs w:val="18"/>
              </w:rPr>
            </w:pPr>
            <w:r w:rsidRPr="00E832D1">
              <w:rPr>
                <w:rFonts w:ascii="Calibri" w:hAnsi="Calibri" w:cs="Calibri"/>
                <w:sz w:val="22"/>
              </w:rPr>
              <w:t>$13,453</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1A9D8925" w14:textId="77777777" w:rsidR="009B20EC" w:rsidRPr="00E832D1" w:rsidRDefault="009B20EC" w:rsidP="009B20EC">
            <w:pPr>
              <w:pStyle w:val="TableText"/>
              <w:keepNext/>
              <w:rPr>
                <w:szCs w:val="18"/>
              </w:rPr>
            </w:pPr>
          </w:p>
        </w:tc>
      </w:tr>
      <w:tr w:rsidR="009B20EC" w:rsidRPr="00E832D1" w14:paraId="5D83E9BD"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101C6895"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2CE4D29A" w14:textId="3FEFCEFC" w:rsidR="009B20EC" w:rsidRPr="00E832D1" w:rsidRDefault="009B20EC" w:rsidP="009B20EC">
            <w:pPr>
              <w:pStyle w:val="TableText"/>
              <w:keepNext/>
              <w:rPr>
                <w:szCs w:val="18"/>
              </w:rPr>
            </w:pPr>
            <w:r w:rsidRPr="00E832D1">
              <w:rPr>
                <w:szCs w:val="18"/>
              </w:rPr>
              <w:t>Aware but not linked to HIV care</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617039CE" w14:textId="3D9266EE" w:rsidR="009B20EC" w:rsidRPr="00E832D1" w:rsidRDefault="009B20EC" w:rsidP="009B20EC">
            <w:pPr>
              <w:pStyle w:val="TableText"/>
              <w:keepNext/>
              <w:rPr>
                <w:szCs w:val="18"/>
              </w:rPr>
            </w:pPr>
            <w:r w:rsidRPr="00E832D1">
              <w:rPr>
                <w:rFonts w:ascii="Calibri" w:hAnsi="Calibri" w:cs="Calibri"/>
                <w:sz w:val="22"/>
              </w:rPr>
              <w:t>$13,453</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29668834" w14:textId="77777777" w:rsidR="009B20EC" w:rsidRPr="00E832D1" w:rsidRDefault="009B20EC" w:rsidP="009B20EC">
            <w:pPr>
              <w:pStyle w:val="TableText"/>
              <w:keepNext/>
              <w:rPr>
                <w:szCs w:val="18"/>
              </w:rPr>
            </w:pPr>
          </w:p>
        </w:tc>
      </w:tr>
      <w:tr w:rsidR="009B20EC" w:rsidRPr="00E832D1" w14:paraId="798304D1" w14:textId="77777777" w:rsidTr="00260D8A">
        <w:trPr>
          <w:cantSplit/>
        </w:trPr>
        <w:tc>
          <w:tcPr>
            <w:tcW w:w="2361" w:type="dxa"/>
            <w:tcBorders>
              <w:top w:val="single" w:sz="6" w:space="0" w:color="808080" w:themeColor="background1" w:themeShade="80"/>
              <w:bottom w:val="single" w:sz="6" w:space="0" w:color="808080" w:themeColor="background1" w:themeShade="80"/>
            </w:tcBorders>
          </w:tcPr>
          <w:p w14:paraId="28AAD001"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6" w:space="0" w:color="808080" w:themeColor="background1" w:themeShade="80"/>
            </w:tcBorders>
          </w:tcPr>
          <w:p w14:paraId="3BFA6FC2" w14:textId="3D9D78B4" w:rsidR="009B20EC" w:rsidRPr="00E832D1" w:rsidRDefault="009B20EC" w:rsidP="009B20EC">
            <w:pPr>
              <w:pStyle w:val="TableText"/>
              <w:keepNext/>
              <w:rPr>
                <w:szCs w:val="18"/>
              </w:rPr>
            </w:pPr>
            <w:r w:rsidRPr="00E832D1">
              <w:rPr>
                <w:szCs w:val="18"/>
              </w:rPr>
              <w:t>Linked to HIV care but not prescribed ART</w:t>
            </w:r>
          </w:p>
        </w:tc>
        <w:tc>
          <w:tcPr>
            <w:tcW w:w="1265" w:type="dxa"/>
            <w:tcBorders>
              <w:top w:val="single" w:sz="6" w:space="0" w:color="808080" w:themeColor="background1" w:themeShade="80"/>
              <w:bottom w:val="single" w:sz="6" w:space="0" w:color="808080" w:themeColor="background1" w:themeShade="80"/>
            </w:tcBorders>
            <w:shd w:val="clear" w:color="auto" w:fill="auto"/>
            <w:noWrap/>
            <w:vAlign w:val="bottom"/>
          </w:tcPr>
          <w:p w14:paraId="119E4490" w14:textId="348385A3" w:rsidR="009B20EC" w:rsidRPr="00E832D1" w:rsidRDefault="009B20EC" w:rsidP="009B20EC">
            <w:pPr>
              <w:pStyle w:val="TableText"/>
              <w:keepNext/>
              <w:rPr>
                <w:szCs w:val="18"/>
              </w:rPr>
            </w:pPr>
            <w:r w:rsidRPr="00E832D1">
              <w:rPr>
                <w:rFonts w:ascii="Calibri" w:hAnsi="Calibri" w:cs="Calibri"/>
                <w:sz w:val="22"/>
              </w:rPr>
              <w:t>$14,716</w:t>
            </w:r>
            <w:r w:rsidR="009D2976" w:rsidRPr="00E832D1">
              <w:rPr>
                <w:vertAlign w:val="superscript"/>
              </w:rPr>
              <w:t>b</w:t>
            </w:r>
          </w:p>
        </w:tc>
        <w:tc>
          <w:tcPr>
            <w:tcW w:w="2721" w:type="dxa"/>
            <w:vMerge/>
            <w:tcBorders>
              <w:top w:val="single" w:sz="6" w:space="0" w:color="808080" w:themeColor="background1" w:themeShade="80"/>
              <w:bottom w:val="single" w:sz="12" w:space="0" w:color="auto"/>
            </w:tcBorders>
          </w:tcPr>
          <w:p w14:paraId="7FB90F0B" w14:textId="77777777" w:rsidR="009B20EC" w:rsidRPr="00E832D1" w:rsidRDefault="009B20EC" w:rsidP="009B20EC">
            <w:pPr>
              <w:pStyle w:val="TableText"/>
              <w:keepNext/>
              <w:rPr>
                <w:szCs w:val="18"/>
              </w:rPr>
            </w:pPr>
          </w:p>
        </w:tc>
      </w:tr>
      <w:tr w:rsidR="009B20EC" w:rsidRPr="00E832D1" w14:paraId="532BCE3D" w14:textId="77777777" w:rsidTr="00260D8A">
        <w:trPr>
          <w:cantSplit/>
        </w:trPr>
        <w:tc>
          <w:tcPr>
            <w:tcW w:w="2361" w:type="dxa"/>
            <w:tcBorders>
              <w:top w:val="single" w:sz="6" w:space="0" w:color="808080" w:themeColor="background1" w:themeShade="80"/>
              <w:bottom w:val="single" w:sz="12" w:space="0" w:color="000000"/>
            </w:tcBorders>
          </w:tcPr>
          <w:p w14:paraId="325CAE74" w14:textId="77777777" w:rsidR="009B20EC" w:rsidRPr="00E832D1" w:rsidRDefault="009B20EC" w:rsidP="009B20EC">
            <w:pPr>
              <w:pStyle w:val="TableText"/>
              <w:keepNext/>
              <w:rPr>
                <w:szCs w:val="18"/>
              </w:rPr>
            </w:pPr>
          </w:p>
        </w:tc>
        <w:tc>
          <w:tcPr>
            <w:tcW w:w="3013" w:type="dxa"/>
            <w:tcBorders>
              <w:top w:val="single" w:sz="6" w:space="0" w:color="808080" w:themeColor="background1" w:themeShade="80"/>
              <w:bottom w:val="single" w:sz="12" w:space="0" w:color="000000"/>
            </w:tcBorders>
          </w:tcPr>
          <w:p w14:paraId="289D5A9B" w14:textId="73C6E2C8" w:rsidR="009B20EC" w:rsidRPr="00E832D1" w:rsidRDefault="009B20EC" w:rsidP="009B20EC">
            <w:pPr>
              <w:pStyle w:val="TableText"/>
              <w:keepNext/>
              <w:rPr>
                <w:szCs w:val="18"/>
              </w:rPr>
            </w:pPr>
            <w:r w:rsidRPr="00E832D1">
              <w:rPr>
                <w:szCs w:val="18"/>
              </w:rPr>
              <w:t>Prescribed ART</w:t>
            </w:r>
          </w:p>
        </w:tc>
        <w:tc>
          <w:tcPr>
            <w:tcW w:w="1265" w:type="dxa"/>
            <w:tcBorders>
              <w:top w:val="single" w:sz="6" w:space="0" w:color="808080" w:themeColor="background1" w:themeShade="80"/>
              <w:bottom w:val="single" w:sz="12" w:space="0" w:color="000000"/>
            </w:tcBorders>
            <w:shd w:val="clear" w:color="auto" w:fill="auto"/>
            <w:noWrap/>
            <w:vAlign w:val="bottom"/>
          </w:tcPr>
          <w:p w14:paraId="37A9A435" w14:textId="34AA9B80" w:rsidR="009B20EC" w:rsidRPr="00E832D1" w:rsidRDefault="009B20EC" w:rsidP="009B20EC">
            <w:pPr>
              <w:pStyle w:val="TableText"/>
              <w:keepNext/>
              <w:rPr>
                <w:szCs w:val="18"/>
              </w:rPr>
            </w:pPr>
            <w:r w:rsidRPr="00E832D1">
              <w:rPr>
                <w:rFonts w:ascii="Calibri" w:hAnsi="Calibri" w:cs="Calibri"/>
                <w:sz w:val="22"/>
              </w:rPr>
              <w:t>$46,635</w:t>
            </w:r>
            <w:r w:rsidR="009D2976" w:rsidRPr="00E832D1">
              <w:rPr>
                <w:vertAlign w:val="superscript"/>
              </w:rPr>
              <w:t>c</w:t>
            </w:r>
            <w:r w:rsidR="002A388E" w:rsidRPr="00E832D1" w:rsidDel="008A62AB">
              <w:rPr>
                <w:szCs w:val="18"/>
              </w:rPr>
              <w:t xml:space="preserve"> </w:t>
            </w:r>
          </w:p>
        </w:tc>
        <w:tc>
          <w:tcPr>
            <w:tcW w:w="2721" w:type="dxa"/>
            <w:vMerge/>
            <w:tcBorders>
              <w:top w:val="single" w:sz="6" w:space="0" w:color="808080" w:themeColor="background1" w:themeShade="80"/>
              <w:bottom w:val="single" w:sz="12" w:space="0" w:color="auto"/>
            </w:tcBorders>
          </w:tcPr>
          <w:p w14:paraId="020D4C11" w14:textId="77777777" w:rsidR="009B20EC" w:rsidRPr="00E832D1" w:rsidRDefault="009B20EC" w:rsidP="009B20EC">
            <w:pPr>
              <w:pStyle w:val="TableText"/>
              <w:keepNext/>
              <w:rPr>
                <w:szCs w:val="18"/>
              </w:rPr>
            </w:pPr>
          </w:p>
        </w:tc>
      </w:tr>
    </w:tbl>
    <w:p w14:paraId="05D79419" w14:textId="0318060E" w:rsidR="0032547C" w:rsidRPr="00E832D1" w:rsidRDefault="009D2976" w:rsidP="002A388E">
      <w:pPr>
        <w:pStyle w:val="Source2"/>
      </w:pPr>
      <w:proofErr w:type="spellStart"/>
      <w:r w:rsidRPr="00E832D1">
        <w:rPr>
          <w:vertAlign w:val="superscript"/>
        </w:rPr>
        <w:t>a</w:t>
      </w:r>
      <w:proofErr w:type="spellEnd"/>
      <w:r w:rsidR="0032547C" w:rsidRPr="00E832D1">
        <w:t xml:space="preserve"> </w:t>
      </w:r>
      <w:bookmarkStart w:id="151" w:name="_Hlk31885507"/>
      <w:r w:rsidR="0032547C" w:rsidRPr="00E832D1">
        <w:rPr>
          <w:szCs w:val="18"/>
        </w:rPr>
        <w:t>Costs in all stages include healthcare utilization costs (Inpatient, outpatient, emergency department)</w:t>
      </w:r>
      <w:r w:rsidRPr="00E832D1">
        <w:rPr>
          <w:szCs w:val="18"/>
        </w:rPr>
        <w:t xml:space="preserve"> estimated from </w:t>
      </w:r>
      <w:proofErr w:type="spellStart"/>
      <w:r w:rsidRPr="00E832D1">
        <w:rPr>
          <w:szCs w:val="18"/>
        </w:rPr>
        <w:t>Gebo</w:t>
      </w:r>
      <w:proofErr w:type="spellEnd"/>
      <w:r w:rsidRPr="00E832D1">
        <w:rPr>
          <w:szCs w:val="18"/>
        </w:rPr>
        <w:t xml:space="preserve"> et al. (2010)</w:t>
      </w:r>
      <w:r w:rsidR="0032547C" w:rsidRPr="00E832D1">
        <w:rPr>
          <w:szCs w:val="18"/>
        </w:rPr>
        <w:t>. Costs for “Linked to HIV care but not prescribed ART” and “Prescribed ART” also include CD4 and viral load tests, genotype costs, and phenotype costs</w:t>
      </w:r>
      <w:r w:rsidRPr="00E832D1">
        <w:rPr>
          <w:szCs w:val="18"/>
        </w:rPr>
        <w:t xml:space="preserve"> from the same source</w:t>
      </w:r>
      <w:r w:rsidR="0032547C" w:rsidRPr="00E832D1">
        <w:rPr>
          <w:szCs w:val="18"/>
        </w:rPr>
        <w:t xml:space="preserve">. </w:t>
      </w:r>
      <w:bookmarkEnd w:id="151"/>
      <w:r w:rsidR="0032547C" w:rsidRPr="00E832D1">
        <w:rPr>
          <w:szCs w:val="18"/>
        </w:rPr>
        <w:t xml:space="preserve">Costs for “Prescribed ART” also include ART costs based on annual drug acquisition costs for </w:t>
      </w:r>
      <w:proofErr w:type="spellStart"/>
      <w:r w:rsidR="0032547C" w:rsidRPr="00E832D1">
        <w:rPr>
          <w:szCs w:val="18"/>
        </w:rPr>
        <w:t>Atripla</w:t>
      </w:r>
      <w:proofErr w:type="spellEnd"/>
      <w:r w:rsidR="0032547C" w:rsidRPr="00E832D1">
        <w:rPr>
          <w:szCs w:val="18"/>
        </w:rPr>
        <w:t xml:space="preserve"> and </w:t>
      </w:r>
      <w:proofErr w:type="spellStart"/>
      <w:r w:rsidR="0032547C" w:rsidRPr="00E832D1">
        <w:rPr>
          <w:szCs w:val="18"/>
        </w:rPr>
        <w:t>Genvoya</w:t>
      </w:r>
      <w:proofErr w:type="spellEnd"/>
      <w:r w:rsidRPr="00E832D1">
        <w:rPr>
          <w:szCs w:val="18"/>
        </w:rPr>
        <w:t xml:space="preserve"> from U.S. Department of Veterans Affairs (2018).</w:t>
      </w:r>
    </w:p>
    <w:p w14:paraId="1331C99B" w14:textId="2B214CD7" w:rsidR="002A388E" w:rsidRPr="00E832D1" w:rsidRDefault="0090437C" w:rsidP="009D2976">
      <w:pPr>
        <w:pStyle w:val="Source2"/>
      </w:pPr>
      <w:proofErr w:type="spellStart"/>
      <w:r w:rsidRPr="00E832D1">
        <w:rPr>
          <w:vertAlign w:val="superscript"/>
        </w:rPr>
        <w:t>a</w:t>
      </w:r>
      <w:proofErr w:type="spellEnd"/>
      <w:r w:rsidRPr="00E832D1">
        <w:rPr>
          <w:vertAlign w:val="superscript"/>
        </w:rPr>
        <w:t xml:space="preserve"> </w:t>
      </w:r>
      <w:r w:rsidR="002A388E" w:rsidRPr="00E832D1">
        <w:t>Reported in 2006$;</w:t>
      </w:r>
      <w:r w:rsidRPr="00E832D1">
        <w:t xml:space="preserve"> converted to </w:t>
      </w:r>
      <w:r w:rsidR="001845D0" w:rsidRPr="00E832D1">
        <w:t>2019</w:t>
      </w:r>
      <w:r w:rsidRPr="00E832D1">
        <w:t>$ in the calculation of economic outcomes.</w:t>
      </w:r>
    </w:p>
    <w:p w14:paraId="5293DE7E" w14:textId="3D1BFB73" w:rsidR="0090437C" w:rsidRPr="00C00335" w:rsidRDefault="002A388E" w:rsidP="009D2976">
      <w:pPr>
        <w:pStyle w:val="Source2"/>
      </w:pPr>
      <w:r w:rsidRPr="00E832D1">
        <w:rPr>
          <w:vertAlign w:val="superscript"/>
        </w:rPr>
        <w:t xml:space="preserve">b </w:t>
      </w:r>
      <w:r w:rsidRPr="00E832D1">
        <w:t>Reported in 2018$; converted to 2019$ in the calculation of economic outcomes</w:t>
      </w:r>
    </w:p>
    <w:p w14:paraId="24992B73" w14:textId="135585FF" w:rsidR="00BE49FB" w:rsidRPr="004E331D" w:rsidRDefault="00BE49FB" w:rsidP="005D1916">
      <w:pPr>
        <w:pStyle w:val="Heading3"/>
      </w:pPr>
      <w:bookmarkStart w:id="152" w:name="_Ref19850913"/>
      <w:bookmarkStart w:id="153" w:name="_Toc89257569"/>
      <w:r w:rsidRPr="004E331D">
        <w:lastRenderedPageBreak/>
        <w:t>Calculation of S</w:t>
      </w:r>
      <w:r w:rsidR="004D45CB">
        <w:t>S</w:t>
      </w:r>
      <w:r w:rsidRPr="004E331D">
        <w:t>P Costs</w:t>
      </w:r>
      <w:bookmarkEnd w:id="152"/>
      <w:bookmarkEnd w:id="153"/>
    </w:p>
    <w:p w14:paraId="439888A6" w14:textId="6075212D" w:rsidR="00BE49FB" w:rsidRPr="00BE49FB" w:rsidRDefault="00BE49FB" w:rsidP="00AF5B78">
      <w:pPr>
        <w:pStyle w:val="BodyText"/>
      </w:pPr>
      <w:r w:rsidRPr="004E331D">
        <w:t>The annual costs for S</w:t>
      </w:r>
      <w:r w:rsidR="004D45CB">
        <w:t>S</w:t>
      </w:r>
      <w:r w:rsidRPr="004E331D">
        <w:t>P are incurred for all PWID participating in a S</w:t>
      </w:r>
      <w:r w:rsidR="004D45CB">
        <w:t>S</w:t>
      </w:r>
      <w:r w:rsidRPr="004E331D">
        <w:t>P</w:t>
      </w:r>
      <w:r w:rsidR="000F06C9" w:rsidRPr="004E331D">
        <w:t xml:space="preserve"> (in the third time period only)</w:t>
      </w:r>
      <w:r w:rsidRPr="004E331D">
        <w:t>. The annual costs for S</w:t>
      </w:r>
      <w:r w:rsidR="004D45CB">
        <w:t>S</w:t>
      </w:r>
      <w:r w:rsidRPr="004E331D">
        <w:t>P are the same as</w:t>
      </w:r>
      <w:r w:rsidR="005E7768" w:rsidRPr="004E331D">
        <w:t xml:space="preserve"> those</w:t>
      </w:r>
      <w:r w:rsidRPr="004E331D">
        <w:t xml:space="preserve"> outlined in Table 8.2. The total S</w:t>
      </w:r>
      <w:r w:rsidR="004D45CB">
        <w:t>S</w:t>
      </w:r>
      <w:r w:rsidRPr="004E331D">
        <w:t>P costs accrued by the modeled population over the outcome collection period are discounted.</w:t>
      </w:r>
    </w:p>
    <w:p w14:paraId="5C00B3DD" w14:textId="50994FD9" w:rsidR="009F5E14" w:rsidRPr="00C00335" w:rsidRDefault="009F5E14" w:rsidP="005D1916">
      <w:pPr>
        <w:pStyle w:val="Heading3"/>
      </w:pPr>
      <w:bookmarkStart w:id="154" w:name="_Toc89257570"/>
      <w:r w:rsidRPr="00C00335">
        <w:t xml:space="preserve">Calculation of </w:t>
      </w:r>
      <w:proofErr w:type="spellStart"/>
      <w:r w:rsidRPr="00C00335">
        <w:t>PrEP</w:t>
      </w:r>
      <w:proofErr w:type="spellEnd"/>
      <w:r w:rsidRPr="00C00335">
        <w:t xml:space="preserve"> </w:t>
      </w:r>
      <w:r w:rsidR="005D1916" w:rsidRPr="00C00335">
        <w:t>C</w:t>
      </w:r>
      <w:r w:rsidRPr="00C00335">
        <w:t>osts</w:t>
      </w:r>
      <w:bookmarkEnd w:id="154"/>
    </w:p>
    <w:p w14:paraId="220106FE" w14:textId="3792EF3D" w:rsidR="009F5E14" w:rsidRPr="00C00335" w:rsidRDefault="009F5E14" w:rsidP="005D1916">
      <w:pPr>
        <w:pStyle w:val="BodyText"/>
      </w:pPr>
      <w:bookmarkStart w:id="155" w:name="_Hlk54750868"/>
      <w:r w:rsidRPr="00C00335">
        <w:t xml:space="preserve">The </w:t>
      </w:r>
      <w:r w:rsidR="005427F8">
        <w:t>annual</w:t>
      </w:r>
      <w:r w:rsidR="005427F8" w:rsidRPr="00C00335">
        <w:t xml:space="preserve"> </w:t>
      </w:r>
      <w:r w:rsidR="005427F8">
        <w:t xml:space="preserve">(pro-rated) </w:t>
      </w:r>
      <w:r w:rsidRPr="00C00335">
        <w:t xml:space="preserve">costs for </w:t>
      </w:r>
      <w:proofErr w:type="spellStart"/>
      <w:r w:rsidRPr="00C00335">
        <w:t>PrEP</w:t>
      </w:r>
      <w:proofErr w:type="spellEnd"/>
      <w:r w:rsidRPr="00C00335">
        <w:t xml:space="preserve"> listed in </w:t>
      </w:r>
      <w:r w:rsidR="00CC1DD7" w:rsidRPr="00C00335">
        <w:t xml:space="preserve">Table </w:t>
      </w:r>
      <w:r w:rsidR="0005114B">
        <w:t>9</w:t>
      </w:r>
      <w:r w:rsidR="00CC1DD7" w:rsidRPr="00C00335">
        <w:t>.</w:t>
      </w:r>
      <w:r w:rsidR="008261F3">
        <w:t>4</w:t>
      </w:r>
      <w:r w:rsidR="00D16974" w:rsidRPr="00C00335">
        <w:t xml:space="preserve"> </w:t>
      </w:r>
      <w:r w:rsidRPr="00C00335">
        <w:t xml:space="preserve">are incurred for all individuals on </w:t>
      </w:r>
      <w:proofErr w:type="spellStart"/>
      <w:r w:rsidRPr="00C00335">
        <w:t>PrEP.</w:t>
      </w:r>
      <w:proofErr w:type="spellEnd"/>
      <w:r w:rsidRPr="00C00335">
        <w:t xml:space="preserve"> The total </w:t>
      </w:r>
      <w:proofErr w:type="spellStart"/>
      <w:r w:rsidRPr="00C00335">
        <w:t>PrEP</w:t>
      </w:r>
      <w:proofErr w:type="spellEnd"/>
      <w:r w:rsidRPr="00C00335">
        <w:t xml:space="preserve"> costs accrued by the modeled population over the outcome collection period are </w:t>
      </w:r>
      <w:r w:rsidR="00174B34" w:rsidRPr="00C00335">
        <w:t>discounted</w:t>
      </w:r>
      <w:r w:rsidRPr="00C00335">
        <w:t>.</w:t>
      </w:r>
      <w:r w:rsidR="00174B34" w:rsidRPr="00C00335">
        <w:t xml:space="preserve"> These costs assume HIV testing while receiving </w:t>
      </w:r>
      <w:proofErr w:type="spellStart"/>
      <w:r w:rsidR="00174B34" w:rsidRPr="00C00335">
        <w:t>PrEP</w:t>
      </w:r>
      <w:proofErr w:type="spellEnd"/>
      <w:r w:rsidR="00174B34" w:rsidRPr="00C00335">
        <w:t xml:space="preserve"> every 3 months.</w:t>
      </w:r>
    </w:p>
    <w:p w14:paraId="1C7612B8" w14:textId="58647342" w:rsidR="009F5E14" w:rsidRPr="00C00335" w:rsidRDefault="009F5E14" w:rsidP="00903B31">
      <w:pPr>
        <w:pStyle w:val="TableTitle"/>
      </w:pPr>
      <w:bookmarkStart w:id="156" w:name="_Toc89257617"/>
      <w:bookmarkStart w:id="157" w:name="_Hlk54750884"/>
      <w:bookmarkEnd w:id="155"/>
      <w:r w:rsidRPr="00C00335">
        <w:t xml:space="preserve">Table </w:t>
      </w:r>
      <w:r w:rsidR="008867F1">
        <w:t>9</w:t>
      </w:r>
      <w:r w:rsidR="00227B32" w:rsidRPr="00C00335">
        <w:t>.</w:t>
      </w:r>
      <w:r w:rsidR="008128FA">
        <w:t>4</w:t>
      </w:r>
      <w:r w:rsidRPr="00C00335">
        <w:t>.</w:t>
      </w:r>
      <w:r w:rsidRPr="00C00335">
        <w:tab/>
      </w:r>
      <w:r w:rsidR="00FB0F3C" w:rsidRPr="00C00335">
        <w:t xml:space="preserve">Annual </w:t>
      </w:r>
      <w:proofErr w:type="spellStart"/>
      <w:r w:rsidRPr="00C00335">
        <w:t>PrEP</w:t>
      </w:r>
      <w:proofErr w:type="spellEnd"/>
      <w:r w:rsidRPr="00C00335">
        <w:t xml:space="preserve"> </w:t>
      </w:r>
      <w:r w:rsidR="005D1916" w:rsidRPr="00C00335">
        <w:t>C</w:t>
      </w:r>
      <w:r w:rsidRPr="00C00335">
        <w:t>osts</w:t>
      </w:r>
      <w:bookmarkEnd w:id="156"/>
      <w:r w:rsidRPr="00C00335">
        <w:t xml:space="preserve"> </w:t>
      </w:r>
    </w:p>
    <w:tbl>
      <w:tblPr>
        <w:tblStyle w:val="TableFormat4"/>
        <w:tblW w:w="9360" w:type="dxa"/>
        <w:tblInd w:w="0" w:type="dxa"/>
        <w:tblLayout w:type="fixed"/>
        <w:tblCellMar>
          <w:left w:w="115" w:type="dxa"/>
          <w:right w:w="115" w:type="dxa"/>
        </w:tblCellMar>
        <w:tblLook w:val="04A0" w:firstRow="1" w:lastRow="0" w:firstColumn="1" w:lastColumn="0" w:noHBand="0" w:noVBand="1"/>
      </w:tblPr>
      <w:tblGrid>
        <w:gridCol w:w="4514"/>
        <w:gridCol w:w="2115"/>
        <w:gridCol w:w="2731"/>
      </w:tblGrid>
      <w:tr w:rsidR="009F5E14" w:rsidRPr="00E832D1" w14:paraId="4D57F6AD" w14:textId="77777777" w:rsidTr="00260D8A">
        <w:trPr>
          <w:cnfStyle w:val="100000000000" w:firstRow="1" w:lastRow="0" w:firstColumn="0" w:lastColumn="0" w:oddVBand="0" w:evenVBand="0" w:oddHBand="0" w:evenHBand="0" w:firstRowFirstColumn="0" w:firstRowLastColumn="0" w:lastRowFirstColumn="0" w:lastRowLastColumn="0"/>
        </w:trPr>
        <w:tc>
          <w:tcPr>
            <w:tcW w:w="4514" w:type="dxa"/>
          </w:tcPr>
          <w:p w14:paraId="78B8EB84" w14:textId="625881C5" w:rsidR="009F5E14" w:rsidRPr="00E832D1" w:rsidRDefault="008E4A7C" w:rsidP="00227B32">
            <w:pPr>
              <w:pStyle w:val="TableHeaders"/>
              <w:keepNext/>
            </w:pPr>
            <w:r w:rsidRPr="00E832D1">
              <w:rPr>
                <w:szCs w:val="18"/>
              </w:rPr>
              <w:t>Cost C</w:t>
            </w:r>
            <w:r w:rsidR="000E01BA" w:rsidRPr="00E832D1">
              <w:rPr>
                <w:szCs w:val="18"/>
              </w:rPr>
              <w:t>ategory</w:t>
            </w:r>
          </w:p>
        </w:tc>
        <w:tc>
          <w:tcPr>
            <w:tcW w:w="2115" w:type="dxa"/>
            <w:noWrap/>
          </w:tcPr>
          <w:p w14:paraId="69301C83" w14:textId="77777777" w:rsidR="009F5E14" w:rsidRPr="00E832D1" w:rsidRDefault="009F5E14" w:rsidP="00227B32">
            <w:pPr>
              <w:pStyle w:val="TableHeaders"/>
              <w:keepNext/>
            </w:pPr>
            <w:r w:rsidRPr="00E832D1">
              <w:t>Value</w:t>
            </w:r>
          </w:p>
        </w:tc>
        <w:tc>
          <w:tcPr>
            <w:tcW w:w="2731" w:type="dxa"/>
          </w:tcPr>
          <w:p w14:paraId="75C2CDA4" w14:textId="77777777" w:rsidR="009F5E14" w:rsidRPr="00E832D1" w:rsidRDefault="009F5E14" w:rsidP="00227B32">
            <w:pPr>
              <w:pStyle w:val="TableHeaders"/>
              <w:keepNext/>
            </w:pPr>
            <w:r w:rsidRPr="00E832D1">
              <w:t>Source</w:t>
            </w:r>
          </w:p>
        </w:tc>
      </w:tr>
      <w:tr w:rsidR="00AB753A" w:rsidRPr="00E832D1" w14:paraId="4C030833" w14:textId="77777777" w:rsidTr="00260D8A">
        <w:tc>
          <w:tcPr>
            <w:tcW w:w="4514" w:type="dxa"/>
            <w:tcBorders>
              <w:top w:val="single" w:sz="6" w:space="0" w:color="auto"/>
              <w:bottom w:val="single" w:sz="6" w:space="0" w:color="808080" w:themeColor="background1" w:themeShade="80"/>
            </w:tcBorders>
          </w:tcPr>
          <w:p w14:paraId="429F2C7B" w14:textId="38F9DBC8" w:rsidR="00AB753A" w:rsidRPr="00E832D1" w:rsidRDefault="00AB753A" w:rsidP="00AB753A">
            <w:pPr>
              <w:pStyle w:val="TableText"/>
              <w:keepNext/>
              <w:rPr>
                <w:szCs w:val="18"/>
              </w:rPr>
            </w:pPr>
            <w:r w:rsidRPr="00E832D1">
              <w:rPr>
                <w:szCs w:val="18"/>
              </w:rPr>
              <w:t>Drug costs</w:t>
            </w:r>
          </w:p>
        </w:tc>
        <w:tc>
          <w:tcPr>
            <w:tcW w:w="2115" w:type="dxa"/>
            <w:tcBorders>
              <w:top w:val="single" w:sz="6" w:space="0" w:color="auto"/>
              <w:bottom w:val="single" w:sz="6" w:space="0" w:color="808080" w:themeColor="background1" w:themeShade="80"/>
            </w:tcBorders>
            <w:noWrap/>
          </w:tcPr>
          <w:p w14:paraId="6F7A3828" w14:textId="6212C64B" w:rsidR="00AB753A" w:rsidRPr="00E832D1" w:rsidRDefault="00256F7E" w:rsidP="00AB753A">
            <w:pPr>
              <w:pStyle w:val="TableText"/>
              <w:keepNext/>
              <w:jc w:val="center"/>
              <w:rPr>
                <w:szCs w:val="18"/>
              </w:rPr>
            </w:pPr>
            <w:r w:rsidRPr="00E832D1">
              <w:rPr>
                <w:szCs w:val="18"/>
              </w:rPr>
              <w:t>$12,599</w:t>
            </w:r>
            <w:r w:rsidRPr="00E832D1" w:rsidDel="00256F7E">
              <w:rPr>
                <w:szCs w:val="18"/>
              </w:rPr>
              <w:t xml:space="preserve"> </w:t>
            </w:r>
            <w:r w:rsidR="00AB753A" w:rsidRPr="00E832D1">
              <w:rPr>
                <w:szCs w:val="18"/>
              </w:rPr>
              <w:t>(</w:t>
            </w:r>
            <w:r w:rsidRPr="00E832D1">
              <w:rPr>
                <w:szCs w:val="18"/>
              </w:rPr>
              <w:t>2018</w:t>
            </w:r>
            <w:r w:rsidR="00AB753A" w:rsidRPr="00E832D1">
              <w:rPr>
                <w:szCs w:val="18"/>
              </w:rPr>
              <w:t>$)</w:t>
            </w:r>
          </w:p>
        </w:tc>
        <w:tc>
          <w:tcPr>
            <w:tcW w:w="2731" w:type="dxa"/>
            <w:tcBorders>
              <w:top w:val="single" w:sz="6" w:space="0" w:color="auto"/>
              <w:bottom w:val="single" w:sz="6" w:space="0" w:color="808080" w:themeColor="background1" w:themeShade="80"/>
            </w:tcBorders>
          </w:tcPr>
          <w:p w14:paraId="3EC94FB1" w14:textId="21E5D7F6" w:rsidR="00AB753A" w:rsidRPr="00E832D1" w:rsidRDefault="00256F7E" w:rsidP="00AB753A">
            <w:pPr>
              <w:pStyle w:val="TableText"/>
              <w:keepNext/>
              <w:rPr>
                <w:szCs w:val="18"/>
              </w:rPr>
            </w:pPr>
            <w:r w:rsidRPr="00E832D1">
              <w:rPr>
                <w:szCs w:val="18"/>
              </w:rPr>
              <w:t>U.S. Department of Veterans Affairs (2018)</w:t>
            </w:r>
            <w:r w:rsidR="00FE4222" w:rsidRPr="00E832D1">
              <w:rPr>
                <w:szCs w:val="18"/>
                <w:vertAlign w:val="superscript"/>
              </w:rPr>
              <w:t>a</w:t>
            </w:r>
          </w:p>
        </w:tc>
      </w:tr>
      <w:tr w:rsidR="00AB753A" w:rsidRPr="00E832D1" w14:paraId="7A4F9736" w14:textId="77777777" w:rsidTr="00260D8A">
        <w:tc>
          <w:tcPr>
            <w:tcW w:w="4514" w:type="dxa"/>
            <w:tcBorders>
              <w:top w:val="single" w:sz="6" w:space="0" w:color="808080" w:themeColor="background1" w:themeShade="80"/>
              <w:bottom w:val="single" w:sz="6" w:space="0" w:color="808080" w:themeColor="background1" w:themeShade="80"/>
            </w:tcBorders>
          </w:tcPr>
          <w:p w14:paraId="2B5E70A2" w14:textId="43F5C811" w:rsidR="00AB753A" w:rsidRPr="00E832D1" w:rsidRDefault="00AB753A" w:rsidP="00AB753A">
            <w:pPr>
              <w:pStyle w:val="TableText"/>
              <w:keepNext/>
              <w:rPr>
                <w:szCs w:val="18"/>
              </w:rPr>
            </w:pPr>
            <w:r w:rsidRPr="00E832D1">
              <w:rPr>
                <w:szCs w:val="18"/>
              </w:rPr>
              <w:t>Screening and monitoring costs</w:t>
            </w:r>
          </w:p>
        </w:tc>
        <w:tc>
          <w:tcPr>
            <w:tcW w:w="2115" w:type="dxa"/>
            <w:tcBorders>
              <w:top w:val="single" w:sz="6" w:space="0" w:color="808080" w:themeColor="background1" w:themeShade="80"/>
              <w:bottom w:val="single" w:sz="6" w:space="0" w:color="808080" w:themeColor="background1" w:themeShade="80"/>
            </w:tcBorders>
            <w:noWrap/>
          </w:tcPr>
          <w:p w14:paraId="6113C41A" w14:textId="3E3F5FCC" w:rsidR="00AB753A" w:rsidRPr="00E832D1" w:rsidRDefault="0071196D" w:rsidP="00AB753A">
            <w:pPr>
              <w:pStyle w:val="TableText"/>
              <w:keepNext/>
              <w:jc w:val="center"/>
              <w:rPr>
                <w:szCs w:val="18"/>
              </w:rPr>
            </w:pPr>
            <w:r w:rsidRPr="00E832D1">
              <w:rPr>
                <w:szCs w:val="18"/>
              </w:rPr>
              <w:t xml:space="preserve">$1,186 </w:t>
            </w:r>
            <w:r w:rsidR="00AB753A" w:rsidRPr="00E832D1">
              <w:rPr>
                <w:szCs w:val="18"/>
              </w:rPr>
              <w:t>(</w:t>
            </w:r>
            <w:r w:rsidR="00135091" w:rsidRPr="00E832D1">
              <w:rPr>
                <w:szCs w:val="18"/>
              </w:rPr>
              <w:t>20</w:t>
            </w:r>
            <w:r w:rsidRPr="00E832D1">
              <w:rPr>
                <w:szCs w:val="18"/>
              </w:rPr>
              <w:t>0</w:t>
            </w:r>
            <w:r w:rsidR="00135091" w:rsidRPr="00E832D1">
              <w:rPr>
                <w:szCs w:val="18"/>
              </w:rPr>
              <w:t>7</w:t>
            </w:r>
            <w:r w:rsidR="00AB753A" w:rsidRPr="00E832D1">
              <w:rPr>
                <w:szCs w:val="18"/>
              </w:rPr>
              <w:t>$)</w:t>
            </w:r>
          </w:p>
        </w:tc>
        <w:tc>
          <w:tcPr>
            <w:tcW w:w="2731" w:type="dxa"/>
            <w:tcBorders>
              <w:top w:val="single" w:sz="6" w:space="0" w:color="808080" w:themeColor="background1" w:themeShade="80"/>
              <w:bottom w:val="single" w:sz="6" w:space="0" w:color="808080" w:themeColor="background1" w:themeShade="80"/>
            </w:tcBorders>
          </w:tcPr>
          <w:p w14:paraId="4E56FDB3" w14:textId="5BD33315" w:rsidR="00AB753A" w:rsidRPr="00E832D1" w:rsidRDefault="00AB753A" w:rsidP="00AB753A">
            <w:pPr>
              <w:pStyle w:val="TableText"/>
              <w:keepNext/>
              <w:rPr>
                <w:szCs w:val="18"/>
              </w:rPr>
            </w:pPr>
            <w:r w:rsidRPr="00E832D1">
              <w:rPr>
                <w:szCs w:val="18"/>
              </w:rPr>
              <w:t>Desai et al. (2008)</w:t>
            </w:r>
          </w:p>
        </w:tc>
      </w:tr>
      <w:tr w:rsidR="00AB753A" w:rsidRPr="00E832D1" w14:paraId="72A91F94" w14:textId="77777777" w:rsidTr="00260D8A">
        <w:tc>
          <w:tcPr>
            <w:tcW w:w="4514" w:type="dxa"/>
            <w:tcBorders>
              <w:top w:val="single" w:sz="6" w:space="0" w:color="808080" w:themeColor="background1" w:themeShade="80"/>
              <w:bottom w:val="single" w:sz="12" w:space="0" w:color="auto"/>
            </w:tcBorders>
          </w:tcPr>
          <w:p w14:paraId="5A68F4FE" w14:textId="7E9F77FB" w:rsidR="00AB753A" w:rsidRPr="00E832D1" w:rsidRDefault="00AB753A" w:rsidP="00AB753A">
            <w:pPr>
              <w:pStyle w:val="TableText"/>
              <w:keepNext/>
              <w:rPr>
                <w:szCs w:val="18"/>
              </w:rPr>
            </w:pPr>
            <w:r w:rsidRPr="00E832D1">
              <w:rPr>
                <w:szCs w:val="18"/>
              </w:rPr>
              <w:t>Total</w:t>
            </w:r>
          </w:p>
        </w:tc>
        <w:tc>
          <w:tcPr>
            <w:tcW w:w="2115" w:type="dxa"/>
            <w:tcBorders>
              <w:top w:val="single" w:sz="6" w:space="0" w:color="808080" w:themeColor="background1" w:themeShade="80"/>
              <w:bottom w:val="single" w:sz="12" w:space="0" w:color="auto"/>
            </w:tcBorders>
            <w:noWrap/>
          </w:tcPr>
          <w:p w14:paraId="078B9037" w14:textId="1D651434" w:rsidR="00AB753A" w:rsidRPr="00E832D1" w:rsidRDefault="0071196D" w:rsidP="00AB753A">
            <w:pPr>
              <w:pStyle w:val="TableText"/>
              <w:keepNext/>
              <w:jc w:val="center"/>
              <w:rPr>
                <w:szCs w:val="18"/>
              </w:rPr>
            </w:pPr>
            <w:r w:rsidRPr="00E832D1">
              <w:rPr>
                <w:szCs w:val="18"/>
              </w:rPr>
              <w:t>$14,268</w:t>
            </w:r>
            <w:r w:rsidR="00FE4222" w:rsidRPr="00E832D1">
              <w:rPr>
                <w:szCs w:val="18"/>
                <w:vertAlign w:val="superscript"/>
              </w:rPr>
              <w:t>b</w:t>
            </w:r>
            <w:r w:rsidR="00FE4222" w:rsidRPr="00E832D1">
              <w:rPr>
                <w:szCs w:val="18"/>
              </w:rPr>
              <w:t xml:space="preserve"> (2019$)</w:t>
            </w:r>
          </w:p>
        </w:tc>
        <w:tc>
          <w:tcPr>
            <w:tcW w:w="2731" w:type="dxa"/>
            <w:tcBorders>
              <w:top w:val="single" w:sz="6" w:space="0" w:color="808080" w:themeColor="background1" w:themeShade="80"/>
              <w:bottom w:val="single" w:sz="12" w:space="0" w:color="auto"/>
            </w:tcBorders>
          </w:tcPr>
          <w:p w14:paraId="10283C97" w14:textId="272EC69A" w:rsidR="00AB753A" w:rsidRPr="00E832D1" w:rsidRDefault="00AB753A" w:rsidP="00AB753A">
            <w:pPr>
              <w:pStyle w:val="TableText"/>
              <w:keepNext/>
              <w:rPr>
                <w:szCs w:val="18"/>
              </w:rPr>
            </w:pPr>
          </w:p>
        </w:tc>
      </w:tr>
    </w:tbl>
    <w:p w14:paraId="7BCDDA19" w14:textId="65E11954" w:rsidR="00FE4222" w:rsidRPr="00E832D1" w:rsidRDefault="00FE4222" w:rsidP="005D06AB">
      <w:pPr>
        <w:pStyle w:val="Source2"/>
      </w:pPr>
      <w:r w:rsidRPr="00E832D1">
        <w:rPr>
          <w:vertAlign w:val="superscript"/>
        </w:rPr>
        <w:t xml:space="preserve">a </w:t>
      </w:r>
      <w:r w:rsidRPr="00E832D1">
        <w:t xml:space="preserve">Based on the monthly drug acquisition cost for Truvada reported in </w:t>
      </w:r>
      <w:r w:rsidRPr="00E832D1">
        <w:rPr>
          <w:szCs w:val="18"/>
        </w:rPr>
        <w:t>U.S. Department of Veterans Affairs (2018)</w:t>
      </w:r>
    </w:p>
    <w:p w14:paraId="159027A7" w14:textId="2C83CEA7" w:rsidR="00174B34" w:rsidRPr="00C00335" w:rsidRDefault="00FE4222" w:rsidP="005D06AB">
      <w:pPr>
        <w:pStyle w:val="Source2"/>
      </w:pPr>
      <w:r w:rsidRPr="00E832D1">
        <w:rPr>
          <w:vertAlign w:val="superscript"/>
        </w:rPr>
        <w:t xml:space="preserve">b </w:t>
      </w:r>
      <w:r w:rsidRPr="00E832D1">
        <w:t>Sum of each cost component converted to 2019$</w:t>
      </w:r>
    </w:p>
    <w:bookmarkEnd w:id="157"/>
    <w:p w14:paraId="719FDBC6" w14:textId="77777777" w:rsidR="00227B32" w:rsidRPr="00C00335" w:rsidRDefault="00227B32" w:rsidP="005D1916">
      <w:pPr>
        <w:pStyle w:val="BodyText"/>
      </w:pPr>
    </w:p>
    <w:p w14:paraId="65B1BCF8" w14:textId="77777777" w:rsidR="00FB4FDA" w:rsidRPr="00C00335" w:rsidRDefault="00FB4FDA" w:rsidP="008B30F8">
      <w:pPr>
        <w:pStyle w:val="BodyText"/>
        <w:sectPr w:rsidR="00FB4FDA" w:rsidRPr="00C00335" w:rsidSect="00841835">
          <w:headerReference w:type="default" r:id="rId133"/>
          <w:type w:val="oddPage"/>
          <w:pgSz w:w="12240" w:h="15840" w:code="1"/>
          <w:pgMar w:top="1440" w:right="1440" w:bottom="1440" w:left="1440" w:header="720" w:footer="720" w:gutter="0"/>
          <w:pgNumType w:start="1" w:chapStyle="1"/>
          <w:cols w:space="720"/>
          <w:titlePg/>
          <w:docGrid w:linePitch="360"/>
        </w:sectPr>
      </w:pPr>
    </w:p>
    <w:p w14:paraId="6EAB5912" w14:textId="77777777" w:rsidR="00FB4FDA" w:rsidRPr="00C00335" w:rsidRDefault="00FB4FDA" w:rsidP="00FB4FDA">
      <w:pPr>
        <w:pStyle w:val="Heading1"/>
      </w:pPr>
      <w:bookmarkStart w:id="158" w:name="_Ref493510674"/>
      <w:bookmarkStart w:id="159" w:name="_Toc89257571"/>
      <w:r w:rsidRPr="00C00335">
        <w:lastRenderedPageBreak/>
        <w:t>Model Calibration and Validation</w:t>
      </w:r>
      <w:bookmarkEnd w:id="158"/>
      <w:bookmarkEnd w:id="159"/>
    </w:p>
    <w:p w14:paraId="3E8505B8" w14:textId="71C57295" w:rsidR="00FB4FDA" w:rsidRPr="00C00335" w:rsidRDefault="00FB4FDA" w:rsidP="00D17841">
      <w:pPr>
        <w:pStyle w:val="Heading2"/>
      </w:pPr>
      <w:bookmarkStart w:id="160" w:name="_Toc398293131"/>
      <w:bookmarkStart w:id="161" w:name="_Ref20370455"/>
      <w:bookmarkStart w:id="162" w:name="_Toc89257572"/>
      <w:r w:rsidRPr="00C00335">
        <w:t>Model Calibration</w:t>
      </w:r>
      <w:bookmarkEnd w:id="160"/>
      <w:r w:rsidR="00B81425" w:rsidRPr="00C00335">
        <w:t xml:space="preserve"> to </w:t>
      </w:r>
      <w:r w:rsidR="00D17841" w:rsidRPr="00C00335">
        <w:t xml:space="preserve">Published </w:t>
      </w:r>
      <w:r w:rsidR="00B81425" w:rsidRPr="00C00335">
        <w:t>Data</w:t>
      </w:r>
      <w:bookmarkEnd w:id="161"/>
      <w:bookmarkEnd w:id="162"/>
    </w:p>
    <w:p w14:paraId="0493B512" w14:textId="279251DC" w:rsidR="00214F7F" w:rsidRPr="00C00335" w:rsidRDefault="00FB4FDA" w:rsidP="00903B31">
      <w:pPr>
        <w:pStyle w:val="BodyText"/>
      </w:pPr>
      <w:r w:rsidRPr="00C00335">
        <w:t xml:space="preserve">We calibrated </w:t>
      </w:r>
      <w:r w:rsidR="00B201C3" w:rsidRPr="00C00335">
        <w:t xml:space="preserve">a subset of </w:t>
      </w:r>
      <w:r w:rsidRPr="00C00335">
        <w:t>the model</w:t>
      </w:r>
      <w:r w:rsidR="00B201C3" w:rsidRPr="00C00335">
        <w:t>’s inputs so that</w:t>
      </w:r>
      <w:r w:rsidRPr="00C00335">
        <w:t xml:space="preserve"> </w:t>
      </w:r>
      <w:r w:rsidR="00B201C3" w:rsidRPr="00C00335">
        <w:t xml:space="preserve">key model outcomes in the first and second time periods </w:t>
      </w:r>
      <w:r w:rsidR="002F34B7" w:rsidRPr="00C00335">
        <w:t>approximated</w:t>
      </w:r>
      <w:r w:rsidR="00B201C3" w:rsidRPr="00C00335">
        <w:t xml:space="preserve"> surveillance data defining the HIV epidemic</w:t>
      </w:r>
      <w:r w:rsidRPr="00C00335">
        <w:t xml:space="preserve">. </w:t>
      </w:r>
      <w:r w:rsidR="00214F7F" w:rsidRPr="00C00335">
        <w:t xml:space="preserve">The process that was applied to calibrate the model is outlined in </w:t>
      </w:r>
      <w:r w:rsidR="00871E69" w:rsidRPr="00C00335">
        <w:t xml:space="preserve">Sections </w:t>
      </w:r>
      <w:r w:rsidR="0005114B" w:rsidRPr="00C00335">
        <w:t>1</w:t>
      </w:r>
      <w:r w:rsidR="0005114B">
        <w:t>0</w:t>
      </w:r>
      <w:r w:rsidR="00214F7F" w:rsidRPr="00C00335">
        <w:t xml:space="preserve">.1.1 to </w:t>
      </w:r>
      <w:r w:rsidR="0005114B" w:rsidRPr="00C00335">
        <w:t>1</w:t>
      </w:r>
      <w:r w:rsidR="0005114B">
        <w:t>0</w:t>
      </w:r>
      <w:r w:rsidR="00214F7F" w:rsidRPr="00C00335">
        <w:t>.1.</w:t>
      </w:r>
      <w:r w:rsidR="00053F18">
        <w:t>3</w:t>
      </w:r>
      <w:r w:rsidR="00214F7F" w:rsidRPr="00C00335">
        <w:t>.</w:t>
      </w:r>
    </w:p>
    <w:p w14:paraId="07EF3420" w14:textId="0CD7F58D" w:rsidR="001F5372" w:rsidRPr="00C00335" w:rsidRDefault="00024FE5" w:rsidP="00B84AED">
      <w:pPr>
        <w:pStyle w:val="Heading3"/>
      </w:pPr>
      <w:bookmarkStart w:id="163" w:name="_Toc89257573"/>
      <w:r w:rsidRPr="00C00335">
        <w:t>Establish</w:t>
      </w:r>
      <w:r w:rsidR="00214F7F" w:rsidRPr="00C00335">
        <w:t xml:space="preserve"> </w:t>
      </w:r>
      <w:r w:rsidR="008E4A7C" w:rsidRPr="00C00335">
        <w:t>Calibration Outcome Targets</w:t>
      </w:r>
      <w:bookmarkEnd w:id="163"/>
    </w:p>
    <w:p w14:paraId="2AF51D0C" w14:textId="335B25F6" w:rsidR="001F5372" w:rsidRPr="00C00335" w:rsidRDefault="002F34B7" w:rsidP="00903B31">
      <w:pPr>
        <w:pStyle w:val="BodyText"/>
      </w:pPr>
      <w:r w:rsidRPr="00C00335">
        <w:t xml:space="preserve">The </w:t>
      </w:r>
      <w:r w:rsidR="00214F7F" w:rsidRPr="00C00335">
        <w:t xml:space="preserve">model </w:t>
      </w:r>
      <w:r w:rsidRPr="00C00335">
        <w:t xml:space="preserve">outcomes targeted to match surveillance data are listed in </w:t>
      </w:r>
      <w:r w:rsidR="00871E69" w:rsidRPr="00C00335">
        <w:t>Table </w:t>
      </w:r>
      <w:r w:rsidR="0005114B" w:rsidRPr="00C00335">
        <w:t>1</w:t>
      </w:r>
      <w:r w:rsidR="0005114B">
        <w:t>0</w:t>
      </w:r>
      <w:r w:rsidR="00871E69" w:rsidRPr="00C00335">
        <w:t>.</w:t>
      </w:r>
      <w:r w:rsidRPr="00C00335">
        <w:t xml:space="preserve">3. </w:t>
      </w:r>
      <w:r w:rsidR="00214F7F" w:rsidRPr="00C00335">
        <w:t xml:space="preserve">We aimed for the model’s </w:t>
      </w:r>
      <w:r w:rsidR="006C164E" w:rsidRPr="00C00335">
        <w:t>outcomes</w:t>
      </w:r>
      <w:r w:rsidR="00214F7F" w:rsidRPr="00C00335">
        <w:t xml:space="preserve"> </w:t>
      </w:r>
      <w:r w:rsidR="006C164E" w:rsidRPr="00C00335">
        <w:t>to</w:t>
      </w:r>
      <w:r w:rsidR="00214F7F" w:rsidRPr="00C00335">
        <w:t xml:space="preserve"> </w:t>
      </w:r>
      <w:r w:rsidR="006C164E" w:rsidRPr="00C00335">
        <w:t xml:space="preserve">approximate the published point estimates </w:t>
      </w:r>
      <w:r w:rsidR="00E45603" w:rsidRPr="00C00335">
        <w:t>within an acceptable range</w:t>
      </w:r>
      <w:r w:rsidR="006C164E" w:rsidRPr="00C00335">
        <w:t>. We</w:t>
      </w:r>
      <w:r w:rsidR="00214F7F" w:rsidRPr="00C00335">
        <w:t xml:space="preserve"> used </w:t>
      </w:r>
      <w:r w:rsidR="00750070">
        <w:t>published</w:t>
      </w:r>
      <w:r w:rsidR="00214F7F" w:rsidRPr="00C00335">
        <w:t xml:space="preserve"> confidence intervals</w:t>
      </w:r>
      <w:r w:rsidR="006C164E" w:rsidRPr="00C00335">
        <w:t xml:space="preserve"> for those ranges when available; </w:t>
      </w:r>
      <w:proofErr w:type="gramStart"/>
      <w:r w:rsidR="006C164E" w:rsidRPr="00C00335">
        <w:t>otherwise</w:t>
      </w:r>
      <w:proofErr w:type="gramEnd"/>
      <w:r w:rsidR="00214F7F" w:rsidRPr="00C00335">
        <w:t xml:space="preserve"> </w:t>
      </w:r>
      <w:r w:rsidR="006C164E" w:rsidRPr="00C00335">
        <w:t>we</w:t>
      </w:r>
      <w:r w:rsidR="00E45603" w:rsidRPr="00C00335">
        <w:t xml:space="preserve"> established ranges based on</w:t>
      </w:r>
      <w:r w:rsidR="001F5372" w:rsidRPr="00C00335">
        <w:t xml:space="preserve"> </w:t>
      </w:r>
      <w:r w:rsidR="005D1916" w:rsidRPr="00C00335">
        <w:t>±</w:t>
      </w:r>
      <w:r w:rsidR="00BC2F6A" w:rsidRPr="00C00335">
        <w:t xml:space="preserve">20% </w:t>
      </w:r>
      <w:r w:rsidR="00E45603" w:rsidRPr="00C00335">
        <w:t>of the point estimates</w:t>
      </w:r>
      <w:r w:rsidR="00BC2F6A" w:rsidRPr="00C00335">
        <w:t>.</w:t>
      </w:r>
    </w:p>
    <w:p w14:paraId="6ECDD5DF" w14:textId="63C44769" w:rsidR="001F5372" w:rsidRPr="00C00335" w:rsidRDefault="00024FE5" w:rsidP="008E4A7C">
      <w:pPr>
        <w:pStyle w:val="Heading3"/>
      </w:pPr>
      <w:bookmarkStart w:id="164" w:name="_Toc89257574"/>
      <w:r w:rsidRPr="00C00335">
        <w:t xml:space="preserve">Establish </w:t>
      </w:r>
      <w:r w:rsidR="008E4A7C" w:rsidRPr="00C00335">
        <w:t xml:space="preserve">Inputs </w:t>
      </w:r>
      <w:r w:rsidR="004461F4" w:rsidRPr="00C00335">
        <w:t xml:space="preserve">to </w:t>
      </w:r>
      <w:r w:rsidR="008E4A7C" w:rsidRPr="00C00335">
        <w:t>V</w:t>
      </w:r>
      <w:r w:rsidR="004461F4" w:rsidRPr="00C00335">
        <w:t xml:space="preserve">ary in </w:t>
      </w:r>
      <w:r w:rsidR="008E4A7C" w:rsidRPr="00C00335">
        <w:t>C</w:t>
      </w:r>
      <w:r w:rsidR="004461F4" w:rsidRPr="00C00335">
        <w:t>alibration</w:t>
      </w:r>
      <w:bookmarkEnd w:id="164"/>
    </w:p>
    <w:p w14:paraId="0891E764" w14:textId="1340E12C" w:rsidR="009B4F07" w:rsidRPr="00C00335" w:rsidRDefault="004461F4" w:rsidP="00903B31">
      <w:pPr>
        <w:pStyle w:val="BodyText"/>
      </w:pPr>
      <w:r w:rsidRPr="00C00335">
        <w:t>W</w:t>
      </w:r>
      <w:r w:rsidR="00FB4FDA" w:rsidRPr="00C00335">
        <w:t xml:space="preserve">e identified </w:t>
      </w:r>
      <w:r w:rsidR="00E45603" w:rsidRPr="00C00335">
        <w:t xml:space="preserve">inputs </w:t>
      </w:r>
      <w:r w:rsidR="00FB4FDA" w:rsidRPr="00C00335">
        <w:t xml:space="preserve">to vary and specified </w:t>
      </w:r>
      <w:r w:rsidR="003A172B" w:rsidRPr="00C00335">
        <w:t xml:space="preserve">both a priority weight and </w:t>
      </w:r>
      <w:r w:rsidR="00FB4FDA" w:rsidRPr="00C00335">
        <w:t>a range of acceptable values for each (</w:t>
      </w:r>
      <w:r w:rsidR="00871E69" w:rsidRPr="00C00335">
        <w:t>Tables </w:t>
      </w:r>
      <w:r w:rsidR="0005114B" w:rsidRPr="00C00335">
        <w:t>1</w:t>
      </w:r>
      <w:r w:rsidR="0005114B">
        <w:t>0</w:t>
      </w:r>
      <w:r w:rsidR="00CC1362" w:rsidRPr="00C00335">
        <w:t>.</w:t>
      </w:r>
      <w:r w:rsidR="00FB4FDA" w:rsidRPr="00C00335">
        <w:t xml:space="preserve">1 and </w:t>
      </w:r>
      <w:r w:rsidR="0005114B" w:rsidRPr="00C00335">
        <w:t>1</w:t>
      </w:r>
      <w:r w:rsidR="0005114B">
        <w:t>0</w:t>
      </w:r>
      <w:r w:rsidR="00CC1362" w:rsidRPr="00C00335">
        <w:t>.</w:t>
      </w:r>
      <w:r w:rsidR="00FB4FDA" w:rsidRPr="00C00335">
        <w:t>2). Most parameters selected to be varied were selected because limited to no source data were available</w:t>
      </w:r>
      <w:r w:rsidR="002F34B7" w:rsidRPr="00C00335">
        <w:t xml:space="preserve">. </w:t>
      </w:r>
      <w:r w:rsidR="003A172B" w:rsidRPr="00C00335">
        <w:t xml:space="preserve">We also calibrated all </w:t>
      </w:r>
      <w:r w:rsidR="002F34B7" w:rsidRPr="00C00335">
        <w:t xml:space="preserve">rates of flow along the continuum-of-care </w:t>
      </w:r>
      <w:r w:rsidR="003A172B" w:rsidRPr="00C00335">
        <w:t xml:space="preserve">so that the distribution of the HIV-infected population matched that observed in </w:t>
      </w:r>
      <w:r w:rsidR="002F34B7" w:rsidRPr="00C00335">
        <w:t>surveillance data</w:t>
      </w:r>
      <w:r w:rsidR="003A172B" w:rsidRPr="00C00335">
        <w:t>,</w:t>
      </w:r>
      <w:r w:rsidR="00697F6C" w:rsidRPr="00C00335">
        <w:t xml:space="preserve"> </w:t>
      </w:r>
      <w:r w:rsidR="003A172B" w:rsidRPr="00C00335">
        <w:t>despite the fact that</w:t>
      </w:r>
      <w:r w:rsidR="00697F6C" w:rsidRPr="00C00335">
        <w:t xml:space="preserve"> </w:t>
      </w:r>
      <w:r w:rsidR="003A172B" w:rsidRPr="00C00335">
        <w:t xml:space="preserve">estimates of some of those rates </w:t>
      </w:r>
      <w:r w:rsidR="00697F6C" w:rsidRPr="00C00335">
        <w:t>(testing, linkage</w:t>
      </w:r>
      <w:r w:rsidR="003C0141" w:rsidRPr="00C00335">
        <w:t xml:space="preserve"> to HIV care</w:t>
      </w:r>
      <w:r w:rsidR="00697F6C" w:rsidRPr="00C00335">
        <w:t>, and other rates)</w:t>
      </w:r>
      <w:r w:rsidR="003A172B" w:rsidRPr="00C00335">
        <w:t xml:space="preserve"> are reported in the published literature</w:t>
      </w:r>
      <w:r w:rsidR="00FB4FDA" w:rsidRPr="00C00335">
        <w:t xml:space="preserve">. </w:t>
      </w:r>
      <w:r w:rsidR="009B4F07" w:rsidRPr="00C00335">
        <w:t xml:space="preserve">In addition, </w:t>
      </w:r>
      <w:r w:rsidR="00697F6C" w:rsidRPr="00C00335">
        <w:t xml:space="preserve">we also varied some inputs </w:t>
      </w:r>
      <w:r w:rsidR="00B83E5F" w:rsidRPr="00C00335">
        <w:t xml:space="preserve">to which </w:t>
      </w:r>
      <w:r w:rsidR="00697F6C" w:rsidRPr="00C00335">
        <w:t xml:space="preserve">the model was highly sensitive but </w:t>
      </w:r>
      <w:r w:rsidR="00B83E5F" w:rsidRPr="00C00335">
        <w:t xml:space="preserve">for which </w:t>
      </w:r>
      <w:r w:rsidR="00697F6C" w:rsidRPr="00C00335">
        <w:t>the published literature did not offer high confidence in specific values; per-act transmission risk was a key example of such an input</w:t>
      </w:r>
      <w:r w:rsidR="009B4F07" w:rsidRPr="00C00335">
        <w:t>.</w:t>
      </w:r>
    </w:p>
    <w:p w14:paraId="6E18836D" w14:textId="33FC89C3" w:rsidR="001F5372" w:rsidRPr="00C00335" w:rsidRDefault="00587867" w:rsidP="00EC4628">
      <w:pPr>
        <w:pStyle w:val="BodyText"/>
      </w:pPr>
      <w:r w:rsidRPr="00DD5139">
        <w:t>Priority</w:t>
      </w:r>
      <w:r w:rsidRPr="00C00335">
        <w:t xml:space="preserve"> weights were assigned to all outcomes.</w:t>
      </w:r>
    </w:p>
    <w:p w14:paraId="2BB0BF28" w14:textId="77777777" w:rsidR="003142FD" w:rsidRPr="00C00335" w:rsidRDefault="003142FD">
      <w:pPr>
        <w:rPr>
          <w:b/>
        </w:rPr>
      </w:pPr>
      <w:r w:rsidRPr="00C00335">
        <w:br w:type="page"/>
      </w:r>
    </w:p>
    <w:p w14:paraId="5C28EF29" w14:textId="7A3DC17F" w:rsidR="00F14E49" w:rsidRPr="0058458C" w:rsidRDefault="004F4E6D" w:rsidP="00903B31">
      <w:pPr>
        <w:pStyle w:val="TableTitle"/>
      </w:pPr>
      <w:bookmarkStart w:id="165" w:name="_Toc89257618"/>
      <w:r w:rsidRPr="0058458C">
        <w:lastRenderedPageBreak/>
        <w:t xml:space="preserve">Table </w:t>
      </w:r>
      <w:r w:rsidR="00903B31" w:rsidRPr="0058458C">
        <w:t>1</w:t>
      </w:r>
      <w:r w:rsidR="008867F1">
        <w:t>0</w:t>
      </w:r>
      <w:r w:rsidRPr="0058458C">
        <w:t>.</w:t>
      </w:r>
      <w:r w:rsidR="00FB4FDA" w:rsidRPr="0058458C">
        <w:t>1.</w:t>
      </w:r>
      <w:r w:rsidR="00FB4FDA" w:rsidRPr="0058458C">
        <w:tab/>
      </w:r>
      <w:r w:rsidR="003A172B" w:rsidRPr="0058458C">
        <w:t xml:space="preserve">Bounds and Final </w:t>
      </w:r>
      <w:r w:rsidR="00A16C51" w:rsidRPr="0058458C">
        <w:t xml:space="preserve">Values of </w:t>
      </w:r>
      <w:r w:rsidR="00B51169" w:rsidRPr="0058458C">
        <w:t xml:space="preserve">Continuum-of-Care Parameters Varied in </w:t>
      </w:r>
      <w:proofErr w:type="spellStart"/>
      <w:r w:rsidR="00B51169" w:rsidRPr="0058458C">
        <w:t>Calibration</w:t>
      </w:r>
      <w:r w:rsidR="000E6D70" w:rsidRPr="0058458C">
        <w:rPr>
          <w:vertAlign w:val="superscript"/>
        </w:rPr>
        <w:t>a</w:t>
      </w:r>
      <w:bookmarkEnd w:id="165"/>
      <w:proofErr w:type="spellEnd"/>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8"/>
        <w:gridCol w:w="60"/>
        <w:gridCol w:w="1718"/>
        <w:gridCol w:w="1777"/>
        <w:gridCol w:w="1777"/>
      </w:tblGrid>
      <w:tr w:rsidR="0028041E" w:rsidRPr="0058458C" w14:paraId="40A64E54" w14:textId="06EA319A" w:rsidTr="000E78F7">
        <w:trPr>
          <w:cantSplit/>
          <w:tblHeader/>
        </w:trPr>
        <w:tc>
          <w:tcPr>
            <w:tcW w:w="2152" w:type="pct"/>
            <w:tcBorders>
              <w:top w:val="single" w:sz="12" w:space="0" w:color="auto"/>
              <w:bottom w:val="single" w:sz="6" w:space="0" w:color="auto"/>
            </w:tcBorders>
            <w:vAlign w:val="bottom"/>
          </w:tcPr>
          <w:p w14:paraId="296BDDF3" w14:textId="77777777" w:rsidR="0028041E" w:rsidRPr="0058458C" w:rsidRDefault="0028041E" w:rsidP="000E78F7">
            <w:pPr>
              <w:pStyle w:val="TableHeaders"/>
              <w:spacing w:before="40" w:after="40"/>
            </w:pPr>
            <w:r w:rsidRPr="0058458C">
              <w:t>Parameter</w:t>
            </w:r>
          </w:p>
        </w:tc>
        <w:tc>
          <w:tcPr>
            <w:tcW w:w="950" w:type="pct"/>
            <w:gridSpan w:val="2"/>
            <w:tcBorders>
              <w:top w:val="single" w:sz="12" w:space="0" w:color="auto"/>
              <w:bottom w:val="single" w:sz="6" w:space="0" w:color="auto"/>
            </w:tcBorders>
            <w:vAlign w:val="bottom"/>
          </w:tcPr>
          <w:p w14:paraId="2A2E75E4" w14:textId="4500E9A1" w:rsidR="0028041E" w:rsidRPr="0058458C" w:rsidRDefault="0028041E" w:rsidP="000E78F7">
            <w:pPr>
              <w:pStyle w:val="TableHeaders"/>
              <w:spacing w:before="40" w:after="40"/>
            </w:pPr>
            <w:r w:rsidRPr="0058458C">
              <w:t>Calibrated Value</w:t>
            </w:r>
          </w:p>
        </w:tc>
        <w:tc>
          <w:tcPr>
            <w:tcW w:w="949" w:type="pct"/>
            <w:tcBorders>
              <w:top w:val="single" w:sz="12" w:space="0" w:color="auto"/>
              <w:bottom w:val="single" w:sz="6" w:space="0" w:color="auto"/>
            </w:tcBorders>
            <w:vAlign w:val="bottom"/>
          </w:tcPr>
          <w:p w14:paraId="7B6213DC" w14:textId="6D94BD48" w:rsidR="0028041E" w:rsidRPr="0058458C" w:rsidRDefault="0028041E" w:rsidP="000E78F7">
            <w:pPr>
              <w:pStyle w:val="TableHeaders"/>
              <w:spacing w:before="40" w:after="40"/>
            </w:pPr>
            <w:r w:rsidRPr="0058458C">
              <w:t>Lower Bound</w:t>
            </w:r>
          </w:p>
        </w:tc>
        <w:tc>
          <w:tcPr>
            <w:tcW w:w="949" w:type="pct"/>
            <w:tcBorders>
              <w:top w:val="single" w:sz="12" w:space="0" w:color="auto"/>
              <w:bottom w:val="single" w:sz="6" w:space="0" w:color="auto"/>
            </w:tcBorders>
            <w:vAlign w:val="bottom"/>
          </w:tcPr>
          <w:p w14:paraId="617D9C96" w14:textId="7E2E644B" w:rsidR="0028041E" w:rsidRPr="0058458C" w:rsidRDefault="0028041E" w:rsidP="000E78F7">
            <w:pPr>
              <w:pStyle w:val="TableHeaders"/>
              <w:spacing w:before="40" w:after="40"/>
            </w:pPr>
            <w:r w:rsidRPr="0058458C">
              <w:t>Upper Bound</w:t>
            </w:r>
          </w:p>
        </w:tc>
      </w:tr>
      <w:tr w:rsidR="0028041E" w:rsidRPr="0058458C" w14:paraId="4A7C804B" w14:textId="2AED16D0" w:rsidTr="004C4731">
        <w:trPr>
          <w:cantSplit/>
        </w:trPr>
        <w:tc>
          <w:tcPr>
            <w:tcW w:w="3101" w:type="pct"/>
            <w:gridSpan w:val="3"/>
            <w:tcBorders>
              <w:top w:val="single" w:sz="6" w:space="0" w:color="auto"/>
              <w:bottom w:val="single" w:sz="6" w:space="0" w:color="808080" w:themeColor="background1" w:themeShade="80"/>
            </w:tcBorders>
          </w:tcPr>
          <w:p w14:paraId="269BA606" w14:textId="248EA10D" w:rsidR="0028041E" w:rsidRPr="0058458C" w:rsidRDefault="0028041E" w:rsidP="00871E69">
            <w:pPr>
              <w:pStyle w:val="TableText"/>
              <w:spacing w:before="40" w:after="40"/>
            </w:pPr>
            <w:r w:rsidRPr="0058458C">
              <w:t>Annual rate of getting tested per reference case</w:t>
            </w:r>
          </w:p>
        </w:tc>
        <w:tc>
          <w:tcPr>
            <w:tcW w:w="949" w:type="pct"/>
            <w:tcBorders>
              <w:top w:val="single" w:sz="6" w:space="0" w:color="auto"/>
              <w:bottom w:val="single" w:sz="6" w:space="0" w:color="808080" w:themeColor="background1" w:themeShade="80"/>
            </w:tcBorders>
          </w:tcPr>
          <w:p w14:paraId="4377168B" w14:textId="77777777" w:rsidR="0028041E" w:rsidRPr="0058458C" w:rsidRDefault="0028041E" w:rsidP="00871E69">
            <w:pPr>
              <w:pStyle w:val="TableText"/>
              <w:spacing w:before="40" w:after="40"/>
            </w:pPr>
          </w:p>
        </w:tc>
        <w:tc>
          <w:tcPr>
            <w:tcW w:w="949" w:type="pct"/>
            <w:tcBorders>
              <w:top w:val="single" w:sz="6" w:space="0" w:color="auto"/>
              <w:bottom w:val="single" w:sz="6" w:space="0" w:color="808080" w:themeColor="background1" w:themeShade="80"/>
            </w:tcBorders>
          </w:tcPr>
          <w:p w14:paraId="6490E7C0" w14:textId="77777777" w:rsidR="0028041E" w:rsidRPr="0058458C" w:rsidRDefault="0028041E" w:rsidP="00871E69">
            <w:pPr>
              <w:pStyle w:val="TableText"/>
              <w:spacing w:before="40" w:after="40"/>
            </w:pPr>
          </w:p>
        </w:tc>
      </w:tr>
      <w:tr w:rsidR="0028041E" w:rsidRPr="0058458C" w14:paraId="490E5193" w14:textId="2617A7D0" w:rsidTr="004C4731">
        <w:trPr>
          <w:cantSplit/>
        </w:trPr>
        <w:tc>
          <w:tcPr>
            <w:tcW w:w="2152" w:type="pct"/>
            <w:tcBorders>
              <w:top w:val="single" w:sz="6" w:space="0" w:color="808080" w:themeColor="background1" w:themeShade="80"/>
              <w:bottom w:val="single" w:sz="6" w:space="0" w:color="808080" w:themeColor="background1" w:themeShade="80"/>
            </w:tcBorders>
          </w:tcPr>
          <w:p w14:paraId="25529CC8" w14:textId="250FA453" w:rsidR="0028041E" w:rsidRPr="0058458C" w:rsidRDefault="0028041E" w:rsidP="00871E69">
            <w:pPr>
              <w:pStyle w:val="TableTextIndent1"/>
              <w:spacing w:before="40" w:after="40"/>
            </w:pPr>
            <w:r w:rsidRPr="0058458C">
              <w:t>Black, HET, CD4 &lt; 500</w:t>
            </w:r>
            <w:r w:rsidR="004C7EFB">
              <w:t>, 13-17</w:t>
            </w:r>
          </w:p>
        </w:tc>
        <w:tc>
          <w:tcPr>
            <w:tcW w:w="950" w:type="pct"/>
            <w:gridSpan w:val="2"/>
            <w:tcBorders>
              <w:top w:val="single" w:sz="6" w:space="0" w:color="808080" w:themeColor="background1" w:themeShade="80"/>
              <w:bottom w:val="single" w:sz="6" w:space="0" w:color="808080" w:themeColor="background1" w:themeShade="80"/>
            </w:tcBorders>
          </w:tcPr>
          <w:p w14:paraId="6D556ED5" w14:textId="1613B063" w:rsidR="0028041E" w:rsidRPr="00E54903" w:rsidRDefault="004C7EFB" w:rsidP="00871E69">
            <w:pPr>
              <w:pStyle w:val="TableText"/>
              <w:spacing w:before="40" w:after="40"/>
              <w:jc w:val="center"/>
              <w:rPr>
                <w:iCs/>
              </w:rPr>
            </w:pPr>
            <w:r w:rsidRPr="003C3D46">
              <w:rPr>
                <w:iCs/>
              </w:rPr>
              <w:t>0.073</w:t>
            </w:r>
          </w:p>
        </w:tc>
        <w:tc>
          <w:tcPr>
            <w:tcW w:w="949" w:type="pct"/>
            <w:tcBorders>
              <w:top w:val="single" w:sz="6" w:space="0" w:color="808080" w:themeColor="background1" w:themeShade="80"/>
              <w:bottom w:val="single" w:sz="6" w:space="0" w:color="808080" w:themeColor="background1" w:themeShade="80"/>
            </w:tcBorders>
          </w:tcPr>
          <w:p w14:paraId="43F3B066" w14:textId="764D6707" w:rsidR="0028041E" w:rsidRPr="0058458C" w:rsidRDefault="0028041E" w:rsidP="00871E69">
            <w:pPr>
              <w:pStyle w:val="TableText"/>
              <w:spacing w:before="40" w:after="40"/>
              <w:jc w:val="center"/>
            </w:pPr>
            <w:r w:rsidRPr="0058458C">
              <w:t>0.030</w:t>
            </w:r>
          </w:p>
        </w:tc>
        <w:tc>
          <w:tcPr>
            <w:tcW w:w="949" w:type="pct"/>
            <w:tcBorders>
              <w:top w:val="single" w:sz="6" w:space="0" w:color="808080" w:themeColor="background1" w:themeShade="80"/>
              <w:bottom w:val="single" w:sz="6" w:space="0" w:color="808080" w:themeColor="background1" w:themeShade="80"/>
            </w:tcBorders>
          </w:tcPr>
          <w:p w14:paraId="748DA216" w14:textId="1276664B" w:rsidR="0028041E" w:rsidRPr="0058458C" w:rsidRDefault="0028041E" w:rsidP="00871E69">
            <w:pPr>
              <w:pStyle w:val="TableText"/>
              <w:spacing w:before="40" w:after="40"/>
              <w:jc w:val="center"/>
            </w:pPr>
            <w:r w:rsidRPr="0058458C">
              <w:t>0.300</w:t>
            </w:r>
          </w:p>
        </w:tc>
      </w:tr>
      <w:tr w:rsidR="0028041E" w:rsidRPr="0058458C" w14:paraId="3C7C20E0" w14:textId="789029CA" w:rsidTr="004C4731">
        <w:trPr>
          <w:cantSplit/>
        </w:trPr>
        <w:tc>
          <w:tcPr>
            <w:tcW w:w="3101" w:type="pct"/>
            <w:gridSpan w:val="3"/>
            <w:tcBorders>
              <w:top w:val="single" w:sz="6" w:space="0" w:color="808080" w:themeColor="background1" w:themeShade="80"/>
              <w:bottom w:val="single" w:sz="6" w:space="0" w:color="808080" w:themeColor="background1" w:themeShade="80"/>
            </w:tcBorders>
          </w:tcPr>
          <w:p w14:paraId="455C4EA7" w14:textId="151A674A" w:rsidR="0028041E" w:rsidRPr="0058458C" w:rsidRDefault="0028041E" w:rsidP="00871E69">
            <w:pPr>
              <w:pStyle w:val="TableText"/>
              <w:spacing w:before="40" w:after="40"/>
            </w:pPr>
            <w:r w:rsidRPr="0058458C">
              <w:t xml:space="preserve">Relative risk of getting tested </w:t>
            </w:r>
            <w:r w:rsidR="005C450F">
              <w:t>versus reference case</w:t>
            </w:r>
          </w:p>
        </w:tc>
        <w:tc>
          <w:tcPr>
            <w:tcW w:w="949" w:type="pct"/>
            <w:tcBorders>
              <w:top w:val="single" w:sz="6" w:space="0" w:color="808080" w:themeColor="background1" w:themeShade="80"/>
              <w:bottom w:val="single" w:sz="6" w:space="0" w:color="808080" w:themeColor="background1" w:themeShade="80"/>
            </w:tcBorders>
          </w:tcPr>
          <w:p w14:paraId="322F0A18" w14:textId="77777777" w:rsidR="0028041E" w:rsidRPr="0058458C" w:rsidRDefault="0028041E" w:rsidP="00871E6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4DA017B4" w14:textId="77777777" w:rsidR="0028041E" w:rsidRPr="0058458C" w:rsidRDefault="0028041E" w:rsidP="00871E69">
            <w:pPr>
              <w:pStyle w:val="TableText"/>
              <w:spacing w:before="40" w:after="40"/>
            </w:pPr>
          </w:p>
        </w:tc>
      </w:tr>
      <w:tr w:rsidR="005C450F" w:rsidRPr="0058458C" w14:paraId="766689F4" w14:textId="77777777" w:rsidTr="004C4731">
        <w:trPr>
          <w:cantSplit/>
        </w:trPr>
        <w:tc>
          <w:tcPr>
            <w:tcW w:w="3101" w:type="pct"/>
            <w:gridSpan w:val="3"/>
            <w:tcBorders>
              <w:top w:val="single" w:sz="6" w:space="0" w:color="808080" w:themeColor="background1" w:themeShade="80"/>
              <w:bottom w:val="single" w:sz="6" w:space="0" w:color="808080" w:themeColor="background1" w:themeShade="80"/>
            </w:tcBorders>
          </w:tcPr>
          <w:p w14:paraId="51FDD8C9" w14:textId="384BA4EA" w:rsidR="005C450F" w:rsidRPr="0058458C" w:rsidRDefault="005C450F" w:rsidP="005C450F">
            <w:pPr>
              <w:pStyle w:val="TableText"/>
              <w:spacing w:before="40" w:after="40"/>
              <w:ind w:left="510"/>
            </w:pPr>
            <w:r>
              <w:t>By race/ethnicity</w:t>
            </w:r>
          </w:p>
        </w:tc>
        <w:tc>
          <w:tcPr>
            <w:tcW w:w="949" w:type="pct"/>
            <w:tcBorders>
              <w:top w:val="single" w:sz="6" w:space="0" w:color="808080" w:themeColor="background1" w:themeShade="80"/>
              <w:bottom w:val="single" w:sz="6" w:space="0" w:color="808080" w:themeColor="background1" w:themeShade="80"/>
            </w:tcBorders>
          </w:tcPr>
          <w:p w14:paraId="1272761B" w14:textId="77777777" w:rsidR="005C450F" w:rsidRPr="0058458C" w:rsidRDefault="005C450F" w:rsidP="00871E6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4C29B08A" w14:textId="77777777" w:rsidR="005C450F" w:rsidRPr="0058458C" w:rsidRDefault="005C450F" w:rsidP="00871E69">
            <w:pPr>
              <w:pStyle w:val="TableText"/>
              <w:spacing w:before="40" w:after="40"/>
            </w:pPr>
          </w:p>
        </w:tc>
      </w:tr>
      <w:tr w:rsidR="004C7EFB" w:rsidRPr="0058458C" w14:paraId="08099370" w14:textId="11BA2ED5" w:rsidTr="004C4731">
        <w:trPr>
          <w:cantSplit/>
        </w:trPr>
        <w:tc>
          <w:tcPr>
            <w:tcW w:w="2152" w:type="pct"/>
            <w:tcBorders>
              <w:top w:val="single" w:sz="6" w:space="0" w:color="808080" w:themeColor="background1" w:themeShade="80"/>
              <w:bottom w:val="single" w:sz="6" w:space="0" w:color="808080" w:themeColor="background1" w:themeShade="80"/>
            </w:tcBorders>
          </w:tcPr>
          <w:p w14:paraId="0105F56A" w14:textId="77777777" w:rsidR="004C7EFB" w:rsidRPr="0058458C" w:rsidRDefault="004C7EFB" w:rsidP="005C450F">
            <w:pPr>
              <w:pStyle w:val="TableTextIndent1"/>
              <w:spacing w:before="40" w:after="40"/>
              <w:ind w:left="690"/>
            </w:pPr>
            <w:r w:rsidRPr="0058458C">
              <w:t>Hispanic/Latino</w:t>
            </w:r>
          </w:p>
        </w:tc>
        <w:tc>
          <w:tcPr>
            <w:tcW w:w="950" w:type="pct"/>
            <w:gridSpan w:val="2"/>
            <w:tcBorders>
              <w:top w:val="single" w:sz="6" w:space="0" w:color="808080" w:themeColor="background1" w:themeShade="80"/>
              <w:bottom w:val="single" w:sz="6" w:space="0" w:color="808080" w:themeColor="background1" w:themeShade="80"/>
            </w:tcBorders>
          </w:tcPr>
          <w:p w14:paraId="5CA49449" w14:textId="0C627BFE" w:rsidR="004C7EFB" w:rsidRPr="0058458C" w:rsidRDefault="004C7EFB" w:rsidP="004C7EFB">
            <w:pPr>
              <w:pStyle w:val="TableText"/>
              <w:spacing w:before="40" w:after="40"/>
              <w:jc w:val="center"/>
            </w:pPr>
            <w:r w:rsidRPr="000C27B9">
              <w:t>0.882</w:t>
            </w:r>
          </w:p>
        </w:tc>
        <w:tc>
          <w:tcPr>
            <w:tcW w:w="949" w:type="pct"/>
            <w:tcBorders>
              <w:top w:val="single" w:sz="6" w:space="0" w:color="808080" w:themeColor="background1" w:themeShade="80"/>
              <w:bottom w:val="single" w:sz="6" w:space="0" w:color="808080" w:themeColor="background1" w:themeShade="80"/>
            </w:tcBorders>
          </w:tcPr>
          <w:p w14:paraId="741FB43F" w14:textId="6C01AB3C" w:rsidR="004C7EFB" w:rsidRPr="0058458C" w:rsidRDefault="004C7EFB" w:rsidP="004C7EFB">
            <w:pPr>
              <w:pStyle w:val="TableText"/>
              <w:spacing w:before="40" w:after="40"/>
              <w:jc w:val="center"/>
            </w:pPr>
            <w:r w:rsidRPr="006C3BCD">
              <w:t>0.5</w:t>
            </w:r>
            <w:r>
              <w:t>00</w:t>
            </w:r>
          </w:p>
        </w:tc>
        <w:tc>
          <w:tcPr>
            <w:tcW w:w="949" w:type="pct"/>
            <w:tcBorders>
              <w:top w:val="single" w:sz="6" w:space="0" w:color="808080" w:themeColor="background1" w:themeShade="80"/>
              <w:bottom w:val="single" w:sz="6" w:space="0" w:color="808080" w:themeColor="background1" w:themeShade="80"/>
            </w:tcBorders>
          </w:tcPr>
          <w:p w14:paraId="2EA35E12" w14:textId="5F3F27CA" w:rsidR="004C7EFB" w:rsidRPr="0058458C" w:rsidRDefault="004C7EFB" w:rsidP="004C7EFB">
            <w:pPr>
              <w:pStyle w:val="TableText"/>
              <w:spacing w:before="40" w:after="40"/>
              <w:jc w:val="center"/>
            </w:pPr>
            <w:r w:rsidRPr="0058458C">
              <w:t>1.500</w:t>
            </w:r>
          </w:p>
        </w:tc>
      </w:tr>
      <w:tr w:rsidR="004C7EFB" w:rsidRPr="0058458C" w14:paraId="232B49B6" w14:textId="4C5CB753" w:rsidTr="004C4731">
        <w:trPr>
          <w:cantSplit/>
        </w:trPr>
        <w:tc>
          <w:tcPr>
            <w:tcW w:w="2152" w:type="pct"/>
            <w:tcBorders>
              <w:top w:val="single" w:sz="6" w:space="0" w:color="808080" w:themeColor="background1" w:themeShade="80"/>
              <w:bottom w:val="single" w:sz="6" w:space="0" w:color="808080" w:themeColor="background1" w:themeShade="80"/>
            </w:tcBorders>
          </w:tcPr>
          <w:p w14:paraId="7269F66B" w14:textId="68D9FC16" w:rsidR="004C7EFB" w:rsidRPr="0058458C" w:rsidRDefault="004C7EFB" w:rsidP="005C450F">
            <w:pPr>
              <w:pStyle w:val="TableTextIndent1"/>
              <w:spacing w:before="40" w:after="40"/>
              <w:ind w:left="690"/>
            </w:pPr>
            <w:r w:rsidRPr="0058458C">
              <w:t>White/other</w:t>
            </w:r>
          </w:p>
        </w:tc>
        <w:tc>
          <w:tcPr>
            <w:tcW w:w="950" w:type="pct"/>
            <w:gridSpan w:val="2"/>
            <w:tcBorders>
              <w:top w:val="single" w:sz="6" w:space="0" w:color="808080" w:themeColor="background1" w:themeShade="80"/>
              <w:bottom w:val="single" w:sz="6" w:space="0" w:color="808080" w:themeColor="background1" w:themeShade="80"/>
            </w:tcBorders>
          </w:tcPr>
          <w:p w14:paraId="661F52B1" w14:textId="393B7154" w:rsidR="004C7EFB" w:rsidRPr="0058458C" w:rsidRDefault="004C7EFB" w:rsidP="004C7EFB">
            <w:pPr>
              <w:pStyle w:val="TableText"/>
              <w:spacing w:before="40" w:after="40"/>
              <w:jc w:val="center"/>
            </w:pPr>
            <w:r w:rsidRPr="000C27B9">
              <w:t>0.813</w:t>
            </w:r>
          </w:p>
        </w:tc>
        <w:tc>
          <w:tcPr>
            <w:tcW w:w="949" w:type="pct"/>
            <w:tcBorders>
              <w:top w:val="single" w:sz="6" w:space="0" w:color="808080" w:themeColor="background1" w:themeShade="80"/>
              <w:bottom w:val="single" w:sz="6" w:space="0" w:color="808080" w:themeColor="background1" w:themeShade="80"/>
            </w:tcBorders>
          </w:tcPr>
          <w:p w14:paraId="24338E3B" w14:textId="14E646C7" w:rsidR="004C7EFB" w:rsidRPr="0058458C" w:rsidRDefault="004C7EFB" w:rsidP="004C7EFB">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1BF1BC61" w14:textId="61360453" w:rsidR="004C7EFB" w:rsidRPr="0058458C" w:rsidRDefault="004C7EFB" w:rsidP="004C7EFB">
            <w:pPr>
              <w:pStyle w:val="TableText"/>
              <w:spacing w:before="40" w:after="40"/>
              <w:jc w:val="center"/>
            </w:pPr>
            <w:r w:rsidRPr="0058458C">
              <w:t>1.500</w:t>
            </w:r>
          </w:p>
        </w:tc>
      </w:tr>
      <w:tr w:rsidR="0028041E" w:rsidRPr="0058458C" w14:paraId="31BEE308" w14:textId="23D484D2" w:rsidTr="004C4731">
        <w:trPr>
          <w:cantSplit/>
        </w:trPr>
        <w:tc>
          <w:tcPr>
            <w:tcW w:w="2152" w:type="pct"/>
            <w:tcBorders>
              <w:top w:val="single" w:sz="6" w:space="0" w:color="808080" w:themeColor="background1" w:themeShade="80"/>
              <w:bottom w:val="single" w:sz="6" w:space="0" w:color="808080" w:themeColor="background1" w:themeShade="80"/>
            </w:tcBorders>
          </w:tcPr>
          <w:p w14:paraId="4EB7960B" w14:textId="38F7A55D" w:rsidR="0028041E" w:rsidRPr="0058458C" w:rsidRDefault="005C450F" w:rsidP="00871E69">
            <w:pPr>
              <w:pStyle w:val="TableTextIndent1"/>
              <w:spacing w:before="40" w:after="40"/>
              <w:ind w:left="490"/>
            </w:pPr>
            <w:r>
              <w:t>B</w:t>
            </w:r>
            <w:r w:rsidR="0028041E" w:rsidRPr="0058458C">
              <w:t>y transmission group</w:t>
            </w:r>
          </w:p>
        </w:tc>
        <w:tc>
          <w:tcPr>
            <w:tcW w:w="950" w:type="pct"/>
            <w:gridSpan w:val="2"/>
            <w:tcBorders>
              <w:top w:val="single" w:sz="6" w:space="0" w:color="808080" w:themeColor="background1" w:themeShade="80"/>
              <w:bottom w:val="single" w:sz="6" w:space="0" w:color="808080" w:themeColor="background1" w:themeShade="80"/>
            </w:tcBorders>
          </w:tcPr>
          <w:p w14:paraId="74041669" w14:textId="77777777" w:rsidR="0028041E" w:rsidRPr="0058458C" w:rsidRDefault="0028041E" w:rsidP="00871E6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14B80655" w14:textId="77777777" w:rsidR="0028041E" w:rsidRPr="0058458C" w:rsidRDefault="0028041E" w:rsidP="00871E6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AF82CE1" w14:textId="77777777" w:rsidR="0028041E" w:rsidRPr="0058458C" w:rsidRDefault="0028041E" w:rsidP="00871E69">
            <w:pPr>
              <w:pStyle w:val="TableText"/>
              <w:spacing w:before="40" w:after="40"/>
              <w:jc w:val="center"/>
            </w:pPr>
          </w:p>
        </w:tc>
      </w:tr>
      <w:tr w:rsidR="004C7EFB" w:rsidRPr="0058458C" w14:paraId="1CC25E4E" w14:textId="0DDE7D3F" w:rsidTr="004C4731">
        <w:trPr>
          <w:cantSplit/>
        </w:trPr>
        <w:tc>
          <w:tcPr>
            <w:tcW w:w="2152" w:type="pct"/>
            <w:tcBorders>
              <w:top w:val="single" w:sz="6" w:space="0" w:color="808080" w:themeColor="background1" w:themeShade="80"/>
              <w:bottom w:val="single" w:sz="6" w:space="0" w:color="808080" w:themeColor="background1" w:themeShade="80"/>
            </w:tcBorders>
          </w:tcPr>
          <w:p w14:paraId="0318693A" w14:textId="77777777" w:rsidR="004C7EFB" w:rsidRPr="0058458C" w:rsidRDefault="004C7EFB" w:rsidP="004C7EFB">
            <w:pPr>
              <w:pStyle w:val="TableTextIndent1"/>
              <w:spacing w:before="40" w:after="40"/>
              <w:ind w:left="648"/>
            </w:pPr>
            <w:r w:rsidRPr="0058458C">
              <w:t>MSM</w:t>
            </w:r>
          </w:p>
        </w:tc>
        <w:tc>
          <w:tcPr>
            <w:tcW w:w="950" w:type="pct"/>
            <w:gridSpan w:val="2"/>
            <w:tcBorders>
              <w:top w:val="single" w:sz="6" w:space="0" w:color="808080" w:themeColor="background1" w:themeShade="80"/>
              <w:bottom w:val="single" w:sz="6" w:space="0" w:color="808080" w:themeColor="background1" w:themeShade="80"/>
            </w:tcBorders>
          </w:tcPr>
          <w:p w14:paraId="5A8975D7" w14:textId="387763E1" w:rsidR="004C7EFB" w:rsidRPr="0058458C" w:rsidRDefault="004C7EFB" w:rsidP="004C7EFB">
            <w:pPr>
              <w:pStyle w:val="TableText"/>
              <w:spacing w:before="40" w:after="40"/>
              <w:jc w:val="center"/>
            </w:pPr>
            <w:r w:rsidRPr="00CC03B0">
              <w:t>2.979</w:t>
            </w:r>
          </w:p>
        </w:tc>
        <w:tc>
          <w:tcPr>
            <w:tcW w:w="949" w:type="pct"/>
            <w:tcBorders>
              <w:top w:val="single" w:sz="6" w:space="0" w:color="808080" w:themeColor="background1" w:themeShade="80"/>
              <w:bottom w:val="single" w:sz="6" w:space="0" w:color="808080" w:themeColor="background1" w:themeShade="80"/>
            </w:tcBorders>
          </w:tcPr>
          <w:p w14:paraId="59102A9F" w14:textId="2B5F539A" w:rsidR="004C7EFB" w:rsidRPr="0058458C" w:rsidRDefault="004C7EFB" w:rsidP="004C7EFB">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2B7794A2" w14:textId="0317128A" w:rsidR="004C7EFB" w:rsidRPr="0058458C" w:rsidRDefault="004C7EFB" w:rsidP="004C7EFB">
            <w:pPr>
              <w:pStyle w:val="TableText"/>
              <w:spacing w:before="40" w:after="40"/>
              <w:jc w:val="center"/>
            </w:pPr>
            <w:r w:rsidRPr="0058458C">
              <w:t>8.000</w:t>
            </w:r>
          </w:p>
        </w:tc>
      </w:tr>
      <w:tr w:rsidR="004C7EFB" w:rsidRPr="0058458C" w14:paraId="42B6C010" w14:textId="258DCDEA" w:rsidTr="004C4731">
        <w:trPr>
          <w:cantSplit/>
        </w:trPr>
        <w:tc>
          <w:tcPr>
            <w:tcW w:w="2152" w:type="pct"/>
            <w:tcBorders>
              <w:top w:val="single" w:sz="6" w:space="0" w:color="808080" w:themeColor="background1" w:themeShade="80"/>
              <w:bottom w:val="single" w:sz="6" w:space="0" w:color="808080" w:themeColor="background1" w:themeShade="80"/>
            </w:tcBorders>
          </w:tcPr>
          <w:p w14:paraId="67A8A861" w14:textId="4138B2CE" w:rsidR="004C7EFB" w:rsidRPr="0058458C" w:rsidRDefault="004C7EFB" w:rsidP="004C7EFB">
            <w:pPr>
              <w:pStyle w:val="TableTextIndent1"/>
              <w:spacing w:before="40" w:after="40"/>
              <w:ind w:left="648"/>
            </w:pPr>
            <w:r w:rsidRPr="0058458C">
              <w:t>PWID</w:t>
            </w:r>
          </w:p>
        </w:tc>
        <w:tc>
          <w:tcPr>
            <w:tcW w:w="950" w:type="pct"/>
            <w:gridSpan w:val="2"/>
            <w:tcBorders>
              <w:top w:val="single" w:sz="6" w:space="0" w:color="808080" w:themeColor="background1" w:themeShade="80"/>
              <w:bottom w:val="single" w:sz="6" w:space="0" w:color="808080" w:themeColor="background1" w:themeShade="80"/>
            </w:tcBorders>
          </w:tcPr>
          <w:p w14:paraId="4C508D78" w14:textId="573F89B3" w:rsidR="004C7EFB" w:rsidRPr="0058458C" w:rsidRDefault="004C7EFB" w:rsidP="004C7EFB">
            <w:pPr>
              <w:pStyle w:val="TableText"/>
              <w:spacing w:before="40" w:after="40"/>
              <w:jc w:val="center"/>
            </w:pPr>
            <w:r w:rsidRPr="00CC03B0">
              <w:t>6.506</w:t>
            </w:r>
          </w:p>
        </w:tc>
        <w:tc>
          <w:tcPr>
            <w:tcW w:w="949" w:type="pct"/>
            <w:tcBorders>
              <w:top w:val="single" w:sz="6" w:space="0" w:color="808080" w:themeColor="background1" w:themeShade="80"/>
              <w:bottom w:val="single" w:sz="6" w:space="0" w:color="808080" w:themeColor="background1" w:themeShade="80"/>
            </w:tcBorders>
          </w:tcPr>
          <w:p w14:paraId="1BFFF6CF" w14:textId="272EF893" w:rsidR="004C7EFB" w:rsidRPr="0058458C" w:rsidRDefault="004C7EFB" w:rsidP="004C7EFB">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4C21534A" w14:textId="5002DAF9" w:rsidR="004C7EFB" w:rsidRPr="0058458C" w:rsidRDefault="004C7EFB" w:rsidP="004C7EFB">
            <w:pPr>
              <w:pStyle w:val="TableText"/>
              <w:spacing w:before="40" w:after="40"/>
              <w:jc w:val="center"/>
            </w:pPr>
            <w:r w:rsidRPr="0058458C">
              <w:t>8.000</w:t>
            </w:r>
          </w:p>
        </w:tc>
      </w:tr>
      <w:tr w:rsidR="0028041E" w:rsidRPr="0058458C" w14:paraId="09C16B1A" w14:textId="35850A16" w:rsidTr="004C4731">
        <w:trPr>
          <w:cantSplit/>
        </w:trPr>
        <w:tc>
          <w:tcPr>
            <w:tcW w:w="2152" w:type="pct"/>
            <w:tcBorders>
              <w:top w:val="single" w:sz="6" w:space="0" w:color="808080" w:themeColor="background1" w:themeShade="80"/>
              <w:bottom w:val="single" w:sz="6" w:space="0" w:color="808080" w:themeColor="background1" w:themeShade="80"/>
            </w:tcBorders>
          </w:tcPr>
          <w:p w14:paraId="77F2EC64" w14:textId="17DD7EF7" w:rsidR="0028041E" w:rsidRPr="0058458C" w:rsidRDefault="005C450F" w:rsidP="00871E69">
            <w:pPr>
              <w:pStyle w:val="TableTextIndent1"/>
              <w:spacing w:before="40" w:after="40"/>
              <w:ind w:left="490"/>
            </w:pPr>
            <w:r>
              <w:t>B</w:t>
            </w:r>
            <w:r w:rsidR="0028041E" w:rsidRPr="0058458C">
              <w:t>y disease stage</w:t>
            </w:r>
          </w:p>
        </w:tc>
        <w:tc>
          <w:tcPr>
            <w:tcW w:w="950" w:type="pct"/>
            <w:gridSpan w:val="2"/>
            <w:tcBorders>
              <w:top w:val="single" w:sz="6" w:space="0" w:color="808080" w:themeColor="background1" w:themeShade="80"/>
              <w:bottom w:val="single" w:sz="6" w:space="0" w:color="808080" w:themeColor="background1" w:themeShade="80"/>
            </w:tcBorders>
          </w:tcPr>
          <w:p w14:paraId="3D63BC94" w14:textId="77777777" w:rsidR="0028041E" w:rsidRPr="0058458C" w:rsidRDefault="0028041E" w:rsidP="00871E6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78B79C72" w14:textId="77777777" w:rsidR="0028041E" w:rsidRPr="0058458C" w:rsidRDefault="0028041E" w:rsidP="00871E6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4BE0BD6A" w14:textId="77777777" w:rsidR="0028041E" w:rsidRPr="0058458C" w:rsidRDefault="0028041E" w:rsidP="00871E69">
            <w:pPr>
              <w:pStyle w:val="TableText"/>
              <w:spacing w:before="40" w:after="40"/>
              <w:jc w:val="center"/>
            </w:pPr>
          </w:p>
        </w:tc>
      </w:tr>
      <w:tr w:rsidR="004C7EFB" w:rsidRPr="0058458C" w14:paraId="3B64B7F6" w14:textId="07CF7A08" w:rsidTr="004C4731">
        <w:trPr>
          <w:cantSplit/>
        </w:trPr>
        <w:tc>
          <w:tcPr>
            <w:tcW w:w="2152" w:type="pct"/>
            <w:tcBorders>
              <w:top w:val="single" w:sz="6" w:space="0" w:color="808080" w:themeColor="background1" w:themeShade="80"/>
              <w:bottom w:val="single" w:sz="6" w:space="0" w:color="808080" w:themeColor="background1" w:themeShade="80"/>
            </w:tcBorders>
          </w:tcPr>
          <w:p w14:paraId="5C366BDB" w14:textId="77777777" w:rsidR="004C7EFB" w:rsidRPr="0058458C" w:rsidRDefault="004C7EFB" w:rsidP="004C7EFB">
            <w:pPr>
              <w:pStyle w:val="TableTextIndent1"/>
              <w:spacing w:before="40" w:after="40"/>
              <w:ind w:left="648"/>
            </w:pPr>
            <w:r w:rsidRPr="0058458C">
              <w:t>Acute</w:t>
            </w:r>
          </w:p>
        </w:tc>
        <w:tc>
          <w:tcPr>
            <w:tcW w:w="950" w:type="pct"/>
            <w:gridSpan w:val="2"/>
            <w:tcBorders>
              <w:top w:val="single" w:sz="6" w:space="0" w:color="808080" w:themeColor="background1" w:themeShade="80"/>
              <w:bottom w:val="single" w:sz="6" w:space="0" w:color="808080" w:themeColor="background1" w:themeShade="80"/>
            </w:tcBorders>
          </w:tcPr>
          <w:p w14:paraId="2ED49F3B" w14:textId="3B928580" w:rsidR="004C7EFB" w:rsidRPr="0058458C" w:rsidRDefault="004C7EFB" w:rsidP="004C7EFB">
            <w:pPr>
              <w:pStyle w:val="TableText"/>
              <w:spacing w:before="40" w:after="40"/>
              <w:jc w:val="center"/>
            </w:pPr>
            <w:r w:rsidRPr="005E76C0">
              <w:t>0.760</w:t>
            </w:r>
          </w:p>
        </w:tc>
        <w:tc>
          <w:tcPr>
            <w:tcW w:w="949" w:type="pct"/>
            <w:tcBorders>
              <w:top w:val="single" w:sz="6" w:space="0" w:color="808080" w:themeColor="background1" w:themeShade="80"/>
              <w:bottom w:val="single" w:sz="6" w:space="0" w:color="808080" w:themeColor="background1" w:themeShade="80"/>
            </w:tcBorders>
          </w:tcPr>
          <w:p w14:paraId="22C58758" w14:textId="7C970602" w:rsidR="004C7EFB" w:rsidRPr="0058458C" w:rsidRDefault="004C7EFB" w:rsidP="004C7EFB">
            <w:pPr>
              <w:pStyle w:val="TableText"/>
              <w:spacing w:before="40" w:after="40"/>
              <w:jc w:val="center"/>
            </w:pPr>
            <w:r w:rsidRPr="0058458C">
              <w:t>0.500</w:t>
            </w:r>
          </w:p>
        </w:tc>
        <w:tc>
          <w:tcPr>
            <w:tcW w:w="949" w:type="pct"/>
            <w:tcBorders>
              <w:top w:val="single" w:sz="6" w:space="0" w:color="808080" w:themeColor="background1" w:themeShade="80"/>
              <w:bottom w:val="single" w:sz="6" w:space="0" w:color="808080" w:themeColor="background1" w:themeShade="80"/>
            </w:tcBorders>
          </w:tcPr>
          <w:p w14:paraId="3D89354F" w14:textId="48CE7D7A" w:rsidR="004C7EFB" w:rsidRPr="0058458C" w:rsidRDefault="004C7EFB" w:rsidP="004C7EFB">
            <w:pPr>
              <w:pStyle w:val="TableText"/>
              <w:spacing w:before="40" w:after="40"/>
              <w:jc w:val="center"/>
            </w:pPr>
            <w:r w:rsidRPr="0058458C">
              <w:t>1.500</w:t>
            </w:r>
          </w:p>
        </w:tc>
      </w:tr>
      <w:tr w:rsidR="004C7EFB" w:rsidRPr="0058458C" w14:paraId="22D36A5F" w14:textId="53CEFE93" w:rsidTr="004C4731">
        <w:trPr>
          <w:cantSplit/>
        </w:trPr>
        <w:tc>
          <w:tcPr>
            <w:tcW w:w="2152" w:type="pct"/>
            <w:tcBorders>
              <w:top w:val="single" w:sz="6" w:space="0" w:color="808080" w:themeColor="background1" w:themeShade="80"/>
              <w:bottom w:val="single" w:sz="6" w:space="0" w:color="808080" w:themeColor="background1" w:themeShade="80"/>
            </w:tcBorders>
          </w:tcPr>
          <w:p w14:paraId="21F2368E" w14:textId="37306BE4" w:rsidR="004C7EFB" w:rsidRPr="0058458C" w:rsidRDefault="004C7EFB" w:rsidP="004C7EFB">
            <w:pPr>
              <w:pStyle w:val="TableTextIndent1"/>
              <w:spacing w:before="40" w:after="40"/>
              <w:ind w:left="648"/>
            </w:pPr>
            <w:r w:rsidRPr="0058458C">
              <w:t>CD4 350–500</w:t>
            </w:r>
          </w:p>
        </w:tc>
        <w:tc>
          <w:tcPr>
            <w:tcW w:w="950" w:type="pct"/>
            <w:gridSpan w:val="2"/>
            <w:tcBorders>
              <w:top w:val="single" w:sz="6" w:space="0" w:color="808080" w:themeColor="background1" w:themeShade="80"/>
              <w:bottom w:val="single" w:sz="6" w:space="0" w:color="808080" w:themeColor="background1" w:themeShade="80"/>
            </w:tcBorders>
          </w:tcPr>
          <w:p w14:paraId="6423A56C" w14:textId="7F18416F" w:rsidR="004C7EFB" w:rsidRPr="0058458C" w:rsidRDefault="004C7EFB" w:rsidP="004C7EFB">
            <w:pPr>
              <w:pStyle w:val="TableText"/>
              <w:spacing w:before="40" w:after="40"/>
              <w:jc w:val="center"/>
            </w:pPr>
            <w:r w:rsidRPr="005E76C0">
              <w:t>1.259</w:t>
            </w:r>
          </w:p>
        </w:tc>
        <w:tc>
          <w:tcPr>
            <w:tcW w:w="949" w:type="pct"/>
            <w:tcBorders>
              <w:top w:val="single" w:sz="6" w:space="0" w:color="808080" w:themeColor="background1" w:themeShade="80"/>
              <w:bottom w:val="single" w:sz="6" w:space="0" w:color="808080" w:themeColor="background1" w:themeShade="80"/>
            </w:tcBorders>
          </w:tcPr>
          <w:p w14:paraId="264139DB" w14:textId="34B089D0" w:rsidR="004C7EFB" w:rsidRPr="0058458C" w:rsidRDefault="004C7EFB" w:rsidP="004C7EFB">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4709364D" w14:textId="73A3B7E4" w:rsidR="004C7EFB" w:rsidRPr="0058458C" w:rsidRDefault="004C7EFB" w:rsidP="004C7EFB">
            <w:pPr>
              <w:pStyle w:val="TableText"/>
              <w:spacing w:before="40" w:after="40"/>
              <w:jc w:val="center"/>
            </w:pPr>
            <w:r w:rsidRPr="0058458C">
              <w:t>3.000</w:t>
            </w:r>
          </w:p>
        </w:tc>
      </w:tr>
      <w:tr w:rsidR="004C7EFB" w:rsidRPr="0058458C" w14:paraId="4C0963F2" w14:textId="47750D33" w:rsidTr="004C4731">
        <w:trPr>
          <w:cantSplit/>
        </w:trPr>
        <w:tc>
          <w:tcPr>
            <w:tcW w:w="2152" w:type="pct"/>
            <w:tcBorders>
              <w:top w:val="single" w:sz="6" w:space="0" w:color="808080" w:themeColor="background1" w:themeShade="80"/>
              <w:bottom w:val="single" w:sz="6" w:space="0" w:color="808080" w:themeColor="background1" w:themeShade="80"/>
            </w:tcBorders>
          </w:tcPr>
          <w:p w14:paraId="23A484A6" w14:textId="57A7E89C" w:rsidR="004C7EFB" w:rsidRPr="0058458C" w:rsidRDefault="004C7EFB" w:rsidP="004C7EFB">
            <w:pPr>
              <w:pStyle w:val="TableTextIndent1"/>
              <w:spacing w:before="40" w:after="40"/>
              <w:ind w:left="648"/>
            </w:pPr>
            <w:r w:rsidRPr="0058458C">
              <w:t>CD4 200–350</w:t>
            </w:r>
          </w:p>
        </w:tc>
        <w:tc>
          <w:tcPr>
            <w:tcW w:w="950" w:type="pct"/>
            <w:gridSpan w:val="2"/>
            <w:tcBorders>
              <w:top w:val="single" w:sz="6" w:space="0" w:color="808080" w:themeColor="background1" w:themeShade="80"/>
              <w:bottom w:val="single" w:sz="6" w:space="0" w:color="808080" w:themeColor="background1" w:themeShade="80"/>
            </w:tcBorders>
          </w:tcPr>
          <w:p w14:paraId="79818860" w14:textId="60933988" w:rsidR="004C7EFB" w:rsidRPr="0058458C" w:rsidRDefault="004C7EFB" w:rsidP="004C7EFB">
            <w:pPr>
              <w:pStyle w:val="TableText"/>
              <w:spacing w:before="40" w:after="40"/>
              <w:jc w:val="center"/>
            </w:pPr>
            <w:r w:rsidRPr="005E76C0">
              <w:t>4.329</w:t>
            </w:r>
          </w:p>
        </w:tc>
        <w:tc>
          <w:tcPr>
            <w:tcW w:w="949" w:type="pct"/>
            <w:tcBorders>
              <w:top w:val="single" w:sz="6" w:space="0" w:color="808080" w:themeColor="background1" w:themeShade="80"/>
              <w:bottom w:val="single" w:sz="6" w:space="0" w:color="808080" w:themeColor="background1" w:themeShade="80"/>
            </w:tcBorders>
          </w:tcPr>
          <w:p w14:paraId="755DC8E5" w14:textId="6AD2A308" w:rsidR="004C7EFB" w:rsidRPr="00E832D1" w:rsidRDefault="004C7EFB" w:rsidP="004C7EFB">
            <w:pPr>
              <w:pStyle w:val="TableText"/>
              <w:spacing w:before="40" w:after="40"/>
              <w:jc w:val="center"/>
            </w:pPr>
            <w:r w:rsidRPr="00E832D1">
              <w:t>1.250</w:t>
            </w:r>
          </w:p>
        </w:tc>
        <w:tc>
          <w:tcPr>
            <w:tcW w:w="949" w:type="pct"/>
            <w:tcBorders>
              <w:top w:val="single" w:sz="6" w:space="0" w:color="808080" w:themeColor="background1" w:themeShade="80"/>
              <w:bottom w:val="single" w:sz="6" w:space="0" w:color="808080" w:themeColor="background1" w:themeShade="80"/>
            </w:tcBorders>
          </w:tcPr>
          <w:p w14:paraId="70884693" w14:textId="5CDAA599" w:rsidR="004C7EFB" w:rsidRPr="00E832D1" w:rsidRDefault="004C7EFB" w:rsidP="004C7EFB">
            <w:pPr>
              <w:pStyle w:val="TableText"/>
              <w:spacing w:before="40" w:after="40"/>
              <w:jc w:val="center"/>
            </w:pPr>
            <w:r w:rsidRPr="00E832D1">
              <w:t>6.000</w:t>
            </w:r>
          </w:p>
        </w:tc>
      </w:tr>
      <w:tr w:rsidR="004C7EFB" w:rsidRPr="0058458C" w14:paraId="1110DACF" w14:textId="37086891" w:rsidTr="004C4731">
        <w:trPr>
          <w:cantSplit/>
        </w:trPr>
        <w:tc>
          <w:tcPr>
            <w:tcW w:w="2152" w:type="pct"/>
            <w:tcBorders>
              <w:top w:val="single" w:sz="6" w:space="0" w:color="808080" w:themeColor="background1" w:themeShade="80"/>
              <w:bottom w:val="single" w:sz="6" w:space="0" w:color="808080" w:themeColor="background1" w:themeShade="80"/>
            </w:tcBorders>
          </w:tcPr>
          <w:p w14:paraId="1F4C0F96" w14:textId="77777777" w:rsidR="004C7EFB" w:rsidRPr="0058458C" w:rsidRDefault="004C7EFB" w:rsidP="004C7EFB">
            <w:pPr>
              <w:pStyle w:val="TableTextIndent1"/>
              <w:spacing w:before="40" w:after="40"/>
              <w:ind w:left="648"/>
            </w:pPr>
            <w:r w:rsidRPr="0058458C">
              <w:t>CD4 &lt;200</w:t>
            </w:r>
          </w:p>
        </w:tc>
        <w:tc>
          <w:tcPr>
            <w:tcW w:w="950" w:type="pct"/>
            <w:gridSpan w:val="2"/>
            <w:tcBorders>
              <w:top w:val="single" w:sz="6" w:space="0" w:color="808080" w:themeColor="background1" w:themeShade="80"/>
              <w:bottom w:val="single" w:sz="6" w:space="0" w:color="808080" w:themeColor="background1" w:themeShade="80"/>
            </w:tcBorders>
          </w:tcPr>
          <w:p w14:paraId="43FEAAB5" w14:textId="0B12FA24" w:rsidR="004C7EFB" w:rsidRPr="0058458C" w:rsidRDefault="004C7EFB" w:rsidP="004C7EFB">
            <w:pPr>
              <w:pStyle w:val="TableText"/>
              <w:spacing w:before="40" w:after="40"/>
              <w:jc w:val="center"/>
            </w:pPr>
            <w:r w:rsidRPr="005E76C0">
              <w:t>4.621</w:t>
            </w:r>
          </w:p>
        </w:tc>
        <w:tc>
          <w:tcPr>
            <w:tcW w:w="949" w:type="pct"/>
            <w:tcBorders>
              <w:top w:val="single" w:sz="6" w:space="0" w:color="808080" w:themeColor="background1" w:themeShade="80"/>
              <w:bottom w:val="single" w:sz="6" w:space="0" w:color="808080" w:themeColor="background1" w:themeShade="80"/>
            </w:tcBorders>
          </w:tcPr>
          <w:p w14:paraId="18CDF535" w14:textId="06C7257A" w:rsidR="004C7EFB" w:rsidRPr="00E832D1" w:rsidRDefault="004C7EFB" w:rsidP="004C7EFB">
            <w:pPr>
              <w:pStyle w:val="TableText"/>
              <w:spacing w:before="40" w:after="40"/>
              <w:jc w:val="center"/>
            </w:pPr>
            <w:r w:rsidRPr="00E832D1">
              <w:t>1.500</w:t>
            </w:r>
          </w:p>
        </w:tc>
        <w:tc>
          <w:tcPr>
            <w:tcW w:w="949" w:type="pct"/>
            <w:tcBorders>
              <w:top w:val="single" w:sz="6" w:space="0" w:color="808080" w:themeColor="background1" w:themeShade="80"/>
              <w:bottom w:val="single" w:sz="6" w:space="0" w:color="808080" w:themeColor="background1" w:themeShade="80"/>
            </w:tcBorders>
          </w:tcPr>
          <w:p w14:paraId="58A0638F" w14:textId="4B0FCF59" w:rsidR="004C7EFB" w:rsidRPr="00E832D1" w:rsidRDefault="004C7EFB" w:rsidP="004C7EFB">
            <w:pPr>
              <w:pStyle w:val="TableText"/>
              <w:spacing w:before="40" w:after="40"/>
              <w:jc w:val="center"/>
            </w:pPr>
            <w:r w:rsidRPr="00E832D1">
              <w:t>6.000</w:t>
            </w:r>
          </w:p>
        </w:tc>
      </w:tr>
      <w:tr w:rsidR="000F06C9" w:rsidRPr="0058458C" w14:paraId="093E2477"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4DB2D187" w14:textId="21FA0EE7" w:rsidR="000F06C9" w:rsidRPr="0058458C" w:rsidRDefault="005C450F" w:rsidP="00AF5B78">
            <w:pPr>
              <w:pStyle w:val="TableTextIndent1"/>
              <w:spacing w:before="40" w:after="40"/>
              <w:ind w:left="490"/>
            </w:pPr>
            <w:r>
              <w:t>B</w:t>
            </w:r>
            <w:r w:rsidR="000F06C9" w:rsidRPr="0058458C">
              <w:t>y age group</w:t>
            </w:r>
          </w:p>
        </w:tc>
        <w:tc>
          <w:tcPr>
            <w:tcW w:w="950" w:type="pct"/>
            <w:gridSpan w:val="2"/>
            <w:tcBorders>
              <w:top w:val="single" w:sz="6" w:space="0" w:color="808080" w:themeColor="background1" w:themeShade="80"/>
              <w:bottom w:val="single" w:sz="6" w:space="0" w:color="808080" w:themeColor="background1" w:themeShade="80"/>
            </w:tcBorders>
          </w:tcPr>
          <w:p w14:paraId="601D136A" w14:textId="77777777" w:rsidR="000F06C9" w:rsidRPr="0058458C" w:rsidRDefault="000F06C9" w:rsidP="00E14D15">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567EAE83" w14:textId="77777777" w:rsidR="000F06C9" w:rsidRPr="00E832D1" w:rsidRDefault="000F06C9" w:rsidP="00E14D15">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54F9ABBC" w14:textId="77777777" w:rsidR="000F06C9" w:rsidRPr="00E832D1" w:rsidRDefault="000F06C9" w:rsidP="00E14D15">
            <w:pPr>
              <w:pStyle w:val="TableText"/>
              <w:spacing w:before="40" w:after="40"/>
              <w:jc w:val="center"/>
            </w:pPr>
          </w:p>
        </w:tc>
      </w:tr>
      <w:tr w:rsidR="004C7EFB" w:rsidRPr="0058458C" w14:paraId="6188F1CC"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245E901F" w14:textId="1D3746EE" w:rsidR="004C7EFB" w:rsidRPr="0058458C" w:rsidRDefault="004C7EFB" w:rsidP="004C7EFB">
            <w:pPr>
              <w:pStyle w:val="TableTextIndent1"/>
              <w:spacing w:before="40" w:after="40"/>
              <w:ind w:left="648"/>
            </w:pPr>
            <w:r w:rsidRPr="0058458C">
              <w:t>18–24</w:t>
            </w:r>
          </w:p>
        </w:tc>
        <w:tc>
          <w:tcPr>
            <w:tcW w:w="950" w:type="pct"/>
            <w:gridSpan w:val="2"/>
            <w:tcBorders>
              <w:top w:val="single" w:sz="6" w:space="0" w:color="808080" w:themeColor="background1" w:themeShade="80"/>
              <w:bottom w:val="single" w:sz="6" w:space="0" w:color="808080" w:themeColor="background1" w:themeShade="80"/>
            </w:tcBorders>
          </w:tcPr>
          <w:p w14:paraId="5ACBC150" w14:textId="7212E17C" w:rsidR="004C7EFB" w:rsidRPr="0058458C" w:rsidRDefault="004C7EFB" w:rsidP="004C7EFB">
            <w:pPr>
              <w:pStyle w:val="TableText"/>
              <w:spacing w:before="40" w:after="40"/>
              <w:jc w:val="center"/>
            </w:pPr>
            <w:r w:rsidRPr="00273A17">
              <w:t>0.679</w:t>
            </w:r>
          </w:p>
        </w:tc>
        <w:tc>
          <w:tcPr>
            <w:tcW w:w="949" w:type="pct"/>
            <w:tcBorders>
              <w:top w:val="single" w:sz="6" w:space="0" w:color="808080" w:themeColor="background1" w:themeShade="80"/>
              <w:bottom w:val="single" w:sz="6" w:space="0" w:color="808080" w:themeColor="background1" w:themeShade="80"/>
            </w:tcBorders>
          </w:tcPr>
          <w:p w14:paraId="55C401E9" w14:textId="7561E73E" w:rsidR="004C7EFB" w:rsidRPr="00E832D1" w:rsidRDefault="004C7EFB" w:rsidP="004C7EFB">
            <w:pPr>
              <w:pStyle w:val="TableText"/>
              <w:spacing w:before="40" w:after="40"/>
              <w:jc w:val="center"/>
            </w:pPr>
            <w:r w:rsidRPr="00E832D1">
              <w:t>0.50</w:t>
            </w:r>
            <w:r>
              <w:t>0</w:t>
            </w:r>
          </w:p>
        </w:tc>
        <w:tc>
          <w:tcPr>
            <w:tcW w:w="949" w:type="pct"/>
            <w:tcBorders>
              <w:top w:val="single" w:sz="6" w:space="0" w:color="808080" w:themeColor="background1" w:themeShade="80"/>
              <w:bottom w:val="single" w:sz="6" w:space="0" w:color="808080" w:themeColor="background1" w:themeShade="80"/>
            </w:tcBorders>
          </w:tcPr>
          <w:p w14:paraId="5B8A3E68" w14:textId="742E0A40" w:rsidR="004C7EFB" w:rsidRPr="00E832D1" w:rsidRDefault="004C7EFB" w:rsidP="004C7EFB">
            <w:pPr>
              <w:pStyle w:val="TableText"/>
              <w:spacing w:before="40" w:after="40"/>
              <w:jc w:val="center"/>
            </w:pPr>
            <w:r w:rsidRPr="00E832D1">
              <w:t>3.00</w:t>
            </w:r>
            <w:r>
              <w:t>0</w:t>
            </w:r>
          </w:p>
        </w:tc>
      </w:tr>
      <w:tr w:rsidR="004C7EFB" w:rsidRPr="0058458C" w14:paraId="7973598B"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223DA8EC" w14:textId="6CA8D91F" w:rsidR="004C7EFB" w:rsidRPr="0058458C" w:rsidRDefault="004C7EFB" w:rsidP="004C7EFB">
            <w:pPr>
              <w:pStyle w:val="TableTextIndent1"/>
              <w:spacing w:before="40" w:after="40"/>
              <w:ind w:left="648"/>
            </w:pPr>
            <w:r w:rsidRPr="0058458C">
              <w:t>25–34</w:t>
            </w:r>
          </w:p>
        </w:tc>
        <w:tc>
          <w:tcPr>
            <w:tcW w:w="950" w:type="pct"/>
            <w:gridSpan w:val="2"/>
            <w:tcBorders>
              <w:top w:val="single" w:sz="6" w:space="0" w:color="808080" w:themeColor="background1" w:themeShade="80"/>
              <w:bottom w:val="single" w:sz="6" w:space="0" w:color="808080" w:themeColor="background1" w:themeShade="80"/>
            </w:tcBorders>
          </w:tcPr>
          <w:p w14:paraId="328636BC" w14:textId="59614AE8" w:rsidR="004C7EFB" w:rsidRPr="0058458C" w:rsidRDefault="004C7EFB" w:rsidP="004C7EFB">
            <w:pPr>
              <w:pStyle w:val="TableText"/>
              <w:spacing w:before="40" w:after="40"/>
              <w:jc w:val="center"/>
            </w:pPr>
            <w:r w:rsidRPr="00273A17">
              <w:t>0.732</w:t>
            </w:r>
          </w:p>
        </w:tc>
        <w:tc>
          <w:tcPr>
            <w:tcW w:w="949" w:type="pct"/>
            <w:tcBorders>
              <w:top w:val="single" w:sz="6" w:space="0" w:color="808080" w:themeColor="background1" w:themeShade="80"/>
              <w:bottom w:val="single" w:sz="6" w:space="0" w:color="808080" w:themeColor="background1" w:themeShade="80"/>
            </w:tcBorders>
          </w:tcPr>
          <w:p w14:paraId="61EE8B55" w14:textId="04837FAD" w:rsidR="004C7EFB" w:rsidRPr="00E832D1" w:rsidRDefault="004C7EFB" w:rsidP="004C7EFB">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17642F32" w14:textId="43C5B7B6" w:rsidR="004C7EFB" w:rsidRPr="00E832D1" w:rsidRDefault="004C7EFB" w:rsidP="004C7EFB">
            <w:pPr>
              <w:pStyle w:val="TableText"/>
              <w:spacing w:before="40" w:after="40"/>
              <w:jc w:val="center"/>
            </w:pPr>
            <w:r w:rsidRPr="00413DDD">
              <w:t>3.000</w:t>
            </w:r>
          </w:p>
        </w:tc>
      </w:tr>
      <w:tr w:rsidR="004C7EFB" w:rsidRPr="0058458C" w14:paraId="3DCFBE51"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29B22BEF" w14:textId="249E711A" w:rsidR="004C7EFB" w:rsidRPr="0058458C" w:rsidRDefault="004C7EFB" w:rsidP="004C7EFB">
            <w:pPr>
              <w:pStyle w:val="TableTextIndent1"/>
              <w:spacing w:before="40" w:after="40"/>
              <w:ind w:left="648"/>
            </w:pPr>
            <w:r w:rsidRPr="0058458C">
              <w:t>35–44</w:t>
            </w:r>
          </w:p>
        </w:tc>
        <w:tc>
          <w:tcPr>
            <w:tcW w:w="950" w:type="pct"/>
            <w:gridSpan w:val="2"/>
            <w:tcBorders>
              <w:top w:val="single" w:sz="6" w:space="0" w:color="808080" w:themeColor="background1" w:themeShade="80"/>
              <w:bottom w:val="single" w:sz="6" w:space="0" w:color="808080" w:themeColor="background1" w:themeShade="80"/>
            </w:tcBorders>
          </w:tcPr>
          <w:p w14:paraId="334C3EBA" w14:textId="13258CDF" w:rsidR="004C7EFB" w:rsidRPr="0058458C" w:rsidRDefault="004C7EFB" w:rsidP="004C7EFB">
            <w:pPr>
              <w:pStyle w:val="TableText"/>
              <w:spacing w:before="40" w:after="40"/>
              <w:jc w:val="center"/>
            </w:pPr>
            <w:r w:rsidRPr="00273A17">
              <w:t>0.732</w:t>
            </w:r>
          </w:p>
        </w:tc>
        <w:tc>
          <w:tcPr>
            <w:tcW w:w="949" w:type="pct"/>
            <w:tcBorders>
              <w:top w:val="single" w:sz="6" w:space="0" w:color="808080" w:themeColor="background1" w:themeShade="80"/>
              <w:bottom w:val="single" w:sz="6" w:space="0" w:color="808080" w:themeColor="background1" w:themeShade="80"/>
            </w:tcBorders>
          </w:tcPr>
          <w:p w14:paraId="0F0F2351" w14:textId="229A12FE" w:rsidR="004C7EFB" w:rsidRPr="00E832D1" w:rsidRDefault="004C7EFB" w:rsidP="004C7EFB">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52CA8150" w14:textId="0BD754CC" w:rsidR="004C7EFB" w:rsidRPr="00E832D1" w:rsidRDefault="004C7EFB" w:rsidP="004C7EFB">
            <w:pPr>
              <w:pStyle w:val="TableText"/>
              <w:spacing w:before="40" w:after="40"/>
              <w:jc w:val="center"/>
            </w:pPr>
            <w:r w:rsidRPr="00413DDD">
              <w:t>3.000</w:t>
            </w:r>
          </w:p>
        </w:tc>
      </w:tr>
      <w:tr w:rsidR="004C7EFB" w:rsidRPr="0058458C" w14:paraId="3EDF5A8D"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5C4B79DB" w14:textId="6D65A937" w:rsidR="004C7EFB" w:rsidRPr="0058458C" w:rsidRDefault="004C7EFB" w:rsidP="004C7EFB">
            <w:pPr>
              <w:pStyle w:val="TableTextIndent1"/>
              <w:spacing w:before="40" w:after="40"/>
              <w:ind w:left="648"/>
            </w:pPr>
            <w:r w:rsidRPr="0058458C">
              <w:t>45–54</w:t>
            </w:r>
          </w:p>
        </w:tc>
        <w:tc>
          <w:tcPr>
            <w:tcW w:w="950" w:type="pct"/>
            <w:gridSpan w:val="2"/>
            <w:tcBorders>
              <w:top w:val="single" w:sz="6" w:space="0" w:color="808080" w:themeColor="background1" w:themeShade="80"/>
              <w:bottom w:val="single" w:sz="6" w:space="0" w:color="808080" w:themeColor="background1" w:themeShade="80"/>
            </w:tcBorders>
          </w:tcPr>
          <w:p w14:paraId="568E9F46" w14:textId="5EDCC443" w:rsidR="004C7EFB" w:rsidRPr="0058458C" w:rsidRDefault="004C7EFB" w:rsidP="004C7EFB">
            <w:pPr>
              <w:pStyle w:val="TableText"/>
              <w:spacing w:before="40" w:after="40"/>
              <w:jc w:val="center"/>
            </w:pPr>
            <w:r w:rsidRPr="00273A17">
              <w:t>2.186</w:t>
            </w:r>
          </w:p>
        </w:tc>
        <w:tc>
          <w:tcPr>
            <w:tcW w:w="949" w:type="pct"/>
            <w:tcBorders>
              <w:top w:val="single" w:sz="6" w:space="0" w:color="808080" w:themeColor="background1" w:themeShade="80"/>
              <w:bottom w:val="single" w:sz="6" w:space="0" w:color="808080" w:themeColor="background1" w:themeShade="80"/>
            </w:tcBorders>
          </w:tcPr>
          <w:p w14:paraId="38811CAB" w14:textId="56623A58" w:rsidR="004C7EFB" w:rsidRPr="00E832D1" w:rsidRDefault="004C7EFB" w:rsidP="004C7EFB">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4C359699" w14:textId="1165336A" w:rsidR="004C7EFB" w:rsidRPr="00E832D1" w:rsidRDefault="004C7EFB" w:rsidP="004C7EFB">
            <w:pPr>
              <w:pStyle w:val="TableText"/>
              <w:spacing w:before="40" w:after="40"/>
              <w:jc w:val="center"/>
            </w:pPr>
            <w:r w:rsidRPr="00413DDD">
              <w:t>3.000</w:t>
            </w:r>
          </w:p>
        </w:tc>
      </w:tr>
      <w:tr w:rsidR="004C7EFB" w:rsidRPr="0058458C" w14:paraId="0B245839"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65183D9A" w14:textId="70199AB7" w:rsidR="004C7EFB" w:rsidRPr="0058458C" w:rsidRDefault="004C7EFB" w:rsidP="004C7EFB">
            <w:pPr>
              <w:pStyle w:val="TableTextIndent1"/>
              <w:spacing w:before="40" w:after="40"/>
              <w:ind w:left="648"/>
            </w:pPr>
            <w:r w:rsidRPr="0058458C">
              <w:t>55–64</w:t>
            </w:r>
          </w:p>
        </w:tc>
        <w:tc>
          <w:tcPr>
            <w:tcW w:w="950" w:type="pct"/>
            <w:gridSpan w:val="2"/>
            <w:tcBorders>
              <w:top w:val="single" w:sz="6" w:space="0" w:color="808080" w:themeColor="background1" w:themeShade="80"/>
              <w:bottom w:val="single" w:sz="6" w:space="0" w:color="808080" w:themeColor="background1" w:themeShade="80"/>
            </w:tcBorders>
          </w:tcPr>
          <w:p w14:paraId="6E003B59" w14:textId="72721D21" w:rsidR="004C7EFB" w:rsidRPr="0058458C" w:rsidRDefault="004C7EFB" w:rsidP="004C7EFB">
            <w:pPr>
              <w:pStyle w:val="TableText"/>
              <w:spacing w:before="40" w:after="40"/>
              <w:jc w:val="center"/>
            </w:pPr>
            <w:r w:rsidRPr="00273A17">
              <w:t>1.514</w:t>
            </w:r>
          </w:p>
        </w:tc>
        <w:tc>
          <w:tcPr>
            <w:tcW w:w="949" w:type="pct"/>
            <w:tcBorders>
              <w:top w:val="single" w:sz="6" w:space="0" w:color="808080" w:themeColor="background1" w:themeShade="80"/>
              <w:bottom w:val="single" w:sz="6" w:space="0" w:color="808080" w:themeColor="background1" w:themeShade="80"/>
            </w:tcBorders>
          </w:tcPr>
          <w:p w14:paraId="19F1AF95" w14:textId="1ED480F6" w:rsidR="004C7EFB" w:rsidRPr="00E832D1" w:rsidRDefault="004C7EFB" w:rsidP="004C7EFB">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67E9B07B" w14:textId="59642E83" w:rsidR="004C7EFB" w:rsidRPr="00E832D1" w:rsidRDefault="004C7EFB" w:rsidP="004C7EFB">
            <w:pPr>
              <w:pStyle w:val="TableText"/>
              <w:spacing w:before="40" w:after="40"/>
              <w:jc w:val="center"/>
            </w:pPr>
            <w:r w:rsidRPr="00413DDD">
              <w:t>3.000</w:t>
            </w:r>
          </w:p>
        </w:tc>
      </w:tr>
      <w:tr w:rsidR="004C7EFB" w:rsidRPr="0058458C" w14:paraId="08CE5B35"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59733E7C" w14:textId="30609591" w:rsidR="004C7EFB" w:rsidRPr="0058458C" w:rsidRDefault="004C7EFB" w:rsidP="004C7EFB">
            <w:pPr>
              <w:pStyle w:val="TableTextIndent1"/>
              <w:spacing w:before="40" w:after="40"/>
              <w:ind w:left="648"/>
            </w:pPr>
            <w:r w:rsidRPr="0058458C">
              <w:t>65+</w:t>
            </w:r>
          </w:p>
        </w:tc>
        <w:tc>
          <w:tcPr>
            <w:tcW w:w="950" w:type="pct"/>
            <w:gridSpan w:val="2"/>
            <w:tcBorders>
              <w:top w:val="single" w:sz="6" w:space="0" w:color="808080" w:themeColor="background1" w:themeShade="80"/>
              <w:bottom w:val="single" w:sz="6" w:space="0" w:color="808080" w:themeColor="background1" w:themeShade="80"/>
            </w:tcBorders>
          </w:tcPr>
          <w:p w14:paraId="3530EEAB" w14:textId="73594CED" w:rsidR="004C7EFB" w:rsidRPr="0058458C" w:rsidRDefault="004C7EFB" w:rsidP="004C7EFB">
            <w:pPr>
              <w:pStyle w:val="TableText"/>
              <w:spacing w:before="40" w:after="40"/>
              <w:jc w:val="center"/>
            </w:pPr>
            <w:r w:rsidRPr="00273A17">
              <w:t>1.750</w:t>
            </w:r>
          </w:p>
        </w:tc>
        <w:tc>
          <w:tcPr>
            <w:tcW w:w="949" w:type="pct"/>
            <w:tcBorders>
              <w:top w:val="single" w:sz="6" w:space="0" w:color="808080" w:themeColor="background1" w:themeShade="80"/>
              <w:bottom w:val="single" w:sz="6" w:space="0" w:color="808080" w:themeColor="background1" w:themeShade="80"/>
            </w:tcBorders>
          </w:tcPr>
          <w:p w14:paraId="3140E4DF" w14:textId="43E90B2C" w:rsidR="004C7EFB" w:rsidRPr="00E832D1" w:rsidRDefault="004C7EFB" w:rsidP="004C7EFB">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2199152E" w14:textId="5E5E6030" w:rsidR="004C7EFB" w:rsidRPr="00E832D1" w:rsidRDefault="004C7EFB" w:rsidP="004C7EFB">
            <w:pPr>
              <w:pStyle w:val="TableText"/>
              <w:spacing w:before="40" w:after="40"/>
              <w:jc w:val="center"/>
            </w:pPr>
            <w:r w:rsidRPr="00413DDD">
              <w:t>3.000</w:t>
            </w:r>
          </w:p>
        </w:tc>
      </w:tr>
      <w:tr w:rsidR="000F06C9" w:rsidRPr="0058458C" w14:paraId="7CD89E99" w14:textId="77777777" w:rsidTr="00AF5B78">
        <w:trPr>
          <w:cantSplit/>
        </w:trPr>
        <w:tc>
          <w:tcPr>
            <w:tcW w:w="3101" w:type="pct"/>
            <w:gridSpan w:val="3"/>
            <w:tcBorders>
              <w:top w:val="single" w:sz="6" w:space="0" w:color="808080" w:themeColor="background1" w:themeShade="80"/>
              <w:bottom w:val="single" w:sz="6" w:space="0" w:color="808080" w:themeColor="background1" w:themeShade="80"/>
            </w:tcBorders>
          </w:tcPr>
          <w:p w14:paraId="0786E6D7" w14:textId="35E88E90" w:rsidR="000F06C9" w:rsidRPr="0058458C" w:rsidRDefault="000F06C9" w:rsidP="00AF5B78">
            <w:pPr>
              <w:pStyle w:val="TableText"/>
              <w:spacing w:before="40" w:after="40"/>
            </w:pPr>
            <w:r w:rsidRPr="0058458C">
              <w:t>Annual probability of diagnosed individual linked to care after (versus immediately at) diagnosis</w:t>
            </w:r>
          </w:p>
        </w:tc>
        <w:tc>
          <w:tcPr>
            <w:tcW w:w="949" w:type="pct"/>
            <w:tcBorders>
              <w:top w:val="single" w:sz="6" w:space="0" w:color="808080" w:themeColor="background1" w:themeShade="80"/>
              <w:bottom w:val="single" w:sz="6" w:space="0" w:color="808080" w:themeColor="background1" w:themeShade="80"/>
            </w:tcBorders>
          </w:tcPr>
          <w:p w14:paraId="5D52814C" w14:textId="77777777" w:rsidR="000F06C9" w:rsidRPr="00E832D1" w:rsidRDefault="000F06C9"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41372D7B" w14:textId="77777777" w:rsidR="000F06C9" w:rsidRPr="00E832D1" w:rsidRDefault="000F06C9" w:rsidP="000F06C9">
            <w:pPr>
              <w:pStyle w:val="TableText"/>
              <w:spacing w:before="40" w:after="40"/>
              <w:jc w:val="center"/>
            </w:pPr>
          </w:p>
        </w:tc>
      </w:tr>
      <w:tr w:rsidR="004C7EFB" w:rsidRPr="0058458C" w14:paraId="0A432103"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535404FC" w14:textId="381C1513" w:rsidR="004C7EFB" w:rsidRPr="0058458C" w:rsidRDefault="004C7EFB" w:rsidP="004C7EFB">
            <w:pPr>
              <w:pStyle w:val="TableTextIndent1"/>
              <w:spacing w:before="40" w:after="40"/>
            </w:pPr>
            <w:r w:rsidRPr="0058458C">
              <w:t>Black</w:t>
            </w:r>
          </w:p>
        </w:tc>
        <w:tc>
          <w:tcPr>
            <w:tcW w:w="950" w:type="pct"/>
            <w:gridSpan w:val="2"/>
            <w:tcBorders>
              <w:top w:val="single" w:sz="6" w:space="0" w:color="808080" w:themeColor="background1" w:themeShade="80"/>
              <w:bottom w:val="single" w:sz="6" w:space="0" w:color="808080" w:themeColor="background1" w:themeShade="80"/>
            </w:tcBorders>
          </w:tcPr>
          <w:p w14:paraId="59501F8C" w14:textId="659CFD08" w:rsidR="004C7EFB" w:rsidRPr="0058458C" w:rsidRDefault="004C7EFB" w:rsidP="004C7EFB">
            <w:pPr>
              <w:pStyle w:val="TableText"/>
              <w:spacing w:before="40" w:after="40"/>
              <w:jc w:val="center"/>
            </w:pPr>
            <w:r w:rsidRPr="006C75BC">
              <w:t>0.288</w:t>
            </w:r>
          </w:p>
        </w:tc>
        <w:tc>
          <w:tcPr>
            <w:tcW w:w="949" w:type="pct"/>
            <w:tcBorders>
              <w:top w:val="single" w:sz="6" w:space="0" w:color="808080" w:themeColor="background1" w:themeShade="80"/>
              <w:bottom w:val="single" w:sz="6" w:space="0" w:color="808080" w:themeColor="background1" w:themeShade="80"/>
            </w:tcBorders>
          </w:tcPr>
          <w:p w14:paraId="71D71C31" w14:textId="52A415D0" w:rsidR="004C7EFB" w:rsidRPr="00E832D1" w:rsidRDefault="004C7EFB" w:rsidP="004C7EFB">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646177F0" w14:textId="5288F4B9" w:rsidR="004C7EFB" w:rsidRPr="00E832D1" w:rsidRDefault="004C7EFB" w:rsidP="004C7EFB">
            <w:pPr>
              <w:pStyle w:val="TableText"/>
              <w:spacing w:before="40" w:after="40"/>
              <w:jc w:val="center"/>
            </w:pPr>
            <w:r w:rsidRPr="00E832D1">
              <w:t>0.35</w:t>
            </w:r>
            <w:r>
              <w:t>0</w:t>
            </w:r>
          </w:p>
        </w:tc>
      </w:tr>
      <w:tr w:rsidR="004C7EFB" w:rsidRPr="0058458C" w14:paraId="50F40135"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3DDE694A" w14:textId="28615731" w:rsidR="004C7EFB" w:rsidRPr="0058458C" w:rsidRDefault="004C7EFB" w:rsidP="004C7EFB">
            <w:pPr>
              <w:pStyle w:val="TableTextIndent1"/>
              <w:spacing w:before="40" w:after="40"/>
            </w:pPr>
            <w:r w:rsidRPr="0058458C">
              <w:t>Hispanic</w:t>
            </w:r>
          </w:p>
        </w:tc>
        <w:tc>
          <w:tcPr>
            <w:tcW w:w="950" w:type="pct"/>
            <w:gridSpan w:val="2"/>
            <w:tcBorders>
              <w:top w:val="single" w:sz="6" w:space="0" w:color="808080" w:themeColor="background1" w:themeShade="80"/>
              <w:bottom w:val="single" w:sz="6" w:space="0" w:color="808080" w:themeColor="background1" w:themeShade="80"/>
            </w:tcBorders>
          </w:tcPr>
          <w:p w14:paraId="187A102E" w14:textId="7BE5BAB4" w:rsidR="004C7EFB" w:rsidRPr="0058458C" w:rsidRDefault="004C7EFB" w:rsidP="004C7EFB">
            <w:pPr>
              <w:pStyle w:val="TableText"/>
              <w:spacing w:before="40" w:after="40"/>
              <w:jc w:val="center"/>
            </w:pPr>
            <w:r w:rsidRPr="006C75BC">
              <w:t>0.305</w:t>
            </w:r>
          </w:p>
        </w:tc>
        <w:tc>
          <w:tcPr>
            <w:tcW w:w="949" w:type="pct"/>
            <w:tcBorders>
              <w:top w:val="single" w:sz="6" w:space="0" w:color="808080" w:themeColor="background1" w:themeShade="80"/>
              <w:bottom w:val="single" w:sz="6" w:space="0" w:color="808080" w:themeColor="background1" w:themeShade="80"/>
            </w:tcBorders>
          </w:tcPr>
          <w:p w14:paraId="1DCB7574" w14:textId="37388C0B" w:rsidR="004C7EFB" w:rsidRPr="00E832D1" w:rsidRDefault="004C7EFB" w:rsidP="004C7EFB">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21659439" w14:textId="6B2151DE" w:rsidR="004C7EFB" w:rsidRPr="00E832D1" w:rsidRDefault="004C7EFB" w:rsidP="004C7EFB">
            <w:pPr>
              <w:pStyle w:val="TableText"/>
              <w:spacing w:before="40" w:after="40"/>
              <w:jc w:val="center"/>
            </w:pPr>
            <w:r w:rsidRPr="00E832D1">
              <w:t>0.35</w:t>
            </w:r>
            <w:r>
              <w:t>0</w:t>
            </w:r>
          </w:p>
        </w:tc>
      </w:tr>
      <w:tr w:rsidR="004C7EFB" w:rsidRPr="0058458C" w14:paraId="3F112E5A" w14:textId="77777777" w:rsidTr="004C4731">
        <w:trPr>
          <w:cantSplit/>
        </w:trPr>
        <w:tc>
          <w:tcPr>
            <w:tcW w:w="2152" w:type="pct"/>
            <w:tcBorders>
              <w:top w:val="single" w:sz="6" w:space="0" w:color="808080" w:themeColor="background1" w:themeShade="80"/>
              <w:bottom w:val="single" w:sz="6" w:space="0" w:color="808080" w:themeColor="background1" w:themeShade="80"/>
            </w:tcBorders>
          </w:tcPr>
          <w:p w14:paraId="3E9FF89B" w14:textId="21514283" w:rsidR="004C7EFB" w:rsidRPr="0058458C" w:rsidRDefault="004C7EFB" w:rsidP="004C7EFB">
            <w:pPr>
              <w:pStyle w:val="TableTextIndent1"/>
              <w:spacing w:before="40" w:after="40"/>
            </w:pPr>
            <w:r w:rsidRPr="0058458C">
              <w:t>White/other</w:t>
            </w:r>
          </w:p>
        </w:tc>
        <w:tc>
          <w:tcPr>
            <w:tcW w:w="950" w:type="pct"/>
            <w:gridSpan w:val="2"/>
            <w:tcBorders>
              <w:top w:val="single" w:sz="6" w:space="0" w:color="808080" w:themeColor="background1" w:themeShade="80"/>
              <w:bottom w:val="single" w:sz="6" w:space="0" w:color="808080" w:themeColor="background1" w:themeShade="80"/>
            </w:tcBorders>
          </w:tcPr>
          <w:p w14:paraId="1A1116B9" w14:textId="0F615731" w:rsidR="004C7EFB" w:rsidRPr="0058458C" w:rsidRDefault="004C7EFB" w:rsidP="004C7EFB">
            <w:pPr>
              <w:pStyle w:val="TableText"/>
              <w:spacing w:before="40" w:after="40"/>
              <w:jc w:val="center"/>
            </w:pPr>
            <w:r w:rsidRPr="006C75BC">
              <w:t>0.309</w:t>
            </w:r>
          </w:p>
        </w:tc>
        <w:tc>
          <w:tcPr>
            <w:tcW w:w="949" w:type="pct"/>
            <w:tcBorders>
              <w:top w:val="single" w:sz="6" w:space="0" w:color="808080" w:themeColor="background1" w:themeShade="80"/>
              <w:bottom w:val="single" w:sz="6" w:space="0" w:color="808080" w:themeColor="background1" w:themeShade="80"/>
            </w:tcBorders>
          </w:tcPr>
          <w:p w14:paraId="1CA16477" w14:textId="245ABA6F" w:rsidR="004C7EFB" w:rsidRPr="00E832D1" w:rsidRDefault="004C7EFB" w:rsidP="004C7EFB">
            <w:pPr>
              <w:pStyle w:val="TableText"/>
              <w:spacing w:before="40" w:after="40"/>
              <w:jc w:val="center"/>
            </w:pPr>
            <w:r w:rsidRPr="000D7010">
              <w:t>0.500</w:t>
            </w:r>
          </w:p>
        </w:tc>
        <w:tc>
          <w:tcPr>
            <w:tcW w:w="949" w:type="pct"/>
            <w:tcBorders>
              <w:top w:val="single" w:sz="6" w:space="0" w:color="808080" w:themeColor="background1" w:themeShade="80"/>
              <w:bottom w:val="single" w:sz="6" w:space="0" w:color="808080" w:themeColor="background1" w:themeShade="80"/>
            </w:tcBorders>
          </w:tcPr>
          <w:p w14:paraId="7697F7FA" w14:textId="784EAABB" w:rsidR="004C7EFB" w:rsidRPr="00E832D1" w:rsidRDefault="004C7EFB" w:rsidP="004C7EFB">
            <w:pPr>
              <w:pStyle w:val="TableText"/>
              <w:spacing w:before="40" w:after="40"/>
              <w:jc w:val="center"/>
            </w:pPr>
            <w:r w:rsidRPr="00E832D1">
              <w:t>0.35</w:t>
            </w:r>
            <w:r>
              <w:t>0</w:t>
            </w:r>
          </w:p>
        </w:tc>
      </w:tr>
      <w:tr w:rsidR="000F06C9" w:rsidRPr="0058458C" w14:paraId="73BA8644" w14:textId="1C183979" w:rsidTr="004C4731">
        <w:trPr>
          <w:cantSplit/>
        </w:trPr>
        <w:tc>
          <w:tcPr>
            <w:tcW w:w="3101" w:type="pct"/>
            <w:gridSpan w:val="3"/>
            <w:tcBorders>
              <w:top w:val="single" w:sz="6" w:space="0" w:color="808080" w:themeColor="background1" w:themeShade="80"/>
              <w:bottom w:val="single" w:sz="6" w:space="0" w:color="808080" w:themeColor="background1" w:themeShade="80"/>
            </w:tcBorders>
          </w:tcPr>
          <w:p w14:paraId="5CD95F00" w14:textId="1EC22C11" w:rsidR="000F06C9" w:rsidRPr="0058458C" w:rsidRDefault="000F06C9" w:rsidP="000F06C9">
            <w:pPr>
              <w:pStyle w:val="TableText"/>
              <w:spacing w:before="40" w:after="40"/>
            </w:pPr>
            <w:r w:rsidRPr="0058458C">
              <w:t>Relative risk of linkage to HIV care after (versus immediately at) diagnosis, by disease stage</w:t>
            </w:r>
          </w:p>
        </w:tc>
        <w:tc>
          <w:tcPr>
            <w:tcW w:w="949" w:type="pct"/>
            <w:tcBorders>
              <w:top w:val="single" w:sz="6" w:space="0" w:color="808080" w:themeColor="background1" w:themeShade="80"/>
              <w:bottom w:val="single" w:sz="6" w:space="0" w:color="808080" w:themeColor="background1" w:themeShade="80"/>
            </w:tcBorders>
          </w:tcPr>
          <w:p w14:paraId="56E9CDD5" w14:textId="77777777" w:rsidR="000F06C9" w:rsidRPr="0058458C" w:rsidRDefault="000F06C9" w:rsidP="000F06C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6861863C" w14:textId="77777777" w:rsidR="000F06C9" w:rsidRPr="0058458C" w:rsidRDefault="000F06C9" w:rsidP="000F06C9">
            <w:pPr>
              <w:pStyle w:val="TableText"/>
              <w:spacing w:before="40" w:after="40"/>
            </w:pPr>
          </w:p>
        </w:tc>
      </w:tr>
      <w:tr w:rsidR="004C7EFB" w:rsidRPr="0058458C" w14:paraId="570A889E" w14:textId="00679D3E"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55BDDE28" w14:textId="5F93A041" w:rsidR="004C7EFB" w:rsidRPr="0058458C" w:rsidRDefault="004C7EFB" w:rsidP="004C7EFB">
            <w:pPr>
              <w:pStyle w:val="TableTextIndent1"/>
              <w:spacing w:before="40" w:after="40"/>
            </w:pPr>
            <w:r w:rsidRPr="0058458C">
              <w:t>CD4 200–350</w:t>
            </w:r>
          </w:p>
        </w:tc>
        <w:tc>
          <w:tcPr>
            <w:tcW w:w="918" w:type="pct"/>
            <w:tcBorders>
              <w:top w:val="single" w:sz="6" w:space="0" w:color="808080" w:themeColor="background1" w:themeShade="80"/>
              <w:bottom w:val="single" w:sz="6" w:space="0" w:color="808080" w:themeColor="background1" w:themeShade="80"/>
            </w:tcBorders>
          </w:tcPr>
          <w:p w14:paraId="70007D52" w14:textId="47AF00AD" w:rsidR="004C7EFB" w:rsidRPr="0058458C" w:rsidRDefault="004C7EFB" w:rsidP="004C7EFB">
            <w:pPr>
              <w:pStyle w:val="TableText"/>
              <w:spacing w:before="40" w:after="40"/>
              <w:jc w:val="center"/>
            </w:pPr>
            <w:r w:rsidRPr="00617216">
              <w:t>7.240</w:t>
            </w:r>
          </w:p>
        </w:tc>
        <w:tc>
          <w:tcPr>
            <w:tcW w:w="949" w:type="pct"/>
            <w:tcBorders>
              <w:top w:val="single" w:sz="6" w:space="0" w:color="808080" w:themeColor="background1" w:themeShade="80"/>
              <w:bottom w:val="single" w:sz="6" w:space="0" w:color="808080" w:themeColor="background1" w:themeShade="80"/>
            </w:tcBorders>
          </w:tcPr>
          <w:p w14:paraId="70D46A39" w14:textId="56A81C28" w:rsidR="004C7EFB" w:rsidRPr="0058458C" w:rsidRDefault="004C7EFB" w:rsidP="004C7EFB">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22080727" w14:textId="0A4D0BDE" w:rsidR="004C7EFB" w:rsidRPr="0058458C" w:rsidRDefault="004C7EFB" w:rsidP="004C7EFB">
            <w:pPr>
              <w:pStyle w:val="TableText"/>
              <w:spacing w:before="40" w:after="40"/>
              <w:jc w:val="center"/>
            </w:pPr>
            <w:r w:rsidRPr="0058458C">
              <w:t>8.000</w:t>
            </w:r>
          </w:p>
        </w:tc>
      </w:tr>
      <w:tr w:rsidR="004C7EFB" w:rsidRPr="0058458C" w14:paraId="63EFB4DF" w14:textId="29071C6B"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4A27EC17" w14:textId="77777777" w:rsidR="004C7EFB" w:rsidRPr="0058458C" w:rsidRDefault="004C7EFB" w:rsidP="004C7EFB">
            <w:pPr>
              <w:pStyle w:val="TableTextIndent1"/>
              <w:spacing w:before="40" w:after="40"/>
            </w:pPr>
            <w:r w:rsidRPr="0058458C">
              <w:t>CD4 &lt; 200</w:t>
            </w:r>
          </w:p>
        </w:tc>
        <w:tc>
          <w:tcPr>
            <w:tcW w:w="918" w:type="pct"/>
            <w:tcBorders>
              <w:top w:val="single" w:sz="6" w:space="0" w:color="808080" w:themeColor="background1" w:themeShade="80"/>
              <w:bottom w:val="single" w:sz="6" w:space="0" w:color="808080" w:themeColor="background1" w:themeShade="80"/>
            </w:tcBorders>
          </w:tcPr>
          <w:p w14:paraId="78990E43" w14:textId="1FB9CA36" w:rsidR="004C7EFB" w:rsidRPr="0058458C" w:rsidRDefault="004C7EFB" w:rsidP="004C7EFB">
            <w:pPr>
              <w:pStyle w:val="TableText"/>
              <w:spacing w:before="40" w:after="40"/>
              <w:jc w:val="center"/>
            </w:pPr>
            <w:r w:rsidRPr="00617216">
              <w:t>6.653</w:t>
            </w:r>
          </w:p>
        </w:tc>
        <w:tc>
          <w:tcPr>
            <w:tcW w:w="949" w:type="pct"/>
            <w:tcBorders>
              <w:top w:val="single" w:sz="6" w:space="0" w:color="808080" w:themeColor="background1" w:themeShade="80"/>
              <w:bottom w:val="single" w:sz="6" w:space="0" w:color="808080" w:themeColor="background1" w:themeShade="80"/>
            </w:tcBorders>
          </w:tcPr>
          <w:p w14:paraId="2168D0C3" w14:textId="48CCF540" w:rsidR="004C7EFB" w:rsidRPr="0058458C" w:rsidRDefault="004C7EFB" w:rsidP="004C7EFB">
            <w:pPr>
              <w:pStyle w:val="TableText"/>
              <w:spacing w:before="40" w:after="40"/>
              <w:jc w:val="center"/>
            </w:pPr>
            <w:r w:rsidRPr="0058458C">
              <w:t>1.000</w:t>
            </w:r>
          </w:p>
        </w:tc>
        <w:tc>
          <w:tcPr>
            <w:tcW w:w="949" w:type="pct"/>
            <w:tcBorders>
              <w:top w:val="single" w:sz="6" w:space="0" w:color="808080" w:themeColor="background1" w:themeShade="80"/>
              <w:bottom w:val="single" w:sz="6" w:space="0" w:color="808080" w:themeColor="background1" w:themeShade="80"/>
            </w:tcBorders>
          </w:tcPr>
          <w:p w14:paraId="10D9EE0B" w14:textId="79E97B87" w:rsidR="004C7EFB" w:rsidRPr="0058458C" w:rsidRDefault="004C7EFB" w:rsidP="004C7EFB">
            <w:pPr>
              <w:pStyle w:val="TableText"/>
              <w:spacing w:before="40" w:after="40"/>
              <w:jc w:val="center"/>
            </w:pPr>
            <w:r w:rsidRPr="0058458C">
              <w:t>8.000</w:t>
            </w:r>
          </w:p>
        </w:tc>
      </w:tr>
      <w:tr w:rsidR="000F06C9" w:rsidRPr="0058458C" w14:paraId="14B67EAA" w14:textId="138DE62E" w:rsidTr="004C4731">
        <w:trPr>
          <w:cantSplit/>
        </w:trPr>
        <w:tc>
          <w:tcPr>
            <w:tcW w:w="3101" w:type="pct"/>
            <w:gridSpan w:val="3"/>
            <w:tcBorders>
              <w:top w:val="single" w:sz="6" w:space="0" w:color="808080" w:themeColor="background1" w:themeShade="80"/>
              <w:bottom w:val="single" w:sz="6" w:space="0" w:color="808080" w:themeColor="background1" w:themeShade="80"/>
            </w:tcBorders>
          </w:tcPr>
          <w:p w14:paraId="0D7082B3" w14:textId="287FC8F9" w:rsidR="000F06C9" w:rsidRPr="0058458C" w:rsidRDefault="000F06C9" w:rsidP="000F06C9">
            <w:pPr>
              <w:pStyle w:val="TableText"/>
              <w:spacing w:before="40" w:after="40"/>
            </w:pPr>
            <w:r w:rsidRPr="0058458C">
              <w:t>Annual probability of dropping out of care if linked to HIV care, not prescribed ART</w:t>
            </w:r>
          </w:p>
        </w:tc>
        <w:tc>
          <w:tcPr>
            <w:tcW w:w="949" w:type="pct"/>
            <w:tcBorders>
              <w:top w:val="single" w:sz="6" w:space="0" w:color="808080" w:themeColor="background1" w:themeShade="80"/>
              <w:bottom w:val="single" w:sz="6" w:space="0" w:color="808080" w:themeColor="background1" w:themeShade="80"/>
            </w:tcBorders>
          </w:tcPr>
          <w:p w14:paraId="00E34DD5" w14:textId="77777777" w:rsidR="000F06C9" w:rsidRPr="0058458C" w:rsidRDefault="000F06C9" w:rsidP="000F06C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45C41F71" w14:textId="77777777" w:rsidR="000F06C9" w:rsidRPr="0058458C" w:rsidRDefault="000F06C9" w:rsidP="000F06C9">
            <w:pPr>
              <w:pStyle w:val="TableText"/>
              <w:spacing w:before="40" w:after="40"/>
            </w:pPr>
          </w:p>
        </w:tc>
      </w:tr>
      <w:tr w:rsidR="004C7EFB" w:rsidRPr="0058458C" w14:paraId="34E65BB0" w14:textId="0FF71CC0"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3825ECF1" w14:textId="77777777" w:rsidR="004C7EFB" w:rsidRPr="0058458C" w:rsidRDefault="004C7EFB" w:rsidP="004C7EFB">
            <w:pPr>
              <w:pStyle w:val="TableTextIndent1"/>
              <w:spacing w:before="40" w:after="40"/>
            </w:pPr>
            <w:r w:rsidRPr="0058458C">
              <w:t>Black</w:t>
            </w:r>
          </w:p>
        </w:tc>
        <w:tc>
          <w:tcPr>
            <w:tcW w:w="918" w:type="pct"/>
            <w:tcBorders>
              <w:top w:val="single" w:sz="6" w:space="0" w:color="808080" w:themeColor="background1" w:themeShade="80"/>
              <w:bottom w:val="single" w:sz="6" w:space="0" w:color="808080" w:themeColor="background1" w:themeShade="80"/>
            </w:tcBorders>
          </w:tcPr>
          <w:p w14:paraId="21FFA156" w14:textId="358F3988" w:rsidR="004C7EFB" w:rsidRPr="0058458C" w:rsidRDefault="004C7EFB" w:rsidP="004C7EFB">
            <w:pPr>
              <w:pStyle w:val="TableText"/>
              <w:spacing w:before="40" w:after="40"/>
              <w:jc w:val="center"/>
            </w:pPr>
            <w:r w:rsidRPr="003160AC">
              <w:t>0.079</w:t>
            </w:r>
          </w:p>
        </w:tc>
        <w:tc>
          <w:tcPr>
            <w:tcW w:w="949" w:type="pct"/>
            <w:tcBorders>
              <w:top w:val="single" w:sz="6" w:space="0" w:color="808080" w:themeColor="background1" w:themeShade="80"/>
              <w:bottom w:val="single" w:sz="6" w:space="0" w:color="808080" w:themeColor="background1" w:themeShade="80"/>
            </w:tcBorders>
          </w:tcPr>
          <w:p w14:paraId="0F0D9F66" w14:textId="63C6319C" w:rsidR="004C7EFB" w:rsidRPr="0058458C" w:rsidRDefault="004C7EFB" w:rsidP="004C7EFB">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1616BE68" w14:textId="456A1CF1" w:rsidR="004C7EFB" w:rsidRPr="0058458C" w:rsidRDefault="004C7EFB" w:rsidP="004C7EFB">
            <w:pPr>
              <w:pStyle w:val="TableText"/>
              <w:spacing w:before="40" w:after="40"/>
              <w:jc w:val="center"/>
            </w:pPr>
            <w:r w:rsidRPr="0058458C">
              <w:t>0.500</w:t>
            </w:r>
          </w:p>
        </w:tc>
      </w:tr>
      <w:tr w:rsidR="004C7EFB" w:rsidRPr="0058458C" w14:paraId="1986A10A" w14:textId="0193484B"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04583F6A" w14:textId="77777777" w:rsidR="004C7EFB" w:rsidRPr="0058458C" w:rsidRDefault="004C7EFB" w:rsidP="004C7EFB">
            <w:pPr>
              <w:pStyle w:val="TableTextIndent1"/>
              <w:spacing w:before="40" w:after="40"/>
            </w:pPr>
            <w:r w:rsidRPr="0058458C">
              <w:t>Hispanic</w:t>
            </w:r>
          </w:p>
        </w:tc>
        <w:tc>
          <w:tcPr>
            <w:tcW w:w="918" w:type="pct"/>
            <w:tcBorders>
              <w:top w:val="single" w:sz="6" w:space="0" w:color="808080" w:themeColor="background1" w:themeShade="80"/>
              <w:bottom w:val="single" w:sz="6" w:space="0" w:color="808080" w:themeColor="background1" w:themeShade="80"/>
            </w:tcBorders>
          </w:tcPr>
          <w:p w14:paraId="48857C21" w14:textId="529EEDEC" w:rsidR="004C7EFB" w:rsidRPr="0058458C" w:rsidRDefault="004C7EFB" w:rsidP="004C7EFB">
            <w:pPr>
              <w:pStyle w:val="TableText"/>
              <w:spacing w:before="40" w:after="40"/>
              <w:jc w:val="center"/>
            </w:pPr>
            <w:r w:rsidRPr="003160AC">
              <w:t>0.096</w:t>
            </w:r>
          </w:p>
        </w:tc>
        <w:tc>
          <w:tcPr>
            <w:tcW w:w="949" w:type="pct"/>
            <w:tcBorders>
              <w:top w:val="single" w:sz="6" w:space="0" w:color="808080" w:themeColor="background1" w:themeShade="80"/>
              <w:bottom w:val="single" w:sz="6" w:space="0" w:color="808080" w:themeColor="background1" w:themeShade="80"/>
            </w:tcBorders>
          </w:tcPr>
          <w:p w14:paraId="1E3FB534" w14:textId="12E51947" w:rsidR="004C7EFB" w:rsidRPr="0058458C" w:rsidRDefault="004C7EFB" w:rsidP="004C7EFB">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0A4914AE" w14:textId="7A077675" w:rsidR="004C7EFB" w:rsidRPr="0058458C" w:rsidRDefault="004C7EFB" w:rsidP="004C7EFB">
            <w:pPr>
              <w:pStyle w:val="TableText"/>
              <w:spacing w:before="40" w:after="40"/>
              <w:jc w:val="center"/>
            </w:pPr>
            <w:r w:rsidRPr="0058458C">
              <w:t>0.500</w:t>
            </w:r>
          </w:p>
        </w:tc>
      </w:tr>
      <w:tr w:rsidR="004C7EFB" w:rsidRPr="0058458C" w14:paraId="3AEA2E6B" w14:textId="30AB09DD" w:rsidTr="000F06C9">
        <w:trPr>
          <w:cantSplit/>
        </w:trPr>
        <w:tc>
          <w:tcPr>
            <w:tcW w:w="2184" w:type="pct"/>
            <w:gridSpan w:val="2"/>
            <w:tcBorders>
              <w:top w:val="single" w:sz="6" w:space="0" w:color="808080" w:themeColor="background1" w:themeShade="80"/>
              <w:bottom w:val="single" w:sz="6" w:space="0" w:color="808080" w:themeColor="background1" w:themeShade="80"/>
            </w:tcBorders>
          </w:tcPr>
          <w:p w14:paraId="5CDCCDEE" w14:textId="7199B390" w:rsidR="004C7EFB" w:rsidRPr="0058458C" w:rsidRDefault="004C7EFB" w:rsidP="004C7EFB">
            <w:pPr>
              <w:pStyle w:val="TableTextIndent1"/>
              <w:spacing w:before="40" w:after="40"/>
            </w:pPr>
            <w:r w:rsidRPr="0058458C">
              <w:t>White/other</w:t>
            </w:r>
          </w:p>
        </w:tc>
        <w:tc>
          <w:tcPr>
            <w:tcW w:w="918" w:type="pct"/>
            <w:tcBorders>
              <w:top w:val="single" w:sz="6" w:space="0" w:color="808080" w:themeColor="background1" w:themeShade="80"/>
              <w:bottom w:val="single" w:sz="6" w:space="0" w:color="808080" w:themeColor="background1" w:themeShade="80"/>
            </w:tcBorders>
          </w:tcPr>
          <w:p w14:paraId="1DD50060" w14:textId="361A5692" w:rsidR="004C7EFB" w:rsidRPr="0058458C" w:rsidRDefault="004C7EFB" w:rsidP="004C7EFB">
            <w:pPr>
              <w:pStyle w:val="TableText"/>
              <w:spacing w:before="40" w:after="40"/>
              <w:jc w:val="center"/>
            </w:pPr>
            <w:r w:rsidRPr="003160AC">
              <w:t>0.103</w:t>
            </w:r>
          </w:p>
        </w:tc>
        <w:tc>
          <w:tcPr>
            <w:tcW w:w="949" w:type="pct"/>
            <w:tcBorders>
              <w:top w:val="single" w:sz="6" w:space="0" w:color="808080" w:themeColor="background1" w:themeShade="80"/>
              <w:bottom w:val="single" w:sz="6" w:space="0" w:color="808080" w:themeColor="background1" w:themeShade="80"/>
            </w:tcBorders>
          </w:tcPr>
          <w:p w14:paraId="529A1BB7" w14:textId="0B585327" w:rsidR="004C7EFB" w:rsidRPr="0058458C" w:rsidRDefault="004C7EFB" w:rsidP="004C7EFB">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CA64089" w14:textId="567AC12E" w:rsidR="004C7EFB" w:rsidRPr="0058458C" w:rsidRDefault="004C7EFB" w:rsidP="004C7EFB">
            <w:pPr>
              <w:pStyle w:val="TableText"/>
              <w:spacing w:before="40" w:after="40"/>
              <w:jc w:val="center"/>
            </w:pPr>
            <w:r w:rsidRPr="0058458C">
              <w:t>0.500</w:t>
            </w:r>
          </w:p>
        </w:tc>
      </w:tr>
    </w:tbl>
    <w:p w14:paraId="7BA380BF" w14:textId="77777777" w:rsidR="00871E69" w:rsidRPr="0058458C" w:rsidRDefault="00871E69" w:rsidP="00871E69">
      <w:pPr>
        <w:pStyle w:val="Tablecont"/>
      </w:pPr>
      <w:r w:rsidRPr="0058458C">
        <w:t>(continued)</w:t>
      </w:r>
    </w:p>
    <w:p w14:paraId="0CC59F96" w14:textId="77777777" w:rsidR="008A678D" w:rsidRPr="0058458C" w:rsidRDefault="008A678D">
      <w:pPr>
        <w:rPr>
          <w:b/>
        </w:rPr>
      </w:pPr>
      <w:r w:rsidRPr="0058458C">
        <w:br w:type="page"/>
      </w:r>
    </w:p>
    <w:p w14:paraId="4A8F0CEF" w14:textId="099FAD31" w:rsidR="00871E69" w:rsidRPr="0058458C" w:rsidRDefault="00871E69" w:rsidP="00903B31">
      <w:pPr>
        <w:pStyle w:val="TableTitlecont"/>
      </w:pPr>
      <w:r w:rsidRPr="0058458C">
        <w:lastRenderedPageBreak/>
        <w:t xml:space="preserve">Table </w:t>
      </w:r>
      <w:r w:rsidR="008867F1" w:rsidRPr="0058458C">
        <w:t>1</w:t>
      </w:r>
      <w:r w:rsidR="008867F1">
        <w:t>0</w:t>
      </w:r>
      <w:r w:rsidRPr="0058458C">
        <w:t>.1.</w:t>
      </w:r>
      <w:r w:rsidRPr="0058458C">
        <w:tab/>
      </w:r>
      <w:r w:rsidR="003A172B" w:rsidRPr="0058458C">
        <w:t xml:space="preserve">Bounds and Final Values of </w:t>
      </w:r>
      <w:r w:rsidRPr="0058458C">
        <w:t xml:space="preserve">Continuum-of-Care Parameters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88"/>
        <w:gridCol w:w="11"/>
        <w:gridCol w:w="1707"/>
        <w:gridCol w:w="1777"/>
        <w:gridCol w:w="1777"/>
      </w:tblGrid>
      <w:tr w:rsidR="0028041E" w:rsidRPr="0058458C" w14:paraId="5A3D825F" w14:textId="6915D1B1" w:rsidTr="000E78F7">
        <w:trPr>
          <w:cantSplit/>
          <w:tblHeader/>
        </w:trPr>
        <w:tc>
          <w:tcPr>
            <w:tcW w:w="2190" w:type="pct"/>
            <w:gridSpan w:val="2"/>
            <w:tcBorders>
              <w:top w:val="single" w:sz="12" w:space="0" w:color="auto"/>
              <w:bottom w:val="single" w:sz="6" w:space="0" w:color="auto"/>
            </w:tcBorders>
            <w:vAlign w:val="bottom"/>
          </w:tcPr>
          <w:p w14:paraId="6CF00144" w14:textId="77777777" w:rsidR="0028041E" w:rsidRPr="0058458C" w:rsidRDefault="0028041E" w:rsidP="000E78F7">
            <w:pPr>
              <w:pStyle w:val="TableHeaders"/>
              <w:spacing w:before="40" w:after="40"/>
            </w:pPr>
            <w:r w:rsidRPr="0058458C">
              <w:t>Parameter</w:t>
            </w:r>
          </w:p>
        </w:tc>
        <w:tc>
          <w:tcPr>
            <w:tcW w:w="912" w:type="pct"/>
            <w:tcBorders>
              <w:top w:val="single" w:sz="12" w:space="0" w:color="auto"/>
              <w:bottom w:val="single" w:sz="6" w:space="0" w:color="auto"/>
            </w:tcBorders>
            <w:vAlign w:val="bottom"/>
          </w:tcPr>
          <w:p w14:paraId="4E6D82BE" w14:textId="2C405DE5" w:rsidR="0028041E" w:rsidRPr="0058458C" w:rsidRDefault="0028041E" w:rsidP="000E78F7">
            <w:pPr>
              <w:pStyle w:val="TableHeaders"/>
              <w:spacing w:before="40" w:after="40"/>
            </w:pPr>
            <w:r w:rsidRPr="0058458C">
              <w:t>Calibrated Value</w:t>
            </w:r>
          </w:p>
        </w:tc>
        <w:tc>
          <w:tcPr>
            <w:tcW w:w="949" w:type="pct"/>
            <w:tcBorders>
              <w:top w:val="single" w:sz="12" w:space="0" w:color="auto"/>
              <w:bottom w:val="single" w:sz="6" w:space="0" w:color="auto"/>
            </w:tcBorders>
            <w:vAlign w:val="bottom"/>
          </w:tcPr>
          <w:p w14:paraId="4C7290F7" w14:textId="48DCF322" w:rsidR="0028041E" w:rsidRPr="0058458C" w:rsidRDefault="0028041E" w:rsidP="000E78F7">
            <w:pPr>
              <w:pStyle w:val="TableHeaders"/>
              <w:spacing w:before="40" w:after="40"/>
            </w:pPr>
            <w:r w:rsidRPr="0058458C">
              <w:t>Lower Bound</w:t>
            </w:r>
          </w:p>
        </w:tc>
        <w:tc>
          <w:tcPr>
            <w:tcW w:w="949" w:type="pct"/>
            <w:tcBorders>
              <w:top w:val="single" w:sz="12" w:space="0" w:color="auto"/>
              <w:bottom w:val="single" w:sz="6" w:space="0" w:color="auto"/>
            </w:tcBorders>
            <w:vAlign w:val="bottom"/>
          </w:tcPr>
          <w:p w14:paraId="051A71EF" w14:textId="5F68476D" w:rsidR="0028041E" w:rsidRPr="0058458C" w:rsidRDefault="0028041E" w:rsidP="000E78F7">
            <w:pPr>
              <w:pStyle w:val="TableHeaders"/>
              <w:spacing w:before="40" w:after="40"/>
            </w:pPr>
            <w:r w:rsidRPr="0058458C">
              <w:t>Upper Bound</w:t>
            </w:r>
          </w:p>
        </w:tc>
      </w:tr>
      <w:tr w:rsidR="000F06C9" w:rsidRPr="0058458C" w14:paraId="44692336"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4211EC81" w14:textId="7DC3699B" w:rsidR="000F06C9" w:rsidRPr="0058458C" w:rsidRDefault="000F06C9" w:rsidP="000F06C9">
            <w:pPr>
              <w:pStyle w:val="TableText"/>
              <w:spacing w:before="40" w:after="40"/>
            </w:pPr>
            <w:r w:rsidRPr="0058458C">
              <w:t xml:space="preserve">Annual probability of dropping off of ART if </w:t>
            </w:r>
            <w:r w:rsidR="00280171">
              <w:t>ART-not-VLS</w:t>
            </w:r>
            <w:r w:rsidRPr="0058458C">
              <w:t xml:space="preserve"> and movement to linked-to- care</w:t>
            </w:r>
          </w:p>
        </w:tc>
        <w:tc>
          <w:tcPr>
            <w:tcW w:w="949" w:type="pct"/>
            <w:tcBorders>
              <w:top w:val="single" w:sz="6" w:space="0" w:color="808080" w:themeColor="background1" w:themeShade="80"/>
              <w:bottom w:val="single" w:sz="6" w:space="0" w:color="808080" w:themeColor="background1" w:themeShade="80"/>
            </w:tcBorders>
          </w:tcPr>
          <w:p w14:paraId="44AAF917" w14:textId="77777777" w:rsidR="000F06C9" w:rsidRPr="0058458C" w:rsidRDefault="000F06C9" w:rsidP="000F06C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6E22B43B" w14:textId="77777777" w:rsidR="000F06C9" w:rsidRPr="0058458C" w:rsidRDefault="000F06C9" w:rsidP="000F06C9">
            <w:pPr>
              <w:pStyle w:val="TableText"/>
              <w:spacing w:before="40" w:after="40"/>
            </w:pPr>
          </w:p>
        </w:tc>
      </w:tr>
      <w:tr w:rsidR="004C7EFB" w:rsidRPr="0058458C" w14:paraId="3AC862A6"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10789820" w14:textId="77777777" w:rsidR="004C7EFB" w:rsidRPr="0058458C" w:rsidRDefault="004C7EFB" w:rsidP="004C7EFB">
            <w:pPr>
              <w:pStyle w:val="TableTextIndent1"/>
              <w:spacing w:before="40" w:after="40"/>
            </w:pPr>
            <w:r w:rsidRPr="0058458C">
              <w:t>Black</w:t>
            </w:r>
          </w:p>
        </w:tc>
        <w:tc>
          <w:tcPr>
            <w:tcW w:w="918" w:type="pct"/>
            <w:gridSpan w:val="2"/>
            <w:tcBorders>
              <w:top w:val="single" w:sz="6" w:space="0" w:color="808080" w:themeColor="background1" w:themeShade="80"/>
              <w:bottom w:val="single" w:sz="6" w:space="0" w:color="808080" w:themeColor="background1" w:themeShade="80"/>
            </w:tcBorders>
          </w:tcPr>
          <w:p w14:paraId="7D70BE5E" w14:textId="4CB762F5" w:rsidR="004C7EFB" w:rsidRPr="00E832D1" w:rsidRDefault="004C7EFB" w:rsidP="004C7EFB">
            <w:pPr>
              <w:pStyle w:val="TableText"/>
              <w:spacing w:before="40" w:after="40"/>
              <w:jc w:val="center"/>
            </w:pPr>
            <w:r w:rsidRPr="001D6BDC">
              <w:t>0.023</w:t>
            </w:r>
          </w:p>
        </w:tc>
        <w:tc>
          <w:tcPr>
            <w:tcW w:w="949" w:type="pct"/>
            <w:tcBorders>
              <w:top w:val="single" w:sz="6" w:space="0" w:color="808080" w:themeColor="background1" w:themeShade="80"/>
              <w:bottom w:val="single" w:sz="6" w:space="0" w:color="808080" w:themeColor="background1" w:themeShade="80"/>
            </w:tcBorders>
          </w:tcPr>
          <w:p w14:paraId="69440592" w14:textId="38927155" w:rsidR="004C7EFB" w:rsidRPr="00E832D1" w:rsidRDefault="004C7EFB" w:rsidP="004C7EFB">
            <w:pPr>
              <w:pStyle w:val="TableText"/>
              <w:spacing w:before="40" w:after="40"/>
              <w:jc w:val="center"/>
            </w:pPr>
            <w:r w:rsidRPr="00E832D1">
              <w:t>0.010</w:t>
            </w:r>
          </w:p>
        </w:tc>
        <w:tc>
          <w:tcPr>
            <w:tcW w:w="949" w:type="pct"/>
            <w:tcBorders>
              <w:top w:val="single" w:sz="6" w:space="0" w:color="808080" w:themeColor="background1" w:themeShade="80"/>
              <w:bottom w:val="single" w:sz="6" w:space="0" w:color="808080" w:themeColor="background1" w:themeShade="80"/>
            </w:tcBorders>
          </w:tcPr>
          <w:p w14:paraId="7196A1C1" w14:textId="77777777" w:rsidR="004C7EFB" w:rsidRPr="00E832D1" w:rsidRDefault="004C7EFB" w:rsidP="004C7EFB">
            <w:pPr>
              <w:pStyle w:val="TableText"/>
              <w:spacing w:before="40" w:after="40"/>
              <w:jc w:val="center"/>
            </w:pPr>
            <w:r w:rsidRPr="00E832D1">
              <w:t>0.300</w:t>
            </w:r>
          </w:p>
        </w:tc>
      </w:tr>
      <w:tr w:rsidR="004C7EFB" w:rsidRPr="0058458C" w14:paraId="7DFF5D0E"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347D45C2" w14:textId="77777777" w:rsidR="004C7EFB" w:rsidRPr="0058458C" w:rsidRDefault="004C7EFB" w:rsidP="004C7EFB">
            <w:pPr>
              <w:pStyle w:val="TableTextIndent1"/>
              <w:spacing w:before="40" w:after="40"/>
            </w:pPr>
            <w:r w:rsidRPr="0058458C">
              <w:t>Hispanic</w:t>
            </w:r>
          </w:p>
        </w:tc>
        <w:tc>
          <w:tcPr>
            <w:tcW w:w="918" w:type="pct"/>
            <w:gridSpan w:val="2"/>
            <w:tcBorders>
              <w:top w:val="single" w:sz="6" w:space="0" w:color="808080" w:themeColor="background1" w:themeShade="80"/>
              <w:bottom w:val="single" w:sz="6" w:space="0" w:color="808080" w:themeColor="background1" w:themeShade="80"/>
            </w:tcBorders>
          </w:tcPr>
          <w:p w14:paraId="44E9F9F2" w14:textId="325C3064" w:rsidR="004C7EFB" w:rsidRPr="00E832D1" w:rsidRDefault="004C7EFB" w:rsidP="004C7EFB">
            <w:pPr>
              <w:pStyle w:val="TableText"/>
              <w:spacing w:before="40" w:after="40"/>
              <w:jc w:val="center"/>
            </w:pPr>
            <w:r w:rsidRPr="001D6BDC">
              <w:t>0.033</w:t>
            </w:r>
          </w:p>
        </w:tc>
        <w:tc>
          <w:tcPr>
            <w:tcW w:w="949" w:type="pct"/>
            <w:tcBorders>
              <w:top w:val="single" w:sz="6" w:space="0" w:color="808080" w:themeColor="background1" w:themeShade="80"/>
              <w:bottom w:val="single" w:sz="6" w:space="0" w:color="808080" w:themeColor="background1" w:themeShade="80"/>
            </w:tcBorders>
          </w:tcPr>
          <w:p w14:paraId="5F2683EA" w14:textId="77777777" w:rsidR="004C7EFB" w:rsidRPr="00E832D1" w:rsidRDefault="004C7EFB" w:rsidP="004C7EFB">
            <w:pPr>
              <w:pStyle w:val="TableText"/>
              <w:spacing w:before="40" w:after="40"/>
              <w:jc w:val="center"/>
            </w:pPr>
            <w:r w:rsidRPr="00E832D1">
              <w:t>0.010</w:t>
            </w:r>
          </w:p>
        </w:tc>
        <w:tc>
          <w:tcPr>
            <w:tcW w:w="949" w:type="pct"/>
            <w:tcBorders>
              <w:top w:val="single" w:sz="6" w:space="0" w:color="808080" w:themeColor="background1" w:themeShade="80"/>
              <w:bottom w:val="single" w:sz="6" w:space="0" w:color="808080" w:themeColor="background1" w:themeShade="80"/>
            </w:tcBorders>
          </w:tcPr>
          <w:p w14:paraId="639FA164" w14:textId="77777777" w:rsidR="004C7EFB" w:rsidRPr="00E832D1" w:rsidRDefault="004C7EFB" w:rsidP="004C7EFB">
            <w:pPr>
              <w:pStyle w:val="TableText"/>
              <w:spacing w:before="40" w:after="40"/>
              <w:jc w:val="center"/>
            </w:pPr>
            <w:r w:rsidRPr="00E832D1">
              <w:t>0.300</w:t>
            </w:r>
          </w:p>
        </w:tc>
      </w:tr>
      <w:tr w:rsidR="004C7EFB" w:rsidRPr="0058458C" w14:paraId="515CA7DE"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48A1D939" w14:textId="42178B61" w:rsidR="004C7EFB" w:rsidRPr="0058458C" w:rsidRDefault="004C7EFB" w:rsidP="004C7EFB">
            <w:pPr>
              <w:pStyle w:val="TableTextIndent1"/>
              <w:spacing w:before="40" w:after="40"/>
            </w:pPr>
            <w:r w:rsidRPr="0058458C">
              <w:t>White/other</w:t>
            </w:r>
          </w:p>
        </w:tc>
        <w:tc>
          <w:tcPr>
            <w:tcW w:w="918" w:type="pct"/>
            <w:gridSpan w:val="2"/>
            <w:tcBorders>
              <w:top w:val="single" w:sz="6" w:space="0" w:color="808080" w:themeColor="background1" w:themeShade="80"/>
              <w:bottom w:val="single" w:sz="6" w:space="0" w:color="808080" w:themeColor="background1" w:themeShade="80"/>
            </w:tcBorders>
          </w:tcPr>
          <w:p w14:paraId="0417325B" w14:textId="15B92893" w:rsidR="004C7EFB" w:rsidRPr="00E832D1" w:rsidRDefault="004C7EFB" w:rsidP="004C7EFB">
            <w:pPr>
              <w:pStyle w:val="TableText"/>
              <w:spacing w:before="40" w:after="40"/>
              <w:jc w:val="center"/>
            </w:pPr>
            <w:r w:rsidRPr="001D6BDC">
              <w:t>0.035</w:t>
            </w:r>
          </w:p>
        </w:tc>
        <w:tc>
          <w:tcPr>
            <w:tcW w:w="949" w:type="pct"/>
            <w:tcBorders>
              <w:top w:val="single" w:sz="6" w:space="0" w:color="808080" w:themeColor="background1" w:themeShade="80"/>
              <w:bottom w:val="single" w:sz="6" w:space="0" w:color="808080" w:themeColor="background1" w:themeShade="80"/>
            </w:tcBorders>
          </w:tcPr>
          <w:p w14:paraId="08F38DF3" w14:textId="77777777" w:rsidR="004C7EFB" w:rsidRPr="00E832D1" w:rsidRDefault="004C7EFB" w:rsidP="004C7EFB">
            <w:pPr>
              <w:pStyle w:val="TableText"/>
              <w:spacing w:before="40" w:after="40"/>
              <w:jc w:val="center"/>
            </w:pPr>
            <w:r w:rsidRPr="00E832D1">
              <w:t>0.010</w:t>
            </w:r>
          </w:p>
        </w:tc>
        <w:tc>
          <w:tcPr>
            <w:tcW w:w="949" w:type="pct"/>
            <w:tcBorders>
              <w:top w:val="single" w:sz="6" w:space="0" w:color="808080" w:themeColor="background1" w:themeShade="80"/>
              <w:bottom w:val="single" w:sz="6" w:space="0" w:color="808080" w:themeColor="background1" w:themeShade="80"/>
            </w:tcBorders>
          </w:tcPr>
          <w:p w14:paraId="0299624C" w14:textId="77777777" w:rsidR="004C7EFB" w:rsidRPr="00E832D1" w:rsidRDefault="004C7EFB" w:rsidP="004C7EFB">
            <w:pPr>
              <w:pStyle w:val="TableText"/>
              <w:spacing w:before="40" w:after="40"/>
              <w:jc w:val="center"/>
            </w:pPr>
            <w:r w:rsidRPr="00E832D1">
              <w:t>0.300</w:t>
            </w:r>
          </w:p>
        </w:tc>
      </w:tr>
      <w:tr w:rsidR="000F06C9" w:rsidRPr="0058458C" w14:paraId="39467B5D"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24B92D7F" w14:textId="4C67168D" w:rsidR="000F06C9" w:rsidRPr="00E832D1" w:rsidRDefault="000F06C9" w:rsidP="000F06C9">
            <w:pPr>
              <w:pStyle w:val="TableText"/>
              <w:spacing w:before="40" w:after="40"/>
            </w:pPr>
            <w:r w:rsidRPr="00E832D1">
              <w:t xml:space="preserve">Annual probability of departing from VLS and movement to </w:t>
            </w:r>
            <w:r w:rsidR="00280171">
              <w:t>ART-not-VLS</w:t>
            </w:r>
          </w:p>
        </w:tc>
        <w:tc>
          <w:tcPr>
            <w:tcW w:w="949" w:type="pct"/>
            <w:tcBorders>
              <w:top w:val="single" w:sz="6" w:space="0" w:color="808080" w:themeColor="background1" w:themeShade="80"/>
              <w:bottom w:val="single" w:sz="6" w:space="0" w:color="808080" w:themeColor="background1" w:themeShade="80"/>
            </w:tcBorders>
          </w:tcPr>
          <w:p w14:paraId="6F1320E6" w14:textId="77777777" w:rsidR="000F06C9" w:rsidRPr="00E832D1" w:rsidRDefault="000F06C9" w:rsidP="000F06C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4BE2077F" w14:textId="77777777" w:rsidR="000F06C9" w:rsidRPr="00E832D1" w:rsidRDefault="000F06C9" w:rsidP="000F06C9">
            <w:pPr>
              <w:pStyle w:val="TableText"/>
              <w:spacing w:before="40" w:after="40"/>
            </w:pPr>
          </w:p>
        </w:tc>
      </w:tr>
      <w:tr w:rsidR="004C7EFB" w:rsidRPr="0058458C" w14:paraId="74349E8F"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5FF76BA9" w14:textId="77777777" w:rsidR="004C7EFB" w:rsidRPr="0058458C" w:rsidRDefault="004C7EFB" w:rsidP="004C7EFB">
            <w:pPr>
              <w:pStyle w:val="TableTextIndent1"/>
              <w:spacing w:before="40" w:after="40"/>
            </w:pPr>
            <w:r w:rsidRPr="0058458C">
              <w:t>Black</w:t>
            </w:r>
          </w:p>
        </w:tc>
        <w:tc>
          <w:tcPr>
            <w:tcW w:w="918" w:type="pct"/>
            <w:gridSpan w:val="2"/>
            <w:tcBorders>
              <w:top w:val="single" w:sz="6" w:space="0" w:color="808080" w:themeColor="background1" w:themeShade="80"/>
              <w:bottom w:val="single" w:sz="6" w:space="0" w:color="808080" w:themeColor="background1" w:themeShade="80"/>
            </w:tcBorders>
          </w:tcPr>
          <w:p w14:paraId="31EA1A2C" w14:textId="29D8F5D7" w:rsidR="004C7EFB" w:rsidRPr="00E832D1" w:rsidRDefault="004C7EFB" w:rsidP="004C7EFB">
            <w:pPr>
              <w:pStyle w:val="TableText"/>
              <w:spacing w:before="40" w:after="40"/>
              <w:jc w:val="center"/>
            </w:pPr>
            <w:r w:rsidRPr="00CF3BF7">
              <w:t>0.184</w:t>
            </w:r>
          </w:p>
        </w:tc>
        <w:tc>
          <w:tcPr>
            <w:tcW w:w="949" w:type="pct"/>
            <w:tcBorders>
              <w:top w:val="single" w:sz="6" w:space="0" w:color="808080" w:themeColor="background1" w:themeShade="80"/>
              <w:bottom w:val="single" w:sz="6" w:space="0" w:color="808080" w:themeColor="background1" w:themeShade="80"/>
            </w:tcBorders>
          </w:tcPr>
          <w:p w14:paraId="7CFAD369" w14:textId="6512A836" w:rsidR="004C7EFB" w:rsidRPr="00E832D1" w:rsidRDefault="004C7EFB" w:rsidP="004C7EFB">
            <w:pPr>
              <w:pStyle w:val="TableText"/>
              <w:spacing w:before="40" w:after="40"/>
              <w:jc w:val="center"/>
            </w:pPr>
            <w:r w:rsidRPr="00E832D1">
              <w:t>0.030</w:t>
            </w:r>
          </w:p>
        </w:tc>
        <w:tc>
          <w:tcPr>
            <w:tcW w:w="949" w:type="pct"/>
            <w:tcBorders>
              <w:top w:val="single" w:sz="6" w:space="0" w:color="808080" w:themeColor="background1" w:themeShade="80"/>
              <w:bottom w:val="single" w:sz="6" w:space="0" w:color="808080" w:themeColor="background1" w:themeShade="80"/>
            </w:tcBorders>
          </w:tcPr>
          <w:p w14:paraId="3D8D63A6" w14:textId="77777777" w:rsidR="004C7EFB" w:rsidRPr="00E832D1" w:rsidRDefault="004C7EFB" w:rsidP="004C7EFB">
            <w:pPr>
              <w:pStyle w:val="TableText"/>
              <w:spacing w:before="40" w:after="40"/>
              <w:jc w:val="center"/>
            </w:pPr>
            <w:r w:rsidRPr="00E832D1">
              <w:t>0.350</w:t>
            </w:r>
          </w:p>
        </w:tc>
      </w:tr>
      <w:tr w:rsidR="004C7EFB" w:rsidRPr="0058458C" w14:paraId="53E8EFDE"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21B3CA30" w14:textId="77777777" w:rsidR="004C7EFB" w:rsidRPr="0058458C" w:rsidRDefault="004C7EFB" w:rsidP="004C7EFB">
            <w:pPr>
              <w:pStyle w:val="TableTextIndent1"/>
              <w:spacing w:before="40" w:after="40"/>
            </w:pPr>
            <w:r w:rsidRPr="0058458C">
              <w:t>Hispanic</w:t>
            </w:r>
          </w:p>
        </w:tc>
        <w:tc>
          <w:tcPr>
            <w:tcW w:w="918" w:type="pct"/>
            <w:gridSpan w:val="2"/>
            <w:tcBorders>
              <w:top w:val="single" w:sz="6" w:space="0" w:color="808080" w:themeColor="background1" w:themeShade="80"/>
              <w:bottom w:val="single" w:sz="6" w:space="0" w:color="808080" w:themeColor="background1" w:themeShade="80"/>
            </w:tcBorders>
          </w:tcPr>
          <w:p w14:paraId="09605F32" w14:textId="035C120D" w:rsidR="004C7EFB" w:rsidRPr="00E832D1" w:rsidRDefault="004C7EFB" w:rsidP="004C7EFB">
            <w:pPr>
              <w:pStyle w:val="TableText"/>
              <w:spacing w:before="40" w:after="40"/>
              <w:jc w:val="center"/>
            </w:pPr>
            <w:r w:rsidRPr="00CF3BF7">
              <w:t>0.171</w:t>
            </w:r>
          </w:p>
        </w:tc>
        <w:tc>
          <w:tcPr>
            <w:tcW w:w="949" w:type="pct"/>
            <w:tcBorders>
              <w:top w:val="single" w:sz="6" w:space="0" w:color="808080" w:themeColor="background1" w:themeShade="80"/>
              <w:bottom w:val="single" w:sz="6" w:space="0" w:color="808080" w:themeColor="background1" w:themeShade="80"/>
            </w:tcBorders>
          </w:tcPr>
          <w:p w14:paraId="5130A6C7" w14:textId="17CC13C2" w:rsidR="004C7EFB" w:rsidRPr="00E832D1" w:rsidRDefault="004C7EFB" w:rsidP="004C7EFB">
            <w:pPr>
              <w:pStyle w:val="TableText"/>
              <w:spacing w:before="40" w:after="40"/>
              <w:jc w:val="center"/>
            </w:pPr>
            <w:r w:rsidRPr="00E832D1">
              <w:t>0.030</w:t>
            </w:r>
          </w:p>
        </w:tc>
        <w:tc>
          <w:tcPr>
            <w:tcW w:w="949" w:type="pct"/>
            <w:tcBorders>
              <w:top w:val="single" w:sz="6" w:space="0" w:color="808080" w:themeColor="background1" w:themeShade="80"/>
              <w:bottom w:val="single" w:sz="6" w:space="0" w:color="808080" w:themeColor="background1" w:themeShade="80"/>
            </w:tcBorders>
          </w:tcPr>
          <w:p w14:paraId="527B012D" w14:textId="77777777" w:rsidR="004C7EFB" w:rsidRPr="00E832D1" w:rsidRDefault="004C7EFB" w:rsidP="004C7EFB">
            <w:pPr>
              <w:pStyle w:val="TableText"/>
              <w:spacing w:before="40" w:after="40"/>
              <w:jc w:val="center"/>
            </w:pPr>
            <w:r w:rsidRPr="00E832D1">
              <w:t>0.350</w:t>
            </w:r>
          </w:p>
        </w:tc>
      </w:tr>
      <w:tr w:rsidR="004C7EFB" w:rsidRPr="0058458C" w14:paraId="625C83F4"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2A46ED4B" w14:textId="70549E37" w:rsidR="004C7EFB" w:rsidRPr="0058458C" w:rsidRDefault="004C7EFB" w:rsidP="004C7EFB">
            <w:pPr>
              <w:pStyle w:val="TableTextIndent1"/>
              <w:spacing w:before="40" w:after="40"/>
            </w:pPr>
            <w:r w:rsidRPr="0058458C">
              <w:t>White/other</w:t>
            </w:r>
          </w:p>
        </w:tc>
        <w:tc>
          <w:tcPr>
            <w:tcW w:w="918" w:type="pct"/>
            <w:gridSpan w:val="2"/>
            <w:tcBorders>
              <w:top w:val="single" w:sz="6" w:space="0" w:color="808080" w:themeColor="background1" w:themeShade="80"/>
              <w:bottom w:val="single" w:sz="6" w:space="0" w:color="808080" w:themeColor="background1" w:themeShade="80"/>
            </w:tcBorders>
          </w:tcPr>
          <w:p w14:paraId="7E0A2152" w14:textId="7E2D2122" w:rsidR="004C7EFB" w:rsidRPr="00E832D1" w:rsidRDefault="004C7EFB" w:rsidP="004C7EFB">
            <w:pPr>
              <w:pStyle w:val="TableText"/>
              <w:spacing w:before="40" w:after="40"/>
              <w:jc w:val="center"/>
            </w:pPr>
            <w:r w:rsidRPr="00CF3BF7">
              <w:t>0.046</w:t>
            </w:r>
          </w:p>
        </w:tc>
        <w:tc>
          <w:tcPr>
            <w:tcW w:w="949" w:type="pct"/>
            <w:tcBorders>
              <w:top w:val="single" w:sz="6" w:space="0" w:color="808080" w:themeColor="background1" w:themeShade="80"/>
              <w:bottom w:val="single" w:sz="6" w:space="0" w:color="808080" w:themeColor="background1" w:themeShade="80"/>
            </w:tcBorders>
          </w:tcPr>
          <w:p w14:paraId="65AD4724" w14:textId="0B1EC1C9" w:rsidR="004C7EFB" w:rsidRPr="00E832D1" w:rsidRDefault="004C7EFB" w:rsidP="004C7EFB">
            <w:pPr>
              <w:pStyle w:val="TableText"/>
              <w:spacing w:before="40" w:after="40"/>
              <w:jc w:val="center"/>
            </w:pPr>
            <w:r w:rsidRPr="00E832D1">
              <w:t>0.030</w:t>
            </w:r>
          </w:p>
        </w:tc>
        <w:tc>
          <w:tcPr>
            <w:tcW w:w="949" w:type="pct"/>
            <w:tcBorders>
              <w:top w:val="single" w:sz="6" w:space="0" w:color="808080" w:themeColor="background1" w:themeShade="80"/>
              <w:bottom w:val="single" w:sz="6" w:space="0" w:color="808080" w:themeColor="background1" w:themeShade="80"/>
            </w:tcBorders>
          </w:tcPr>
          <w:p w14:paraId="438F0FC3" w14:textId="35FCFA5C" w:rsidR="004C7EFB" w:rsidRPr="00E832D1" w:rsidRDefault="004C7EFB" w:rsidP="004C7EFB">
            <w:pPr>
              <w:pStyle w:val="TableText"/>
              <w:spacing w:before="40" w:after="40"/>
              <w:jc w:val="center"/>
            </w:pPr>
            <w:r w:rsidRPr="00E832D1">
              <w:t>0.600</w:t>
            </w:r>
          </w:p>
        </w:tc>
      </w:tr>
      <w:tr w:rsidR="00721E7C" w:rsidRPr="0058458C" w14:paraId="41FBADED"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7D9C8E06" w14:textId="3D42D03A" w:rsidR="00721E7C" w:rsidRPr="00E832D1" w:rsidRDefault="00721E7C" w:rsidP="00F12F29">
            <w:pPr>
              <w:pStyle w:val="TableText"/>
              <w:spacing w:before="40" w:after="40"/>
            </w:pPr>
            <w:r w:rsidRPr="00E832D1">
              <w:t>Relative risk of losing VLS and moving to on</w:t>
            </w:r>
            <w:r w:rsidR="00ED763F" w:rsidRPr="00E832D1">
              <w:t xml:space="preserve"> </w:t>
            </w:r>
            <w:r w:rsidR="00280171">
              <w:t>ART-not-VLS</w:t>
            </w:r>
            <w:r w:rsidRPr="00E832D1">
              <w:t>, by transmission group</w:t>
            </w:r>
          </w:p>
        </w:tc>
        <w:tc>
          <w:tcPr>
            <w:tcW w:w="949" w:type="pct"/>
            <w:tcBorders>
              <w:top w:val="single" w:sz="6" w:space="0" w:color="808080" w:themeColor="background1" w:themeShade="80"/>
              <w:bottom w:val="single" w:sz="6" w:space="0" w:color="808080" w:themeColor="background1" w:themeShade="80"/>
            </w:tcBorders>
          </w:tcPr>
          <w:p w14:paraId="7A017137" w14:textId="77777777" w:rsidR="00721E7C" w:rsidRPr="00E832D1" w:rsidRDefault="00721E7C"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46140B2" w14:textId="77777777" w:rsidR="00721E7C" w:rsidRPr="00E832D1" w:rsidRDefault="00721E7C" w:rsidP="000F06C9">
            <w:pPr>
              <w:pStyle w:val="TableText"/>
              <w:spacing w:before="40" w:after="40"/>
              <w:jc w:val="center"/>
            </w:pPr>
          </w:p>
        </w:tc>
      </w:tr>
      <w:tr w:rsidR="004D0D57" w:rsidRPr="0058458C" w14:paraId="1628ECF1"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33D0D441" w14:textId="2B50FF56" w:rsidR="004D0D57" w:rsidRPr="0058458C" w:rsidRDefault="004D0D57" w:rsidP="004D0D57">
            <w:pPr>
              <w:pStyle w:val="TableTextIndent1"/>
              <w:spacing w:before="40" w:after="40"/>
            </w:pPr>
            <w:r w:rsidRPr="0058458C">
              <w:t>MSM</w:t>
            </w:r>
          </w:p>
        </w:tc>
        <w:tc>
          <w:tcPr>
            <w:tcW w:w="918" w:type="pct"/>
            <w:gridSpan w:val="2"/>
            <w:tcBorders>
              <w:top w:val="single" w:sz="6" w:space="0" w:color="808080" w:themeColor="background1" w:themeShade="80"/>
              <w:bottom w:val="single" w:sz="6" w:space="0" w:color="808080" w:themeColor="background1" w:themeShade="80"/>
            </w:tcBorders>
          </w:tcPr>
          <w:p w14:paraId="6D6B929C" w14:textId="473B25B3" w:rsidR="004D0D57" w:rsidRPr="00E832D1" w:rsidRDefault="004D0D57" w:rsidP="004D0D57">
            <w:pPr>
              <w:pStyle w:val="TableText"/>
              <w:spacing w:before="40" w:after="40"/>
              <w:jc w:val="center"/>
            </w:pPr>
            <w:r w:rsidRPr="0024118C">
              <w:t>1.896</w:t>
            </w:r>
          </w:p>
        </w:tc>
        <w:tc>
          <w:tcPr>
            <w:tcW w:w="949" w:type="pct"/>
            <w:tcBorders>
              <w:top w:val="single" w:sz="6" w:space="0" w:color="808080" w:themeColor="background1" w:themeShade="80"/>
              <w:bottom w:val="single" w:sz="6" w:space="0" w:color="808080" w:themeColor="background1" w:themeShade="80"/>
            </w:tcBorders>
          </w:tcPr>
          <w:p w14:paraId="52E45212" w14:textId="798B0ACE" w:rsidR="004D0D57" w:rsidRPr="00E832D1" w:rsidRDefault="004D0D57" w:rsidP="004D0D57">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1C2D6FDB" w14:textId="662A7293" w:rsidR="004D0D57" w:rsidRPr="00E832D1" w:rsidRDefault="004D0D57" w:rsidP="004D0D57">
            <w:pPr>
              <w:pStyle w:val="TableText"/>
              <w:spacing w:before="40" w:after="40"/>
              <w:jc w:val="center"/>
            </w:pPr>
            <w:r w:rsidRPr="00E832D1">
              <w:t>4.000</w:t>
            </w:r>
          </w:p>
        </w:tc>
      </w:tr>
      <w:tr w:rsidR="004D0D57" w:rsidRPr="0058458C" w14:paraId="6D6A449D"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66665C1A" w14:textId="2A3E3D78" w:rsidR="004D0D57" w:rsidRPr="0058458C" w:rsidRDefault="004D0D57" w:rsidP="004D0D57">
            <w:pPr>
              <w:pStyle w:val="TableTextIndent1"/>
              <w:spacing w:before="40" w:after="40"/>
            </w:pPr>
            <w:r w:rsidRPr="0058458C">
              <w:t>PWID</w:t>
            </w:r>
          </w:p>
        </w:tc>
        <w:tc>
          <w:tcPr>
            <w:tcW w:w="918" w:type="pct"/>
            <w:gridSpan w:val="2"/>
            <w:tcBorders>
              <w:top w:val="single" w:sz="6" w:space="0" w:color="808080" w:themeColor="background1" w:themeShade="80"/>
              <w:bottom w:val="single" w:sz="6" w:space="0" w:color="808080" w:themeColor="background1" w:themeShade="80"/>
            </w:tcBorders>
          </w:tcPr>
          <w:p w14:paraId="7FE8461B" w14:textId="43221BB2" w:rsidR="004D0D57" w:rsidRPr="00E832D1" w:rsidRDefault="004D0D57" w:rsidP="004D0D57">
            <w:pPr>
              <w:pStyle w:val="TableText"/>
              <w:spacing w:before="40" w:after="40"/>
              <w:jc w:val="center"/>
            </w:pPr>
            <w:r w:rsidRPr="0024118C">
              <w:t>3.063</w:t>
            </w:r>
          </w:p>
        </w:tc>
        <w:tc>
          <w:tcPr>
            <w:tcW w:w="949" w:type="pct"/>
            <w:tcBorders>
              <w:top w:val="single" w:sz="6" w:space="0" w:color="808080" w:themeColor="background1" w:themeShade="80"/>
              <w:bottom w:val="single" w:sz="6" w:space="0" w:color="808080" w:themeColor="background1" w:themeShade="80"/>
            </w:tcBorders>
          </w:tcPr>
          <w:p w14:paraId="0CD672E5" w14:textId="057A676B" w:rsidR="004D0D57" w:rsidRPr="00E832D1" w:rsidRDefault="004D0D57" w:rsidP="004D0D57">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1A02830D" w14:textId="43DE2A92" w:rsidR="004D0D57" w:rsidRPr="00E832D1" w:rsidRDefault="004D0D57" w:rsidP="004D0D57">
            <w:pPr>
              <w:pStyle w:val="TableText"/>
              <w:spacing w:before="40" w:after="40"/>
              <w:jc w:val="center"/>
            </w:pPr>
            <w:r w:rsidRPr="00E832D1">
              <w:t>4.000</w:t>
            </w:r>
          </w:p>
        </w:tc>
      </w:tr>
      <w:tr w:rsidR="00721E7C" w:rsidRPr="0058458C" w14:paraId="6B27A80A"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0F6A3C48" w14:textId="092F0F65" w:rsidR="00721E7C" w:rsidRPr="00E832D1" w:rsidRDefault="00721E7C" w:rsidP="00F12F29">
            <w:pPr>
              <w:pStyle w:val="TableText"/>
              <w:spacing w:before="40" w:after="40"/>
            </w:pPr>
            <w:r w:rsidRPr="00E832D1">
              <w:t>Relative risk of losing VLS and moving to on</w:t>
            </w:r>
            <w:r w:rsidR="00ED763F" w:rsidRPr="00E832D1">
              <w:t xml:space="preserve"> </w:t>
            </w:r>
            <w:r w:rsidR="00280171">
              <w:t>ART-not-VLS</w:t>
            </w:r>
            <w:r w:rsidRPr="00E832D1">
              <w:t>, by age group</w:t>
            </w:r>
          </w:p>
        </w:tc>
        <w:tc>
          <w:tcPr>
            <w:tcW w:w="949" w:type="pct"/>
            <w:tcBorders>
              <w:top w:val="single" w:sz="6" w:space="0" w:color="808080" w:themeColor="background1" w:themeShade="80"/>
              <w:bottom w:val="single" w:sz="6" w:space="0" w:color="808080" w:themeColor="background1" w:themeShade="80"/>
            </w:tcBorders>
          </w:tcPr>
          <w:p w14:paraId="79975983" w14:textId="77777777" w:rsidR="00721E7C" w:rsidRPr="00E832D1" w:rsidRDefault="00721E7C"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3E52021B" w14:textId="77777777" w:rsidR="00721E7C" w:rsidRPr="00E832D1" w:rsidRDefault="00721E7C" w:rsidP="000F06C9">
            <w:pPr>
              <w:pStyle w:val="TableText"/>
              <w:spacing w:before="40" w:after="40"/>
              <w:jc w:val="center"/>
            </w:pPr>
          </w:p>
        </w:tc>
      </w:tr>
      <w:tr w:rsidR="004D0D57" w:rsidRPr="0058458C" w14:paraId="574447D9"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74B8F980" w14:textId="324F9D62" w:rsidR="004D0D57" w:rsidRPr="0058458C" w:rsidRDefault="004D0D57" w:rsidP="004D0D57">
            <w:pPr>
              <w:pStyle w:val="TableTextIndent1"/>
              <w:spacing w:before="40" w:after="40"/>
            </w:pPr>
            <w:r w:rsidRPr="0058458C">
              <w:t>18–24</w:t>
            </w:r>
          </w:p>
        </w:tc>
        <w:tc>
          <w:tcPr>
            <w:tcW w:w="918" w:type="pct"/>
            <w:gridSpan w:val="2"/>
            <w:tcBorders>
              <w:top w:val="single" w:sz="6" w:space="0" w:color="808080" w:themeColor="background1" w:themeShade="80"/>
              <w:bottom w:val="single" w:sz="6" w:space="0" w:color="808080" w:themeColor="background1" w:themeShade="80"/>
            </w:tcBorders>
          </w:tcPr>
          <w:p w14:paraId="77488FB2" w14:textId="6D6E4E2F" w:rsidR="004D0D57" w:rsidRPr="00E832D1" w:rsidRDefault="004D0D57" w:rsidP="004D0D57">
            <w:pPr>
              <w:pStyle w:val="TableText"/>
              <w:spacing w:before="40" w:after="40"/>
              <w:jc w:val="center"/>
            </w:pPr>
            <w:r w:rsidRPr="004A2887">
              <w:t>3.158</w:t>
            </w:r>
          </w:p>
        </w:tc>
        <w:tc>
          <w:tcPr>
            <w:tcW w:w="949" w:type="pct"/>
            <w:tcBorders>
              <w:top w:val="single" w:sz="6" w:space="0" w:color="808080" w:themeColor="background1" w:themeShade="80"/>
              <w:bottom w:val="single" w:sz="6" w:space="0" w:color="808080" w:themeColor="background1" w:themeShade="80"/>
            </w:tcBorders>
          </w:tcPr>
          <w:p w14:paraId="35BD8498" w14:textId="6E55A8F2" w:rsidR="004D0D57" w:rsidRPr="00E832D1" w:rsidRDefault="004D0D57" w:rsidP="004D0D57">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42948878" w14:textId="673F315D" w:rsidR="004D0D57" w:rsidRPr="00E832D1" w:rsidRDefault="004D0D57" w:rsidP="004D0D57">
            <w:pPr>
              <w:pStyle w:val="TableText"/>
              <w:spacing w:before="40" w:after="40"/>
              <w:jc w:val="center"/>
            </w:pPr>
            <w:r w:rsidRPr="00E832D1">
              <w:t>4.000</w:t>
            </w:r>
          </w:p>
        </w:tc>
      </w:tr>
      <w:tr w:rsidR="004D0D57" w:rsidRPr="0058458C" w14:paraId="4288F0B2"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049EACEA" w14:textId="71C0AEAC" w:rsidR="004D0D57" w:rsidRPr="0058458C" w:rsidRDefault="004D0D57" w:rsidP="004D0D57">
            <w:pPr>
              <w:pStyle w:val="TableTextIndent1"/>
              <w:spacing w:before="40" w:after="40"/>
            </w:pPr>
            <w:r w:rsidRPr="0058458C">
              <w:t>25–34</w:t>
            </w:r>
          </w:p>
        </w:tc>
        <w:tc>
          <w:tcPr>
            <w:tcW w:w="918" w:type="pct"/>
            <w:gridSpan w:val="2"/>
            <w:tcBorders>
              <w:top w:val="single" w:sz="6" w:space="0" w:color="808080" w:themeColor="background1" w:themeShade="80"/>
              <w:bottom w:val="single" w:sz="6" w:space="0" w:color="808080" w:themeColor="background1" w:themeShade="80"/>
            </w:tcBorders>
          </w:tcPr>
          <w:p w14:paraId="565C4D4C" w14:textId="3BBA5FA1" w:rsidR="004D0D57" w:rsidRPr="00E832D1" w:rsidRDefault="004D0D57" w:rsidP="004D0D57">
            <w:pPr>
              <w:pStyle w:val="TableText"/>
              <w:spacing w:before="40" w:after="40"/>
              <w:jc w:val="center"/>
            </w:pPr>
            <w:r w:rsidRPr="004A2887">
              <w:t>3.736</w:t>
            </w:r>
          </w:p>
        </w:tc>
        <w:tc>
          <w:tcPr>
            <w:tcW w:w="949" w:type="pct"/>
            <w:tcBorders>
              <w:top w:val="single" w:sz="6" w:space="0" w:color="808080" w:themeColor="background1" w:themeShade="80"/>
              <w:bottom w:val="single" w:sz="6" w:space="0" w:color="808080" w:themeColor="background1" w:themeShade="80"/>
            </w:tcBorders>
          </w:tcPr>
          <w:p w14:paraId="2E0E309B" w14:textId="7E55BAE3" w:rsidR="004D0D57" w:rsidRPr="00E832D1" w:rsidRDefault="004D0D57" w:rsidP="004D0D57">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716B7589" w14:textId="39EF8B34" w:rsidR="004D0D57" w:rsidRPr="00E832D1" w:rsidRDefault="004D0D57" w:rsidP="004D0D57">
            <w:pPr>
              <w:pStyle w:val="TableText"/>
              <w:spacing w:before="40" w:after="40"/>
              <w:jc w:val="center"/>
            </w:pPr>
            <w:r w:rsidRPr="00E832D1">
              <w:t>4.000</w:t>
            </w:r>
          </w:p>
        </w:tc>
      </w:tr>
      <w:tr w:rsidR="004D0D57" w:rsidRPr="0058458C" w14:paraId="4CFCAA06"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50424935" w14:textId="1B854784" w:rsidR="004D0D57" w:rsidRPr="0058458C" w:rsidRDefault="004D0D57" w:rsidP="004D0D57">
            <w:pPr>
              <w:pStyle w:val="TableTextIndent1"/>
              <w:spacing w:before="40" w:after="40"/>
            </w:pPr>
            <w:r w:rsidRPr="0058458C">
              <w:t>35–44</w:t>
            </w:r>
          </w:p>
        </w:tc>
        <w:tc>
          <w:tcPr>
            <w:tcW w:w="918" w:type="pct"/>
            <w:gridSpan w:val="2"/>
            <w:tcBorders>
              <w:top w:val="single" w:sz="6" w:space="0" w:color="808080" w:themeColor="background1" w:themeShade="80"/>
              <w:bottom w:val="single" w:sz="6" w:space="0" w:color="808080" w:themeColor="background1" w:themeShade="80"/>
            </w:tcBorders>
          </w:tcPr>
          <w:p w14:paraId="19FF496D" w14:textId="77F37562" w:rsidR="004D0D57" w:rsidRPr="00E832D1" w:rsidRDefault="004D0D57" w:rsidP="004D0D57">
            <w:pPr>
              <w:pStyle w:val="TableText"/>
              <w:spacing w:before="40" w:after="40"/>
              <w:jc w:val="center"/>
            </w:pPr>
            <w:r w:rsidRPr="004A2887">
              <w:t>3.794</w:t>
            </w:r>
          </w:p>
        </w:tc>
        <w:tc>
          <w:tcPr>
            <w:tcW w:w="949" w:type="pct"/>
            <w:tcBorders>
              <w:top w:val="single" w:sz="6" w:space="0" w:color="808080" w:themeColor="background1" w:themeShade="80"/>
              <w:bottom w:val="single" w:sz="6" w:space="0" w:color="808080" w:themeColor="background1" w:themeShade="80"/>
            </w:tcBorders>
          </w:tcPr>
          <w:p w14:paraId="71B0A5E6" w14:textId="35BC23BB" w:rsidR="004D0D57" w:rsidRPr="00E832D1" w:rsidRDefault="004D0D57" w:rsidP="004D0D57">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20D95773" w14:textId="0DB38E9C" w:rsidR="004D0D57" w:rsidRPr="00E832D1" w:rsidRDefault="004D0D57" w:rsidP="004D0D57">
            <w:pPr>
              <w:pStyle w:val="TableText"/>
              <w:spacing w:before="40" w:after="40"/>
              <w:jc w:val="center"/>
            </w:pPr>
            <w:r w:rsidRPr="00E832D1">
              <w:t>4.000</w:t>
            </w:r>
          </w:p>
        </w:tc>
      </w:tr>
      <w:tr w:rsidR="004D0D57" w:rsidRPr="0058458C" w14:paraId="246081E1"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7B3C7F82" w14:textId="5A1637E5" w:rsidR="004D0D57" w:rsidRPr="0058458C" w:rsidRDefault="004D0D57" w:rsidP="004D0D57">
            <w:pPr>
              <w:pStyle w:val="TableTextIndent1"/>
              <w:spacing w:before="40" w:after="40"/>
            </w:pPr>
            <w:r w:rsidRPr="0058458C">
              <w:t>45–54</w:t>
            </w:r>
          </w:p>
        </w:tc>
        <w:tc>
          <w:tcPr>
            <w:tcW w:w="918" w:type="pct"/>
            <w:gridSpan w:val="2"/>
            <w:tcBorders>
              <w:top w:val="single" w:sz="6" w:space="0" w:color="808080" w:themeColor="background1" w:themeShade="80"/>
              <w:bottom w:val="single" w:sz="6" w:space="0" w:color="808080" w:themeColor="background1" w:themeShade="80"/>
            </w:tcBorders>
          </w:tcPr>
          <w:p w14:paraId="5AF49A15" w14:textId="51EB1EE5" w:rsidR="004D0D57" w:rsidRPr="00E832D1" w:rsidRDefault="004D0D57" w:rsidP="004D0D57">
            <w:pPr>
              <w:pStyle w:val="TableText"/>
              <w:spacing w:before="40" w:after="40"/>
              <w:jc w:val="center"/>
            </w:pPr>
            <w:r w:rsidRPr="004A2887">
              <w:t>2.911</w:t>
            </w:r>
          </w:p>
        </w:tc>
        <w:tc>
          <w:tcPr>
            <w:tcW w:w="949" w:type="pct"/>
            <w:tcBorders>
              <w:top w:val="single" w:sz="6" w:space="0" w:color="808080" w:themeColor="background1" w:themeShade="80"/>
              <w:bottom w:val="single" w:sz="6" w:space="0" w:color="808080" w:themeColor="background1" w:themeShade="80"/>
            </w:tcBorders>
          </w:tcPr>
          <w:p w14:paraId="74C7FB35" w14:textId="3C72A9B3" w:rsidR="004D0D57" w:rsidRPr="00E832D1" w:rsidRDefault="004D0D57" w:rsidP="004D0D57">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36FD0974" w14:textId="15E50641" w:rsidR="004D0D57" w:rsidRPr="00E832D1" w:rsidRDefault="004D0D57" w:rsidP="004D0D57">
            <w:pPr>
              <w:pStyle w:val="TableText"/>
              <w:spacing w:before="40" w:after="40"/>
              <w:jc w:val="center"/>
            </w:pPr>
            <w:r w:rsidRPr="00E832D1">
              <w:t>4.000</w:t>
            </w:r>
          </w:p>
        </w:tc>
      </w:tr>
      <w:tr w:rsidR="004D0D57" w:rsidRPr="0058458C" w14:paraId="11FEADD5"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31282702" w14:textId="216B26DB" w:rsidR="004D0D57" w:rsidRPr="0058458C" w:rsidRDefault="004D0D57" w:rsidP="004D0D57">
            <w:pPr>
              <w:pStyle w:val="TableTextIndent1"/>
              <w:spacing w:before="40" w:after="40"/>
            </w:pPr>
            <w:r w:rsidRPr="0058458C">
              <w:t>55–64</w:t>
            </w:r>
          </w:p>
        </w:tc>
        <w:tc>
          <w:tcPr>
            <w:tcW w:w="918" w:type="pct"/>
            <w:gridSpan w:val="2"/>
            <w:tcBorders>
              <w:top w:val="single" w:sz="6" w:space="0" w:color="808080" w:themeColor="background1" w:themeShade="80"/>
              <w:bottom w:val="single" w:sz="6" w:space="0" w:color="808080" w:themeColor="background1" w:themeShade="80"/>
            </w:tcBorders>
          </w:tcPr>
          <w:p w14:paraId="6C6D5875" w14:textId="440D1F6B" w:rsidR="004D0D57" w:rsidRPr="00E832D1" w:rsidRDefault="004D0D57" w:rsidP="004D0D57">
            <w:pPr>
              <w:pStyle w:val="TableText"/>
              <w:spacing w:before="40" w:after="40"/>
              <w:jc w:val="center"/>
            </w:pPr>
            <w:r w:rsidRPr="004A2887">
              <w:t>1.920</w:t>
            </w:r>
          </w:p>
        </w:tc>
        <w:tc>
          <w:tcPr>
            <w:tcW w:w="949" w:type="pct"/>
            <w:tcBorders>
              <w:top w:val="single" w:sz="6" w:space="0" w:color="808080" w:themeColor="background1" w:themeShade="80"/>
              <w:bottom w:val="single" w:sz="6" w:space="0" w:color="808080" w:themeColor="background1" w:themeShade="80"/>
            </w:tcBorders>
          </w:tcPr>
          <w:p w14:paraId="39E76D73" w14:textId="0E2DB75F" w:rsidR="004D0D57" w:rsidRPr="00E832D1" w:rsidRDefault="004D0D57" w:rsidP="004D0D57">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7E5EB2CF" w14:textId="0AE05D21" w:rsidR="004D0D57" w:rsidRPr="00E832D1" w:rsidRDefault="004D0D57" w:rsidP="004D0D57">
            <w:pPr>
              <w:pStyle w:val="TableText"/>
              <w:spacing w:before="40" w:after="40"/>
              <w:jc w:val="center"/>
            </w:pPr>
            <w:r w:rsidRPr="00E832D1">
              <w:t>4.000</w:t>
            </w:r>
          </w:p>
        </w:tc>
      </w:tr>
      <w:tr w:rsidR="004D0D57" w:rsidRPr="0058458C" w14:paraId="1C34A48B" w14:textId="77777777" w:rsidTr="000E78F7">
        <w:trPr>
          <w:cantSplit/>
        </w:trPr>
        <w:tc>
          <w:tcPr>
            <w:tcW w:w="2184" w:type="pct"/>
            <w:tcBorders>
              <w:top w:val="single" w:sz="6" w:space="0" w:color="808080" w:themeColor="background1" w:themeShade="80"/>
              <w:bottom w:val="single" w:sz="6" w:space="0" w:color="808080" w:themeColor="background1" w:themeShade="80"/>
            </w:tcBorders>
          </w:tcPr>
          <w:p w14:paraId="292F59B5" w14:textId="4D411E6C" w:rsidR="004D0D57" w:rsidRPr="0058458C" w:rsidRDefault="004D0D57" w:rsidP="004D0D57">
            <w:pPr>
              <w:pStyle w:val="TableTextIndent1"/>
              <w:spacing w:before="40" w:after="40"/>
            </w:pPr>
            <w:r w:rsidRPr="0058458C">
              <w:t>65+</w:t>
            </w:r>
          </w:p>
        </w:tc>
        <w:tc>
          <w:tcPr>
            <w:tcW w:w="918" w:type="pct"/>
            <w:gridSpan w:val="2"/>
            <w:tcBorders>
              <w:top w:val="single" w:sz="6" w:space="0" w:color="808080" w:themeColor="background1" w:themeShade="80"/>
              <w:bottom w:val="single" w:sz="6" w:space="0" w:color="808080" w:themeColor="background1" w:themeShade="80"/>
            </w:tcBorders>
          </w:tcPr>
          <w:p w14:paraId="18912C6E" w14:textId="467B18BF" w:rsidR="004D0D57" w:rsidRPr="00E832D1" w:rsidRDefault="004D0D57" w:rsidP="004D0D57">
            <w:pPr>
              <w:pStyle w:val="TableText"/>
              <w:spacing w:before="40" w:after="40"/>
              <w:jc w:val="center"/>
            </w:pPr>
            <w:r w:rsidRPr="004A2887">
              <w:t>1.834</w:t>
            </w:r>
          </w:p>
        </w:tc>
        <w:tc>
          <w:tcPr>
            <w:tcW w:w="949" w:type="pct"/>
            <w:tcBorders>
              <w:top w:val="single" w:sz="6" w:space="0" w:color="808080" w:themeColor="background1" w:themeShade="80"/>
              <w:bottom w:val="single" w:sz="6" w:space="0" w:color="808080" w:themeColor="background1" w:themeShade="80"/>
            </w:tcBorders>
          </w:tcPr>
          <w:p w14:paraId="146240DF" w14:textId="5C617582" w:rsidR="004D0D57" w:rsidRPr="00E832D1" w:rsidRDefault="004D0D57" w:rsidP="004D0D57">
            <w:pPr>
              <w:pStyle w:val="TableText"/>
              <w:spacing w:before="40" w:after="40"/>
              <w:jc w:val="center"/>
            </w:pPr>
            <w:r w:rsidRPr="00E832D1">
              <w:t>0.500</w:t>
            </w:r>
          </w:p>
        </w:tc>
        <w:tc>
          <w:tcPr>
            <w:tcW w:w="949" w:type="pct"/>
            <w:tcBorders>
              <w:top w:val="single" w:sz="6" w:space="0" w:color="808080" w:themeColor="background1" w:themeShade="80"/>
              <w:bottom w:val="single" w:sz="6" w:space="0" w:color="808080" w:themeColor="background1" w:themeShade="80"/>
            </w:tcBorders>
          </w:tcPr>
          <w:p w14:paraId="185F5460" w14:textId="21E5D0BF" w:rsidR="004D0D57" w:rsidRPr="00E832D1" w:rsidRDefault="004D0D57" w:rsidP="004D0D57">
            <w:pPr>
              <w:pStyle w:val="TableText"/>
              <w:spacing w:before="40" w:after="40"/>
              <w:jc w:val="center"/>
            </w:pPr>
            <w:r w:rsidRPr="00E832D1">
              <w:t>4.000</w:t>
            </w:r>
          </w:p>
        </w:tc>
      </w:tr>
      <w:tr w:rsidR="000F06C9" w:rsidRPr="0058458C" w14:paraId="214284B3"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7DEB3390" w14:textId="51877BAD" w:rsidR="000F06C9" w:rsidRPr="00E832D1" w:rsidRDefault="000F06C9" w:rsidP="00F12F29">
            <w:pPr>
              <w:pStyle w:val="TableText"/>
              <w:spacing w:before="40" w:after="40"/>
            </w:pPr>
            <w:r w:rsidRPr="00E832D1">
              <w:t>Relative risk of ART prescription by race/ethnicity</w:t>
            </w:r>
          </w:p>
        </w:tc>
        <w:tc>
          <w:tcPr>
            <w:tcW w:w="949" w:type="pct"/>
            <w:tcBorders>
              <w:top w:val="single" w:sz="6" w:space="0" w:color="808080" w:themeColor="background1" w:themeShade="80"/>
              <w:bottom w:val="single" w:sz="6" w:space="0" w:color="808080" w:themeColor="background1" w:themeShade="80"/>
            </w:tcBorders>
          </w:tcPr>
          <w:p w14:paraId="43261A9E" w14:textId="77777777" w:rsidR="000F06C9" w:rsidRPr="00E832D1" w:rsidRDefault="000F06C9"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7D7EA41" w14:textId="77777777" w:rsidR="000F06C9" w:rsidRPr="00E832D1" w:rsidRDefault="000F06C9" w:rsidP="000F06C9">
            <w:pPr>
              <w:pStyle w:val="TableText"/>
              <w:spacing w:before="40" w:after="40"/>
              <w:jc w:val="center"/>
            </w:pPr>
          </w:p>
        </w:tc>
      </w:tr>
      <w:tr w:rsidR="004D0D57" w:rsidRPr="0058458C" w14:paraId="47E62C02" w14:textId="77777777"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34ABFC81" w14:textId="4A8B3DB5" w:rsidR="004D0D57" w:rsidRPr="00E832D1" w:rsidRDefault="004D0D57" w:rsidP="004D0D57">
            <w:pPr>
              <w:pStyle w:val="TableTextIndent1"/>
              <w:spacing w:before="40" w:after="40"/>
            </w:pPr>
            <w:r w:rsidRPr="00E832D1">
              <w:t>Black</w:t>
            </w:r>
          </w:p>
        </w:tc>
        <w:tc>
          <w:tcPr>
            <w:tcW w:w="912" w:type="pct"/>
            <w:tcBorders>
              <w:top w:val="single" w:sz="6" w:space="0" w:color="808080" w:themeColor="background1" w:themeShade="80"/>
              <w:bottom w:val="single" w:sz="6" w:space="0" w:color="808080" w:themeColor="background1" w:themeShade="80"/>
            </w:tcBorders>
          </w:tcPr>
          <w:p w14:paraId="4502ACFE" w14:textId="7B713F29" w:rsidR="004D0D57" w:rsidRPr="00E832D1" w:rsidRDefault="004D0D57" w:rsidP="004D0D57">
            <w:pPr>
              <w:pStyle w:val="TableText"/>
              <w:spacing w:before="40" w:after="40"/>
              <w:jc w:val="center"/>
            </w:pPr>
            <w:r w:rsidRPr="00CD0F90">
              <w:t>1.057</w:t>
            </w:r>
          </w:p>
        </w:tc>
        <w:tc>
          <w:tcPr>
            <w:tcW w:w="949" w:type="pct"/>
            <w:tcBorders>
              <w:top w:val="single" w:sz="6" w:space="0" w:color="808080" w:themeColor="background1" w:themeShade="80"/>
              <w:bottom w:val="single" w:sz="6" w:space="0" w:color="808080" w:themeColor="background1" w:themeShade="80"/>
            </w:tcBorders>
          </w:tcPr>
          <w:p w14:paraId="12B354BB" w14:textId="451D7A0E" w:rsidR="004D0D57" w:rsidRPr="00E832D1" w:rsidRDefault="004D0D57" w:rsidP="004D0D57">
            <w:pPr>
              <w:pStyle w:val="TableText"/>
              <w:spacing w:before="40" w:after="40"/>
              <w:jc w:val="center"/>
            </w:pPr>
            <w:r w:rsidRPr="00E832D1">
              <w:t>0.900</w:t>
            </w:r>
          </w:p>
        </w:tc>
        <w:tc>
          <w:tcPr>
            <w:tcW w:w="949" w:type="pct"/>
            <w:tcBorders>
              <w:top w:val="single" w:sz="6" w:space="0" w:color="808080" w:themeColor="background1" w:themeShade="80"/>
              <w:bottom w:val="single" w:sz="6" w:space="0" w:color="808080" w:themeColor="background1" w:themeShade="80"/>
            </w:tcBorders>
          </w:tcPr>
          <w:p w14:paraId="04C65637" w14:textId="16E054BD" w:rsidR="004D0D57" w:rsidRPr="00E832D1" w:rsidRDefault="004D0D57" w:rsidP="004D0D57">
            <w:pPr>
              <w:pStyle w:val="TableText"/>
              <w:spacing w:before="40" w:after="40"/>
              <w:jc w:val="center"/>
            </w:pPr>
            <w:r w:rsidRPr="00E832D1">
              <w:t>1.100</w:t>
            </w:r>
          </w:p>
        </w:tc>
      </w:tr>
      <w:tr w:rsidR="004D0D57" w:rsidRPr="0058458C" w14:paraId="1CE5C07B" w14:textId="77777777"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78F6EFE7" w14:textId="7C2D6083" w:rsidR="004D0D57" w:rsidRPr="00E832D1" w:rsidRDefault="004D0D57" w:rsidP="004D0D57">
            <w:pPr>
              <w:pStyle w:val="TableTextIndent1"/>
              <w:spacing w:before="40" w:after="40"/>
            </w:pPr>
            <w:r w:rsidRPr="00E832D1">
              <w:t>Hispanic</w:t>
            </w:r>
          </w:p>
        </w:tc>
        <w:tc>
          <w:tcPr>
            <w:tcW w:w="912" w:type="pct"/>
            <w:tcBorders>
              <w:top w:val="single" w:sz="6" w:space="0" w:color="808080" w:themeColor="background1" w:themeShade="80"/>
              <w:bottom w:val="single" w:sz="6" w:space="0" w:color="808080" w:themeColor="background1" w:themeShade="80"/>
            </w:tcBorders>
          </w:tcPr>
          <w:p w14:paraId="345E7611" w14:textId="4290F7B0" w:rsidR="004D0D57" w:rsidRPr="00E832D1" w:rsidRDefault="004D0D57" w:rsidP="004D0D57">
            <w:pPr>
              <w:pStyle w:val="TableText"/>
              <w:spacing w:before="40" w:after="40"/>
              <w:jc w:val="center"/>
            </w:pPr>
            <w:r w:rsidRPr="00CD0F90">
              <w:t>1.041</w:t>
            </w:r>
          </w:p>
        </w:tc>
        <w:tc>
          <w:tcPr>
            <w:tcW w:w="949" w:type="pct"/>
            <w:tcBorders>
              <w:top w:val="single" w:sz="6" w:space="0" w:color="808080" w:themeColor="background1" w:themeShade="80"/>
              <w:bottom w:val="single" w:sz="8" w:space="0" w:color="A6A6A6" w:themeColor="background1" w:themeShade="A6"/>
            </w:tcBorders>
          </w:tcPr>
          <w:p w14:paraId="26E43B7A" w14:textId="371F8E7C" w:rsidR="004D0D57" w:rsidRPr="00E832D1" w:rsidRDefault="004D0D57" w:rsidP="004D0D57">
            <w:pPr>
              <w:pStyle w:val="TableText"/>
              <w:spacing w:before="40" w:after="40"/>
              <w:jc w:val="center"/>
            </w:pPr>
            <w:r w:rsidRPr="00E832D1">
              <w:t>0.900</w:t>
            </w:r>
          </w:p>
        </w:tc>
        <w:tc>
          <w:tcPr>
            <w:tcW w:w="949" w:type="pct"/>
            <w:tcBorders>
              <w:top w:val="single" w:sz="6" w:space="0" w:color="808080" w:themeColor="background1" w:themeShade="80"/>
              <w:bottom w:val="single" w:sz="6" w:space="0" w:color="808080" w:themeColor="background1" w:themeShade="80"/>
            </w:tcBorders>
          </w:tcPr>
          <w:p w14:paraId="1CCA6DDF" w14:textId="50A9EAE3" w:rsidR="004D0D57" w:rsidRPr="00E832D1" w:rsidRDefault="004D0D57" w:rsidP="004D0D57">
            <w:pPr>
              <w:pStyle w:val="TableText"/>
              <w:spacing w:before="40" w:after="40"/>
              <w:jc w:val="center"/>
            </w:pPr>
            <w:r w:rsidRPr="00E832D1">
              <w:t>1.100</w:t>
            </w:r>
          </w:p>
        </w:tc>
      </w:tr>
      <w:tr w:rsidR="004D0D57" w:rsidRPr="0058458C" w14:paraId="5D38CA96" w14:textId="77777777"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6A399C31" w14:textId="26BE7128" w:rsidR="004D0D57" w:rsidRPr="00E832D1" w:rsidRDefault="004D0D57" w:rsidP="004D0D57">
            <w:pPr>
              <w:pStyle w:val="TableTextIndent1"/>
              <w:spacing w:before="40" w:after="40"/>
            </w:pPr>
            <w:r w:rsidRPr="00E832D1">
              <w:t>White/other</w:t>
            </w:r>
          </w:p>
        </w:tc>
        <w:tc>
          <w:tcPr>
            <w:tcW w:w="912" w:type="pct"/>
            <w:tcBorders>
              <w:top w:val="single" w:sz="6" w:space="0" w:color="808080" w:themeColor="background1" w:themeShade="80"/>
              <w:bottom w:val="single" w:sz="6" w:space="0" w:color="808080" w:themeColor="background1" w:themeShade="80"/>
            </w:tcBorders>
          </w:tcPr>
          <w:p w14:paraId="3F29ED73" w14:textId="4E7AF513" w:rsidR="004D0D57" w:rsidRPr="00E832D1" w:rsidRDefault="004D0D57" w:rsidP="004D0D57">
            <w:pPr>
              <w:pStyle w:val="TableText"/>
              <w:spacing w:before="40" w:after="40"/>
              <w:jc w:val="center"/>
            </w:pPr>
            <w:r w:rsidRPr="00CD0F90">
              <w:t>1.045</w:t>
            </w:r>
          </w:p>
        </w:tc>
        <w:tc>
          <w:tcPr>
            <w:tcW w:w="949" w:type="pct"/>
            <w:tcBorders>
              <w:top w:val="single" w:sz="8" w:space="0" w:color="A6A6A6" w:themeColor="background1" w:themeShade="A6"/>
              <w:bottom w:val="single" w:sz="6" w:space="0" w:color="808080" w:themeColor="background1" w:themeShade="80"/>
            </w:tcBorders>
          </w:tcPr>
          <w:p w14:paraId="468732F6" w14:textId="21A4D704" w:rsidR="004D0D57" w:rsidRPr="00E832D1" w:rsidRDefault="004D0D57" w:rsidP="004D0D57">
            <w:pPr>
              <w:pStyle w:val="TableText"/>
              <w:spacing w:before="40" w:after="40"/>
              <w:jc w:val="center"/>
            </w:pPr>
            <w:r w:rsidRPr="00E832D1">
              <w:t>0.900</w:t>
            </w:r>
          </w:p>
        </w:tc>
        <w:tc>
          <w:tcPr>
            <w:tcW w:w="949" w:type="pct"/>
            <w:tcBorders>
              <w:top w:val="single" w:sz="6" w:space="0" w:color="808080" w:themeColor="background1" w:themeShade="80"/>
              <w:bottom w:val="single" w:sz="6" w:space="0" w:color="808080" w:themeColor="background1" w:themeShade="80"/>
            </w:tcBorders>
          </w:tcPr>
          <w:p w14:paraId="4BBAED92" w14:textId="4BD9720B" w:rsidR="004D0D57" w:rsidRPr="00E832D1" w:rsidRDefault="004D0D57" w:rsidP="004D0D57">
            <w:pPr>
              <w:pStyle w:val="TableText"/>
              <w:spacing w:before="40" w:after="40"/>
              <w:jc w:val="center"/>
            </w:pPr>
            <w:r w:rsidRPr="00E832D1">
              <w:t>1.100</w:t>
            </w:r>
          </w:p>
        </w:tc>
      </w:tr>
      <w:tr w:rsidR="000F06C9" w:rsidRPr="0058458C" w14:paraId="04597D79"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1C1696AF" w14:textId="58CDC0DC" w:rsidR="000F06C9" w:rsidRPr="0058458C" w:rsidRDefault="000F06C9" w:rsidP="00F12F29">
            <w:pPr>
              <w:pStyle w:val="TableText"/>
              <w:spacing w:before="40" w:after="40"/>
            </w:pPr>
            <w:r w:rsidRPr="0058458C">
              <w:t xml:space="preserve">Annual probability of becoming VLS if </w:t>
            </w:r>
            <w:r w:rsidR="00ED763F" w:rsidRPr="0058458C">
              <w:t xml:space="preserve">on </w:t>
            </w:r>
            <w:r w:rsidR="00280171">
              <w:t>ART-not-VLS</w:t>
            </w:r>
          </w:p>
        </w:tc>
        <w:tc>
          <w:tcPr>
            <w:tcW w:w="949" w:type="pct"/>
            <w:tcBorders>
              <w:top w:val="single" w:sz="6" w:space="0" w:color="808080" w:themeColor="background1" w:themeShade="80"/>
              <w:bottom w:val="single" w:sz="6" w:space="0" w:color="808080" w:themeColor="background1" w:themeShade="80"/>
            </w:tcBorders>
          </w:tcPr>
          <w:p w14:paraId="299F84D4" w14:textId="77777777" w:rsidR="000F06C9" w:rsidRPr="0058458C" w:rsidRDefault="000F06C9"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67B776E8" w14:textId="77777777" w:rsidR="000F06C9" w:rsidRPr="0058458C" w:rsidRDefault="000F06C9" w:rsidP="000F06C9">
            <w:pPr>
              <w:pStyle w:val="TableText"/>
              <w:spacing w:before="40" w:after="40"/>
              <w:jc w:val="center"/>
            </w:pPr>
          </w:p>
        </w:tc>
      </w:tr>
      <w:tr w:rsidR="004D0D57" w:rsidRPr="0058458C" w14:paraId="32360537" w14:textId="680F3E24" w:rsidTr="000E78F7">
        <w:trPr>
          <w:cantSplit/>
        </w:trPr>
        <w:tc>
          <w:tcPr>
            <w:tcW w:w="2190" w:type="pct"/>
            <w:gridSpan w:val="2"/>
            <w:tcBorders>
              <w:top w:val="single" w:sz="6" w:space="0" w:color="808080" w:themeColor="background1" w:themeShade="80"/>
              <w:bottom w:val="single" w:sz="6" w:space="0" w:color="808080" w:themeColor="background1" w:themeShade="80"/>
            </w:tcBorders>
          </w:tcPr>
          <w:p w14:paraId="200A79B8" w14:textId="291184C4" w:rsidR="004D0D57" w:rsidRPr="0058458C" w:rsidRDefault="004D0D57" w:rsidP="004D0D57">
            <w:pPr>
              <w:pStyle w:val="TableTextIndent1"/>
              <w:spacing w:before="40" w:after="40"/>
            </w:pPr>
            <w:r w:rsidRPr="0058458C">
              <w:t>Black</w:t>
            </w:r>
          </w:p>
        </w:tc>
        <w:tc>
          <w:tcPr>
            <w:tcW w:w="912" w:type="pct"/>
            <w:tcBorders>
              <w:top w:val="single" w:sz="6" w:space="0" w:color="808080" w:themeColor="background1" w:themeShade="80"/>
              <w:bottom w:val="single" w:sz="6" w:space="0" w:color="808080" w:themeColor="background1" w:themeShade="80"/>
            </w:tcBorders>
          </w:tcPr>
          <w:p w14:paraId="4CEC3BB2" w14:textId="686CA04B" w:rsidR="004D0D57" w:rsidRPr="0058458C" w:rsidDel="000C39BD" w:rsidRDefault="004D0D57" w:rsidP="004D0D57">
            <w:pPr>
              <w:pStyle w:val="TableText"/>
              <w:spacing w:before="40" w:after="40"/>
              <w:jc w:val="center"/>
            </w:pPr>
            <w:r w:rsidRPr="00811BF4">
              <w:t>0.373</w:t>
            </w:r>
          </w:p>
        </w:tc>
        <w:tc>
          <w:tcPr>
            <w:tcW w:w="949" w:type="pct"/>
            <w:tcBorders>
              <w:top w:val="single" w:sz="6" w:space="0" w:color="808080" w:themeColor="background1" w:themeShade="80"/>
              <w:bottom w:val="single" w:sz="6" w:space="0" w:color="808080" w:themeColor="background1" w:themeShade="80"/>
            </w:tcBorders>
          </w:tcPr>
          <w:p w14:paraId="03270529" w14:textId="0CDF498E" w:rsidR="004D0D57" w:rsidRPr="0058458C" w:rsidRDefault="004D0D57" w:rsidP="004D0D57">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BCFE9A2" w14:textId="6D158BAC" w:rsidR="004D0D57" w:rsidRPr="0058458C" w:rsidRDefault="004D0D57" w:rsidP="004D0D57">
            <w:pPr>
              <w:pStyle w:val="TableText"/>
              <w:spacing w:before="40" w:after="40"/>
              <w:jc w:val="center"/>
            </w:pPr>
            <w:r w:rsidRPr="0058458C">
              <w:t>0.700</w:t>
            </w:r>
          </w:p>
        </w:tc>
      </w:tr>
      <w:tr w:rsidR="004D0D57" w:rsidRPr="0058458C" w14:paraId="7F0E525C" w14:textId="6242BDAC" w:rsidTr="000E78F7">
        <w:trPr>
          <w:cantSplit/>
        </w:trPr>
        <w:tc>
          <w:tcPr>
            <w:tcW w:w="2190" w:type="pct"/>
            <w:gridSpan w:val="2"/>
            <w:tcBorders>
              <w:top w:val="single" w:sz="6" w:space="0" w:color="808080" w:themeColor="background1" w:themeShade="80"/>
              <w:bottom w:val="single" w:sz="6" w:space="0" w:color="808080" w:themeColor="background1" w:themeShade="80"/>
            </w:tcBorders>
          </w:tcPr>
          <w:p w14:paraId="27FBBFFC" w14:textId="201F1E5C" w:rsidR="004D0D57" w:rsidRPr="0058458C" w:rsidRDefault="004D0D57" w:rsidP="004D0D57">
            <w:pPr>
              <w:pStyle w:val="TableTextIndent1"/>
              <w:spacing w:before="40" w:after="40"/>
            </w:pPr>
            <w:r w:rsidRPr="0058458C">
              <w:t>Hispanic</w:t>
            </w:r>
          </w:p>
        </w:tc>
        <w:tc>
          <w:tcPr>
            <w:tcW w:w="912" w:type="pct"/>
            <w:tcBorders>
              <w:top w:val="single" w:sz="6" w:space="0" w:color="808080" w:themeColor="background1" w:themeShade="80"/>
              <w:bottom w:val="single" w:sz="6" w:space="0" w:color="808080" w:themeColor="background1" w:themeShade="80"/>
            </w:tcBorders>
          </w:tcPr>
          <w:p w14:paraId="0000FA19" w14:textId="2A4E5E6D" w:rsidR="004D0D57" w:rsidRPr="0058458C" w:rsidDel="000C39BD" w:rsidRDefault="004D0D57" w:rsidP="004D0D57">
            <w:pPr>
              <w:pStyle w:val="TableText"/>
              <w:spacing w:before="40" w:after="40"/>
              <w:jc w:val="center"/>
            </w:pPr>
            <w:r w:rsidRPr="00811BF4">
              <w:t>0.505</w:t>
            </w:r>
          </w:p>
        </w:tc>
        <w:tc>
          <w:tcPr>
            <w:tcW w:w="949" w:type="pct"/>
            <w:tcBorders>
              <w:top w:val="single" w:sz="6" w:space="0" w:color="808080" w:themeColor="background1" w:themeShade="80"/>
              <w:bottom w:val="single" w:sz="6" w:space="0" w:color="808080" w:themeColor="background1" w:themeShade="80"/>
            </w:tcBorders>
          </w:tcPr>
          <w:p w14:paraId="42543C4C" w14:textId="6E9C4370" w:rsidR="004D0D57" w:rsidRPr="0058458C" w:rsidRDefault="004D0D57" w:rsidP="004D0D57">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357356D0" w14:textId="7BD40690" w:rsidR="004D0D57" w:rsidRPr="0058458C" w:rsidRDefault="004D0D57" w:rsidP="004D0D57">
            <w:pPr>
              <w:pStyle w:val="TableText"/>
              <w:spacing w:before="40" w:after="40"/>
              <w:jc w:val="center"/>
            </w:pPr>
            <w:r w:rsidRPr="0058458C">
              <w:t>0.700</w:t>
            </w:r>
          </w:p>
        </w:tc>
      </w:tr>
      <w:tr w:rsidR="004D0D57" w:rsidRPr="0058458C" w14:paraId="0B845F83" w14:textId="24D62F8C"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39D57D5C" w14:textId="5882EA9E" w:rsidR="004D0D57" w:rsidRPr="0058458C" w:rsidRDefault="004D0D57" w:rsidP="004D0D57">
            <w:pPr>
              <w:pStyle w:val="TableTextIndent1"/>
              <w:spacing w:before="40" w:after="40"/>
            </w:pPr>
            <w:r w:rsidRPr="0058458C">
              <w:t>White/other</w:t>
            </w:r>
          </w:p>
        </w:tc>
        <w:tc>
          <w:tcPr>
            <w:tcW w:w="912" w:type="pct"/>
            <w:tcBorders>
              <w:top w:val="single" w:sz="6" w:space="0" w:color="808080" w:themeColor="background1" w:themeShade="80"/>
              <w:bottom w:val="single" w:sz="6" w:space="0" w:color="808080" w:themeColor="background1" w:themeShade="80"/>
            </w:tcBorders>
          </w:tcPr>
          <w:p w14:paraId="4E3711A8" w14:textId="1B8934C5" w:rsidR="004D0D57" w:rsidRPr="0058458C" w:rsidDel="000C39BD" w:rsidRDefault="004D0D57" w:rsidP="004D0D57">
            <w:pPr>
              <w:pStyle w:val="TableText"/>
              <w:spacing w:before="40" w:after="40"/>
              <w:jc w:val="center"/>
            </w:pPr>
            <w:r w:rsidRPr="00811BF4">
              <w:t>0.284</w:t>
            </w:r>
          </w:p>
        </w:tc>
        <w:tc>
          <w:tcPr>
            <w:tcW w:w="949" w:type="pct"/>
            <w:tcBorders>
              <w:top w:val="single" w:sz="6" w:space="0" w:color="808080" w:themeColor="background1" w:themeShade="80"/>
              <w:bottom w:val="single" w:sz="6" w:space="0" w:color="808080" w:themeColor="background1" w:themeShade="80"/>
            </w:tcBorders>
          </w:tcPr>
          <w:p w14:paraId="11F652A2" w14:textId="100CAB4A" w:rsidR="004D0D57" w:rsidRPr="0058458C" w:rsidRDefault="004D0D57" w:rsidP="004D0D57">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47EADA5C" w14:textId="5113FBCA" w:rsidR="004D0D57" w:rsidRPr="0058458C" w:rsidRDefault="004D0D57" w:rsidP="004D0D57">
            <w:pPr>
              <w:pStyle w:val="TableText"/>
              <w:spacing w:before="40" w:after="40"/>
              <w:jc w:val="center"/>
            </w:pPr>
            <w:r w:rsidRPr="0058458C">
              <w:t>0.700</w:t>
            </w:r>
          </w:p>
        </w:tc>
      </w:tr>
      <w:tr w:rsidR="00721E7C" w:rsidRPr="0058458C" w14:paraId="013BD5E4" w14:textId="77777777" w:rsidTr="004C7EFB">
        <w:trPr>
          <w:cantSplit/>
        </w:trPr>
        <w:tc>
          <w:tcPr>
            <w:tcW w:w="3101" w:type="pct"/>
            <w:gridSpan w:val="3"/>
            <w:tcBorders>
              <w:top w:val="single" w:sz="6" w:space="0" w:color="808080" w:themeColor="background1" w:themeShade="80"/>
              <w:bottom w:val="single" w:sz="6" w:space="0" w:color="808080" w:themeColor="background1" w:themeShade="80"/>
            </w:tcBorders>
          </w:tcPr>
          <w:p w14:paraId="4FE04732" w14:textId="79BA33BE" w:rsidR="00721E7C" w:rsidRPr="0058458C" w:rsidRDefault="00721E7C" w:rsidP="00F12F29">
            <w:pPr>
              <w:pStyle w:val="TableText"/>
              <w:spacing w:before="40" w:after="40"/>
            </w:pPr>
            <w:r w:rsidRPr="0058458C">
              <w:t xml:space="preserve">Relative risk of becoming VLS if on </w:t>
            </w:r>
            <w:r w:rsidR="00280171">
              <w:t>ART-not-VLS</w:t>
            </w:r>
            <w:r w:rsidRPr="0058458C">
              <w:t>, by transmission group</w:t>
            </w:r>
          </w:p>
        </w:tc>
        <w:tc>
          <w:tcPr>
            <w:tcW w:w="949" w:type="pct"/>
            <w:tcBorders>
              <w:top w:val="single" w:sz="6" w:space="0" w:color="808080" w:themeColor="background1" w:themeShade="80"/>
              <w:bottom w:val="single" w:sz="6" w:space="0" w:color="808080" w:themeColor="background1" w:themeShade="80"/>
            </w:tcBorders>
          </w:tcPr>
          <w:p w14:paraId="6A183608" w14:textId="77777777" w:rsidR="00721E7C" w:rsidRPr="0058458C" w:rsidRDefault="00721E7C" w:rsidP="000F06C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3DDDCE30" w14:textId="77777777" w:rsidR="00721E7C" w:rsidRPr="0058458C" w:rsidRDefault="00721E7C" w:rsidP="000F06C9">
            <w:pPr>
              <w:pStyle w:val="TableText"/>
              <w:spacing w:before="40" w:after="40"/>
              <w:jc w:val="center"/>
            </w:pPr>
          </w:p>
        </w:tc>
      </w:tr>
      <w:tr w:rsidR="004D0D57" w:rsidRPr="0058458C" w14:paraId="7C1DD2BD" w14:textId="77777777" w:rsidTr="00F12F29">
        <w:trPr>
          <w:cantSplit/>
        </w:trPr>
        <w:tc>
          <w:tcPr>
            <w:tcW w:w="2190" w:type="pct"/>
            <w:gridSpan w:val="2"/>
            <w:tcBorders>
              <w:top w:val="single" w:sz="6" w:space="0" w:color="808080" w:themeColor="background1" w:themeShade="80"/>
              <w:bottom w:val="single" w:sz="6" w:space="0" w:color="808080" w:themeColor="background1" w:themeShade="80"/>
            </w:tcBorders>
          </w:tcPr>
          <w:p w14:paraId="68681965" w14:textId="431DE165" w:rsidR="004D0D57" w:rsidRPr="0058458C" w:rsidRDefault="004D0D57" w:rsidP="004D0D57">
            <w:pPr>
              <w:pStyle w:val="TableTextIndent1"/>
              <w:spacing w:before="40" w:after="40"/>
            </w:pPr>
            <w:r w:rsidRPr="0058458C">
              <w:t>MSM</w:t>
            </w:r>
          </w:p>
        </w:tc>
        <w:tc>
          <w:tcPr>
            <w:tcW w:w="912" w:type="pct"/>
            <w:tcBorders>
              <w:top w:val="single" w:sz="6" w:space="0" w:color="808080" w:themeColor="background1" w:themeShade="80"/>
              <w:bottom w:val="single" w:sz="6" w:space="0" w:color="808080" w:themeColor="background1" w:themeShade="80"/>
            </w:tcBorders>
          </w:tcPr>
          <w:p w14:paraId="7CA3174C" w14:textId="775FF97B" w:rsidR="004D0D57" w:rsidRPr="0058458C" w:rsidRDefault="004D0D57" w:rsidP="004D0D57">
            <w:pPr>
              <w:pStyle w:val="TableText"/>
              <w:spacing w:before="40" w:after="40"/>
              <w:jc w:val="center"/>
            </w:pPr>
            <w:r w:rsidRPr="000A4ECA">
              <w:t>1.327</w:t>
            </w:r>
          </w:p>
        </w:tc>
        <w:tc>
          <w:tcPr>
            <w:tcW w:w="949" w:type="pct"/>
            <w:tcBorders>
              <w:top w:val="single" w:sz="6" w:space="0" w:color="808080" w:themeColor="background1" w:themeShade="80"/>
              <w:bottom w:val="single" w:sz="6" w:space="0" w:color="808080" w:themeColor="background1" w:themeShade="80"/>
            </w:tcBorders>
          </w:tcPr>
          <w:p w14:paraId="17C1B61F" w14:textId="4D01E48A" w:rsidR="004D0D57" w:rsidRPr="0058458C" w:rsidRDefault="004D0D57" w:rsidP="004D0D57">
            <w:pPr>
              <w:pStyle w:val="TableText"/>
              <w:spacing w:before="40" w:after="40"/>
              <w:jc w:val="center"/>
            </w:pPr>
            <w:r w:rsidRPr="0058458C">
              <w:t>0.200</w:t>
            </w:r>
          </w:p>
        </w:tc>
        <w:tc>
          <w:tcPr>
            <w:tcW w:w="949" w:type="pct"/>
            <w:tcBorders>
              <w:top w:val="single" w:sz="6" w:space="0" w:color="808080" w:themeColor="background1" w:themeShade="80"/>
              <w:bottom w:val="single" w:sz="6" w:space="0" w:color="808080" w:themeColor="background1" w:themeShade="80"/>
            </w:tcBorders>
          </w:tcPr>
          <w:p w14:paraId="7D74924F" w14:textId="5CA94FFB" w:rsidR="004D0D57" w:rsidRPr="0058458C" w:rsidRDefault="004D0D57" w:rsidP="004D0D57">
            <w:pPr>
              <w:pStyle w:val="TableText"/>
              <w:spacing w:before="40" w:after="40"/>
              <w:jc w:val="center"/>
            </w:pPr>
            <w:r w:rsidRPr="0058458C">
              <w:t>3.000</w:t>
            </w:r>
          </w:p>
        </w:tc>
      </w:tr>
      <w:tr w:rsidR="004D0D57" w:rsidRPr="0058458C" w14:paraId="4EEED022" w14:textId="77777777" w:rsidTr="000E78F7">
        <w:trPr>
          <w:cantSplit/>
        </w:trPr>
        <w:tc>
          <w:tcPr>
            <w:tcW w:w="2190" w:type="pct"/>
            <w:gridSpan w:val="2"/>
            <w:tcBorders>
              <w:top w:val="single" w:sz="6" w:space="0" w:color="808080" w:themeColor="background1" w:themeShade="80"/>
              <w:bottom w:val="single" w:sz="8" w:space="0" w:color="BFBFBF" w:themeColor="background1" w:themeShade="BF"/>
            </w:tcBorders>
          </w:tcPr>
          <w:p w14:paraId="573F687C" w14:textId="6C5CC66A" w:rsidR="004D0D57" w:rsidRPr="0058458C" w:rsidRDefault="004D0D57" w:rsidP="004D0D57">
            <w:pPr>
              <w:pStyle w:val="TableTextIndent1"/>
              <w:spacing w:before="40" w:after="40"/>
            </w:pPr>
            <w:r w:rsidRPr="0058458C">
              <w:t>PWID</w:t>
            </w:r>
          </w:p>
        </w:tc>
        <w:tc>
          <w:tcPr>
            <w:tcW w:w="912" w:type="pct"/>
            <w:tcBorders>
              <w:top w:val="single" w:sz="6" w:space="0" w:color="808080" w:themeColor="background1" w:themeShade="80"/>
              <w:bottom w:val="single" w:sz="8" w:space="0" w:color="BFBFBF" w:themeColor="background1" w:themeShade="BF"/>
            </w:tcBorders>
          </w:tcPr>
          <w:p w14:paraId="36982ECB" w14:textId="37F2CE75" w:rsidR="004D0D57" w:rsidRPr="0058458C" w:rsidRDefault="004D0D57" w:rsidP="004D0D57">
            <w:pPr>
              <w:pStyle w:val="TableText"/>
              <w:spacing w:before="40" w:after="40"/>
              <w:jc w:val="center"/>
            </w:pPr>
            <w:r w:rsidRPr="000A4ECA">
              <w:t>2.186</w:t>
            </w:r>
          </w:p>
        </w:tc>
        <w:tc>
          <w:tcPr>
            <w:tcW w:w="949" w:type="pct"/>
            <w:tcBorders>
              <w:top w:val="single" w:sz="6" w:space="0" w:color="808080" w:themeColor="background1" w:themeShade="80"/>
              <w:bottom w:val="single" w:sz="8" w:space="0" w:color="BFBFBF" w:themeColor="background1" w:themeShade="BF"/>
            </w:tcBorders>
          </w:tcPr>
          <w:p w14:paraId="0748021C" w14:textId="666E45D2" w:rsidR="004D0D57" w:rsidRPr="0058458C" w:rsidRDefault="004D0D57" w:rsidP="004D0D57">
            <w:pPr>
              <w:pStyle w:val="TableText"/>
              <w:spacing w:before="40" w:after="40"/>
              <w:jc w:val="center"/>
            </w:pPr>
            <w:r w:rsidRPr="0058458C">
              <w:t>0.200</w:t>
            </w:r>
          </w:p>
        </w:tc>
        <w:tc>
          <w:tcPr>
            <w:tcW w:w="949" w:type="pct"/>
            <w:tcBorders>
              <w:top w:val="single" w:sz="6" w:space="0" w:color="808080" w:themeColor="background1" w:themeShade="80"/>
              <w:bottom w:val="single" w:sz="8" w:space="0" w:color="BFBFBF" w:themeColor="background1" w:themeShade="BF"/>
            </w:tcBorders>
          </w:tcPr>
          <w:p w14:paraId="70858FE9" w14:textId="2F7969DF" w:rsidR="004D0D57" w:rsidRPr="0058458C" w:rsidRDefault="004D0D57" w:rsidP="004D0D57">
            <w:pPr>
              <w:pStyle w:val="TableText"/>
              <w:spacing w:before="40" w:after="40"/>
              <w:jc w:val="center"/>
            </w:pPr>
            <w:r w:rsidRPr="0058458C">
              <w:t>3.000</w:t>
            </w:r>
          </w:p>
        </w:tc>
      </w:tr>
    </w:tbl>
    <w:p w14:paraId="69F00F95" w14:textId="6EA6BD9E" w:rsidR="00721E7C" w:rsidRPr="0058458C" w:rsidRDefault="00721E7C" w:rsidP="00721E7C">
      <w:pPr>
        <w:pStyle w:val="Source1"/>
        <w:spacing w:after="0"/>
        <w:ind w:left="0" w:firstLine="0"/>
        <w:jc w:val="right"/>
      </w:pPr>
      <w:r w:rsidRPr="0058458C">
        <w:t>(continued)</w:t>
      </w:r>
    </w:p>
    <w:p w14:paraId="56FAC160" w14:textId="4DC3F942" w:rsidR="00721E7C" w:rsidRPr="0058458C" w:rsidRDefault="00721E7C" w:rsidP="00721E7C">
      <w:pPr>
        <w:pStyle w:val="TableTitlecont"/>
      </w:pPr>
      <w:r w:rsidRPr="0058458C">
        <w:lastRenderedPageBreak/>
        <w:t xml:space="preserve">Table </w:t>
      </w:r>
      <w:r w:rsidR="008867F1" w:rsidRPr="0058458C">
        <w:t>1</w:t>
      </w:r>
      <w:r w:rsidR="008867F1">
        <w:t>0</w:t>
      </w:r>
      <w:r w:rsidRPr="0058458C">
        <w:t>.1.</w:t>
      </w:r>
      <w:r w:rsidRPr="0058458C">
        <w:tab/>
        <w:t xml:space="preserve">Bounds and Final Values of Continuum-of-Care Parameters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89"/>
        <w:gridCol w:w="11"/>
        <w:gridCol w:w="1707"/>
        <w:gridCol w:w="47"/>
        <w:gridCol w:w="1730"/>
        <w:gridCol w:w="24"/>
        <w:gridCol w:w="1752"/>
      </w:tblGrid>
      <w:tr w:rsidR="00721E7C" w:rsidRPr="0058458C" w14:paraId="3269BCE1" w14:textId="77777777" w:rsidTr="000E78F7">
        <w:trPr>
          <w:cantSplit/>
          <w:tblHeader/>
        </w:trPr>
        <w:tc>
          <w:tcPr>
            <w:tcW w:w="2190" w:type="pct"/>
            <w:gridSpan w:val="2"/>
            <w:tcBorders>
              <w:top w:val="single" w:sz="12" w:space="0" w:color="auto"/>
              <w:bottom w:val="single" w:sz="6" w:space="0" w:color="auto"/>
            </w:tcBorders>
            <w:vAlign w:val="bottom"/>
          </w:tcPr>
          <w:p w14:paraId="6CD95FC8" w14:textId="77777777" w:rsidR="00721E7C" w:rsidRPr="0058458C" w:rsidRDefault="00721E7C" w:rsidP="000E78F7">
            <w:pPr>
              <w:pStyle w:val="TableHeaders"/>
              <w:spacing w:before="40" w:after="40"/>
            </w:pPr>
            <w:r w:rsidRPr="0058458C">
              <w:t>Parameter</w:t>
            </w:r>
          </w:p>
        </w:tc>
        <w:tc>
          <w:tcPr>
            <w:tcW w:w="937" w:type="pct"/>
            <w:gridSpan w:val="2"/>
            <w:tcBorders>
              <w:top w:val="single" w:sz="12" w:space="0" w:color="auto"/>
              <w:bottom w:val="single" w:sz="6" w:space="0" w:color="auto"/>
            </w:tcBorders>
            <w:vAlign w:val="bottom"/>
          </w:tcPr>
          <w:p w14:paraId="6A3C68AD" w14:textId="748BA4DB" w:rsidR="00721E7C" w:rsidRPr="0058458C" w:rsidRDefault="00721E7C" w:rsidP="000E78F7">
            <w:pPr>
              <w:pStyle w:val="TableHeaders"/>
              <w:spacing w:before="40" w:after="40"/>
            </w:pPr>
            <w:r w:rsidRPr="0058458C">
              <w:t>Calibrated Value</w:t>
            </w:r>
          </w:p>
        </w:tc>
        <w:tc>
          <w:tcPr>
            <w:tcW w:w="937" w:type="pct"/>
            <w:gridSpan w:val="2"/>
            <w:tcBorders>
              <w:top w:val="single" w:sz="12" w:space="0" w:color="auto"/>
              <w:bottom w:val="single" w:sz="6" w:space="0" w:color="auto"/>
            </w:tcBorders>
            <w:vAlign w:val="bottom"/>
          </w:tcPr>
          <w:p w14:paraId="2A8899C7" w14:textId="77777777" w:rsidR="00721E7C" w:rsidRPr="0058458C" w:rsidRDefault="00721E7C" w:rsidP="000E78F7">
            <w:pPr>
              <w:pStyle w:val="TableHeaders"/>
              <w:spacing w:before="40" w:after="40"/>
            </w:pPr>
            <w:r w:rsidRPr="0058458C">
              <w:t>Lower Bound</w:t>
            </w:r>
          </w:p>
        </w:tc>
        <w:tc>
          <w:tcPr>
            <w:tcW w:w="936" w:type="pct"/>
            <w:tcBorders>
              <w:top w:val="single" w:sz="12" w:space="0" w:color="auto"/>
              <w:bottom w:val="single" w:sz="6" w:space="0" w:color="auto"/>
            </w:tcBorders>
            <w:vAlign w:val="bottom"/>
          </w:tcPr>
          <w:p w14:paraId="55803478" w14:textId="77777777" w:rsidR="00721E7C" w:rsidRPr="0058458C" w:rsidRDefault="00721E7C" w:rsidP="000E78F7">
            <w:pPr>
              <w:pStyle w:val="TableHeaders"/>
              <w:spacing w:before="40" w:after="40"/>
            </w:pPr>
            <w:r w:rsidRPr="0058458C">
              <w:t>Upper Bound</w:t>
            </w:r>
          </w:p>
        </w:tc>
      </w:tr>
      <w:tr w:rsidR="00721E7C" w:rsidRPr="0058458C" w14:paraId="3ED9095E" w14:textId="77777777" w:rsidTr="00E2014A">
        <w:trPr>
          <w:cantSplit/>
        </w:trPr>
        <w:tc>
          <w:tcPr>
            <w:tcW w:w="3102" w:type="pct"/>
            <w:gridSpan w:val="3"/>
            <w:tcBorders>
              <w:top w:val="single" w:sz="6" w:space="0" w:color="808080" w:themeColor="background1" w:themeShade="80"/>
              <w:bottom w:val="single" w:sz="6" w:space="0" w:color="808080" w:themeColor="background1" w:themeShade="80"/>
            </w:tcBorders>
          </w:tcPr>
          <w:p w14:paraId="62E24FEC" w14:textId="78E73232" w:rsidR="00721E7C" w:rsidRPr="0058458C" w:rsidRDefault="00721E7C" w:rsidP="00E2014A">
            <w:pPr>
              <w:pStyle w:val="TableText"/>
              <w:spacing w:before="40" w:after="40"/>
            </w:pPr>
            <w:r w:rsidRPr="0058458C">
              <w:t xml:space="preserve">Relative risk of becoming VLS if on </w:t>
            </w:r>
            <w:r w:rsidR="00280171">
              <w:t>ART-not-VLS</w:t>
            </w:r>
            <w:r w:rsidRPr="0058458C">
              <w:t>, by age group</w:t>
            </w:r>
          </w:p>
        </w:tc>
        <w:tc>
          <w:tcPr>
            <w:tcW w:w="949" w:type="pct"/>
            <w:gridSpan w:val="2"/>
            <w:tcBorders>
              <w:top w:val="single" w:sz="6" w:space="0" w:color="808080" w:themeColor="background1" w:themeShade="80"/>
              <w:bottom w:val="single" w:sz="6" w:space="0" w:color="808080" w:themeColor="background1" w:themeShade="80"/>
            </w:tcBorders>
          </w:tcPr>
          <w:p w14:paraId="1F210074" w14:textId="77777777" w:rsidR="00721E7C" w:rsidRPr="0058458C" w:rsidRDefault="00721E7C" w:rsidP="00E2014A">
            <w:pPr>
              <w:pStyle w:val="TableText"/>
              <w:spacing w:before="40" w:after="40"/>
              <w:jc w:val="center"/>
            </w:pPr>
          </w:p>
        </w:tc>
        <w:tc>
          <w:tcPr>
            <w:tcW w:w="949" w:type="pct"/>
            <w:gridSpan w:val="2"/>
            <w:tcBorders>
              <w:top w:val="single" w:sz="6" w:space="0" w:color="808080" w:themeColor="background1" w:themeShade="80"/>
              <w:bottom w:val="single" w:sz="6" w:space="0" w:color="808080" w:themeColor="background1" w:themeShade="80"/>
            </w:tcBorders>
          </w:tcPr>
          <w:p w14:paraId="501B354F" w14:textId="77777777" w:rsidR="00721E7C" w:rsidRPr="0058458C" w:rsidRDefault="00721E7C" w:rsidP="00E2014A">
            <w:pPr>
              <w:pStyle w:val="TableText"/>
              <w:spacing w:before="40" w:after="40"/>
              <w:jc w:val="center"/>
            </w:pPr>
          </w:p>
        </w:tc>
      </w:tr>
      <w:tr w:rsidR="004D0D57" w:rsidRPr="0058458C" w14:paraId="02680604"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274923AE" w14:textId="77777777" w:rsidR="004D0D57" w:rsidRPr="0058458C" w:rsidRDefault="004D0D57" w:rsidP="004D0D57">
            <w:pPr>
              <w:pStyle w:val="TableTextIndent1"/>
              <w:spacing w:before="40" w:after="40"/>
            </w:pPr>
            <w:r w:rsidRPr="0058458C">
              <w:t>18–24</w:t>
            </w:r>
          </w:p>
        </w:tc>
        <w:tc>
          <w:tcPr>
            <w:tcW w:w="918" w:type="pct"/>
            <w:gridSpan w:val="2"/>
            <w:tcBorders>
              <w:top w:val="single" w:sz="6" w:space="0" w:color="808080" w:themeColor="background1" w:themeShade="80"/>
              <w:bottom w:val="single" w:sz="6" w:space="0" w:color="808080" w:themeColor="background1" w:themeShade="80"/>
            </w:tcBorders>
          </w:tcPr>
          <w:p w14:paraId="3BEA9D75" w14:textId="587DA43F" w:rsidR="004D0D57" w:rsidRPr="0058458C" w:rsidRDefault="004D0D57" w:rsidP="004D0D57">
            <w:pPr>
              <w:pStyle w:val="TableText"/>
              <w:spacing w:before="40" w:after="40"/>
              <w:jc w:val="center"/>
            </w:pPr>
            <w:r w:rsidRPr="004639A6">
              <w:t>1.331</w:t>
            </w:r>
          </w:p>
        </w:tc>
        <w:tc>
          <w:tcPr>
            <w:tcW w:w="949" w:type="pct"/>
            <w:gridSpan w:val="2"/>
            <w:tcBorders>
              <w:top w:val="single" w:sz="6" w:space="0" w:color="808080" w:themeColor="background1" w:themeShade="80"/>
              <w:bottom w:val="single" w:sz="6" w:space="0" w:color="808080" w:themeColor="background1" w:themeShade="80"/>
            </w:tcBorders>
          </w:tcPr>
          <w:p w14:paraId="32A763C7" w14:textId="77777777" w:rsidR="004D0D57" w:rsidRPr="0058458C" w:rsidRDefault="004D0D57" w:rsidP="004D0D57">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5AAB8DB4" w14:textId="77777777" w:rsidR="004D0D57" w:rsidRPr="0058458C" w:rsidRDefault="004D0D57" w:rsidP="004D0D57">
            <w:pPr>
              <w:pStyle w:val="TableText"/>
              <w:spacing w:before="40" w:after="40"/>
              <w:jc w:val="center"/>
            </w:pPr>
            <w:r w:rsidRPr="0058458C">
              <w:t>4.000</w:t>
            </w:r>
          </w:p>
        </w:tc>
      </w:tr>
      <w:tr w:rsidR="004D0D57" w:rsidRPr="0058458C" w14:paraId="7F5450B6"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6BBB6FD6" w14:textId="77777777" w:rsidR="004D0D57" w:rsidRPr="0058458C" w:rsidRDefault="004D0D57" w:rsidP="004D0D57">
            <w:pPr>
              <w:pStyle w:val="TableTextIndent1"/>
              <w:spacing w:before="40" w:after="40"/>
            </w:pPr>
            <w:r w:rsidRPr="0058458C">
              <w:t>25–34</w:t>
            </w:r>
          </w:p>
        </w:tc>
        <w:tc>
          <w:tcPr>
            <w:tcW w:w="918" w:type="pct"/>
            <w:gridSpan w:val="2"/>
            <w:tcBorders>
              <w:top w:val="single" w:sz="6" w:space="0" w:color="808080" w:themeColor="background1" w:themeShade="80"/>
              <w:bottom w:val="single" w:sz="6" w:space="0" w:color="808080" w:themeColor="background1" w:themeShade="80"/>
            </w:tcBorders>
          </w:tcPr>
          <w:p w14:paraId="10BE6147" w14:textId="6712D6EE" w:rsidR="004D0D57" w:rsidRPr="0058458C" w:rsidRDefault="004D0D57" w:rsidP="004D0D57">
            <w:pPr>
              <w:pStyle w:val="TableText"/>
              <w:spacing w:before="40" w:after="40"/>
              <w:jc w:val="center"/>
            </w:pPr>
            <w:r w:rsidRPr="004639A6">
              <w:t>2.640</w:t>
            </w:r>
          </w:p>
        </w:tc>
        <w:tc>
          <w:tcPr>
            <w:tcW w:w="949" w:type="pct"/>
            <w:gridSpan w:val="2"/>
            <w:tcBorders>
              <w:top w:val="single" w:sz="6" w:space="0" w:color="808080" w:themeColor="background1" w:themeShade="80"/>
              <w:bottom w:val="single" w:sz="6" w:space="0" w:color="808080" w:themeColor="background1" w:themeShade="80"/>
            </w:tcBorders>
          </w:tcPr>
          <w:p w14:paraId="72A6A6FF" w14:textId="77777777" w:rsidR="004D0D57" w:rsidRPr="0058458C" w:rsidRDefault="004D0D57" w:rsidP="004D0D57">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7E618C67" w14:textId="77777777" w:rsidR="004D0D57" w:rsidRPr="0058458C" w:rsidRDefault="004D0D57" w:rsidP="004D0D57">
            <w:pPr>
              <w:pStyle w:val="TableText"/>
              <w:spacing w:before="40" w:after="40"/>
              <w:jc w:val="center"/>
            </w:pPr>
            <w:r w:rsidRPr="0058458C">
              <w:t>4.000</w:t>
            </w:r>
          </w:p>
        </w:tc>
      </w:tr>
      <w:tr w:rsidR="004D0D57" w:rsidRPr="0058458C" w14:paraId="3017A86A"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60A95BB6" w14:textId="77777777" w:rsidR="004D0D57" w:rsidRPr="0058458C" w:rsidRDefault="004D0D57" w:rsidP="004D0D57">
            <w:pPr>
              <w:pStyle w:val="TableTextIndent1"/>
              <w:spacing w:before="40" w:after="40"/>
            </w:pPr>
            <w:r w:rsidRPr="0058458C">
              <w:t>35–44</w:t>
            </w:r>
          </w:p>
        </w:tc>
        <w:tc>
          <w:tcPr>
            <w:tcW w:w="918" w:type="pct"/>
            <w:gridSpan w:val="2"/>
            <w:tcBorders>
              <w:top w:val="single" w:sz="6" w:space="0" w:color="808080" w:themeColor="background1" w:themeShade="80"/>
              <w:bottom w:val="single" w:sz="6" w:space="0" w:color="808080" w:themeColor="background1" w:themeShade="80"/>
            </w:tcBorders>
          </w:tcPr>
          <w:p w14:paraId="5C305039" w14:textId="58CC64B1" w:rsidR="004D0D57" w:rsidRPr="0058458C" w:rsidRDefault="004D0D57" w:rsidP="004D0D57">
            <w:pPr>
              <w:pStyle w:val="TableText"/>
              <w:spacing w:before="40" w:after="40"/>
              <w:jc w:val="center"/>
            </w:pPr>
            <w:r w:rsidRPr="004639A6">
              <w:t>1.144</w:t>
            </w:r>
          </w:p>
        </w:tc>
        <w:tc>
          <w:tcPr>
            <w:tcW w:w="949" w:type="pct"/>
            <w:gridSpan w:val="2"/>
            <w:tcBorders>
              <w:top w:val="single" w:sz="6" w:space="0" w:color="808080" w:themeColor="background1" w:themeShade="80"/>
              <w:bottom w:val="single" w:sz="6" w:space="0" w:color="808080" w:themeColor="background1" w:themeShade="80"/>
            </w:tcBorders>
          </w:tcPr>
          <w:p w14:paraId="44828541" w14:textId="77777777" w:rsidR="004D0D57" w:rsidRPr="0058458C" w:rsidRDefault="004D0D57" w:rsidP="004D0D57">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5E3EF3B1" w14:textId="77777777" w:rsidR="004D0D57" w:rsidRPr="0058458C" w:rsidRDefault="004D0D57" w:rsidP="004D0D57">
            <w:pPr>
              <w:pStyle w:val="TableText"/>
              <w:spacing w:before="40" w:after="40"/>
              <w:jc w:val="center"/>
            </w:pPr>
            <w:r w:rsidRPr="0058458C">
              <w:t>4.000</w:t>
            </w:r>
          </w:p>
        </w:tc>
      </w:tr>
      <w:tr w:rsidR="004D0D57" w:rsidRPr="0058458C" w14:paraId="4F4292BE"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16A4BF8E" w14:textId="1DEE0679" w:rsidR="004D0D57" w:rsidRPr="0058458C" w:rsidRDefault="004D0D57" w:rsidP="004D0D57">
            <w:pPr>
              <w:pStyle w:val="TableTextIndent1"/>
              <w:spacing w:before="40" w:after="40"/>
            </w:pPr>
            <w:r w:rsidRPr="0058458C">
              <w:t>45–54</w:t>
            </w:r>
          </w:p>
        </w:tc>
        <w:tc>
          <w:tcPr>
            <w:tcW w:w="918" w:type="pct"/>
            <w:gridSpan w:val="2"/>
            <w:tcBorders>
              <w:top w:val="single" w:sz="6" w:space="0" w:color="808080" w:themeColor="background1" w:themeShade="80"/>
              <w:bottom w:val="single" w:sz="6" w:space="0" w:color="808080" w:themeColor="background1" w:themeShade="80"/>
            </w:tcBorders>
          </w:tcPr>
          <w:p w14:paraId="49556448" w14:textId="343FBA49" w:rsidR="004D0D57" w:rsidRPr="0058458C" w:rsidRDefault="004D0D57" w:rsidP="004D0D57">
            <w:pPr>
              <w:pStyle w:val="TableText"/>
              <w:spacing w:before="40" w:after="40"/>
              <w:jc w:val="center"/>
            </w:pPr>
            <w:r w:rsidRPr="004639A6">
              <w:t>2.766</w:t>
            </w:r>
          </w:p>
        </w:tc>
        <w:tc>
          <w:tcPr>
            <w:tcW w:w="949" w:type="pct"/>
            <w:gridSpan w:val="2"/>
            <w:tcBorders>
              <w:top w:val="single" w:sz="6" w:space="0" w:color="808080" w:themeColor="background1" w:themeShade="80"/>
              <w:bottom w:val="single" w:sz="6" w:space="0" w:color="808080" w:themeColor="background1" w:themeShade="80"/>
            </w:tcBorders>
          </w:tcPr>
          <w:p w14:paraId="6BF4F2BF" w14:textId="77777777" w:rsidR="004D0D57" w:rsidRPr="0058458C" w:rsidRDefault="004D0D57" w:rsidP="004D0D57">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2F118C5D" w14:textId="77777777" w:rsidR="004D0D57" w:rsidRPr="0058458C" w:rsidRDefault="004D0D57" w:rsidP="004D0D57">
            <w:pPr>
              <w:pStyle w:val="TableText"/>
              <w:spacing w:before="40" w:after="40"/>
              <w:jc w:val="center"/>
            </w:pPr>
            <w:r w:rsidRPr="0058458C">
              <w:t>4.000</w:t>
            </w:r>
          </w:p>
        </w:tc>
      </w:tr>
      <w:tr w:rsidR="004D0D57" w:rsidRPr="0058458C" w14:paraId="1DC6EDB5" w14:textId="77777777" w:rsidTr="00E2014A">
        <w:trPr>
          <w:cantSplit/>
        </w:trPr>
        <w:tc>
          <w:tcPr>
            <w:tcW w:w="2184" w:type="pct"/>
            <w:tcBorders>
              <w:top w:val="single" w:sz="6" w:space="0" w:color="808080" w:themeColor="background1" w:themeShade="80"/>
              <w:bottom w:val="single" w:sz="6" w:space="0" w:color="808080" w:themeColor="background1" w:themeShade="80"/>
            </w:tcBorders>
          </w:tcPr>
          <w:p w14:paraId="48045D63" w14:textId="4F7B1C9C" w:rsidR="004D0D57" w:rsidRPr="0058458C" w:rsidRDefault="004D0D57" w:rsidP="004D0D57">
            <w:pPr>
              <w:pStyle w:val="TableTextIndent1"/>
              <w:spacing w:before="40" w:after="40"/>
            </w:pPr>
            <w:r w:rsidRPr="0058458C">
              <w:t>55–64</w:t>
            </w:r>
          </w:p>
        </w:tc>
        <w:tc>
          <w:tcPr>
            <w:tcW w:w="918" w:type="pct"/>
            <w:gridSpan w:val="2"/>
            <w:tcBorders>
              <w:top w:val="single" w:sz="6" w:space="0" w:color="808080" w:themeColor="background1" w:themeShade="80"/>
              <w:bottom w:val="single" w:sz="6" w:space="0" w:color="808080" w:themeColor="background1" w:themeShade="80"/>
            </w:tcBorders>
          </w:tcPr>
          <w:p w14:paraId="6A7F7B0D" w14:textId="0BDA5026" w:rsidR="004D0D57" w:rsidRPr="0058458C" w:rsidRDefault="004D0D57" w:rsidP="004D0D57">
            <w:pPr>
              <w:pStyle w:val="TableText"/>
              <w:spacing w:before="40" w:after="40"/>
              <w:jc w:val="center"/>
            </w:pPr>
            <w:r w:rsidRPr="004639A6">
              <w:t>0.908</w:t>
            </w:r>
          </w:p>
        </w:tc>
        <w:tc>
          <w:tcPr>
            <w:tcW w:w="949" w:type="pct"/>
            <w:gridSpan w:val="2"/>
            <w:tcBorders>
              <w:top w:val="single" w:sz="6" w:space="0" w:color="808080" w:themeColor="background1" w:themeShade="80"/>
              <w:bottom w:val="single" w:sz="6" w:space="0" w:color="808080" w:themeColor="background1" w:themeShade="80"/>
            </w:tcBorders>
          </w:tcPr>
          <w:p w14:paraId="37A084A1" w14:textId="77777777" w:rsidR="004D0D57" w:rsidRPr="0058458C" w:rsidRDefault="004D0D57" w:rsidP="004D0D57">
            <w:pPr>
              <w:pStyle w:val="TableText"/>
              <w:spacing w:before="40" w:after="40"/>
              <w:jc w:val="center"/>
            </w:pPr>
            <w:r w:rsidRPr="0058458C">
              <w:t>0.500</w:t>
            </w:r>
          </w:p>
        </w:tc>
        <w:tc>
          <w:tcPr>
            <w:tcW w:w="949" w:type="pct"/>
            <w:gridSpan w:val="2"/>
            <w:tcBorders>
              <w:top w:val="single" w:sz="6" w:space="0" w:color="808080" w:themeColor="background1" w:themeShade="80"/>
              <w:bottom w:val="single" w:sz="6" w:space="0" w:color="808080" w:themeColor="background1" w:themeShade="80"/>
            </w:tcBorders>
          </w:tcPr>
          <w:p w14:paraId="240CE557" w14:textId="77777777" w:rsidR="004D0D57" w:rsidRPr="0058458C" w:rsidRDefault="004D0D57" w:rsidP="004D0D57">
            <w:pPr>
              <w:pStyle w:val="TableText"/>
              <w:spacing w:before="40" w:after="40"/>
              <w:jc w:val="center"/>
            </w:pPr>
            <w:r w:rsidRPr="0058458C">
              <w:t>4.000</w:t>
            </w:r>
          </w:p>
        </w:tc>
      </w:tr>
      <w:tr w:rsidR="004D0D57" w:rsidRPr="0058458C" w14:paraId="42A75BDC" w14:textId="77777777" w:rsidTr="00F12F29">
        <w:trPr>
          <w:cantSplit/>
        </w:trPr>
        <w:tc>
          <w:tcPr>
            <w:tcW w:w="2184" w:type="pct"/>
            <w:tcBorders>
              <w:top w:val="single" w:sz="6" w:space="0" w:color="808080" w:themeColor="background1" w:themeShade="80"/>
              <w:bottom w:val="single" w:sz="12" w:space="0" w:color="auto"/>
            </w:tcBorders>
          </w:tcPr>
          <w:p w14:paraId="739A0DF2" w14:textId="77777777" w:rsidR="004D0D57" w:rsidRPr="0058458C" w:rsidRDefault="004D0D57" w:rsidP="004D0D57">
            <w:pPr>
              <w:pStyle w:val="TableTextIndent1"/>
              <w:spacing w:before="40" w:after="40"/>
            </w:pPr>
            <w:r w:rsidRPr="0058458C">
              <w:t>65+</w:t>
            </w:r>
          </w:p>
        </w:tc>
        <w:tc>
          <w:tcPr>
            <w:tcW w:w="918" w:type="pct"/>
            <w:gridSpan w:val="2"/>
            <w:tcBorders>
              <w:top w:val="single" w:sz="6" w:space="0" w:color="808080" w:themeColor="background1" w:themeShade="80"/>
              <w:bottom w:val="single" w:sz="12" w:space="0" w:color="auto"/>
            </w:tcBorders>
          </w:tcPr>
          <w:p w14:paraId="7815EAE8" w14:textId="51417C2C" w:rsidR="004D0D57" w:rsidRPr="0058458C" w:rsidRDefault="004D0D57" w:rsidP="004D0D57">
            <w:pPr>
              <w:pStyle w:val="TableText"/>
              <w:spacing w:before="40" w:after="40"/>
              <w:jc w:val="center"/>
            </w:pPr>
            <w:r w:rsidRPr="004639A6">
              <w:t>3.243</w:t>
            </w:r>
          </w:p>
        </w:tc>
        <w:tc>
          <w:tcPr>
            <w:tcW w:w="949" w:type="pct"/>
            <w:gridSpan w:val="2"/>
            <w:tcBorders>
              <w:top w:val="single" w:sz="6" w:space="0" w:color="808080" w:themeColor="background1" w:themeShade="80"/>
              <w:bottom w:val="single" w:sz="12" w:space="0" w:color="auto"/>
            </w:tcBorders>
          </w:tcPr>
          <w:p w14:paraId="7BE1B8FE" w14:textId="77777777" w:rsidR="004D0D57" w:rsidRPr="0058458C" w:rsidRDefault="004D0D57" w:rsidP="004D0D57">
            <w:pPr>
              <w:pStyle w:val="TableText"/>
              <w:spacing w:before="40" w:after="40"/>
              <w:jc w:val="center"/>
            </w:pPr>
            <w:r w:rsidRPr="0058458C">
              <w:t>0.500</w:t>
            </w:r>
          </w:p>
        </w:tc>
        <w:tc>
          <w:tcPr>
            <w:tcW w:w="949" w:type="pct"/>
            <w:gridSpan w:val="2"/>
            <w:tcBorders>
              <w:top w:val="single" w:sz="6" w:space="0" w:color="808080" w:themeColor="background1" w:themeShade="80"/>
              <w:bottom w:val="single" w:sz="12" w:space="0" w:color="auto"/>
            </w:tcBorders>
          </w:tcPr>
          <w:p w14:paraId="1D82EC13" w14:textId="77777777" w:rsidR="004D0D57" w:rsidRPr="0058458C" w:rsidRDefault="004D0D57" w:rsidP="004D0D57">
            <w:pPr>
              <w:pStyle w:val="TableText"/>
              <w:spacing w:before="40" w:after="40"/>
              <w:jc w:val="center"/>
            </w:pPr>
            <w:r w:rsidRPr="0058458C">
              <w:t>4.000</w:t>
            </w:r>
          </w:p>
        </w:tc>
      </w:tr>
    </w:tbl>
    <w:p w14:paraId="57D8C787" w14:textId="5058638E" w:rsidR="00871E69" w:rsidRPr="0058458C" w:rsidRDefault="00EC4628" w:rsidP="00721E7C">
      <w:pPr>
        <w:pStyle w:val="Source1"/>
        <w:spacing w:after="0"/>
        <w:ind w:left="0" w:firstLine="0"/>
      </w:pPr>
      <w:r w:rsidRPr="0058458C">
        <w:t>Note: ART = antiretroviral therapy; HET = heterosexual;</w:t>
      </w:r>
      <w:r w:rsidR="00D568B5" w:rsidRPr="0058458C">
        <w:t xml:space="preserve"> PWID = people who inject drugs;</w:t>
      </w:r>
      <w:r w:rsidRPr="0058458C">
        <w:t xml:space="preserve"> VLS = viral load</w:t>
      </w:r>
      <w:r w:rsidR="00D568B5" w:rsidRPr="0058458C">
        <w:t xml:space="preserve"> suppressed</w:t>
      </w:r>
    </w:p>
    <w:p w14:paraId="67434358" w14:textId="584590EE" w:rsidR="00F14E49" w:rsidRPr="0058458C" w:rsidRDefault="00383B74" w:rsidP="00642FB4">
      <w:pPr>
        <w:pStyle w:val="Source1"/>
        <w:spacing w:before="60"/>
      </w:pPr>
      <w:r w:rsidRPr="0058458C">
        <w:rPr>
          <w:vertAlign w:val="superscript"/>
        </w:rPr>
        <w:t>a</w:t>
      </w:r>
      <w:r w:rsidRPr="0058458C">
        <w:t xml:space="preserve"> Calibrated values reported in this </w:t>
      </w:r>
      <w:r w:rsidR="00642FB4" w:rsidRPr="0058458C">
        <w:t xml:space="preserve">version of the technical report </w:t>
      </w:r>
      <w:r w:rsidR="00871E69" w:rsidRPr="0058458C">
        <w:t xml:space="preserve">are from calibration set </w:t>
      </w:r>
      <w:r w:rsidR="00634B0F" w:rsidRPr="003C3D46">
        <w:rPr>
          <w:iCs/>
        </w:rPr>
        <w:t>LB_916_1</w:t>
      </w:r>
      <w:r w:rsidR="00871E69" w:rsidRPr="0058458C">
        <w:t>.</w:t>
      </w:r>
    </w:p>
    <w:p w14:paraId="1A7B7DE2" w14:textId="723E2540" w:rsidR="00FB4FDA" w:rsidRPr="0058458C" w:rsidRDefault="00BB52C3" w:rsidP="00903B31">
      <w:pPr>
        <w:pStyle w:val="TableTitle"/>
      </w:pPr>
      <w:bookmarkStart w:id="166" w:name="_Toc89257619"/>
      <w:r w:rsidRPr="0058458C">
        <w:t xml:space="preserve">Table </w:t>
      </w:r>
      <w:r w:rsidR="0005114B" w:rsidRPr="0058458C">
        <w:t>1</w:t>
      </w:r>
      <w:r w:rsidR="0005114B">
        <w:t>0</w:t>
      </w:r>
      <w:r w:rsidR="004F4E6D" w:rsidRPr="0058458C">
        <w:t>.</w:t>
      </w:r>
      <w:r w:rsidR="00B51169" w:rsidRPr="0058458C">
        <w:t>2</w:t>
      </w:r>
      <w:r w:rsidR="00FB4FDA" w:rsidRPr="0058458C">
        <w:t>.</w:t>
      </w:r>
      <w:r w:rsidR="00FB4FDA" w:rsidRPr="0058458C">
        <w:tab/>
      </w:r>
      <w:r w:rsidR="003A172B" w:rsidRPr="0058458C">
        <w:t xml:space="preserve">Bounds and Final </w:t>
      </w:r>
      <w:r w:rsidR="00752CC5" w:rsidRPr="0058458C">
        <w:t xml:space="preserve">Values of Inputs Defining </w:t>
      </w:r>
      <w:r w:rsidR="00FB4FDA" w:rsidRPr="0058458C">
        <w:t xml:space="preserve">Behaviors and Infectivity Varied in </w:t>
      </w:r>
      <w:proofErr w:type="spellStart"/>
      <w:r w:rsidR="00FB4FDA" w:rsidRPr="0058458C">
        <w:t>Calibration</w:t>
      </w:r>
      <w:r w:rsidR="000E6D70" w:rsidRPr="0058458C">
        <w:rPr>
          <w:vertAlign w:val="superscript"/>
        </w:rPr>
        <w:t>a</w:t>
      </w:r>
      <w:bookmarkEnd w:id="166"/>
      <w:proofErr w:type="spellEnd"/>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28041E" w:rsidRPr="0058458C" w14:paraId="135C0058" w14:textId="7FA70DE7" w:rsidTr="000E78F7">
        <w:trPr>
          <w:cantSplit/>
          <w:tblHeader/>
        </w:trPr>
        <w:tc>
          <w:tcPr>
            <w:tcW w:w="2150" w:type="pct"/>
            <w:tcBorders>
              <w:top w:val="single" w:sz="12" w:space="0" w:color="auto"/>
              <w:bottom w:val="single" w:sz="6" w:space="0" w:color="auto"/>
            </w:tcBorders>
            <w:vAlign w:val="bottom"/>
          </w:tcPr>
          <w:p w14:paraId="0E9904B2" w14:textId="77777777" w:rsidR="0028041E" w:rsidRPr="0058458C" w:rsidRDefault="0028041E" w:rsidP="000E78F7">
            <w:pPr>
              <w:pStyle w:val="TableHeaders"/>
              <w:spacing w:before="50" w:after="50"/>
            </w:pPr>
            <w:r w:rsidRPr="0058458C">
              <w:t>Parameter</w:t>
            </w:r>
          </w:p>
        </w:tc>
        <w:tc>
          <w:tcPr>
            <w:tcW w:w="951" w:type="pct"/>
            <w:tcBorders>
              <w:top w:val="single" w:sz="12" w:space="0" w:color="auto"/>
              <w:bottom w:val="single" w:sz="6" w:space="0" w:color="auto"/>
            </w:tcBorders>
            <w:vAlign w:val="bottom"/>
          </w:tcPr>
          <w:p w14:paraId="1F55DFFB" w14:textId="77777777" w:rsidR="0028041E" w:rsidRPr="0058458C" w:rsidRDefault="0028041E" w:rsidP="000E78F7">
            <w:pPr>
              <w:pStyle w:val="TableHeaders"/>
              <w:spacing w:before="50" w:after="50"/>
            </w:pPr>
            <w:r w:rsidRPr="0058458C">
              <w:t>Calibrated Value</w:t>
            </w:r>
          </w:p>
        </w:tc>
        <w:tc>
          <w:tcPr>
            <w:tcW w:w="950" w:type="pct"/>
            <w:tcBorders>
              <w:top w:val="single" w:sz="12" w:space="0" w:color="auto"/>
              <w:bottom w:val="single" w:sz="6" w:space="0" w:color="auto"/>
            </w:tcBorders>
            <w:vAlign w:val="bottom"/>
          </w:tcPr>
          <w:p w14:paraId="7D967D3B" w14:textId="470C8B98" w:rsidR="0028041E" w:rsidRPr="0058458C" w:rsidRDefault="0028041E" w:rsidP="000E78F7">
            <w:pPr>
              <w:pStyle w:val="TableHeaders"/>
              <w:spacing w:before="50" w:after="50"/>
            </w:pPr>
            <w:r w:rsidRPr="0058458C">
              <w:t>Lower Bound</w:t>
            </w:r>
          </w:p>
        </w:tc>
        <w:tc>
          <w:tcPr>
            <w:tcW w:w="949" w:type="pct"/>
            <w:tcBorders>
              <w:top w:val="single" w:sz="12" w:space="0" w:color="auto"/>
              <w:bottom w:val="single" w:sz="6" w:space="0" w:color="auto"/>
            </w:tcBorders>
            <w:vAlign w:val="bottom"/>
          </w:tcPr>
          <w:p w14:paraId="46CD480F" w14:textId="47542261" w:rsidR="0028041E" w:rsidRPr="0058458C" w:rsidRDefault="0028041E" w:rsidP="000E78F7">
            <w:pPr>
              <w:pStyle w:val="TableHeaders"/>
              <w:spacing w:before="50" w:after="50"/>
            </w:pPr>
            <w:r w:rsidRPr="0058458C">
              <w:t>Upper Bound</w:t>
            </w:r>
          </w:p>
        </w:tc>
      </w:tr>
      <w:tr w:rsidR="000E78F7" w:rsidRPr="0058458C" w14:paraId="33E042FE" w14:textId="4C524BED" w:rsidTr="000E78F7">
        <w:trPr>
          <w:cantSplit/>
        </w:trPr>
        <w:tc>
          <w:tcPr>
            <w:tcW w:w="5000" w:type="pct"/>
            <w:gridSpan w:val="4"/>
            <w:tcBorders>
              <w:top w:val="single" w:sz="6" w:space="0" w:color="auto"/>
              <w:bottom w:val="single" w:sz="6" w:space="0" w:color="808080" w:themeColor="background1" w:themeShade="80"/>
            </w:tcBorders>
          </w:tcPr>
          <w:p w14:paraId="0C37B332" w14:textId="64843E97" w:rsidR="000E78F7" w:rsidRPr="0058458C" w:rsidRDefault="000E78F7" w:rsidP="004808DD">
            <w:pPr>
              <w:pStyle w:val="TableText"/>
              <w:spacing w:before="50" w:after="50"/>
            </w:pPr>
            <w:r w:rsidRPr="0058458C">
              <w:t>Percentage of sexual partners by transmission group and sex (mixing matrix)</w:t>
            </w:r>
          </w:p>
        </w:tc>
      </w:tr>
      <w:tr w:rsidR="004D0D57" w:rsidRPr="0058458C" w14:paraId="04AF8AE0" w14:textId="4FE22E73" w:rsidTr="004C4731">
        <w:trPr>
          <w:cantSplit/>
        </w:trPr>
        <w:tc>
          <w:tcPr>
            <w:tcW w:w="2150" w:type="pct"/>
            <w:tcBorders>
              <w:top w:val="single" w:sz="6" w:space="0" w:color="808080" w:themeColor="background1" w:themeShade="80"/>
              <w:bottom w:val="single" w:sz="6" w:space="0" w:color="808080" w:themeColor="background1" w:themeShade="80"/>
            </w:tcBorders>
          </w:tcPr>
          <w:p w14:paraId="3D76E743" w14:textId="77777777" w:rsidR="004D0D57" w:rsidRPr="0058458C" w:rsidRDefault="004D0D57" w:rsidP="004D0D57">
            <w:pPr>
              <w:pStyle w:val="TableTextIndent1"/>
              <w:spacing w:before="50" w:after="50"/>
            </w:pPr>
            <w:r w:rsidRPr="0058458C">
              <w:t>HET M: HET F</w:t>
            </w:r>
          </w:p>
        </w:tc>
        <w:tc>
          <w:tcPr>
            <w:tcW w:w="951" w:type="pct"/>
            <w:tcBorders>
              <w:top w:val="single" w:sz="6" w:space="0" w:color="808080" w:themeColor="background1" w:themeShade="80"/>
              <w:bottom w:val="single" w:sz="6" w:space="0" w:color="808080" w:themeColor="background1" w:themeShade="80"/>
            </w:tcBorders>
          </w:tcPr>
          <w:p w14:paraId="1592B8C7" w14:textId="7FD5D858" w:rsidR="004D0D57" w:rsidRPr="0058458C" w:rsidRDefault="004D0D57" w:rsidP="004D0D57">
            <w:pPr>
              <w:pStyle w:val="TableText"/>
              <w:spacing w:before="50" w:after="50"/>
              <w:jc w:val="center"/>
            </w:pPr>
            <w:r w:rsidRPr="00D26F96">
              <w:t>0.977</w:t>
            </w:r>
          </w:p>
        </w:tc>
        <w:tc>
          <w:tcPr>
            <w:tcW w:w="950" w:type="pct"/>
            <w:tcBorders>
              <w:top w:val="single" w:sz="6" w:space="0" w:color="808080" w:themeColor="background1" w:themeShade="80"/>
              <w:bottom w:val="single" w:sz="6" w:space="0" w:color="808080" w:themeColor="background1" w:themeShade="80"/>
            </w:tcBorders>
          </w:tcPr>
          <w:p w14:paraId="1B7F592A" w14:textId="038689D6" w:rsidR="004D0D57" w:rsidRPr="0058458C" w:rsidRDefault="004D0D57" w:rsidP="004D0D57">
            <w:pPr>
              <w:pStyle w:val="TableText"/>
              <w:spacing w:before="50" w:after="50"/>
              <w:jc w:val="center"/>
            </w:pPr>
            <w:r w:rsidRPr="0058458C">
              <w:t>0.950</w:t>
            </w:r>
          </w:p>
        </w:tc>
        <w:tc>
          <w:tcPr>
            <w:tcW w:w="949" w:type="pct"/>
            <w:tcBorders>
              <w:top w:val="single" w:sz="6" w:space="0" w:color="808080" w:themeColor="background1" w:themeShade="80"/>
              <w:bottom w:val="single" w:sz="6" w:space="0" w:color="808080" w:themeColor="background1" w:themeShade="80"/>
            </w:tcBorders>
          </w:tcPr>
          <w:p w14:paraId="331CCED7" w14:textId="5B629874" w:rsidR="004D0D57" w:rsidRPr="0058458C" w:rsidRDefault="004D0D57" w:rsidP="004D0D57">
            <w:pPr>
              <w:pStyle w:val="TableText"/>
              <w:spacing w:before="50" w:after="50"/>
              <w:jc w:val="center"/>
            </w:pPr>
            <w:r w:rsidRPr="0058458C">
              <w:t>0.999</w:t>
            </w:r>
          </w:p>
        </w:tc>
      </w:tr>
      <w:tr w:rsidR="004D0D57" w:rsidRPr="0058458C" w14:paraId="02AB7ACF" w14:textId="7337D882" w:rsidTr="004C4731">
        <w:trPr>
          <w:cantSplit/>
        </w:trPr>
        <w:tc>
          <w:tcPr>
            <w:tcW w:w="2150" w:type="pct"/>
            <w:tcBorders>
              <w:top w:val="single" w:sz="6" w:space="0" w:color="808080" w:themeColor="background1" w:themeShade="80"/>
              <w:bottom w:val="single" w:sz="6" w:space="0" w:color="808080" w:themeColor="background1" w:themeShade="80"/>
            </w:tcBorders>
          </w:tcPr>
          <w:p w14:paraId="5D6F69EC" w14:textId="77777777" w:rsidR="004D0D57" w:rsidRPr="0058458C" w:rsidRDefault="004D0D57" w:rsidP="004D0D57">
            <w:pPr>
              <w:pStyle w:val="TableTextIndent1"/>
              <w:spacing w:before="50" w:after="50"/>
            </w:pPr>
            <w:r w:rsidRPr="0058458C">
              <w:t>HET F: HET M</w:t>
            </w:r>
          </w:p>
        </w:tc>
        <w:tc>
          <w:tcPr>
            <w:tcW w:w="951" w:type="pct"/>
            <w:tcBorders>
              <w:top w:val="single" w:sz="6" w:space="0" w:color="808080" w:themeColor="background1" w:themeShade="80"/>
              <w:bottom w:val="single" w:sz="6" w:space="0" w:color="808080" w:themeColor="background1" w:themeShade="80"/>
            </w:tcBorders>
          </w:tcPr>
          <w:p w14:paraId="163F6591" w14:textId="49D998A9" w:rsidR="004D0D57" w:rsidRPr="0058458C" w:rsidRDefault="004D0D57" w:rsidP="004D0D57">
            <w:pPr>
              <w:pStyle w:val="TableText"/>
              <w:spacing w:before="50" w:after="50"/>
              <w:jc w:val="center"/>
            </w:pPr>
            <w:r w:rsidRPr="00D26F96">
              <w:t>0.971</w:t>
            </w:r>
          </w:p>
        </w:tc>
        <w:tc>
          <w:tcPr>
            <w:tcW w:w="950" w:type="pct"/>
            <w:tcBorders>
              <w:top w:val="single" w:sz="6" w:space="0" w:color="808080" w:themeColor="background1" w:themeShade="80"/>
              <w:bottom w:val="single" w:sz="6" w:space="0" w:color="808080" w:themeColor="background1" w:themeShade="80"/>
            </w:tcBorders>
          </w:tcPr>
          <w:p w14:paraId="471E91D4" w14:textId="707F7F71" w:rsidR="004D0D57" w:rsidRPr="0058458C" w:rsidRDefault="004D0D57" w:rsidP="004D0D57">
            <w:pPr>
              <w:pStyle w:val="TableText"/>
              <w:spacing w:before="50" w:after="50"/>
              <w:jc w:val="center"/>
            </w:pPr>
            <w:r w:rsidRPr="0058458C">
              <w:t>0.960</w:t>
            </w:r>
          </w:p>
        </w:tc>
        <w:tc>
          <w:tcPr>
            <w:tcW w:w="949" w:type="pct"/>
            <w:tcBorders>
              <w:top w:val="single" w:sz="6" w:space="0" w:color="808080" w:themeColor="background1" w:themeShade="80"/>
              <w:bottom w:val="single" w:sz="6" w:space="0" w:color="808080" w:themeColor="background1" w:themeShade="80"/>
            </w:tcBorders>
          </w:tcPr>
          <w:p w14:paraId="4079DB3A" w14:textId="66490211" w:rsidR="004D0D57" w:rsidRPr="0058458C" w:rsidRDefault="004D0D57" w:rsidP="004D0D57">
            <w:pPr>
              <w:pStyle w:val="TableText"/>
              <w:spacing w:before="50" w:after="50"/>
              <w:jc w:val="center"/>
            </w:pPr>
            <w:r w:rsidRPr="0058458C">
              <w:t>0.980</w:t>
            </w:r>
          </w:p>
        </w:tc>
      </w:tr>
      <w:tr w:rsidR="004D0D57" w:rsidRPr="0058458C" w14:paraId="7A4F47C1" w14:textId="1DDC1E68" w:rsidTr="004C4731">
        <w:trPr>
          <w:cantSplit/>
        </w:trPr>
        <w:tc>
          <w:tcPr>
            <w:tcW w:w="2150" w:type="pct"/>
            <w:tcBorders>
              <w:top w:val="single" w:sz="6" w:space="0" w:color="808080" w:themeColor="background1" w:themeShade="80"/>
              <w:bottom w:val="single" w:sz="6" w:space="0" w:color="808080" w:themeColor="background1" w:themeShade="80"/>
            </w:tcBorders>
          </w:tcPr>
          <w:p w14:paraId="0792FBFE" w14:textId="190DF3D8" w:rsidR="004D0D57" w:rsidRPr="0058458C" w:rsidRDefault="004D0D57" w:rsidP="004D0D57">
            <w:pPr>
              <w:pStyle w:val="TableTextIndent1"/>
              <w:spacing w:before="50" w:after="50"/>
            </w:pPr>
            <w:r w:rsidRPr="0058458C">
              <w:t>HET F: PWID M</w:t>
            </w:r>
          </w:p>
        </w:tc>
        <w:tc>
          <w:tcPr>
            <w:tcW w:w="951" w:type="pct"/>
            <w:tcBorders>
              <w:top w:val="single" w:sz="6" w:space="0" w:color="808080" w:themeColor="background1" w:themeShade="80"/>
              <w:bottom w:val="single" w:sz="6" w:space="0" w:color="808080" w:themeColor="background1" w:themeShade="80"/>
            </w:tcBorders>
          </w:tcPr>
          <w:p w14:paraId="2CD9F9DF" w14:textId="3BC26C6D" w:rsidR="004D0D57" w:rsidRPr="0058458C" w:rsidRDefault="004D0D57" w:rsidP="004D0D57">
            <w:pPr>
              <w:pStyle w:val="TableText"/>
              <w:spacing w:before="50" w:after="50"/>
              <w:jc w:val="center"/>
            </w:pPr>
            <w:r w:rsidRPr="00D26F96">
              <w:t>0.002</w:t>
            </w:r>
          </w:p>
        </w:tc>
        <w:tc>
          <w:tcPr>
            <w:tcW w:w="950" w:type="pct"/>
            <w:tcBorders>
              <w:top w:val="single" w:sz="6" w:space="0" w:color="808080" w:themeColor="background1" w:themeShade="80"/>
              <w:bottom w:val="single" w:sz="6" w:space="0" w:color="808080" w:themeColor="background1" w:themeShade="80"/>
            </w:tcBorders>
          </w:tcPr>
          <w:p w14:paraId="31681C48" w14:textId="19E1354C" w:rsidR="004D0D57" w:rsidRPr="0058458C" w:rsidRDefault="004D0D57" w:rsidP="004D0D57">
            <w:pPr>
              <w:pStyle w:val="TableText"/>
              <w:spacing w:before="50" w:after="5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2087498F" w14:textId="6FF8F5AC" w:rsidR="004D0D57" w:rsidRPr="00E832D1" w:rsidRDefault="004D0D57" w:rsidP="004D0D57">
            <w:pPr>
              <w:pStyle w:val="TableText"/>
              <w:spacing w:before="50" w:after="50"/>
              <w:jc w:val="center"/>
            </w:pPr>
            <w:r w:rsidRPr="00E832D1">
              <w:t>0.010</w:t>
            </w:r>
          </w:p>
        </w:tc>
      </w:tr>
      <w:tr w:rsidR="004D0D57" w:rsidRPr="0058458C" w14:paraId="700DE683" w14:textId="011DBB42" w:rsidTr="004C4731">
        <w:trPr>
          <w:cantSplit/>
        </w:trPr>
        <w:tc>
          <w:tcPr>
            <w:tcW w:w="2150" w:type="pct"/>
            <w:tcBorders>
              <w:top w:val="single" w:sz="6" w:space="0" w:color="808080" w:themeColor="background1" w:themeShade="80"/>
              <w:bottom w:val="single" w:sz="6" w:space="0" w:color="808080" w:themeColor="background1" w:themeShade="80"/>
            </w:tcBorders>
          </w:tcPr>
          <w:p w14:paraId="4E80AB07" w14:textId="77777777" w:rsidR="004D0D57" w:rsidRPr="0058458C" w:rsidRDefault="004D0D57" w:rsidP="004D0D57">
            <w:pPr>
              <w:pStyle w:val="TableTextIndent1"/>
              <w:spacing w:before="50" w:after="50"/>
            </w:pPr>
            <w:r w:rsidRPr="0058458C">
              <w:t>MSM: HET F</w:t>
            </w:r>
          </w:p>
        </w:tc>
        <w:tc>
          <w:tcPr>
            <w:tcW w:w="951" w:type="pct"/>
            <w:tcBorders>
              <w:top w:val="single" w:sz="6" w:space="0" w:color="808080" w:themeColor="background1" w:themeShade="80"/>
              <w:bottom w:val="single" w:sz="6" w:space="0" w:color="808080" w:themeColor="background1" w:themeShade="80"/>
            </w:tcBorders>
          </w:tcPr>
          <w:p w14:paraId="392E0562" w14:textId="2CC6740E" w:rsidR="004D0D57" w:rsidRPr="0058458C" w:rsidRDefault="004D0D57" w:rsidP="004D0D57">
            <w:pPr>
              <w:pStyle w:val="TableText"/>
              <w:spacing w:before="50" w:after="50"/>
              <w:jc w:val="center"/>
            </w:pPr>
            <w:r w:rsidRPr="00D26F96">
              <w:t>0.411</w:t>
            </w:r>
          </w:p>
        </w:tc>
        <w:tc>
          <w:tcPr>
            <w:tcW w:w="950" w:type="pct"/>
            <w:tcBorders>
              <w:top w:val="single" w:sz="6" w:space="0" w:color="808080" w:themeColor="background1" w:themeShade="80"/>
              <w:bottom w:val="single" w:sz="6" w:space="0" w:color="808080" w:themeColor="background1" w:themeShade="80"/>
            </w:tcBorders>
          </w:tcPr>
          <w:p w14:paraId="00AA3835" w14:textId="29531CF7" w:rsidR="004D0D57" w:rsidRPr="0058458C" w:rsidRDefault="004D0D57" w:rsidP="004D0D57">
            <w:pPr>
              <w:pStyle w:val="TableText"/>
              <w:spacing w:before="50" w:after="5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6CA59151" w14:textId="748AF556" w:rsidR="004D0D57" w:rsidRPr="00E832D1" w:rsidRDefault="004D0D57" w:rsidP="004D0D57">
            <w:pPr>
              <w:pStyle w:val="TableText"/>
              <w:spacing w:before="50" w:after="50"/>
              <w:jc w:val="center"/>
            </w:pPr>
            <w:r w:rsidRPr="00E832D1">
              <w:t>0.450</w:t>
            </w:r>
          </w:p>
        </w:tc>
      </w:tr>
      <w:tr w:rsidR="004D0D57" w:rsidRPr="0058458C" w14:paraId="78E52742" w14:textId="26C4AF10" w:rsidTr="004C4731">
        <w:trPr>
          <w:cantSplit/>
        </w:trPr>
        <w:tc>
          <w:tcPr>
            <w:tcW w:w="2150" w:type="pct"/>
            <w:tcBorders>
              <w:top w:val="single" w:sz="6" w:space="0" w:color="808080" w:themeColor="background1" w:themeShade="80"/>
              <w:bottom w:val="single" w:sz="6" w:space="0" w:color="808080" w:themeColor="background1" w:themeShade="80"/>
            </w:tcBorders>
          </w:tcPr>
          <w:p w14:paraId="605121B4" w14:textId="47506D53" w:rsidR="004D0D57" w:rsidRPr="0058458C" w:rsidRDefault="004D0D57" w:rsidP="004D0D57">
            <w:pPr>
              <w:pStyle w:val="TableTextIndent1"/>
              <w:spacing w:before="50" w:after="50"/>
            </w:pPr>
            <w:r w:rsidRPr="0058458C">
              <w:t>MSM: PWID F</w:t>
            </w:r>
          </w:p>
        </w:tc>
        <w:tc>
          <w:tcPr>
            <w:tcW w:w="951" w:type="pct"/>
            <w:tcBorders>
              <w:top w:val="single" w:sz="6" w:space="0" w:color="808080" w:themeColor="background1" w:themeShade="80"/>
              <w:bottom w:val="single" w:sz="6" w:space="0" w:color="808080" w:themeColor="background1" w:themeShade="80"/>
            </w:tcBorders>
          </w:tcPr>
          <w:p w14:paraId="2386E8CF" w14:textId="545F0A7C" w:rsidR="004D0D57" w:rsidRPr="0058458C" w:rsidRDefault="004D0D57" w:rsidP="004D0D57">
            <w:pPr>
              <w:pStyle w:val="TableText"/>
              <w:spacing w:before="50" w:after="50"/>
              <w:jc w:val="center"/>
            </w:pPr>
            <w:r w:rsidRPr="00D26F96">
              <w:t>0.002</w:t>
            </w:r>
          </w:p>
        </w:tc>
        <w:tc>
          <w:tcPr>
            <w:tcW w:w="950" w:type="pct"/>
            <w:tcBorders>
              <w:top w:val="single" w:sz="6" w:space="0" w:color="808080" w:themeColor="background1" w:themeShade="80"/>
              <w:bottom w:val="single" w:sz="6" w:space="0" w:color="808080" w:themeColor="background1" w:themeShade="80"/>
            </w:tcBorders>
          </w:tcPr>
          <w:p w14:paraId="7D5A1F71" w14:textId="11F2DAA2" w:rsidR="004D0D57" w:rsidRPr="0058458C" w:rsidRDefault="004D0D57" w:rsidP="004D0D57">
            <w:pPr>
              <w:pStyle w:val="TableText"/>
              <w:spacing w:before="50" w:after="5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627CC78F" w14:textId="3CF5B3FB" w:rsidR="004D0D57" w:rsidRPr="00E832D1" w:rsidRDefault="004D0D57" w:rsidP="004D0D57">
            <w:pPr>
              <w:pStyle w:val="TableText"/>
              <w:spacing w:before="50" w:after="50"/>
              <w:jc w:val="center"/>
            </w:pPr>
            <w:r w:rsidRPr="00E832D1">
              <w:t>0.010</w:t>
            </w:r>
          </w:p>
        </w:tc>
      </w:tr>
      <w:tr w:rsidR="004D0D57" w:rsidRPr="0058458C" w14:paraId="495B3F6C" w14:textId="6800B57A" w:rsidTr="004C4731">
        <w:trPr>
          <w:cantSplit/>
        </w:trPr>
        <w:tc>
          <w:tcPr>
            <w:tcW w:w="2150" w:type="pct"/>
            <w:tcBorders>
              <w:top w:val="single" w:sz="6" w:space="0" w:color="808080" w:themeColor="background1" w:themeShade="80"/>
              <w:bottom w:val="single" w:sz="6" w:space="0" w:color="808080" w:themeColor="background1" w:themeShade="80"/>
            </w:tcBorders>
          </w:tcPr>
          <w:p w14:paraId="0A1FFCE6" w14:textId="66F38F24" w:rsidR="004D0D57" w:rsidRPr="0058458C" w:rsidRDefault="004D0D57" w:rsidP="004D0D57">
            <w:pPr>
              <w:pStyle w:val="TableTextIndent1"/>
              <w:spacing w:before="50" w:after="50"/>
            </w:pPr>
            <w:r w:rsidRPr="0058458C">
              <w:t>PWID M: PWID F</w:t>
            </w:r>
          </w:p>
        </w:tc>
        <w:tc>
          <w:tcPr>
            <w:tcW w:w="951" w:type="pct"/>
            <w:tcBorders>
              <w:top w:val="single" w:sz="6" w:space="0" w:color="808080" w:themeColor="background1" w:themeShade="80"/>
              <w:bottom w:val="single" w:sz="6" w:space="0" w:color="808080" w:themeColor="background1" w:themeShade="80"/>
            </w:tcBorders>
          </w:tcPr>
          <w:p w14:paraId="0835C904" w14:textId="5D22293C" w:rsidR="004D0D57" w:rsidRPr="0058458C" w:rsidRDefault="004D0D57" w:rsidP="004D0D57">
            <w:pPr>
              <w:pStyle w:val="TableText"/>
              <w:spacing w:before="50" w:after="50"/>
              <w:jc w:val="center"/>
            </w:pPr>
            <w:r w:rsidRPr="00D26F96">
              <w:t>0.406</w:t>
            </w:r>
          </w:p>
        </w:tc>
        <w:tc>
          <w:tcPr>
            <w:tcW w:w="950" w:type="pct"/>
            <w:tcBorders>
              <w:top w:val="single" w:sz="6" w:space="0" w:color="808080" w:themeColor="background1" w:themeShade="80"/>
              <w:bottom w:val="single" w:sz="6" w:space="0" w:color="808080" w:themeColor="background1" w:themeShade="80"/>
            </w:tcBorders>
          </w:tcPr>
          <w:p w14:paraId="7A554D88" w14:textId="7D37E4B4" w:rsidR="004D0D57" w:rsidRPr="0058458C" w:rsidRDefault="004D0D57" w:rsidP="004D0D57">
            <w:pPr>
              <w:pStyle w:val="TableText"/>
              <w:spacing w:before="50" w:after="5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7E3F052C" w14:textId="644DB743" w:rsidR="004D0D57" w:rsidRPr="0058458C" w:rsidRDefault="004D0D57" w:rsidP="004D0D57">
            <w:pPr>
              <w:pStyle w:val="TableText"/>
              <w:spacing w:before="50" w:after="50"/>
              <w:jc w:val="center"/>
            </w:pPr>
            <w:r w:rsidRPr="0058458C">
              <w:t>0.800</w:t>
            </w:r>
          </w:p>
        </w:tc>
      </w:tr>
      <w:tr w:rsidR="004D0D57" w:rsidRPr="0058458C" w14:paraId="5B210FEF" w14:textId="52B672DA" w:rsidTr="004C4731">
        <w:trPr>
          <w:cantSplit/>
        </w:trPr>
        <w:tc>
          <w:tcPr>
            <w:tcW w:w="2150" w:type="pct"/>
            <w:tcBorders>
              <w:top w:val="single" w:sz="6" w:space="0" w:color="808080" w:themeColor="background1" w:themeShade="80"/>
              <w:bottom w:val="single" w:sz="6" w:space="0" w:color="808080" w:themeColor="background1" w:themeShade="80"/>
            </w:tcBorders>
          </w:tcPr>
          <w:p w14:paraId="4C9CDCCA" w14:textId="7EDDFE81" w:rsidR="004D0D57" w:rsidRPr="0058458C" w:rsidRDefault="004D0D57" w:rsidP="004D0D57">
            <w:pPr>
              <w:pStyle w:val="TableTextIndent1"/>
              <w:spacing w:before="50" w:after="50"/>
            </w:pPr>
            <w:r w:rsidRPr="0058458C">
              <w:t>PWID F: PWID M</w:t>
            </w:r>
          </w:p>
        </w:tc>
        <w:tc>
          <w:tcPr>
            <w:tcW w:w="951" w:type="pct"/>
            <w:tcBorders>
              <w:top w:val="single" w:sz="6" w:space="0" w:color="808080" w:themeColor="background1" w:themeShade="80"/>
              <w:bottom w:val="single" w:sz="6" w:space="0" w:color="808080" w:themeColor="background1" w:themeShade="80"/>
            </w:tcBorders>
          </w:tcPr>
          <w:p w14:paraId="38CF00F5" w14:textId="0294DC1C" w:rsidR="004D0D57" w:rsidRPr="0058458C" w:rsidRDefault="004D0D57" w:rsidP="004D0D57">
            <w:pPr>
              <w:pStyle w:val="TableText"/>
              <w:spacing w:before="50" w:after="50"/>
              <w:jc w:val="center"/>
            </w:pPr>
            <w:r w:rsidRPr="00D26F96">
              <w:t>0.359</w:t>
            </w:r>
          </w:p>
        </w:tc>
        <w:tc>
          <w:tcPr>
            <w:tcW w:w="950" w:type="pct"/>
            <w:tcBorders>
              <w:top w:val="single" w:sz="6" w:space="0" w:color="808080" w:themeColor="background1" w:themeShade="80"/>
              <w:bottom w:val="single" w:sz="6" w:space="0" w:color="808080" w:themeColor="background1" w:themeShade="80"/>
            </w:tcBorders>
          </w:tcPr>
          <w:p w14:paraId="64128920" w14:textId="147C7882" w:rsidR="004D0D57" w:rsidRPr="0058458C" w:rsidRDefault="004D0D57" w:rsidP="004D0D57">
            <w:pPr>
              <w:pStyle w:val="TableText"/>
              <w:spacing w:before="50" w:after="5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3C60F76D" w14:textId="0627CDAD" w:rsidR="004D0D57" w:rsidRPr="0058458C" w:rsidRDefault="004D0D57" w:rsidP="004D0D57">
            <w:pPr>
              <w:pStyle w:val="TableText"/>
              <w:spacing w:before="50" w:after="50"/>
              <w:jc w:val="center"/>
            </w:pPr>
            <w:r w:rsidRPr="0058458C">
              <w:t>0.800</w:t>
            </w:r>
          </w:p>
        </w:tc>
      </w:tr>
      <w:tr w:rsidR="0028041E" w:rsidRPr="0058458C" w14:paraId="1DD2F0F9" w14:textId="6F00EF74" w:rsidTr="004C4731">
        <w:trPr>
          <w:cantSplit/>
        </w:trPr>
        <w:tc>
          <w:tcPr>
            <w:tcW w:w="3101" w:type="pct"/>
            <w:gridSpan w:val="2"/>
            <w:tcBorders>
              <w:top w:val="single" w:sz="6" w:space="0" w:color="808080" w:themeColor="background1" w:themeShade="80"/>
              <w:bottom w:val="single" w:sz="6" w:space="0" w:color="808080" w:themeColor="background1" w:themeShade="80"/>
            </w:tcBorders>
          </w:tcPr>
          <w:p w14:paraId="5C4B6697" w14:textId="3908122E" w:rsidR="0028041E" w:rsidRPr="0058458C" w:rsidRDefault="0028041E" w:rsidP="004808DD">
            <w:pPr>
              <w:pStyle w:val="TableText"/>
              <w:spacing w:before="50" w:after="50"/>
            </w:pPr>
            <w:r w:rsidRPr="0058458C">
              <w:t>Percentage of sexual partners by risk level (mixing matrix)</w:t>
            </w:r>
          </w:p>
        </w:tc>
        <w:tc>
          <w:tcPr>
            <w:tcW w:w="950" w:type="pct"/>
            <w:tcBorders>
              <w:top w:val="single" w:sz="6" w:space="0" w:color="808080" w:themeColor="background1" w:themeShade="80"/>
              <w:bottom w:val="single" w:sz="6" w:space="0" w:color="808080" w:themeColor="background1" w:themeShade="80"/>
            </w:tcBorders>
          </w:tcPr>
          <w:p w14:paraId="0D414926" w14:textId="77777777" w:rsidR="0028041E" w:rsidRPr="0058458C" w:rsidRDefault="0028041E" w:rsidP="004808DD">
            <w:pPr>
              <w:pStyle w:val="TableText"/>
              <w:spacing w:before="50" w:after="50"/>
            </w:pPr>
          </w:p>
        </w:tc>
        <w:tc>
          <w:tcPr>
            <w:tcW w:w="949" w:type="pct"/>
            <w:tcBorders>
              <w:top w:val="single" w:sz="6" w:space="0" w:color="808080" w:themeColor="background1" w:themeShade="80"/>
              <w:bottom w:val="single" w:sz="6" w:space="0" w:color="808080" w:themeColor="background1" w:themeShade="80"/>
            </w:tcBorders>
          </w:tcPr>
          <w:p w14:paraId="11EF33B3" w14:textId="77777777" w:rsidR="0028041E" w:rsidRPr="0058458C" w:rsidRDefault="0028041E" w:rsidP="004808DD">
            <w:pPr>
              <w:pStyle w:val="TableText"/>
              <w:spacing w:before="50" w:after="50"/>
            </w:pPr>
          </w:p>
        </w:tc>
      </w:tr>
      <w:tr w:rsidR="004D0D57" w:rsidRPr="0058458C" w14:paraId="3CF0E64B" w14:textId="209F0590" w:rsidTr="004C4731">
        <w:trPr>
          <w:cantSplit/>
        </w:trPr>
        <w:tc>
          <w:tcPr>
            <w:tcW w:w="2150" w:type="pct"/>
            <w:tcBorders>
              <w:top w:val="single" w:sz="6" w:space="0" w:color="808080" w:themeColor="background1" w:themeShade="80"/>
              <w:bottom w:val="single" w:sz="6" w:space="0" w:color="808080" w:themeColor="background1" w:themeShade="80"/>
            </w:tcBorders>
          </w:tcPr>
          <w:p w14:paraId="40733A87" w14:textId="36A5BAA1" w:rsidR="004D0D57" w:rsidRPr="0058458C" w:rsidRDefault="004D0D57" w:rsidP="004D0D57">
            <w:pPr>
              <w:pStyle w:val="TableTextIndent1"/>
              <w:spacing w:before="50" w:after="50"/>
            </w:pPr>
            <w:r w:rsidRPr="0058458C">
              <w:t>HET/PWID—Low: Low</w:t>
            </w:r>
          </w:p>
        </w:tc>
        <w:tc>
          <w:tcPr>
            <w:tcW w:w="951" w:type="pct"/>
            <w:tcBorders>
              <w:top w:val="single" w:sz="6" w:space="0" w:color="808080" w:themeColor="background1" w:themeShade="80"/>
              <w:bottom w:val="single" w:sz="6" w:space="0" w:color="808080" w:themeColor="background1" w:themeShade="80"/>
            </w:tcBorders>
          </w:tcPr>
          <w:p w14:paraId="1F991E1E" w14:textId="23CCD492" w:rsidR="004D0D57" w:rsidRPr="0058458C" w:rsidRDefault="004D0D57" w:rsidP="004D0D57">
            <w:pPr>
              <w:pStyle w:val="TableText"/>
              <w:spacing w:before="50" w:after="50"/>
              <w:jc w:val="center"/>
            </w:pPr>
            <w:r w:rsidRPr="00CA322A">
              <w:t>0.933</w:t>
            </w:r>
          </w:p>
        </w:tc>
        <w:tc>
          <w:tcPr>
            <w:tcW w:w="950" w:type="pct"/>
            <w:tcBorders>
              <w:top w:val="single" w:sz="6" w:space="0" w:color="808080" w:themeColor="background1" w:themeShade="80"/>
              <w:bottom w:val="single" w:sz="6" w:space="0" w:color="808080" w:themeColor="background1" w:themeShade="80"/>
            </w:tcBorders>
          </w:tcPr>
          <w:p w14:paraId="3E16BBE3" w14:textId="221ED190" w:rsidR="004D0D57" w:rsidRPr="006E7529" w:rsidRDefault="004D0D57" w:rsidP="004D0D57">
            <w:pPr>
              <w:pStyle w:val="TableText"/>
              <w:spacing w:before="50" w:after="50"/>
              <w:jc w:val="center"/>
            </w:pPr>
            <w:r w:rsidRPr="006E7529">
              <w:t>0.850</w:t>
            </w:r>
          </w:p>
        </w:tc>
        <w:tc>
          <w:tcPr>
            <w:tcW w:w="949" w:type="pct"/>
            <w:tcBorders>
              <w:top w:val="single" w:sz="6" w:space="0" w:color="808080" w:themeColor="background1" w:themeShade="80"/>
              <w:bottom w:val="single" w:sz="6" w:space="0" w:color="808080" w:themeColor="background1" w:themeShade="80"/>
            </w:tcBorders>
          </w:tcPr>
          <w:p w14:paraId="0FA52D3F" w14:textId="135A35EA" w:rsidR="004D0D57" w:rsidRPr="006E7529" w:rsidRDefault="004D0D57" w:rsidP="004D0D57">
            <w:pPr>
              <w:pStyle w:val="TableText"/>
              <w:spacing w:before="50" w:after="50"/>
              <w:jc w:val="center"/>
            </w:pPr>
            <w:r w:rsidRPr="006E7529">
              <w:t>0.999</w:t>
            </w:r>
          </w:p>
        </w:tc>
      </w:tr>
      <w:tr w:rsidR="004D0D57" w:rsidRPr="0058458C" w14:paraId="47FFAE6D" w14:textId="4EC58BC0" w:rsidTr="00750070">
        <w:trPr>
          <w:cantSplit/>
        </w:trPr>
        <w:tc>
          <w:tcPr>
            <w:tcW w:w="2150" w:type="pct"/>
            <w:tcBorders>
              <w:top w:val="single" w:sz="6" w:space="0" w:color="808080" w:themeColor="background1" w:themeShade="80"/>
              <w:bottom w:val="single" w:sz="6" w:space="0" w:color="808080" w:themeColor="background1" w:themeShade="80"/>
            </w:tcBorders>
          </w:tcPr>
          <w:p w14:paraId="00BF8D0A" w14:textId="7268E534" w:rsidR="004D0D57" w:rsidRPr="0058458C" w:rsidRDefault="004D0D57" w:rsidP="004D0D57">
            <w:pPr>
              <w:pStyle w:val="TableTextIndent1"/>
              <w:spacing w:before="50" w:after="50"/>
            </w:pPr>
            <w:r w:rsidRPr="0058458C">
              <w:t>HET/PWID—High: High</w:t>
            </w:r>
          </w:p>
        </w:tc>
        <w:tc>
          <w:tcPr>
            <w:tcW w:w="951" w:type="pct"/>
            <w:tcBorders>
              <w:top w:val="single" w:sz="6" w:space="0" w:color="808080" w:themeColor="background1" w:themeShade="80"/>
              <w:bottom w:val="single" w:sz="6" w:space="0" w:color="808080" w:themeColor="background1" w:themeShade="80"/>
            </w:tcBorders>
          </w:tcPr>
          <w:p w14:paraId="4F92582D" w14:textId="0403B9F0" w:rsidR="004D0D57" w:rsidRPr="0058458C" w:rsidRDefault="004D0D57" w:rsidP="004D0D57">
            <w:pPr>
              <w:pStyle w:val="TableText"/>
              <w:spacing w:before="50" w:after="50"/>
              <w:jc w:val="center"/>
            </w:pPr>
            <w:r w:rsidRPr="00CA322A">
              <w:t>0.718</w:t>
            </w:r>
          </w:p>
        </w:tc>
        <w:tc>
          <w:tcPr>
            <w:tcW w:w="950" w:type="pct"/>
            <w:tcBorders>
              <w:top w:val="single" w:sz="6" w:space="0" w:color="808080" w:themeColor="background1" w:themeShade="80"/>
              <w:bottom w:val="single" w:sz="6" w:space="0" w:color="808080" w:themeColor="background1" w:themeShade="80"/>
            </w:tcBorders>
          </w:tcPr>
          <w:p w14:paraId="7F25C20B" w14:textId="06D3191E" w:rsidR="004D0D57" w:rsidRPr="006E7529" w:rsidRDefault="004D0D57" w:rsidP="004D0D57">
            <w:pPr>
              <w:pStyle w:val="TableText"/>
              <w:spacing w:before="50" w:after="50"/>
              <w:jc w:val="center"/>
            </w:pPr>
            <w:r w:rsidRPr="006E7529">
              <w:t>0.600</w:t>
            </w:r>
          </w:p>
        </w:tc>
        <w:tc>
          <w:tcPr>
            <w:tcW w:w="949" w:type="pct"/>
            <w:tcBorders>
              <w:top w:val="single" w:sz="6" w:space="0" w:color="808080" w:themeColor="background1" w:themeShade="80"/>
              <w:bottom w:val="single" w:sz="6" w:space="0" w:color="808080" w:themeColor="background1" w:themeShade="80"/>
            </w:tcBorders>
          </w:tcPr>
          <w:p w14:paraId="0B8F11A1" w14:textId="6B7755D5" w:rsidR="004D0D57" w:rsidRPr="006E7529" w:rsidRDefault="004D0D57" w:rsidP="004D0D57">
            <w:pPr>
              <w:pStyle w:val="TableText"/>
              <w:spacing w:before="50" w:after="50"/>
              <w:jc w:val="center"/>
            </w:pPr>
            <w:r w:rsidRPr="006E7529">
              <w:t>0.990</w:t>
            </w:r>
          </w:p>
        </w:tc>
      </w:tr>
      <w:tr w:rsidR="004D0D57" w:rsidRPr="0058458C" w14:paraId="3CF47385" w14:textId="0AA40EE7" w:rsidTr="004C4731">
        <w:trPr>
          <w:cantSplit/>
        </w:trPr>
        <w:tc>
          <w:tcPr>
            <w:tcW w:w="2150" w:type="pct"/>
            <w:tcBorders>
              <w:top w:val="single" w:sz="6" w:space="0" w:color="808080" w:themeColor="background1" w:themeShade="80"/>
              <w:bottom w:val="single" w:sz="6" w:space="0" w:color="808080" w:themeColor="background1" w:themeShade="80"/>
            </w:tcBorders>
          </w:tcPr>
          <w:p w14:paraId="36D356AD" w14:textId="22FC6B98" w:rsidR="004D0D57" w:rsidRPr="0058458C" w:rsidRDefault="004D0D57" w:rsidP="004D0D57">
            <w:pPr>
              <w:pStyle w:val="TableTextIndent1"/>
              <w:spacing w:before="50" w:after="50"/>
            </w:pPr>
            <w:r w:rsidRPr="0058458C">
              <w:t>MSM—Low: Low</w:t>
            </w:r>
          </w:p>
        </w:tc>
        <w:tc>
          <w:tcPr>
            <w:tcW w:w="951" w:type="pct"/>
            <w:tcBorders>
              <w:top w:val="single" w:sz="6" w:space="0" w:color="808080" w:themeColor="background1" w:themeShade="80"/>
              <w:bottom w:val="single" w:sz="6" w:space="0" w:color="808080" w:themeColor="background1" w:themeShade="80"/>
            </w:tcBorders>
          </w:tcPr>
          <w:p w14:paraId="64B104D6" w14:textId="1E00EEF3" w:rsidR="004D0D57" w:rsidRPr="0058458C" w:rsidRDefault="004D0D57" w:rsidP="004D0D57">
            <w:pPr>
              <w:pStyle w:val="TableText"/>
              <w:spacing w:before="50" w:after="50"/>
              <w:jc w:val="center"/>
            </w:pPr>
            <w:r w:rsidRPr="00CA322A">
              <w:t>0.901</w:t>
            </w:r>
          </w:p>
        </w:tc>
        <w:tc>
          <w:tcPr>
            <w:tcW w:w="950" w:type="pct"/>
            <w:tcBorders>
              <w:top w:val="single" w:sz="6" w:space="0" w:color="808080" w:themeColor="background1" w:themeShade="80"/>
              <w:bottom w:val="single" w:sz="6" w:space="0" w:color="808080" w:themeColor="background1" w:themeShade="80"/>
            </w:tcBorders>
          </w:tcPr>
          <w:p w14:paraId="1062A543" w14:textId="690A4B5B" w:rsidR="004D0D57" w:rsidRPr="006E7529" w:rsidRDefault="004D0D57" w:rsidP="004D0D57">
            <w:pPr>
              <w:pStyle w:val="TableText"/>
              <w:spacing w:before="50" w:after="50"/>
              <w:jc w:val="center"/>
            </w:pPr>
            <w:r w:rsidRPr="006E7529">
              <w:t>0.600</w:t>
            </w:r>
          </w:p>
        </w:tc>
        <w:tc>
          <w:tcPr>
            <w:tcW w:w="949" w:type="pct"/>
            <w:tcBorders>
              <w:top w:val="single" w:sz="6" w:space="0" w:color="808080" w:themeColor="background1" w:themeShade="80"/>
              <w:bottom w:val="single" w:sz="6" w:space="0" w:color="808080" w:themeColor="background1" w:themeShade="80"/>
            </w:tcBorders>
          </w:tcPr>
          <w:p w14:paraId="52DC7D59" w14:textId="09E34C3A" w:rsidR="004D0D57" w:rsidRPr="006E7529" w:rsidRDefault="004D0D57" w:rsidP="004D0D57">
            <w:pPr>
              <w:pStyle w:val="TableText"/>
              <w:spacing w:before="50" w:after="50"/>
              <w:jc w:val="center"/>
            </w:pPr>
            <w:r w:rsidRPr="006E7529">
              <w:t>0.990</w:t>
            </w:r>
          </w:p>
        </w:tc>
      </w:tr>
      <w:tr w:rsidR="004D0D57" w:rsidRPr="0058458C" w14:paraId="07A345B1" w14:textId="6FC19978" w:rsidTr="00750070">
        <w:trPr>
          <w:cantSplit/>
        </w:trPr>
        <w:tc>
          <w:tcPr>
            <w:tcW w:w="2150" w:type="pct"/>
            <w:tcBorders>
              <w:top w:val="single" w:sz="6" w:space="0" w:color="808080" w:themeColor="background1" w:themeShade="80"/>
              <w:bottom w:val="single" w:sz="6" w:space="0" w:color="808080" w:themeColor="background1" w:themeShade="80"/>
            </w:tcBorders>
          </w:tcPr>
          <w:p w14:paraId="090080FF" w14:textId="6383D144" w:rsidR="004D0D57" w:rsidRPr="0058458C" w:rsidRDefault="004D0D57" w:rsidP="004D0D57">
            <w:pPr>
              <w:pStyle w:val="TableTextIndent1"/>
              <w:spacing w:before="50" w:after="50"/>
            </w:pPr>
            <w:r w:rsidRPr="0058458C">
              <w:t>MSM—High: High</w:t>
            </w:r>
          </w:p>
        </w:tc>
        <w:tc>
          <w:tcPr>
            <w:tcW w:w="951" w:type="pct"/>
            <w:tcBorders>
              <w:top w:val="single" w:sz="6" w:space="0" w:color="808080" w:themeColor="background1" w:themeShade="80"/>
              <w:bottom w:val="single" w:sz="6" w:space="0" w:color="808080" w:themeColor="background1" w:themeShade="80"/>
            </w:tcBorders>
          </w:tcPr>
          <w:p w14:paraId="73617BA5" w14:textId="24DBB40D" w:rsidR="004D0D57" w:rsidRPr="0058458C" w:rsidRDefault="004D0D57" w:rsidP="004D0D57">
            <w:pPr>
              <w:pStyle w:val="TableText"/>
              <w:spacing w:before="50" w:after="50"/>
              <w:jc w:val="center"/>
            </w:pPr>
            <w:r w:rsidRPr="00CA322A">
              <w:t>0.959</w:t>
            </w:r>
          </w:p>
        </w:tc>
        <w:tc>
          <w:tcPr>
            <w:tcW w:w="950" w:type="pct"/>
            <w:tcBorders>
              <w:top w:val="single" w:sz="6" w:space="0" w:color="808080" w:themeColor="background1" w:themeShade="80"/>
              <w:bottom w:val="single" w:sz="6" w:space="0" w:color="808080" w:themeColor="background1" w:themeShade="80"/>
            </w:tcBorders>
          </w:tcPr>
          <w:p w14:paraId="1E45BF29" w14:textId="4AF9DD2A" w:rsidR="004D0D57" w:rsidRPr="006E7529" w:rsidRDefault="004D0D57" w:rsidP="004D0D57">
            <w:pPr>
              <w:pStyle w:val="TableText"/>
              <w:spacing w:before="50" w:after="50"/>
              <w:jc w:val="center"/>
            </w:pPr>
            <w:r w:rsidRPr="006E7529">
              <w:t>0.450</w:t>
            </w:r>
          </w:p>
        </w:tc>
        <w:tc>
          <w:tcPr>
            <w:tcW w:w="949" w:type="pct"/>
            <w:tcBorders>
              <w:top w:val="single" w:sz="6" w:space="0" w:color="808080" w:themeColor="background1" w:themeShade="80"/>
              <w:bottom w:val="single" w:sz="6" w:space="0" w:color="808080" w:themeColor="background1" w:themeShade="80"/>
            </w:tcBorders>
          </w:tcPr>
          <w:p w14:paraId="71297E23" w14:textId="63F5FC2E" w:rsidR="004D0D57" w:rsidRPr="006E7529" w:rsidRDefault="004D0D57" w:rsidP="004D0D57">
            <w:pPr>
              <w:pStyle w:val="TableText"/>
              <w:spacing w:before="50" w:after="50"/>
              <w:jc w:val="center"/>
            </w:pPr>
            <w:r w:rsidRPr="006E7529">
              <w:t>0.990</w:t>
            </w:r>
          </w:p>
        </w:tc>
      </w:tr>
      <w:tr w:rsidR="000E78F7" w:rsidRPr="0058458C" w14:paraId="312AE026" w14:textId="77777777" w:rsidTr="00750070">
        <w:trPr>
          <w:cantSplit/>
        </w:trPr>
        <w:tc>
          <w:tcPr>
            <w:tcW w:w="5000" w:type="pct"/>
            <w:gridSpan w:val="4"/>
            <w:tcBorders>
              <w:top w:val="single" w:sz="6" w:space="0" w:color="808080" w:themeColor="background1" w:themeShade="80"/>
              <w:bottom w:val="single" w:sz="6" w:space="0" w:color="808080" w:themeColor="background1" w:themeShade="80"/>
            </w:tcBorders>
          </w:tcPr>
          <w:p w14:paraId="6B72E0E7" w14:textId="0C0A2F11" w:rsidR="000E78F7" w:rsidRPr="0058458C" w:rsidRDefault="000E78F7" w:rsidP="003924B7">
            <w:pPr>
              <w:pStyle w:val="TableText"/>
              <w:spacing w:before="50" w:after="50"/>
            </w:pPr>
            <w:r w:rsidRPr="0058458C">
              <w:t>Percentage of sexual partners by race (mixing matrix) for HETs and PWID</w:t>
            </w:r>
          </w:p>
        </w:tc>
      </w:tr>
      <w:tr w:rsidR="004D0D57" w:rsidRPr="0058458C" w14:paraId="73B2487E"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54E5F0BD" w14:textId="77777777" w:rsidR="004D0D57" w:rsidRPr="0058458C" w:rsidRDefault="004D0D57" w:rsidP="004D0D57">
            <w:pPr>
              <w:pStyle w:val="TableTextIndent1"/>
              <w:spacing w:before="50" w:after="50"/>
            </w:pPr>
            <w:r w:rsidRPr="0058458C">
              <w:t>Black: Hispanic</w:t>
            </w:r>
          </w:p>
        </w:tc>
        <w:tc>
          <w:tcPr>
            <w:tcW w:w="951" w:type="pct"/>
            <w:tcBorders>
              <w:top w:val="single" w:sz="6" w:space="0" w:color="808080" w:themeColor="background1" w:themeShade="80"/>
              <w:bottom w:val="single" w:sz="6" w:space="0" w:color="808080" w:themeColor="background1" w:themeShade="80"/>
            </w:tcBorders>
          </w:tcPr>
          <w:p w14:paraId="145161D2" w14:textId="1B970D0C" w:rsidR="004D0D57" w:rsidRPr="0058458C" w:rsidRDefault="004D0D57" w:rsidP="004D0D57">
            <w:pPr>
              <w:pStyle w:val="TableText"/>
              <w:spacing w:before="50" w:after="50"/>
              <w:jc w:val="center"/>
            </w:pPr>
            <w:r w:rsidRPr="00004619">
              <w:t>0.028</w:t>
            </w:r>
          </w:p>
        </w:tc>
        <w:tc>
          <w:tcPr>
            <w:tcW w:w="950" w:type="pct"/>
            <w:tcBorders>
              <w:top w:val="single" w:sz="6" w:space="0" w:color="808080" w:themeColor="background1" w:themeShade="80"/>
              <w:bottom w:val="single" w:sz="6" w:space="0" w:color="808080" w:themeColor="background1" w:themeShade="80"/>
            </w:tcBorders>
          </w:tcPr>
          <w:p w14:paraId="112282FE" w14:textId="49347CD1" w:rsidR="004D0D57" w:rsidRPr="005821C6" w:rsidRDefault="004D0D57" w:rsidP="004D0D57">
            <w:pPr>
              <w:pStyle w:val="TableText"/>
              <w:spacing w:before="50" w:after="50"/>
              <w:jc w:val="center"/>
            </w:pPr>
            <w:r w:rsidRPr="007930B2">
              <w:t>0.0</w:t>
            </w:r>
            <w:r w:rsidRPr="005821C6">
              <w:t>05</w:t>
            </w:r>
          </w:p>
        </w:tc>
        <w:tc>
          <w:tcPr>
            <w:tcW w:w="949" w:type="pct"/>
            <w:tcBorders>
              <w:top w:val="single" w:sz="6" w:space="0" w:color="808080" w:themeColor="background1" w:themeShade="80"/>
              <w:bottom w:val="single" w:sz="6" w:space="0" w:color="808080" w:themeColor="background1" w:themeShade="80"/>
            </w:tcBorders>
          </w:tcPr>
          <w:p w14:paraId="74080B9C" w14:textId="77777777" w:rsidR="004D0D57" w:rsidRPr="0058458C" w:rsidRDefault="004D0D57" w:rsidP="004D0D57">
            <w:pPr>
              <w:pStyle w:val="TableText"/>
              <w:spacing w:before="50" w:after="50"/>
              <w:jc w:val="center"/>
            </w:pPr>
            <w:r w:rsidRPr="0058458C">
              <w:t>0.050</w:t>
            </w:r>
          </w:p>
        </w:tc>
      </w:tr>
      <w:tr w:rsidR="004D0D57" w:rsidRPr="0058458C" w14:paraId="4F72D424"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19940E79" w14:textId="62D5A9B9" w:rsidR="004D0D57" w:rsidRPr="0058458C" w:rsidRDefault="004D0D57" w:rsidP="004D0D57">
            <w:pPr>
              <w:pStyle w:val="TableTextIndent1"/>
              <w:spacing w:before="50" w:after="50"/>
            </w:pPr>
            <w:r w:rsidRPr="0058458C">
              <w:t>Black: White/other</w:t>
            </w:r>
          </w:p>
        </w:tc>
        <w:tc>
          <w:tcPr>
            <w:tcW w:w="951" w:type="pct"/>
            <w:tcBorders>
              <w:top w:val="single" w:sz="6" w:space="0" w:color="808080" w:themeColor="background1" w:themeShade="80"/>
              <w:bottom w:val="single" w:sz="6" w:space="0" w:color="808080" w:themeColor="background1" w:themeShade="80"/>
            </w:tcBorders>
          </w:tcPr>
          <w:p w14:paraId="5FFC05CE" w14:textId="0CDC534A" w:rsidR="004D0D57" w:rsidRPr="0058458C" w:rsidRDefault="004D0D57" w:rsidP="004D0D57">
            <w:pPr>
              <w:pStyle w:val="TableText"/>
              <w:spacing w:before="50" w:after="50"/>
              <w:jc w:val="center"/>
            </w:pPr>
            <w:r w:rsidRPr="00004619">
              <w:t>0.080</w:t>
            </w:r>
          </w:p>
        </w:tc>
        <w:tc>
          <w:tcPr>
            <w:tcW w:w="950" w:type="pct"/>
            <w:tcBorders>
              <w:top w:val="single" w:sz="6" w:space="0" w:color="808080" w:themeColor="background1" w:themeShade="80"/>
              <w:bottom w:val="single" w:sz="6" w:space="0" w:color="808080" w:themeColor="background1" w:themeShade="80"/>
            </w:tcBorders>
          </w:tcPr>
          <w:p w14:paraId="6277A579" w14:textId="541C568C" w:rsidR="004D0D57" w:rsidRPr="005821C6" w:rsidRDefault="004D0D57" w:rsidP="004D0D57">
            <w:pPr>
              <w:pStyle w:val="TableText"/>
              <w:spacing w:before="50" w:after="50"/>
              <w:jc w:val="center"/>
            </w:pPr>
            <w:r w:rsidRPr="007930B2">
              <w:t>0.0</w:t>
            </w:r>
            <w:r w:rsidRPr="005D06AB">
              <w:t>35</w:t>
            </w:r>
          </w:p>
        </w:tc>
        <w:tc>
          <w:tcPr>
            <w:tcW w:w="949" w:type="pct"/>
            <w:tcBorders>
              <w:top w:val="single" w:sz="6" w:space="0" w:color="808080" w:themeColor="background1" w:themeShade="80"/>
              <w:bottom w:val="single" w:sz="6" w:space="0" w:color="808080" w:themeColor="background1" w:themeShade="80"/>
            </w:tcBorders>
          </w:tcPr>
          <w:p w14:paraId="2313F38B" w14:textId="77777777" w:rsidR="004D0D57" w:rsidRPr="0058458C" w:rsidRDefault="004D0D57" w:rsidP="004D0D57">
            <w:pPr>
              <w:pStyle w:val="TableText"/>
              <w:spacing w:before="50" w:after="50"/>
              <w:jc w:val="center"/>
            </w:pPr>
            <w:r w:rsidRPr="0058458C">
              <w:t>0.120</w:t>
            </w:r>
          </w:p>
        </w:tc>
      </w:tr>
      <w:tr w:rsidR="004D0D57" w:rsidRPr="0058458C" w14:paraId="27E4EE5E"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03414F36" w14:textId="77777777" w:rsidR="004D0D57" w:rsidRPr="0058458C" w:rsidRDefault="004D0D57" w:rsidP="004D0D57">
            <w:pPr>
              <w:pStyle w:val="TableTextIndent1"/>
              <w:spacing w:before="50" w:after="50"/>
            </w:pPr>
            <w:r w:rsidRPr="0058458C">
              <w:t>Hispanic: Black</w:t>
            </w:r>
          </w:p>
        </w:tc>
        <w:tc>
          <w:tcPr>
            <w:tcW w:w="951" w:type="pct"/>
            <w:tcBorders>
              <w:top w:val="single" w:sz="6" w:space="0" w:color="808080" w:themeColor="background1" w:themeShade="80"/>
              <w:bottom w:val="single" w:sz="6" w:space="0" w:color="808080" w:themeColor="background1" w:themeShade="80"/>
            </w:tcBorders>
          </w:tcPr>
          <w:p w14:paraId="7B886DD5" w14:textId="7B73EDC2" w:rsidR="004D0D57" w:rsidRPr="0058458C" w:rsidRDefault="004D0D57" w:rsidP="004D0D57">
            <w:pPr>
              <w:pStyle w:val="TableText"/>
              <w:spacing w:before="50" w:after="50"/>
              <w:jc w:val="center"/>
            </w:pPr>
            <w:r w:rsidRPr="00004619">
              <w:t>0.053</w:t>
            </w:r>
          </w:p>
        </w:tc>
        <w:tc>
          <w:tcPr>
            <w:tcW w:w="950" w:type="pct"/>
            <w:tcBorders>
              <w:top w:val="single" w:sz="6" w:space="0" w:color="808080" w:themeColor="background1" w:themeShade="80"/>
              <w:bottom w:val="single" w:sz="6" w:space="0" w:color="808080" w:themeColor="background1" w:themeShade="80"/>
            </w:tcBorders>
          </w:tcPr>
          <w:p w14:paraId="3BEA6C75" w14:textId="77777777" w:rsidR="004D0D57" w:rsidRPr="0058458C" w:rsidRDefault="004D0D57" w:rsidP="004D0D57">
            <w:pPr>
              <w:pStyle w:val="TableText"/>
              <w:spacing w:before="50" w:after="5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B4F9A73" w14:textId="77777777" w:rsidR="004D0D57" w:rsidRPr="0058458C" w:rsidRDefault="004D0D57" w:rsidP="004D0D57">
            <w:pPr>
              <w:pStyle w:val="TableText"/>
              <w:spacing w:before="50" w:after="50"/>
              <w:jc w:val="center"/>
            </w:pPr>
            <w:r w:rsidRPr="0058458C">
              <w:t>0.100</w:t>
            </w:r>
          </w:p>
        </w:tc>
      </w:tr>
      <w:tr w:rsidR="004D0D57" w:rsidRPr="0058458C" w14:paraId="7AC1F6CE"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149955A8" w14:textId="3223EEEA" w:rsidR="004D0D57" w:rsidRPr="0058458C" w:rsidRDefault="004D0D57" w:rsidP="004D0D57">
            <w:pPr>
              <w:pStyle w:val="TableTextIndent1"/>
              <w:spacing w:before="50" w:after="50"/>
            </w:pPr>
            <w:r w:rsidRPr="0058458C">
              <w:t>Hispanic: White/other</w:t>
            </w:r>
          </w:p>
        </w:tc>
        <w:tc>
          <w:tcPr>
            <w:tcW w:w="951" w:type="pct"/>
            <w:tcBorders>
              <w:top w:val="single" w:sz="6" w:space="0" w:color="808080" w:themeColor="background1" w:themeShade="80"/>
              <w:bottom w:val="single" w:sz="6" w:space="0" w:color="808080" w:themeColor="background1" w:themeShade="80"/>
            </w:tcBorders>
          </w:tcPr>
          <w:p w14:paraId="5977C8C6" w14:textId="29752E4E" w:rsidR="004D0D57" w:rsidRPr="0058458C" w:rsidRDefault="004D0D57" w:rsidP="004D0D57">
            <w:pPr>
              <w:pStyle w:val="TableText"/>
              <w:spacing w:before="50" w:after="50"/>
              <w:jc w:val="center"/>
            </w:pPr>
            <w:r w:rsidRPr="00004619">
              <w:t>0.284</w:t>
            </w:r>
          </w:p>
        </w:tc>
        <w:tc>
          <w:tcPr>
            <w:tcW w:w="950" w:type="pct"/>
            <w:tcBorders>
              <w:top w:val="single" w:sz="6" w:space="0" w:color="808080" w:themeColor="background1" w:themeShade="80"/>
              <w:bottom w:val="single" w:sz="6" w:space="0" w:color="808080" w:themeColor="background1" w:themeShade="80"/>
            </w:tcBorders>
          </w:tcPr>
          <w:p w14:paraId="635E3D5A" w14:textId="77777777" w:rsidR="004D0D57" w:rsidRPr="0058458C" w:rsidRDefault="004D0D57" w:rsidP="004D0D57">
            <w:pPr>
              <w:pStyle w:val="TableText"/>
              <w:spacing w:before="50" w:after="50"/>
              <w:jc w:val="center"/>
            </w:pPr>
            <w:r w:rsidRPr="0058458C">
              <w:t>0.150</w:t>
            </w:r>
          </w:p>
        </w:tc>
        <w:tc>
          <w:tcPr>
            <w:tcW w:w="949" w:type="pct"/>
            <w:tcBorders>
              <w:top w:val="single" w:sz="6" w:space="0" w:color="808080" w:themeColor="background1" w:themeShade="80"/>
              <w:bottom w:val="single" w:sz="6" w:space="0" w:color="808080" w:themeColor="background1" w:themeShade="80"/>
            </w:tcBorders>
          </w:tcPr>
          <w:p w14:paraId="31649557" w14:textId="77777777" w:rsidR="004D0D57" w:rsidRPr="0058458C" w:rsidRDefault="004D0D57" w:rsidP="004D0D57">
            <w:pPr>
              <w:pStyle w:val="TableText"/>
              <w:spacing w:before="50" w:after="50"/>
              <w:jc w:val="center"/>
            </w:pPr>
            <w:r w:rsidRPr="0058458C">
              <w:t>0.400</w:t>
            </w:r>
          </w:p>
        </w:tc>
      </w:tr>
      <w:tr w:rsidR="004D0D57" w:rsidRPr="0058458C" w14:paraId="6B4CA39C" w14:textId="77777777" w:rsidTr="00F7426D">
        <w:trPr>
          <w:cantSplit/>
        </w:trPr>
        <w:tc>
          <w:tcPr>
            <w:tcW w:w="2150" w:type="pct"/>
            <w:tcBorders>
              <w:top w:val="single" w:sz="6" w:space="0" w:color="808080" w:themeColor="background1" w:themeShade="80"/>
              <w:bottom w:val="single" w:sz="6" w:space="0" w:color="808080" w:themeColor="background1" w:themeShade="80"/>
            </w:tcBorders>
          </w:tcPr>
          <w:p w14:paraId="7E26329F" w14:textId="0AED682B" w:rsidR="004D0D57" w:rsidRPr="0058458C" w:rsidRDefault="004D0D57" w:rsidP="004D0D57">
            <w:pPr>
              <w:pStyle w:val="TableTextIndent1"/>
              <w:spacing w:before="50" w:after="50"/>
            </w:pPr>
            <w:r w:rsidRPr="0058458C">
              <w:t>White/other: Black</w:t>
            </w:r>
          </w:p>
        </w:tc>
        <w:tc>
          <w:tcPr>
            <w:tcW w:w="951" w:type="pct"/>
            <w:tcBorders>
              <w:top w:val="single" w:sz="6" w:space="0" w:color="808080" w:themeColor="background1" w:themeShade="80"/>
              <w:bottom w:val="single" w:sz="6" w:space="0" w:color="808080" w:themeColor="background1" w:themeShade="80"/>
            </w:tcBorders>
          </w:tcPr>
          <w:p w14:paraId="1A70EC49" w14:textId="0F7E1F82" w:rsidR="004D0D57" w:rsidRPr="0058458C" w:rsidRDefault="004D0D57" w:rsidP="004D0D57">
            <w:pPr>
              <w:pStyle w:val="TableText"/>
              <w:spacing w:before="50" w:after="50"/>
              <w:jc w:val="center"/>
            </w:pPr>
            <w:r w:rsidRPr="00004619">
              <w:t>0.053</w:t>
            </w:r>
          </w:p>
        </w:tc>
        <w:tc>
          <w:tcPr>
            <w:tcW w:w="950" w:type="pct"/>
            <w:tcBorders>
              <w:top w:val="single" w:sz="6" w:space="0" w:color="808080" w:themeColor="background1" w:themeShade="80"/>
              <w:bottom w:val="single" w:sz="6" w:space="0" w:color="808080" w:themeColor="background1" w:themeShade="80"/>
            </w:tcBorders>
          </w:tcPr>
          <w:p w14:paraId="79255CFF" w14:textId="77777777" w:rsidR="004D0D57" w:rsidRPr="0058458C" w:rsidRDefault="004D0D57" w:rsidP="004D0D57">
            <w:pPr>
              <w:pStyle w:val="TableText"/>
              <w:spacing w:before="50" w:after="5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96D907C" w14:textId="77777777" w:rsidR="004D0D57" w:rsidRPr="0058458C" w:rsidRDefault="004D0D57" w:rsidP="004D0D57">
            <w:pPr>
              <w:pStyle w:val="TableText"/>
              <w:spacing w:before="50" w:after="50"/>
              <w:jc w:val="center"/>
            </w:pPr>
            <w:r w:rsidRPr="0058458C">
              <w:t>0.100</w:t>
            </w:r>
          </w:p>
        </w:tc>
      </w:tr>
      <w:tr w:rsidR="004D0D57" w:rsidRPr="0058458C" w14:paraId="35BE5EE8" w14:textId="77777777" w:rsidTr="00F12F29">
        <w:trPr>
          <w:cantSplit/>
        </w:trPr>
        <w:tc>
          <w:tcPr>
            <w:tcW w:w="2150" w:type="pct"/>
            <w:tcBorders>
              <w:top w:val="single" w:sz="6" w:space="0" w:color="808080" w:themeColor="background1" w:themeShade="80"/>
              <w:bottom w:val="single" w:sz="6" w:space="0" w:color="808080" w:themeColor="background1" w:themeShade="80"/>
            </w:tcBorders>
          </w:tcPr>
          <w:p w14:paraId="51BCFCB5" w14:textId="3C1059FA" w:rsidR="004D0D57" w:rsidRPr="0058458C" w:rsidRDefault="004D0D57" w:rsidP="004D0D57">
            <w:pPr>
              <w:pStyle w:val="TableTextIndent1"/>
              <w:spacing w:before="50" w:after="50"/>
            </w:pPr>
            <w:r w:rsidRPr="0058458C">
              <w:t>White/other: Hispanic</w:t>
            </w:r>
          </w:p>
        </w:tc>
        <w:tc>
          <w:tcPr>
            <w:tcW w:w="951" w:type="pct"/>
            <w:tcBorders>
              <w:top w:val="single" w:sz="6" w:space="0" w:color="808080" w:themeColor="background1" w:themeShade="80"/>
              <w:bottom w:val="single" w:sz="6" w:space="0" w:color="808080" w:themeColor="background1" w:themeShade="80"/>
            </w:tcBorders>
          </w:tcPr>
          <w:p w14:paraId="5A379421" w14:textId="748B8867" w:rsidR="004D0D57" w:rsidRPr="0058458C" w:rsidRDefault="004D0D57" w:rsidP="004D0D57">
            <w:pPr>
              <w:pStyle w:val="TableText"/>
              <w:spacing w:before="50" w:after="50"/>
              <w:jc w:val="center"/>
            </w:pPr>
            <w:r w:rsidRPr="00004619">
              <w:t>0.054</w:t>
            </w:r>
          </w:p>
        </w:tc>
        <w:tc>
          <w:tcPr>
            <w:tcW w:w="950" w:type="pct"/>
            <w:tcBorders>
              <w:top w:val="single" w:sz="6" w:space="0" w:color="808080" w:themeColor="background1" w:themeShade="80"/>
              <w:bottom w:val="single" w:sz="6" w:space="0" w:color="808080" w:themeColor="background1" w:themeShade="80"/>
            </w:tcBorders>
          </w:tcPr>
          <w:p w14:paraId="213A90CE" w14:textId="226957B7" w:rsidR="004D0D57" w:rsidRPr="0058458C" w:rsidRDefault="004D0D57" w:rsidP="004D0D57">
            <w:pPr>
              <w:pStyle w:val="TableText"/>
              <w:spacing w:before="50" w:after="5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5ED1E801" w14:textId="3E56D1CF" w:rsidR="004D0D57" w:rsidRPr="0058458C" w:rsidRDefault="004D0D57" w:rsidP="004D0D57">
            <w:pPr>
              <w:pStyle w:val="TableText"/>
              <w:spacing w:before="50" w:after="50"/>
              <w:jc w:val="center"/>
            </w:pPr>
            <w:r w:rsidRPr="0058458C">
              <w:t>0.100</w:t>
            </w:r>
          </w:p>
        </w:tc>
      </w:tr>
    </w:tbl>
    <w:p w14:paraId="46CEA9F9" w14:textId="36A86085" w:rsidR="000E78F7" w:rsidRPr="0058458C" w:rsidRDefault="000E78F7" w:rsidP="000E78F7">
      <w:pPr>
        <w:pStyle w:val="table-continued"/>
      </w:pPr>
      <w:r w:rsidRPr="0058458C">
        <w:t>(continued)</w:t>
      </w:r>
      <w:r w:rsidRPr="0058458C">
        <w:rPr>
          <w:sz w:val="20"/>
        </w:rPr>
        <w:br w:type="page"/>
      </w:r>
    </w:p>
    <w:p w14:paraId="7220A1B0" w14:textId="6EA67ECE" w:rsidR="000E78F7" w:rsidRPr="0058458C" w:rsidRDefault="000E78F7" w:rsidP="000E78F7">
      <w:pPr>
        <w:pStyle w:val="TableTitlecont"/>
      </w:pPr>
      <w:r w:rsidRPr="0058458C">
        <w:lastRenderedPageBreak/>
        <w:t xml:space="preserve">Table </w:t>
      </w:r>
      <w:r w:rsidR="0005114B" w:rsidRPr="0058458C">
        <w:t>1</w:t>
      </w:r>
      <w:r w:rsidR="0005114B">
        <w:t>0</w:t>
      </w:r>
      <w:r w:rsidRPr="0058458C">
        <w:t>.2.</w:t>
      </w:r>
      <w:r w:rsidRPr="0058458C">
        <w:tab/>
        <w:t xml:space="preserve">Bounds and Final Values of Inputs Defining Behaviors and Infectivity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3999"/>
        <w:gridCol w:w="1754"/>
        <w:gridCol w:w="1752"/>
        <w:gridCol w:w="1855"/>
      </w:tblGrid>
      <w:tr w:rsidR="000E78F7" w:rsidRPr="0058458C" w14:paraId="794A7333" w14:textId="77777777" w:rsidTr="005821C6">
        <w:trPr>
          <w:cantSplit/>
          <w:tblHeader/>
        </w:trPr>
        <w:tc>
          <w:tcPr>
            <w:tcW w:w="2136" w:type="pct"/>
            <w:tcBorders>
              <w:top w:val="single" w:sz="12" w:space="0" w:color="auto"/>
              <w:bottom w:val="single" w:sz="6" w:space="0" w:color="auto"/>
            </w:tcBorders>
            <w:vAlign w:val="bottom"/>
          </w:tcPr>
          <w:p w14:paraId="68E7D6C5" w14:textId="77777777" w:rsidR="000E78F7" w:rsidRPr="0058458C" w:rsidRDefault="000E78F7" w:rsidP="003222D9">
            <w:pPr>
              <w:pStyle w:val="TableHeaders"/>
              <w:spacing w:before="40" w:after="40"/>
            </w:pPr>
            <w:r w:rsidRPr="0058458C">
              <w:t>Parameter</w:t>
            </w:r>
          </w:p>
        </w:tc>
        <w:tc>
          <w:tcPr>
            <w:tcW w:w="937" w:type="pct"/>
            <w:tcBorders>
              <w:top w:val="single" w:sz="12" w:space="0" w:color="auto"/>
              <w:bottom w:val="single" w:sz="6" w:space="0" w:color="auto"/>
            </w:tcBorders>
            <w:vAlign w:val="bottom"/>
          </w:tcPr>
          <w:p w14:paraId="21272AE5" w14:textId="77777777" w:rsidR="000E78F7" w:rsidRPr="0058458C" w:rsidRDefault="000E78F7" w:rsidP="003222D9">
            <w:pPr>
              <w:pStyle w:val="TableHeaders"/>
              <w:spacing w:before="40" w:after="40"/>
            </w:pPr>
            <w:r w:rsidRPr="0058458C">
              <w:t>Calibrated Value</w:t>
            </w:r>
          </w:p>
        </w:tc>
        <w:tc>
          <w:tcPr>
            <w:tcW w:w="936" w:type="pct"/>
            <w:tcBorders>
              <w:top w:val="single" w:sz="12" w:space="0" w:color="auto"/>
              <w:bottom w:val="single" w:sz="6" w:space="0" w:color="auto"/>
            </w:tcBorders>
            <w:vAlign w:val="bottom"/>
          </w:tcPr>
          <w:p w14:paraId="76A5592C" w14:textId="77777777" w:rsidR="000E78F7" w:rsidRPr="0058458C" w:rsidRDefault="000E78F7" w:rsidP="003222D9">
            <w:pPr>
              <w:pStyle w:val="TableHeaders"/>
              <w:spacing w:before="40" w:after="40"/>
            </w:pPr>
            <w:r w:rsidRPr="0058458C">
              <w:t>Lower Bound</w:t>
            </w:r>
          </w:p>
        </w:tc>
        <w:tc>
          <w:tcPr>
            <w:tcW w:w="991" w:type="pct"/>
            <w:tcBorders>
              <w:top w:val="single" w:sz="12" w:space="0" w:color="auto"/>
              <w:bottom w:val="single" w:sz="6" w:space="0" w:color="auto"/>
            </w:tcBorders>
            <w:vAlign w:val="bottom"/>
          </w:tcPr>
          <w:p w14:paraId="405ADFDA" w14:textId="77777777" w:rsidR="000E78F7" w:rsidRPr="0058458C" w:rsidRDefault="000E78F7" w:rsidP="003222D9">
            <w:pPr>
              <w:pStyle w:val="TableHeaders"/>
              <w:spacing w:before="40" w:after="40"/>
            </w:pPr>
            <w:r w:rsidRPr="0058458C">
              <w:t>Upper Bound</w:t>
            </w:r>
          </w:p>
        </w:tc>
      </w:tr>
      <w:tr w:rsidR="000E78F7" w:rsidRPr="0058458C" w14:paraId="169E10C8" w14:textId="77777777" w:rsidTr="000E78F7">
        <w:trPr>
          <w:cantSplit/>
        </w:trPr>
        <w:tc>
          <w:tcPr>
            <w:tcW w:w="5000" w:type="pct"/>
            <w:gridSpan w:val="4"/>
            <w:tcBorders>
              <w:top w:val="single" w:sz="6" w:space="0" w:color="808080" w:themeColor="background1" w:themeShade="80"/>
              <w:bottom w:val="single" w:sz="6" w:space="0" w:color="808080" w:themeColor="background1" w:themeShade="80"/>
            </w:tcBorders>
          </w:tcPr>
          <w:p w14:paraId="2D64FF2C" w14:textId="209D1F83" w:rsidR="000E78F7" w:rsidRPr="0058458C" w:rsidRDefault="000E78F7" w:rsidP="003222D9">
            <w:pPr>
              <w:pStyle w:val="TableText"/>
              <w:spacing w:before="40" w:after="40"/>
            </w:pPr>
            <w:r w:rsidRPr="0058458C">
              <w:t>Percentage of sexual partners by race (mixing matrix) for MSM</w:t>
            </w:r>
          </w:p>
        </w:tc>
      </w:tr>
      <w:tr w:rsidR="004D0D57" w:rsidRPr="0058458C" w14:paraId="26D8A163"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28FCC15" w14:textId="4C273977" w:rsidR="004D0D57" w:rsidRPr="0058458C" w:rsidRDefault="004D0D57" w:rsidP="004D0D57">
            <w:pPr>
              <w:pStyle w:val="TableTextIndent1"/>
              <w:spacing w:before="40" w:after="40"/>
            </w:pPr>
            <w:r w:rsidRPr="0058458C">
              <w:t>Black: Hispanic</w:t>
            </w:r>
          </w:p>
        </w:tc>
        <w:tc>
          <w:tcPr>
            <w:tcW w:w="937" w:type="pct"/>
            <w:tcBorders>
              <w:top w:val="single" w:sz="6" w:space="0" w:color="808080" w:themeColor="background1" w:themeShade="80"/>
              <w:bottom w:val="single" w:sz="6" w:space="0" w:color="808080" w:themeColor="background1" w:themeShade="80"/>
            </w:tcBorders>
          </w:tcPr>
          <w:p w14:paraId="01951002" w14:textId="27FCD0E1" w:rsidR="004D0D57" w:rsidRPr="0058458C" w:rsidRDefault="004D0D57" w:rsidP="004D0D57">
            <w:pPr>
              <w:pStyle w:val="TableText"/>
              <w:spacing w:before="40" w:after="40"/>
              <w:jc w:val="center"/>
            </w:pPr>
            <w:r w:rsidRPr="00CE5F83">
              <w:t>0.022</w:t>
            </w:r>
          </w:p>
        </w:tc>
        <w:tc>
          <w:tcPr>
            <w:tcW w:w="936" w:type="pct"/>
            <w:tcBorders>
              <w:top w:val="single" w:sz="6" w:space="0" w:color="808080" w:themeColor="background1" w:themeShade="80"/>
              <w:bottom w:val="single" w:sz="6" w:space="0" w:color="808080" w:themeColor="background1" w:themeShade="80"/>
            </w:tcBorders>
          </w:tcPr>
          <w:p w14:paraId="4E93D00D" w14:textId="19146631" w:rsidR="004D0D57" w:rsidRPr="005821C6" w:rsidRDefault="004D0D57" w:rsidP="004D0D57">
            <w:pPr>
              <w:pStyle w:val="TableText"/>
              <w:spacing w:before="40" w:after="40"/>
              <w:jc w:val="center"/>
            </w:pPr>
            <w:r w:rsidRPr="007930B2">
              <w:t>0.0</w:t>
            </w:r>
            <w:r w:rsidRPr="005D06AB">
              <w:t>05</w:t>
            </w:r>
          </w:p>
        </w:tc>
        <w:tc>
          <w:tcPr>
            <w:tcW w:w="991" w:type="pct"/>
            <w:tcBorders>
              <w:top w:val="single" w:sz="6" w:space="0" w:color="808080" w:themeColor="background1" w:themeShade="80"/>
              <w:bottom w:val="single" w:sz="6" w:space="0" w:color="808080" w:themeColor="background1" w:themeShade="80"/>
            </w:tcBorders>
          </w:tcPr>
          <w:p w14:paraId="17A16CD3" w14:textId="0210D51E" w:rsidR="004D0D57" w:rsidRPr="005821C6" w:rsidRDefault="004D0D57" w:rsidP="004D0D57">
            <w:pPr>
              <w:pStyle w:val="TableText"/>
              <w:spacing w:before="40" w:after="40"/>
              <w:jc w:val="center"/>
            </w:pPr>
            <w:r w:rsidRPr="005821C6">
              <w:t>0.050</w:t>
            </w:r>
          </w:p>
        </w:tc>
      </w:tr>
      <w:tr w:rsidR="004D0D57" w:rsidRPr="0058458C" w14:paraId="471298F8"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064EF084" w14:textId="152B9DD4" w:rsidR="004D0D57" w:rsidRPr="0058458C" w:rsidRDefault="004D0D57" w:rsidP="004D0D57">
            <w:pPr>
              <w:pStyle w:val="TableTextIndent1"/>
              <w:spacing w:before="40" w:after="40"/>
            </w:pPr>
            <w:r w:rsidRPr="0058458C">
              <w:t>Black: White/other</w:t>
            </w:r>
          </w:p>
        </w:tc>
        <w:tc>
          <w:tcPr>
            <w:tcW w:w="937" w:type="pct"/>
            <w:tcBorders>
              <w:top w:val="single" w:sz="6" w:space="0" w:color="808080" w:themeColor="background1" w:themeShade="80"/>
              <w:bottom w:val="single" w:sz="6" w:space="0" w:color="808080" w:themeColor="background1" w:themeShade="80"/>
            </w:tcBorders>
          </w:tcPr>
          <w:p w14:paraId="1D6DA12B" w14:textId="28E60C26" w:rsidR="004D0D57" w:rsidRPr="0058458C" w:rsidRDefault="004D0D57" w:rsidP="004D0D57">
            <w:pPr>
              <w:pStyle w:val="TableText"/>
              <w:spacing w:before="40" w:after="40"/>
              <w:jc w:val="center"/>
            </w:pPr>
            <w:r w:rsidRPr="00CE5F83">
              <w:t>0.071</w:t>
            </w:r>
          </w:p>
        </w:tc>
        <w:tc>
          <w:tcPr>
            <w:tcW w:w="936" w:type="pct"/>
            <w:tcBorders>
              <w:top w:val="single" w:sz="6" w:space="0" w:color="808080" w:themeColor="background1" w:themeShade="80"/>
              <w:bottom w:val="single" w:sz="6" w:space="0" w:color="808080" w:themeColor="background1" w:themeShade="80"/>
            </w:tcBorders>
          </w:tcPr>
          <w:p w14:paraId="11CC9E5B" w14:textId="4644FF9A" w:rsidR="004D0D57" w:rsidRPr="005821C6" w:rsidRDefault="004D0D57" w:rsidP="004D0D57">
            <w:pPr>
              <w:pStyle w:val="TableText"/>
              <w:spacing w:before="40" w:after="40"/>
              <w:jc w:val="center"/>
            </w:pPr>
            <w:r w:rsidRPr="007930B2">
              <w:t>0.0</w:t>
            </w:r>
            <w:r w:rsidRPr="005D06AB">
              <w:t>35</w:t>
            </w:r>
          </w:p>
        </w:tc>
        <w:tc>
          <w:tcPr>
            <w:tcW w:w="991" w:type="pct"/>
            <w:tcBorders>
              <w:top w:val="single" w:sz="6" w:space="0" w:color="808080" w:themeColor="background1" w:themeShade="80"/>
              <w:bottom w:val="single" w:sz="6" w:space="0" w:color="808080" w:themeColor="background1" w:themeShade="80"/>
            </w:tcBorders>
          </w:tcPr>
          <w:p w14:paraId="71E3B138" w14:textId="600E8F6F" w:rsidR="004D0D57" w:rsidRPr="005821C6" w:rsidRDefault="004D0D57" w:rsidP="004D0D57">
            <w:pPr>
              <w:pStyle w:val="TableText"/>
              <w:spacing w:before="40" w:after="40"/>
              <w:jc w:val="center"/>
            </w:pPr>
            <w:r w:rsidRPr="005821C6">
              <w:t>0.</w:t>
            </w:r>
            <w:r w:rsidRPr="005D06AB">
              <w:t>25</w:t>
            </w:r>
            <w:r w:rsidRPr="007930B2">
              <w:t>0</w:t>
            </w:r>
          </w:p>
        </w:tc>
      </w:tr>
      <w:tr w:rsidR="004D0D57" w:rsidRPr="0058458C" w14:paraId="186D0FE7"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60D041AB" w14:textId="4ADBEF07" w:rsidR="004D0D57" w:rsidRPr="0058458C" w:rsidRDefault="004D0D57" w:rsidP="004D0D57">
            <w:pPr>
              <w:pStyle w:val="TableTextIndent1"/>
              <w:spacing w:before="40" w:after="40"/>
            </w:pPr>
            <w:r w:rsidRPr="0058458C">
              <w:t>Hispanic: Black</w:t>
            </w:r>
          </w:p>
        </w:tc>
        <w:tc>
          <w:tcPr>
            <w:tcW w:w="937" w:type="pct"/>
            <w:tcBorders>
              <w:top w:val="single" w:sz="6" w:space="0" w:color="808080" w:themeColor="background1" w:themeShade="80"/>
              <w:bottom w:val="single" w:sz="6" w:space="0" w:color="808080" w:themeColor="background1" w:themeShade="80"/>
            </w:tcBorders>
          </w:tcPr>
          <w:p w14:paraId="30742F2A" w14:textId="1C6CE16D" w:rsidR="004D0D57" w:rsidRPr="0058458C" w:rsidRDefault="004D0D57" w:rsidP="004D0D57">
            <w:pPr>
              <w:pStyle w:val="TableText"/>
              <w:spacing w:before="40" w:after="40"/>
              <w:jc w:val="center"/>
            </w:pPr>
            <w:r w:rsidRPr="00CE5F83">
              <w:t>0.030</w:t>
            </w:r>
          </w:p>
        </w:tc>
        <w:tc>
          <w:tcPr>
            <w:tcW w:w="936" w:type="pct"/>
            <w:tcBorders>
              <w:top w:val="single" w:sz="6" w:space="0" w:color="808080" w:themeColor="background1" w:themeShade="80"/>
              <w:bottom w:val="single" w:sz="6" w:space="0" w:color="808080" w:themeColor="background1" w:themeShade="80"/>
            </w:tcBorders>
          </w:tcPr>
          <w:p w14:paraId="74422344" w14:textId="620A9E49" w:rsidR="004D0D57" w:rsidRPr="0058458C" w:rsidRDefault="004D0D57" w:rsidP="004D0D57">
            <w:pPr>
              <w:pStyle w:val="TableText"/>
              <w:spacing w:before="40" w:after="40"/>
              <w:jc w:val="center"/>
            </w:pPr>
            <w:r w:rsidRPr="0058458C">
              <w:t>0.010</w:t>
            </w:r>
          </w:p>
        </w:tc>
        <w:tc>
          <w:tcPr>
            <w:tcW w:w="991" w:type="pct"/>
            <w:tcBorders>
              <w:top w:val="single" w:sz="6" w:space="0" w:color="808080" w:themeColor="background1" w:themeShade="80"/>
              <w:bottom w:val="single" w:sz="6" w:space="0" w:color="808080" w:themeColor="background1" w:themeShade="80"/>
            </w:tcBorders>
          </w:tcPr>
          <w:p w14:paraId="284FCCB5" w14:textId="4C675287" w:rsidR="004D0D57" w:rsidRPr="0058458C" w:rsidRDefault="004D0D57" w:rsidP="004D0D57">
            <w:pPr>
              <w:pStyle w:val="TableText"/>
              <w:spacing w:before="40" w:after="40"/>
              <w:jc w:val="center"/>
            </w:pPr>
            <w:r w:rsidRPr="0058458C">
              <w:t>0.100</w:t>
            </w:r>
          </w:p>
        </w:tc>
      </w:tr>
      <w:tr w:rsidR="004D0D57" w:rsidRPr="0058458C" w14:paraId="391F2301"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D28B5E8" w14:textId="45529220" w:rsidR="004D0D57" w:rsidRPr="0058458C" w:rsidRDefault="004D0D57" w:rsidP="004D0D57">
            <w:pPr>
              <w:pStyle w:val="TableTextIndent1"/>
              <w:spacing w:before="40" w:after="40"/>
            </w:pPr>
            <w:r w:rsidRPr="0058458C">
              <w:t>Hispanic: White/other</w:t>
            </w:r>
          </w:p>
        </w:tc>
        <w:tc>
          <w:tcPr>
            <w:tcW w:w="937" w:type="pct"/>
            <w:tcBorders>
              <w:top w:val="single" w:sz="6" w:space="0" w:color="808080" w:themeColor="background1" w:themeShade="80"/>
              <w:bottom w:val="single" w:sz="6" w:space="0" w:color="808080" w:themeColor="background1" w:themeShade="80"/>
            </w:tcBorders>
          </w:tcPr>
          <w:p w14:paraId="7DD77838" w14:textId="1810E15A" w:rsidR="004D0D57" w:rsidRPr="0058458C" w:rsidRDefault="004D0D57" w:rsidP="004D0D57">
            <w:pPr>
              <w:pStyle w:val="TableText"/>
              <w:spacing w:before="40" w:after="40"/>
              <w:jc w:val="center"/>
            </w:pPr>
            <w:r w:rsidRPr="00CE5F83">
              <w:t>0.309</w:t>
            </w:r>
          </w:p>
        </w:tc>
        <w:tc>
          <w:tcPr>
            <w:tcW w:w="936" w:type="pct"/>
            <w:tcBorders>
              <w:top w:val="single" w:sz="6" w:space="0" w:color="808080" w:themeColor="background1" w:themeShade="80"/>
              <w:bottom w:val="single" w:sz="6" w:space="0" w:color="808080" w:themeColor="background1" w:themeShade="80"/>
            </w:tcBorders>
          </w:tcPr>
          <w:p w14:paraId="4E2BEE9C" w14:textId="32D5D01F" w:rsidR="004D0D57" w:rsidRPr="0058458C" w:rsidRDefault="004D0D57" w:rsidP="004D0D57">
            <w:pPr>
              <w:pStyle w:val="TableText"/>
              <w:spacing w:before="40" w:after="40"/>
              <w:jc w:val="center"/>
            </w:pPr>
            <w:r w:rsidRPr="0058458C">
              <w:t>0.150</w:t>
            </w:r>
          </w:p>
        </w:tc>
        <w:tc>
          <w:tcPr>
            <w:tcW w:w="991" w:type="pct"/>
            <w:tcBorders>
              <w:top w:val="single" w:sz="6" w:space="0" w:color="808080" w:themeColor="background1" w:themeShade="80"/>
              <w:bottom w:val="single" w:sz="6" w:space="0" w:color="808080" w:themeColor="background1" w:themeShade="80"/>
            </w:tcBorders>
          </w:tcPr>
          <w:p w14:paraId="066DB0AA" w14:textId="4F9E0F40" w:rsidR="004D0D57" w:rsidRPr="0058458C" w:rsidRDefault="004D0D57" w:rsidP="004D0D57">
            <w:pPr>
              <w:pStyle w:val="TableText"/>
              <w:spacing w:before="40" w:after="40"/>
              <w:jc w:val="center"/>
            </w:pPr>
            <w:r w:rsidRPr="0058458C">
              <w:t>0.400</w:t>
            </w:r>
          </w:p>
        </w:tc>
      </w:tr>
      <w:tr w:rsidR="004D0D57" w:rsidRPr="0058458C" w14:paraId="55853C09"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6B90921" w14:textId="0BBCB3BD" w:rsidR="004D0D57" w:rsidRPr="0058458C" w:rsidRDefault="004D0D57" w:rsidP="004D0D57">
            <w:pPr>
              <w:pStyle w:val="TableTextIndent1"/>
              <w:spacing w:before="40" w:after="40"/>
            </w:pPr>
            <w:r w:rsidRPr="0058458C">
              <w:t>White/other: Black</w:t>
            </w:r>
          </w:p>
        </w:tc>
        <w:tc>
          <w:tcPr>
            <w:tcW w:w="937" w:type="pct"/>
            <w:tcBorders>
              <w:top w:val="single" w:sz="6" w:space="0" w:color="808080" w:themeColor="background1" w:themeShade="80"/>
              <w:bottom w:val="single" w:sz="6" w:space="0" w:color="808080" w:themeColor="background1" w:themeShade="80"/>
            </w:tcBorders>
          </w:tcPr>
          <w:p w14:paraId="13A00F68" w14:textId="5AA1E980" w:rsidR="004D0D57" w:rsidRPr="0058458C" w:rsidRDefault="004D0D57" w:rsidP="004D0D57">
            <w:pPr>
              <w:pStyle w:val="TableText"/>
              <w:spacing w:before="40" w:after="40"/>
              <w:jc w:val="center"/>
            </w:pPr>
            <w:r w:rsidRPr="00CE5F83">
              <w:t>0.018</w:t>
            </w:r>
          </w:p>
        </w:tc>
        <w:tc>
          <w:tcPr>
            <w:tcW w:w="936" w:type="pct"/>
            <w:tcBorders>
              <w:top w:val="single" w:sz="6" w:space="0" w:color="808080" w:themeColor="background1" w:themeShade="80"/>
              <w:bottom w:val="single" w:sz="6" w:space="0" w:color="808080" w:themeColor="background1" w:themeShade="80"/>
            </w:tcBorders>
          </w:tcPr>
          <w:p w14:paraId="7E7BC924" w14:textId="7DBBE9DB" w:rsidR="004D0D57" w:rsidRPr="0058458C" w:rsidRDefault="004D0D57" w:rsidP="004D0D57">
            <w:pPr>
              <w:pStyle w:val="TableText"/>
              <w:spacing w:before="40" w:after="40"/>
              <w:jc w:val="center"/>
            </w:pPr>
            <w:r w:rsidRPr="0058458C">
              <w:t>0.010</w:t>
            </w:r>
          </w:p>
        </w:tc>
        <w:tc>
          <w:tcPr>
            <w:tcW w:w="991" w:type="pct"/>
            <w:tcBorders>
              <w:top w:val="single" w:sz="6" w:space="0" w:color="808080" w:themeColor="background1" w:themeShade="80"/>
              <w:bottom w:val="single" w:sz="6" w:space="0" w:color="808080" w:themeColor="background1" w:themeShade="80"/>
            </w:tcBorders>
          </w:tcPr>
          <w:p w14:paraId="6DE06B67" w14:textId="2D076E12" w:rsidR="004D0D57" w:rsidRPr="0058458C" w:rsidRDefault="004D0D57" w:rsidP="004D0D57">
            <w:pPr>
              <w:pStyle w:val="TableText"/>
              <w:spacing w:before="40" w:after="40"/>
              <w:jc w:val="center"/>
            </w:pPr>
            <w:r w:rsidRPr="0058458C">
              <w:t>0.100</w:t>
            </w:r>
          </w:p>
        </w:tc>
      </w:tr>
      <w:tr w:rsidR="004D0D57" w:rsidRPr="0058458C" w14:paraId="27945064"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7EB15C8E" w14:textId="61481287" w:rsidR="004D0D57" w:rsidRPr="0058458C" w:rsidRDefault="004D0D57" w:rsidP="004D0D57">
            <w:pPr>
              <w:pStyle w:val="TableTextIndent1"/>
              <w:spacing w:before="40" w:after="40"/>
            </w:pPr>
            <w:r w:rsidRPr="0058458C">
              <w:t>White/other: Hispanic</w:t>
            </w:r>
          </w:p>
        </w:tc>
        <w:tc>
          <w:tcPr>
            <w:tcW w:w="937" w:type="pct"/>
            <w:tcBorders>
              <w:top w:val="single" w:sz="6" w:space="0" w:color="808080" w:themeColor="background1" w:themeShade="80"/>
              <w:bottom w:val="single" w:sz="6" w:space="0" w:color="808080" w:themeColor="background1" w:themeShade="80"/>
            </w:tcBorders>
          </w:tcPr>
          <w:p w14:paraId="7538A2C7" w14:textId="1087A8FF" w:rsidR="004D0D57" w:rsidRPr="0058458C" w:rsidRDefault="004D0D57" w:rsidP="004D0D57">
            <w:pPr>
              <w:pStyle w:val="TableText"/>
              <w:spacing w:before="40" w:after="40"/>
              <w:jc w:val="center"/>
            </w:pPr>
            <w:r w:rsidRPr="00CE5F83">
              <w:t>0.036</w:t>
            </w:r>
          </w:p>
        </w:tc>
        <w:tc>
          <w:tcPr>
            <w:tcW w:w="936" w:type="pct"/>
            <w:tcBorders>
              <w:top w:val="single" w:sz="6" w:space="0" w:color="808080" w:themeColor="background1" w:themeShade="80"/>
              <w:bottom w:val="single" w:sz="6" w:space="0" w:color="808080" w:themeColor="background1" w:themeShade="80"/>
            </w:tcBorders>
          </w:tcPr>
          <w:p w14:paraId="18C99B6A" w14:textId="11167797" w:rsidR="004D0D57" w:rsidRPr="0058458C" w:rsidRDefault="004D0D57" w:rsidP="004D0D57">
            <w:pPr>
              <w:pStyle w:val="TableText"/>
              <w:spacing w:before="40" w:after="40"/>
              <w:jc w:val="center"/>
            </w:pPr>
            <w:r w:rsidRPr="0058458C">
              <w:t>0.010</w:t>
            </w:r>
          </w:p>
        </w:tc>
        <w:tc>
          <w:tcPr>
            <w:tcW w:w="991" w:type="pct"/>
            <w:tcBorders>
              <w:top w:val="single" w:sz="6" w:space="0" w:color="808080" w:themeColor="background1" w:themeShade="80"/>
              <w:bottom w:val="single" w:sz="6" w:space="0" w:color="808080" w:themeColor="background1" w:themeShade="80"/>
            </w:tcBorders>
          </w:tcPr>
          <w:p w14:paraId="095BF360" w14:textId="25F6A789" w:rsidR="004D0D57" w:rsidRPr="0058458C" w:rsidRDefault="004D0D57" w:rsidP="004D0D57">
            <w:pPr>
              <w:pStyle w:val="TableText"/>
              <w:spacing w:before="40" w:after="40"/>
              <w:jc w:val="center"/>
            </w:pPr>
            <w:r w:rsidRPr="0058458C">
              <w:t>0.100</w:t>
            </w:r>
          </w:p>
        </w:tc>
      </w:tr>
      <w:tr w:rsidR="000E78F7" w:rsidRPr="0058458C" w14:paraId="0BFC8ACC" w14:textId="739AEDD5" w:rsidTr="000E78F7">
        <w:trPr>
          <w:cantSplit/>
        </w:trPr>
        <w:tc>
          <w:tcPr>
            <w:tcW w:w="5000" w:type="pct"/>
            <w:gridSpan w:val="4"/>
            <w:tcBorders>
              <w:top w:val="single" w:sz="6" w:space="0" w:color="808080" w:themeColor="background1" w:themeShade="80"/>
              <w:bottom w:val="single" w:sz="6" w:space="0" w:color="808080" w:themeColor="background1" w:themeShade="80"/>
            </w:tcBorders>
          </w:tcPr>
          <w:p w14:paraId="19A2F646" w14:textId="5D647B28" w:rsidR="000E78F7" w:rsidRPr="0058458C" w:rsidRDefault="000E78F7" w:rsidP="003222D9">
            <w:pPr>
              <w:pStyle w:val="TableText"/>
              <w:spacing w:before="40" w:after="40"/>
            </w:pPr>
            <w:r w:rsidRPr="0058458C">
              <w:t>Percentage of needle partners by transmission group and sex (mixing matrix)</w:t>
            </w:r>
          </w:p>
        </w:tc>
      </w:tr>
      <w:tr w:rsidR="004D0D57" w:rsidRPr="0058458C" w14:paraId="515383EF" w14:textId="1BCE9281" w:rsidTr="005821C6">
        <w:trPr>
          <w:cantSplit/>
        </w:trPr>
        <w:tc>
          <w:tcPr>
            <w:tcW w:w="2136" w:type="pct"/>
            <w:tcBorders>
              <w:top w:val="single" w:sz="6" w:space="0" w:color="808080" w:themeColor="background1" w:themeShade="80"/>
              <w:bottom w:val="single" w:sz="6" w:space="0" w:color="808080" w:themeColor="background1" w:themeShade="80"/>
            </w:tcBorders>
          </w:tcPr>
          <w:p w14:paraId="726573B9" w14:textId="412059E5" w:rsidR="004D0D57" w:rsidRPr="0058458C" w:rsidRDefault="004D0D57" w:rsidP="004D0D57">
            <w:pPr>
              <w:pStyle w:val="TableTextIndent1"/>
              <w:spacing w:before="40" w:after="40"/>
            </w:pPr>
            <w:r w:rsidRPr="0058458C">
              <w:t>PWID M: PWID F</w:t>
            </w:r>
          </w:p>
        </w:tc>
        <w:tc>
          <w:tcPr>
            <w:tcW w:w="937" w:type="pct"/>
            <w:tcBorders>
              <w:top w:val="single" w:sz="6" w:space="0" w:color="808080" w:themeColor="background1" w:themeShade="80"/>
              <w:bottom w:val="single" w:sz="6" w:space="0" w:color="808080" w:themeColor="background1" w:themeShade="80"/>
            </w:tcBorders>
          </w:tcPr>
          <w:p w14:paraId="39156237" w14:textId="3F6AFBC7" w:rsidR="004D0D57" w:rsidRPr="005D06AB" w:rsidRDefault="004D0D57" w:rsidP="004D0D57">
            <w:pPr>
              <w:pStyle w:val="TableText"/>
              <w:spacing w:before="40" w:after="40"/>
              <w:jc w:val="center"/>
              <w:rPr>
                <w:i/>
                <w:iCs/>
              </w:rPr>
            </w:pPr>
            <w:r w:rsidRPr="00AD70FC">
              <w:t>0.193</w:t>
            </w:r>
          </w:p>
        </w:tc>
        <w:tc>
          <w:tcPr>
            <w:tcW w:w="936" w:type="pct"/>
            <w:tcBorders>
              <w:top w:val="single" w:sz="6" w:space="0" w:color="808080" w:themeColor="background1" w:themeShade="80"/>
              <w:bottom w:val="single" w:sz="6" w:space="0" w:color="808080" w:themeColor="background1" w:themeShade="80"/>
            </w:tcBorders>
          </w:tcPr>
          <w:p w14:paraId="49F1B3F6" w14:textId="342C2DA9" w:rsidR="004D0D57" w:rsidRPr="00E832D1" w:rsidRDefault="004D0D57" w:rsidP="004D0D57">
            <w:pPr>
              <w:pStyle w:val="TableText"/>
              <w:spacing w:before="40" w:after="40"/>
              <w:jc w:val="center"/>
            </w:pPr>
            <w:r w:rsidRPr="00E832D1">
              <w:t>0.10</w:t>
            </w:r>
          </w:p>
        </w:tc>
        <w:tc>
          <w:tcPr>
            <w:tcW w:w="991" w:type="pct"/>
            <w:tcBorders>
              <w:top w:val="single" w:sz="6" w:space="0" w:color="808080" w:themeColor="background1" w:themeShade="80"/>
              <w:bottom w:val="single" w:sz="6" w:space="0" w:color="808080" w:themeColor="background1" w:themeShade="80"/>
            </w:tcBorders>
          </w:tcPr>
          <w:p w14:paraId="5ED725BE" w14:textId="1DE073E1" w:rsidR="004D0D57" w:rsidRPr="00E832D1" w:rsidRDefault="004D0D57" w:rsidP="004D0D57">
            <w:pPr>
              <w:pStyle w:val="TableText"/>
              <w:spacing w:before="40" w:after="40"/>
              <w:jc w:val="center"/>
            </w:pPr>
            <w:r w:rsidRPr="00E832D1">
              <w:t>0.30</w:t>
            </w:r>
          </w:p>
        </w:tc>
      </w:tr>
      <w:tr w:rsidR="004D0D57" w:rsidRPr="0058458C" w14:paraId="7A2C5DEE" w14:textId="7ECFE3C7" w:rsidTr="005821C6">
        <w:trPr>
          <w:cantSplit/>
        </w:trPr>
        <w:tc>
          <w:tcPr>
            <w:tcW w:w="2136" w:type="pct"/>
            <w:tcBorders>
              <w:top w:val="single" w:sz="6" w:space="0" w:color="808080" w:themeColor="background1" w:themeShade="80"/>
              <w:bottom w:val="single" w:sz="6" w:space="0" w:color="808080" w:themeColor="background1" w:themeShade="80"/>
            </w:tcBorders>
          </w:tcPr>
          <w:p w14:paraId="0BF959B8" w14:textId="01219C39" w:rsidR="004D0D57" w:rsidRPr="0058458C" w:rsidRDefault="004D0D57" w:rsidP="004D0D57">
            <w:pPr>
              <w:pStyle w:val="TableTextIndent1"/>
              <w:spacing w:before="40" w:after="40"/>
            </w:pPr>
            <w:r w:rsidRPr="0058458C">
              <w:t>PWID F: PWID M</w:t>
            </w:r>
          </w:p>
        </w:tc>
        <w:tc>
          <w:tcPr>
            <w:tcW w:w="937" w:type="pct"/>
            <w:tcBorders>
              <w:top w:val="single" w:sz="6" w:space="0" w:color="808080" w:themeColor="background1" w:themeShade="80"/>
              <w:bottom w:val="single" w:sz="6" w:space="0" w:color="808080" w:themeColor="background1" w:themeShade="80"/>
            </w:tcBorders>
          </w:tcPr>
          <w:p w14:paraId="77F39EEA" w14:textId="0649E387" w:rsidR="004D0D57" w:rsidRPr="005D06AB" w:rsidRDefault="004D0D57" w:rsidP="004D0D57">
            <w:pPr>
              <w:pStyle w:val="TableText"/>
              <w:spacing w:before="40" w:after="40"/>
              <w:jc w:val="center"/>
              <w:rPr>
                <w:i/>
                <w:iCs/>
              </w:rPr>
            </w:pPr>
            <w:r w:rsidRPr="00AD70FC">
              <w:t>0.493</w:t>
            </w:r>
          </w:p>
        </w:tc>
        <w:tc>
          <w:tcPr>
            <w:tcW w:w="936" w:type="pct"/>
            <w:tcBorders>
              <w:top w:val="single" w:sz="6" w:space="0" w:color="808080" w:themeColor="background1" w:themeShade="80"/>
              <w:bottom w:val="single" w:sz="6" w:space="0" w:color="808080" w:themeColor="background1" w:themeShade="80"/>
            </w:tcBorders>
          </w:tcPr>
          <w:p w14:paraId="69A54FA6" w14:textId="5798E6C5" w:rsidR="004D0D57" w:rsidRPr="00E832D1" w:rsidRDefault="004D0D57" w:rsidP="004D0D57">
            <w:pPr>
              <w:pStyle w:val="TableText"/>
              <w:spacing w:before="40" w:after="40"/>
              <w:jc w:val="center"/>
            </w:pPr>
            <w:r w:rsidRPr="00E832D1">
              <w:t>0.25</w:t>
            </w:r>
          </w:p>
        </w:tc>
        <w:tc>
          <w:tcPr>
            <w:tcW w:w="991" w:type="pct"/>
            <w:tcBorders>
              <w:top w:val="single" w:sz="6" w:space="0" w:color="808080" w:themeColor="background1" w:themeShade="80"/>
              <w:bottom w:val="single" w:sz="6" w:space="0" w:color="808080" w:themeColor="background1" w:themeShade="80"/>
            </w:tcBorders>
          </w:tcPr>
          <w:p w14:paraId="08624FDE" w14:textId="0835EC48" w:rsidR="004D0D57" w:rsidRPr="00E832D1" w:rsidRDefault="004D0D57" w:rsidP="004D0D57">
            <w:pPr>
              <w:pStyle w:val="TableText"/>
              <w:spacing w:before="40" w:after="40"/>
              <w:jc w:val="center"/>
            </w:pPr>
            <w:r w:rsidRPr="00E832D1">
              <w:t>0.70</w:t>
            </w:r>
          </w:p>
        </w:tc>
      </w:tr>
      <w:tr w:rsidR="000E78F7" w:rsidRPr="0058458C" w14:paraId="0826DB00" w14:textId="77777777" w:rsidTr="000E78F7">
        <w:trPr>
          <w:cantSplit/>
        </w:trPr>
        <w:tc>
          <w:tcPr>
            <w:tcW w:w="5000" w:type="pct"/>
            <w:gridSpan w:val="4"/>
            <w:tcBorders>
              <w:top w:val="single" w:sz="6" w:space="0" w:color="808080" w:themeColor="background1" w:themeShade="80"/>
              <w:bottom w:val="single" w:sz="6" w:space="0" w:color="808080" w:themeColor="background1" w:themeShade="80"/>
            </w:tcBorders>
          </w:tcPr>
          <w:p w14:paraId="29219391" w14:textId="1718A921" w:rsidR="000E78F7" w:rsidRPr="0058458C" w:rsidRDefault="000E78F7" w:rsidP="003222D9">
            <w:pPr>
              <w:pStyle w:val="TableText"/>
              <w:spacing w:before="40" w:after="40"/>
            </w:pPr>
            <w:r w:rsidRPr="0058458C">
              <w:t>Percentage of sexual partners by age groups for MSM (mixing matrix)</w:t>
            </w:r>
          </w:p>
        </w:tc>
      </w:tr>
      <w:tr w:rsidR="004D0D57" w:rsidRPr="0058458C" w14:paraId="5988DDCD"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48250D0" w14:textId="69047C7B" w:rsidR="004D0D57" w:rsidRPr="0058458C" w:rsidRDefault="004D0D57" w:rsidP="004D0D57">
            <w:pPr>
              <w:pStyle w:val="TableTextIndent1"/>
              <w:spacing w:before="40" w:after="40"/>
            </w:pPr>
            <w:r w:rsidRPr="0058458C">
              <w:t>13–17:18–24</w:t>
            </w:r>
          </w:p>
        </w:tc>
        <w:tc>
          <w:tcPr>
            <w:tcW w:w="937" w:type="pct"/>
            <w:tcBorders>
              <w:top w:val="single" w:sz="6" w:space="0" w:color="808080" w:themeColor="background1" w:themeShade="80"/>
              <w:bottom w:val="single" w:sz="6" w:space="0" w:color="808080" w:themeColor="background1" w:themeShade="80"/>
            </w:tcBorders>
          </w:tcPr>
          <w:p w14:paraId="5663151A" w14:textId="5BAA6A8A" w:rsidR="004D0D57" w:rsidRPr="0058458C" w:rsidRDefault="004D0D57" w:rsidP="004D0D57">
            <w:pPr>
              <w:pStyle w:val="TableText"/>
              <w:spacing w:before="40" w:after="40"/>
              <w:jc w:val="center"/>
            </w:pPr>
            <w:r w:rsidRPr="00E34AFA">
              <w:t>0.554</w:t>
            </w:r>
          </w:p>
        </w:tc>
        <w:tc>
          <w:tcPr>
            <w:tcW w:w="936" w:type="pct"/>
            <w:tcBorders>
              <w:top w:val="single" w:sz="6" w:space="0" w:color="808080" w:themeColor="background1" w:themeShade="80"/>
              <w:bottom w:val="single" w:sz="6" w:space="0" w:color="808080" w:themeColor="background1" w:themeShade="80"/>
            </w:tcBorders>
          </w:tcPr>
          <w:p w14:paraId="322D629C" w14:textId="22809286" w:rsidR="004D0D57" w:rsidRPr="0058458C" w:rsidRDefault="004D0D57" w:rsidP="004D0D57">
            <w:pPr>
              <w:pStyle w:val="TableText"/>
              <w:spacing w:before="40" w:after="40"/>
              <w:jc w:val="center"/>
            </w:pPr>
            <w:r w:rsidRPr="0058458C">
              <w:t>0.200</w:t>
            </w:r>
          </w:p>
        </w:tc>
        <w:tc>
          <w:tcPr>
            <w:tcW w:w="991" w:type="pct"/>
            <w:tcBorders>
              <w:top w:val="single" w:sz="6" w:space="0" w:color="808080" w:themeColor="background1" w:themeShade="80"/>
              <w:bottom w:val="single" w:sz="6" w:space="0" w:color="808080" w:themeColor="background1" w:themeShade="80"/>
            </w:tcBorders>
          </w:tcPr>
          <w:p w14:paraId="122CBE2F" w14:textId="3981DA40" w:rsidR="004D0D57" w:rsidRPr="0058458C" w:rsidRDefault="004D0D57" w:rsidP="004D0D57">
            <w:pPr>
              <w:pStyle w:val="TableText"/>
              <w:spacing w:before="40" w:after="40"/>
              <w:jc w:val="center"/>
            </w:pPr>
            <w:r w:rsidRPr="0058458C">
              <w:t>0.600</w:t>
            </w:r>
          </w:p>
        </w:tc>
      </w:tr>
      <w:tr w:rsidR="004D0D57" w:rsidRPr="0058458C" w14:paraId="05EAB20D"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1525ECB" w14:textId="648CAFD6" w:rsidR="004D0D57" w:rsidRPr="0058458C" w:rsidRDefault="004D0D57" w:rsidP="004D0D57">
            <w:pPr>
              <w:pStyle w:val="TableTextIndent1"/>
              <w:spacing w:before="40" w:after="40"/>
            </w:pPr>
            <w:r w:rsidRPr="0058458C">
              <w:t>13–17:25–34</w:t>
            </w:r>
          </w:p>
        </w:tc>
        <w:tc>
          <w:tcPr>
            <w:tcW w:w="937" w:type="pct"/>
            <w:tcBorders>
              <w:top w:val="single" w:sz="6" w:space="0" w:color="808080" w:themeColor="background1" w:themeShade="80"/>
              <w:bottom w:val="single" w:sz="6" w:space="0" w:color="808080" w:themeColor="background1" w:themeShade="80"/>
            </w:tcBorders>
          </w:tcPr>
          <w:p w14:paraId="100B5E7A" w14:textId="33C60853" w:rsidR="004D0D57" w:rsidRPr="0058458C" w:rsidRDefault="004D0D57" w:rsidP="004D0D57">
            <w:pPr>
              <w:pStyle w:val="TableText"/>
              <w:spacing w:before="40" w:after="40"/>
              <w:jc w:val="center"/>
            </w:pPr>
            <w:r w:rsidRPr="00E34AFA">
              <w:t>0.248</w:t>
            </w:r>
          </w:p>
        </w:tc>
        <w:tc>
          <w:tcPr>
            <w:tcW w:w="936" w:type="pct"/>
            <w:tcBorders>
              <w:top w:val="single" w:sz="6" w:space="0" w:color="808080" w:themeColor="background1" w:themeShade="80"/>
              <w:bottom w:val="single" w:sz="6" w:space="0" w:color="808080" w:themeColor="background1" w:themeShade="80"/>
            </w:tcBorders>
          </w:tcPr>
          <w:p w14:paraId="1F3421CC" w14:textId="459E8C3C" w:rsidR="004D0D57" w:rsidRPr="0058458C" w:rsidRDefault="004D0D57" w:rsidP="004D0D57">
            <w:pPr>
              <w:pStyle w:val="TableText"/>
              <w:spacing w:before="40" w:after="40"/>
              <w:jc w:val="center"/>
            </w:pPr>
            <w:r w:rsidRPr="0058458C">
              <w:t>0.050</w:t>
            </w:r>
          </w:p>
        </w:tc>
        <w:tc>
          <w:tcPr>
            <w:tcW w:w="991" w:type="pct"/>
            <w:tcBorders>
              <w:top w:val="single" w:sz="6" w:space="0" w:color="808080" w:themeColor="background1" w:themeShade="80"/>
              <w:bottom w:val="single" w:sz="6" w:space="0" w:color="808080" w:themeColor="background1" w:themeShade="80"/>
            </w:tcBorders>
          </w:tcPr>
          <w:p w14:paraId="2E0160C8" w14:textId="6E76C278" w:rsidR="004D0D57" w:rsidRPr="0058458C" w:rsidRDefault="004D0D57" w:rsidP="004D0D57">
            <w:pPr>
              <w:pStyle w:val="TableText"/>
              <w:spacing w:before="40" w:after="40"/>
              <w:jc w:val="center"/>
            </w:pPr>
            <w:r w:rsidRPr="0058458C">
              <w:t>0.300</w:t>
            </w:r>
          </w:p>
        </w:tc>
      </w:tr>
      <w:tr w:rsidR="004D0D57" w:rsidRPr="0058458C" w14:paraId="4BAE000C"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3B7AEB57" w14:textId="0B90ABA9" w:rsidR="004D0D57" w:rsidRPr="0058458C" w:rsidRDefault="004D0D57" w:rsidP="004D0D57">
            <w:pPr>
              <w:pStyle w:val="TableTextIndent1"/>
              <w:spacing w:before="40" w:after="40"/>
            </w:pPr>
            <w:r w:rsidRPr="0058458C">
              <w:t>13–17:35–44</w:t>
            </w:r>
          </w:p>
        </w:tc>
        <w:tc>
          <w:tcPr>
            <w:tcW w:w="937" w:type="pct"/>
            <w:tcBorders>
              <w:top w:val="single" w:sz="6" w:space="0" w:color="808080" w:themeColor="background1" w:themeShade="80"/>
              <w:bottom w:val="single" w:sz="6" w:space="0" w:color="808080" w:themeColor="background1" w:themeShade="80"/>
            </w:tcBorders>
          </w:tcPr>
          <w:p w14:paraId="75A339C0" w14:textId="4F3A29F9" w:rsidR="004D0D57" w:rsidRPr="0058458C" w:rsidRDefault="004D0D57" w:rsidP="004D0D57">
            <w:pPr>
              <w:pStyle w:val="TableText"/>
              <w:spacing w:before="40" w:after="40"/>
              <w:jc w:val="center"/>
            </w:pPr>
            <w:r w:rsidRPr="00E34AFA">
              <w:t>0.032</w:t>
            </w:r>
          </w:p>
        </w:tc>
        <w:tc>
          <w:tcPr>
            <w:tcW w:w="936" w:type="pct"/>
            <w:tcBorders>
              <w:top w:val="single" w:sz="6" w:space="0" w:color="808080" w:themeColor="background1" w:themeShade="80"/>
              <w:bottom w:val="single" w:sz="6" w:space="0" w:color="808080" w:themeColor="background1" w:themeShade="80"/>
            </w:tcBorders>
          </w:tcPr>
          <w:p w14:paraId="11EB7017" w14:textId="5D0F6C47"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037E738" w14:textId="33B9D535" w:rsidR="004D0D57" w:rsidRPr="0058458C" w:rsidRDefault="004D0D57" w:rsidP="004D0D57">
            <w:pPr>
              <w:pStyle w:val="TableText"/>
              <w:spacing w:before="40" w:after="40"/>
              <w:jc w:val="center"/>
            </w:pPr>
            <w:r w:rsidRPr="0058458C">
              <w:t>0.050</w:t>
            </w:r>
          </w:p>
        </w:tc>
      </w:tr>
      <w:tr w:rsidR="004D0D57" w:rsidRPr="0058458C" w14:paraId="6646D993"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11A4E725" w14:textId="13088116" w:rsidR="004D0D57" w:rsidRPr="0058458C" w:rsidRDefault="004D0D57" w:rsidP="004D0D57">
            <w:pPr>
              <w:pStyle w:val="TableTextIndent1"/>
              <w:spacing w:before="40" w:after="40"/>
            </w:pPr>
            <w:r w:rsidRPr="0058458C">
              <w:t>13–17:45–54</w:t>
            </w:r>
          </w:p>
        </w:tc>
        <w:tc>
          <w:tcPr>
            <w:tcW w:w="937" w:type="pct"/>
            <w:tcBorders>
              <w:top w:val="single" w:sz="6" w:space="0" w:color="808080" w:themeColor="background1" w:themeShade="80"/>
              <w:bottom w:val="single" w:sz="6" w:space="0" w:color="808080" w:themeColor="background1" w:themeShade="80"/>
            </w:tcBorders>
          </w:tcPr>
          <w:p w14:paraId="7E4425B8" w14:textId="05691CC9" w:rsidR="004D0D57" w:rsidRPr="0058458C" w:rsidRDefault="004D0D57" w:rsidP="004D0D57">
            <w:pPr>
              <w:pStyle w:val="TableText"/>
              <w:spacing w:before="40" w:after="40"/>
              <w:jc w:val="center"/>
            </w:pPr>
            <w:r w:rsidRPr="00E34AFA">
              <w:t>0.005</w:t>
            </w:r>
          </w:p>
        </w:tc>
        <w:tc>
          <w:tcPr>
            <w:tcW w:w="936" w:type="pct"/>
            <w:tcBorders>
              <w:top w:val="single" w:sz="6" w:space="0" w:color="808080" w:themeColor="background1" w:themeShade="80"/>
              <w:bottom w:val="single" w:sz="6" w:space="0" w:color="808080" w:themeColor="background1" w:themeShade="80"/>
            </w:tcBorders>
          </w:tcPr>
          <w:p w14:paraId="1767F54A" w14:textId="7B351DEE"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0A39CBA9" w14:textId="3FCA1ED5" w:rsidR="004D0D57" w:rsidRPr="0058458C" w:rsidRDefault="004D0D57" w:rsidP="004D0D57">
            <w:pPr>
              <w:pStyle w:val="TableText"/>
              <w:spacing w:before="40" w:after="40"/>
              <w:jc w:val="center"/>
            </w:pPr>
            <w:r w:rsidRPr="0058458C">
              <w:t>0.010</w:t>
            </w:r>
          </w:p>
        </w:tc>
      </w:tr>
      <w:tr w:rsidR="004D0D57" w:rsidRPr="0058458C" w14:paraId="0D19BBCD"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03D1A4DA" w14:textId="4848328A" w:rsidR="004D0D57" w:rsidRPr="0058458C" w:rsidRDefault="004D0D57" w:rsidP="004D0D57">
            <w:pPr>
              <w:pStyle w:val="TableTextIndent1"/>
              <w:spacing w:before="40" w:after="40"/>
            </w:pPr>
            <w:r w:rsidRPr="0058458C">
              <w:t>13–17:55–64</w:t>
            </w:r>
          </w:p>
        </w:tc>
        <w:tc>
          <w:tcPr>
            <w:tcW w:w="937" w:type="pct"/>
            <w:tcBorders>
              <w:top w:val="single" w:sz="6" w:space="0" w:color="808080" w:themeColor="background1" w:themeShade="80"/>
              <w:bottom w:val="single" w:sz="6" w:space="0" w:color="808080" w:themeColor="background1" w:themeShade="80"/>
            </w:tcBorders>
          </w:tcPr>
          <w:p w14:paraId="1CADF3B9" w14:textId="2C821101" w:rsidR="004D0D57" w:rsidRPr="0058458C" w:rsidRDefault="004D0D57" w:rsidP="004D0D57">
            <w:pPr>
              <w:pStyle w:val="TableText"/>
              <w:spacing w:before="40" w:after="40"/>
              <w:jc w:val="center"/>
            </w:pPr>
            <w:r w:rsidRPr="00E34AFA">
              <w:t>0.005</w:t>
            </w:r>
          </w:p>
        </w:tc>
        <w:tc>
          <w:tcPr>
            <w:tcW w:w="936" w:type="pct"/>
            <w:tcBorders>
              <w:top w:val="single" w:sz="6" w:space="0" w:color="808080" w:themeColor="background1" w:themeShade="80"/>
              <w:bottom w:val="single" w:sz="6" w:space="0" w:color="808080" w:themeColor="background1" w:themeShade="80"/>
            </w:tcBorders>
          </w:tcPr>
          <w:p w14:paraId="586BC058" w14:textId="480DB675"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38BEDC64" w14:textId="511D819E" w:rsidR="004D0D57" w:rsidRPr="0058458C" w:rsidRDefault="004D0D57" w:rsidP="004D0D57">
            <w:pPr>
              <w:pStyle w:val="TableText"/>
              <w:spacing w:before="40" w:after="40"/>
              <w:jc w:val="center"/>
            </w:pPr>
            <w:r w:rsidRPr="0058458C">
              <w:t>0.010</w:t>
            </w:r>
          </w:p>
        </w:tc>
      </w:tr>
      <w:tr w:rsidR="004D0D57" w:rsidRPr="0058458C" w14:paraId="0219C76A"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31213C4" w14:textId="14C7C169" w:rsidR="004D0D57" w:rsidRPr="0058458C" w:rsidRDefault="004D0D57" w:rsidP="004D0D57">
            <w:pPr>
              <w:pStyle w:val="TableTextIndent1"/>
              <w:spacing w:before="40" w:after="40"/>
            </w:pPr>
            <w:r w:rsidRPr="0058458C">
              <w:t>13–17:65+</w:t>
            </w:r>
          </w:p>
        </w:tc>
        <w:tc>
          <w:tcPr>
            <w:tcW w:w="937" w:type="pct"/>
            <w:tcBorders>
              <w:top w:val="single" w:sz="6" w:space="0" w:color="808080" w:themeColor="background1" w:themeShade="80"/>
              <w:bottom w:val="single" w:sz="6" w:space="0" w:color="808080" w:themeColor="background1" w:themeShade="80"/>
            </w:tcBorders>
          </w:tcPr>
          <w:p w14:paraId="278D2151" w14:textId="14D31FDE" w:rsidR="004D0D57" w:rsidRPr="0058458C" w:rsidRDefault="004D0D57" w:rsidP="004D0D57">
            <w:pPr>
              <w:pStyle w:val="TableText"/>
              <w:spacing w:before="40" w:after="40"/>
              <w:jc w:val="center"/>
            </w:pPr>
            <w:r w:rsidRPr="00E34AFA">
              <w:t>0.005</w:t>
            </w:r>
          </w:p>
        </w:tc>
        <w:tc>
          <w:tcPr>
            <w:tcW w:w="936" w:type="pct"/>
            <w:tcBorders>
              <w:top w:val="single" w:sz="6" w:space="0" w:color="808080" w:themeColor="background1" w:themeShade="80"/>
              <w:bottom w:val="single" w:sz="6" w:space="0" w:color="808080" w:themeColor="background1" w:themeShade="80"/>
            </w:tcBorders>
          </w:tcPr>
          <w:p w14:paraId="6C43F578" w14:textId="74025F70"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062CDCA8" w14:textId="1A14521D" w:rsidR="004D0D57" w:rsidRPr="0058458C" w:rsidRDefault="004D0D57" w:rsidP="004D0D57">
            <w:pPr>
              <w:pStyle w:val="TableText"/>
              <w:spacing w:before="40" w:after="40"/>
              <w:jc w:val="center"/>
            </w:pPr>
            <w:r w:rsidRPr="0058458C">
              <w:t>0.010</w:t>
            </w:r>
          </w:p>
        </w:tc>
      </w:tr>
      <w:tr w:rsidR="004D0D57" w:rsidRPr="0058458C" w14:paraId="42402895"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E2F901C" w14:textId="777453DA" w:rsidR="004D0D57" w:rsidRPr="0058458C" w:rsidRDefault="004D0D57" w:rsidP="004D0D57">
            <w:pPr>
              <w:pStyle w:val="TableTextIndent1"/>
              <w:spacing w:before="40" w:after="40"/>
            </w:pPr>
            <w:r w:rsidRPr="0058458C">
              <w:t>18–24:13–17</w:t>
            </w:r>
          </w:p>
        </w:tc>
        <w:tc>
          <w:tcPr>
            <w:tcW w:w="937" w:type="pct"/>
            <w:tcBorders>
              <w:top w:val="single" w:sz="6" w:space="0" w:color="808080" w:themeColor="background1" w:themeShade="80"/>
              <w:bottom w:val="single" w:sz="6" w:space="0" w:color="808080" w:themeColor="background1" w:themeShade="80"/>
            </w:tcBorders>
          </w:tcPr>
          <w:p w14:paraId="11B85F50" w14:textId="027A4C96" w:rsidR="004D0D57" w:rsidRPr="0058458C" w:rsidRDefault="004D0D57" w:rsidP="004D0D57">
            <w:pPr>
              <w:pStyle w:val="TableText"/>
              <w:spacing w:before="40" w:after="40"/>
              <w:jc w:val="center"/>
            </w:pPr>
            <w:r w:rsidRPr="00E34AFA">
              <w:t>0.083</w:t>
            </w:r>
          </w:p>
        </w:tc>
        <w:tc>
          <w:tcPr>
            <w:tcW w:w="936" w:type="pct"/>
            <w:tcBorders>
              <w:top w:val="single" w:sz="6" w:space="0" w:color="808080" w:themeColor="background1" w:themeShade="80"/>
              <w:bottom w:val="single" w:sz="6" w:space="0" w:color="808080" w:themeColor="background1" w:themeShade="80"/>
            </w:tcBorders>
          </w:tcPr>
          <w:p w14:paraId="692D2B12" w14:textId="58A2C755" w:rsidR="004D0D57" w:rsidRPr="0058458C" w:rsidRDefault="004D0D57" w:rsidP="004D0D57">
            <w:pPr>
              <w:pStyle w:val="TableText"/>
              <w:spacing w:before="40" w:after="40"/>
              <w:jc w:val="center"/>
            </w:pPr>
            <w:r w:rsidRPr="0058458C">
              <w:t>0.050</w:t>
            </w:r>
          </w:p>
        </w:tc>
        <w:tc>
          <w:tcPr>
            <w:tcW w:w="991" w:type="pct"/>
            <w:tcBorders>
              <w:top w:val="single" w:sz="6" w:space="0" w:color="808080" w:themeColor="background1" w:themeShade="80"/>
              <w:bottom w:val="single" w:sz="6" w:space="0" w:color="808080" w:themeColor="background1" w:themeShade="80"/>
            </w:tcBorders>
          </w:tcPr>
          <w:p w14:paraId="04DA356C" w14:textId="77C5E23D" w:rsidR="004D0D57" w:rsidRPr="0058458C" w:rsidRDefault="004D0D57" w:rsidP="004D0D57">
            <w:pPr>
              <w:pStyle w:val="TableText"/>
              <w:spacing w:before="40" w:after="40"/>
              <w:jc w:val="center"/>
            </w:pPr>
            <w:r w:rsidRPr="0058458C">
              <w:t>0.200</w:t>
            </w:r>
          </w:p>
        </w:tc>
      </w:tr>
      <w:tr w:rsidR="004D0D57" w:rsidRPr="0058458C" w14:paraId="0EC4BF73"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AA1A96B" w14:textId="59051825" w:rsidR="004D0D57" w:rsidRPr="0058458C" w:rsidRDefault="004D0D57" w:rsidP="004D0D57">
            <w:pPr>
              <w:pStyle w:val="TableTextIndent1"/>
              <w:spacing w:before="40" w:after="40"/>
            </w:pPr>
            <w:r w:rsidRPr="0058458C">
              <w:t>18–24:25–34</w:t>
            </w:r>
          </w:p>
        </w:tc>
        <w:tc>
          <w:tcPr>
            <w:tcW w:w="937" w:type="pct"/>
            <w:tcBorders>
              <w:top w:val="single" w:sz="6" w:space="0" w:color="808080" w:themeColor="background1" w:themeShade="80"/>
              <w:bottom w:val="single" w:sz="6" w:space="0" w:color="808080" w:themeColor="background1" w:themeShade="80"/>
            </w:tcBorders>
          </w:tcPr>
          <w:p w14:paraId="16ED2F10" w14:textId="28D8CE2A" w:rsidR="004D0D57" w:rsidRPr="0058458C" w:rsidRDefault="004D0D57" w:rsidP="004D0D57">
            <w:pPr>
              <w:pStyle w:val="TableText"/>
              <w:spacing w:before="40" w:after="40"/>
              <w:jc w:val="center"/>
            </w:pPr>
            <w:r w:rsidRPr="00E34AFA">
              <w:t>0.291</w:t>
            </w:r>
          </w:p>
        </w:tc>
        <w:tc>
          <w:tcPr>
            <w:tcW w:w="936" w:type="pct"/>
            <w:tcBorders>
              <w:top w:val="single" w:sz="6" w:space="0" w:color="808080" w:themeColor="background1" w:themeShade="80"/>
              <w:bottom w:val="single" w:sz="6" w:space="0" w:color="808080" w:themeColor="background1" w:themeShade="80"/>
            </w:tcBorders>
          </w:tcPr>
          <w:p w14:paraId="24332D57" w14:textId="7D85409B" w:rsidR="004D0D57" w:rsidRPr="0058458C" w:rsidRDefault="004D0D57" w:rsidP="004D0D57">
            <w:pPr>
              <w:pStyle w:val="TableText"/>
              <w:spacing w:before="40" w:after="40"/>
              <w:jc w:val="center"/>
            </w:pPr>
            <w:r w:rsidRPr="0058458C">
              <w:t>0.200</w:t>
            </w:r>
          </w:p>
        </w:tc>
        <w:tc>
          <w:tcPr>
            <w:tcW w:w="991" w:type="pct"/>
            <w:tcBorders>
              <w:top w:val="single" w:sz="6" w:space="0" w:color="808080" w:themeColor="background1" w:themeShade="80"/>
              <w:bottom w:val="single" w:sz="6" w:space="0" w:color="808080" w:themeColor="background1" w:themeShade="80"/>
            </w:tcBorders>
          </w:tcPr>
          <w:p w14:paraId="5A5F22BE" w14:textId="7C0C83A6" w:rsidR="004D0D57" w:rsidRPr="0058458C" w:rsidRDefault="004D0D57" w:rsidP="004D0D57">
            <w:pPr>
              <w:pStyle w:val="TableText"/>
              <w:spacing w:before="40" w:after="40"/>
              <w:jc w:val="center"/>
            </w:pPr>
            <w:r w:rsidRPr="0058458C">
              <w:t>0.500</w:t>
            </w:r>
          </w:p>
        </w:tc>
      </w:tr>
      <w:tr w:rsidR="004D0D57" w:rsidRPr="0058458C" w14:paraId="368FAAE5"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36A91A67" w14:textId="3D8A2D29" w:rsidR="004D0D57" w:rsidRPr="0058458C" w:rsidRDefault="004D0D57" w:rsidP="004D0D57">
            <w:pPr>
              <w:pStyle w:val="TableTextIndent1"/>
              <w:spacing w:before="40" w:after="40"/>
            </w:pPr>
            <w:r w:rsidRPr="0058458C">
              <w:t>18–24:35–44</w:t>
            </w:r>
          </w:p>
        </w:tc>
        <w:tc>
          <w:tcPr>
            <w:tcW w:w="937" w:type="pct"/>
            <w:tcBorders>
              <w:top w:val="single" w:sz="6" w:space="0" w:color="808080" w:themeColor="background1" w:themeShade="80"/>
              <w:bottom w:val="single" w:sz="6" w:space="0" w:color="808080" w:themeColor="background1" w:themeShade="80"/>
            </w:tcBorders>
          </w:tcPr>
          <w:p w14:paraId="1066A049" w14:textId="2069F987" w:rsidR="004D0D57" w:rsidRPr="0058458C" w:rsidRDefault="004D0D57" w:rsidP="004D0D57">
            <w:pPr>
              <w:pStyle w:val="TableText"/>
              <w:spacing w:before="40" w:after="40"/>
              <w:jc w:val="center"/>
            </w:pPr>
            <w:r w:rsidRPr="00E34AFA">
              <w:t>0.122</w:t>
            </w:r>
          </w:p>
        </w:tc>
        <w:tc>
          <w:tcPr>
            <w:tcW w:w="936" w:type="pct"/>
            <w:tcBorders>
              <w:top w:val="single" w:sz="6" w:space="0" w:color="808080" w:themeColor="background1" w:themeShade="80"/>
              <w:bottom w:val="single" w:sz="6" w:space="0" w:color="808080" w:themeColor="background1" w:themeShade="80"/>
            </w:tcBorders>
          </w:tcPr>
          <w:p w14:paraId="4C1FD335" w14:textId="07237590" w:rsidR="004D0D57" w:rsidRPr="0058458C" w:rsidRDefault="004D0D57" w:rsidP="004D0D57">
            <w:pPr>
              <w:pStyle w:val="TableText"/>
              <w:spacing w:before="40" w:after="40"/>
              <w:jc w:val="center"/>
            </w:pPr>
            <w:r w:rsidRPr="0058458C">
              <w:t>0.050</w:t>
            </w:r>
          </w:p>
        </w:tc>
        <w:tc>
          <w:tcPr>
            <w:tcW w:w="991" w:type="pct"/>
            <w:tcBorders>
              <w:top w:val="single" w:sz="6" w:space="0" w:color="808080" w:themeColor="background1" w:themeShade="80"/>
              <w:bottom w:val="single" w:sz="6" w:space="0" w:color="808080" w:themeColor="background1" w:themeShade="80"/>
            </w:tcBorders>
          </w:tcPr>
          <w:p w14:paraId="7BF6650D" w14:textId="7661CB55" w:rsidR="004D0D57" w:rsidRPr="0058458C" w:rsidRDefault="004D0D57" w:rsidP="004D0D57">
            <w:pPr>
              <w:pStyle w:val="TableText"/>
              <w:spacing w:before="40" w:after="40"/>
              <w:jc w:val="center"/>
            </w:pPr>
            <w:r w:rsidRPr="0058458C">
              <w:t>0.150</w:t>
            </w:r>
          </w:p>
        </w:tc>
      </w:tr>
      <w:tr w:rsidR="004D0D57" w:rsidRPr="0058458C" w14:paraId="64613F7B"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41F511B7" w14:textId="2C5F631D" w:rsidR="004D0D57" w:rsidRPr="0058458C" w:rsidRDefault="004D0D57" w:rsidP="004D0D57">
            <w:pPr>
              <w:pStyle w:val="TableTextIndent1"/>
              <w:spacing w:before="40" w:after="40"/>
            </w:pPr>
            <w:r w:rsidRPr="0058458C">
              <w:t>18–24:45–54</w:t>
            </w:r>
          </w:p>
        </w:tc>
        <w:tc>
          <w:tcPr>
            <w:tcW w:w="937" w:type="pct"/>
            <w:tcBorders>
              <w:top w:val="single" w:sz="6" w:space="0" w:color="808080" w:themeColor="background1" w:themeShade="80"/>
              <w:bottom w:val="single" w:sz="6" w:space="0" w:color="808080" w:themeColor="background1" w:themeShade="80"/>
            </w:tcBorders>
          </w:tcPr>
          <w:p w14:paraId="71B568C0" w14:textId="1C96797A" w:rsidR="004D0D57" w:rsidRPr="0058458C" w:rsidRDefault="004D0D57" w:rsidP="004D0D57">
            <w:pPr>
              <w:pStyle w:val="TableText"/>
              <w:spacing w:before="40" w:after="40"/>
              <w:jc w:val="center"/>
            </w:pPr>
            <w:r w:rsidRPr="00E34AFA">
              <w:t>0.034</w:t>
            </w:r>
          </w:p>
        </w:tc>
        <w:tc>
          <w:tcPr>
            <w:tcW w:w="936" w:type="pct"/>
            <w:tcBorders>
              <w:top w:val="single" w:sz="6" w:space="0" w:color="808080" w:themeColor="background1" w:themeShade="80"/>
              <w:bottom w:val="single" w:sz="6" w:space="0" w:color="808080" w:themeColor="background1" w:themeShade="80"/>
            </w:tcBorders>
          </w:tcPr>
          <w:p w14:paraId="578094B2" w14:textId="20C27AA9"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7AD54FBF" w14:textId="5FE865C2" w:rsidR="004D0D57" w:rsidRPr="0058458C" w:rsidRDefault="004D0D57" w:rsidP="004D0D57">
            <w:pPr>
              <w:pStyle w:val="TableText"/>
              <w:spacing w:before="40" w:after="40"/>
              <w:jc w:val="center"/>
            </w:pPr>
            <w:r w:rsidRPr="0058458C">
              <w:t>0.050</w:t>
            </w:r>
          </w:p>
        </w:tc>
      </w:tr>
      <w:tr w:rsidR="004D0D57" w:rsidRPr="0058458C" w14:paraId="321BDF75"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35421F4" w14:textId="1CD0A46A" w:rsidR="004D0D57" w:rsidRPr="0058458C" w:rsidRDefault="004D0D57" w:rsidP="004D0D57">
            <w:pPr>
              <w:pStyle w:val="TableTextIndent1"/>
              <w:spacing w:before="40" w:after="40"/>
            </w:pPr>
            <w:r w:rsidRPr="0058458C">
              <w:t>18–24:55–64</w:t>
            </w:r>
          </w:p>
        </w:tc>
        <w:tc>
          <w:tcPr>
            <w:tcW w:w="937" w:type="pct"/>
            <w:tcBorders>
              <w:top w:val="single" w:sz="6" w:space="0" w:color="808080" w:themeColor="background1" w:themeShade="80"/>
              <w:bottom w:val="single" w:sz="6" w:space="0" w:color="808080" w:themeColor="background1" w:themeShade="80"/>
            </w:tcBorders>
          </w:tcPr>
          <w:p w14:paraId="6DA75E09" w14:textId="53BEF118" w:rsidR="004D0D57" w:rsidRPr="0058458C" w:rsidRDefault="004D0D57" w:rsidP="004D0D57">
            <w:pPr>
              <w:pStyle w:val="TableText"/>
              <w:spacing w:before="40" w:after="40"/>
              <w:jc w:val="center"/>
            </w:pPr>
            <w:r w:rsidRPr="00E34AFA">
              <w:t>0.032</w:t>
            </w:r>
          </w:p>
        </w:tc>
        <w:tc>
          <w:tcPr>
            <w:tcW w:w="936" w:type="pct"/>
            <w:tcBorders>
              <w:top w:val="single" w:sz="6" w:space="0" w:color="808080" w:themeColor="background1" w:themeShade="80"/>
              <w:bottom w:val="single" w:sz="6" w:space="0" w:color="808080" w:themeColor="background1" w:themeShade="80"/>
            </w:tcBorders>
          </w:tcPr>
          <w:p w14:paraId="48CF7BA6" w14:textId="71949E70"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5AC77D39" w14:textId="6D8F1C28" w:rsidR="004D0D57" w:rsidRPr="0058458C" w:rsidRDefault="004D0D57" w:rsidP="004D0D57">
            <w:pPr>
              <w:pStyle w:val="TableText"/>
              <w:spacing w:before="40" w:after="40"/>
              <w:jc w:val="center"/>
            </w:pPr>
            <w:r w:rsidRPr="0058458C">
              <w:t>0.050</w:t>
            </w:r>
          </w:p>
        </w:tc>
      </w:tr>
      <w:tr w:rsidR="004D0D57" w:rsidRPr="0058458C" w14:paraId="6C1830C1"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04AC8642" w14:textId="0B402A70" w:rsidR="004D0D57" w:rsidRPr="0058458C" w:rsidRDefault="004D0D57" w:rsidP="004D0D57">
            <w:pPr>
              <w:pStyle w:val="TableTextIndent1"/>
              <w:spacing w:before="40" w:after="40"/>
            </w:pPr>
            <w:r w:rsidRPr="0058458C">
              <w:t>18–24:65+</w:t>
            </w:r>
          </w:p>
        </w:tc>
        <w:tc>
          <w:tcPr>
            <w:tcW w:w="937" w:type="pct"/>
            <w:tcBorders>
              <w:top w:val="single" w:sz="6" w:space="0" w:color="808080" w:themeColor="background1" w:themeShade="80"/>
              <w:bottom w:val="single" w:sz="6" w:space="0" w:color="808080" w:themeColor="background1" w:themeShade="80"/>
            </w:tcBorders>
          </w:tcPr>
          <w:p w14:paraId="69A73FD5" w14:textId="5F341343" w:rsidR="004D0D57" w:rsidRPr="0058458C" w:rsidRDefault="004D0D57" w:rsidP="004D0D57">
            <w:pPr>
              <w:pStyle w:val="TableText"/>
              <w:spacing w:before="40" w:after="40"/>
              <w:jc w:val="center"/>
            </w:pPr>
            <w:r w:rsidRPr="00E34AFA">
              <w:t>0.021</w:t>
            </w:r>
          </w:p>
        </w:tc>
        <w:tc>
          <w:tcPr>
            <w:tcW w:w="936" w:type="pct"/>
            <w:tcBorders>
              <w:top w:val="single" w:sz="6" w:space="0" w:color="808080" w:themeColor="background1" w:themeShade="80"/>
              <w:bottom w:val="single" w:sz="6" w:space="0" w:color="808080" w:themeColor="background1" w:themeShade="80"/>
            </w:tcBorders>
          </w:tcPr>
          <w:p w14:paraId="5048BCE2" w14:textId="263812E9"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1831062" w14:textId="503A292B" w:rsidR="004D0D57" w:rsidRPr="0058458C" w:rsidRDefault="004D0D57" w:rsidP="004D0D57">
            <w:pPr>
              <w:pStyle w:val="TableText"/>
              <w:spacing w:before="40" w:after="40"/>
              <w:jc w:val="center"/>
            </w:pPr>
            <w:r w:rsidRPr="0058458C">
              <w:t>0.050</w:t>
            </w:r>
          </w:p>
        </w:tc>
      </w:tr>
      <w:tr w:rsidR="004D0D57" w:rsidRPr="0058458C" w14:paraId="44EA5E64"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E0E8EAA" w14:textId="5EDF0B13" w:rsidR="004D0D57" w:rsidRPr="0058458C" w:rsidRDefault="004D0D57" w:rsidP="004D0D57">
            <w:pPr>
              <w:pStyle w:val="TableTextIndent1"/>
              <w:spacing w:before="40" w:after="40"/>
            </w:pPr>
            <w:r w:rsidRPr="0058458C">
              <w:t>25–34:13–17</w:t>
            </w:r>
          </w:p>
        </w:tc>
        <w:tc>
          <w:tcPr>
            <w:tcW w:w="937" w:type="pct"/>
            <w:tcBorders>
              <w:top w:val="single" w:sz="6" w:space="0" w:color="808080" w:themeColor="background1" w:themeShade="80"/>
              <w:bottom w:val="single" w:sz="6" w:space="0" w:color="808080" w:themeColor="background1" w:themeShade="80"/>
            </w:tcBorders>
          </w:tcPr>
          <w:p w14:paraId="7F83E7B8" w14:textId="6BD3E09B" w:rsidR="004D0D57" w:rsidRPr="0058458C" w:rsidRDefault="004D0D57" w:rsidP="004D0D57">
            <w:pPr>
              <w:pStyle w:val="TableText"/>
              <w:spacing w:before="40" w:after="40"/>
              <w:jc w:val="center"/>
            </w:pPr>
            <w:r w:rsidRPr="00E34AFA">
              <w:t>0.046</w:t>
            </w:r>
          </w:p>
        </w:tc>
        <w:tc>
          <w:tcPr>
            <w:tcW w:w="936" w:type="pct"/>
            <w:tcBorders>
              <w:top w:val="single" w:sz="6" w:space="0" w:color="808080" w:themeColor="background1" w:themeShade="80"/>
              <w:bottom w:val="single" w:sz="6" w:space="0" w:color="808080" w:themeColor="background1" w:themeShade="80"/>
            </w:tcBorders>
          </w:tcPr>
          <w:p w14:paraId="025D877E" w14:textId="2470EBD0"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592393CF" w14:textId="1B135E7C" w:rsidR="004D0D57" w:rsidRPr="0058458C" w:rsidRDefault="004D0D57" w:rsidP="004D0D57">
            <w:pPr>
              <w:pStyle w:val="TableText"/>
              <w:spacing w:before="40" w:after="40"/>
              <w:jc w:val="center"/>
            </w:pPr>
            <w:r w:rsidRPr="0058458C">
              <w:t>0.080</w:t>
            </w:r>
          </w:p>
        </w:tc>
      </w:tr>
      <w:tr w:rsidR="004D0D57" w:rsidRPr="0058458C" w14:paraId="6A8D6227"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575C508" w14:textId="25E005A6" w:rsidR="004D0D57" w:rsidRPr="0058458C" w:rsidRDefault="004D0D57" w:rsidP="004D0D57">
            <w:pPr>
              <w:pStyle w:val="TableTextIndent1"/>
              <w:spacing w:before="40" w:after="40"/>
            </w:pPr>
            <w:r w:rsidRPr="0058458C">
              <w:t>25–34:18–24</w:t>
            </w:r>
          </w:p>
        </w:tc>
        <w:tc>
          <w:tcPr>
            <w:tcW w:w="937" w:type="pct"/>
            <w:tcBorders>
              <w:top w:val="single" w:sz="6" w:space="0" w:color="808080" w:themeColor="background1" w:themeShade="80"/>
              <w:bottom w:val="single" w:sz="6" w:space="0" w:color="808080" w:themeColor="background1" w:themeShade="80"/>
            </w:tcBorders>
          </w:tcPr>
          <w:p w14:paraId="32147DE7" w14:textId="3A5C9065" w:rsidR="004D0D57" w:rsidRPr="0058458C" w:rsidRDefault="004D0D57" w:rsidP="004D0D57">
            <w:pPr>
              <w:pStyle w:val="TableText"/>
              <w:spacing w:before="40" w:after="40"/>
              <w:jc w:val="center"/>
            </w:pPr>
            <w:r w:rsidRPr="00E34AFA">
              <w:t>0.301</w:t>
            </w:r>
          </w:p>
        </w:tc>
        <w:tc>
          <w:tcPr>
            <w:tcW w:w="936" w:type="pct"/>
            <w:tcBorders>
              <w:top w:val="single" w:sz="6" w:space="0" w:color="808080" w:themeColor="background1" w:themeShade="80"/>
              <w:bottom w:val="single" w:sz="6" w:space="0" w:color="808080" w:themeColor="background1" w:themeShade="80"/>
            </w:tcBorders>
          </w:tcPr>
          <w:p w14:paraId="572ED105" w14:textId="511C7F4E" w:rsidR="004D0D57" w:rsidRPr="0058458C" w:rsidRDefault="004D0D57" w:rsidP="004D0D57">
            <w:pPr>
              <w:pStyle w:val="TableText"/>
              <w:spacing w:before="40" w:after="40"/>
              <w:jc w:val="center"/>
            </w:pPr>
            <w:r w:rsidRPr="0058458C">
              <w:t>0.150</w:t>
            </w:r>
          </w:p>
        </w:tc>
        <w:tc>
          <w:tcPr>
            <w:tcW w:w="991" w:type="pct"/>
            <w:tcBorders>
              <w:top w:val="single" w:sz="6" w:space="0" w:color="808080" w:themeColor="background1" w:themeShade="80"/>
              <w:bottom w:val="single" w:sz="6" w:space="0" w:color="808080" w:themeColor="background1" w:themeShade="80"/>
            </w:tcBorders>
          </w:tcPr>
          <w:p w14:paraId="3A159F4F" w14:textId="4D4CBF62" w:rsidR="004D0D57" w:rsidRPr="0058458C" w:rsidRDefault="004D0D57" w:rsidP="004D0D57">
            <w:pPr>
              <w:pStyle w:val="TableText"/>
              <w:spacing w:before="40" w:after="40"/>
              <w:jc w:val="center"/>
            </w:pPr>
            <w:r w:rsidRPr="0058458C">
              <w:t>0.350</w:t>
            </w:r>
          </w:p>
        </w:tc>
      </w:tr>
      <w:tr w:rsidR="004D0D57" w:rsidRPr="0058458C" w14:paraId="0B0660C4"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848A178" w14:textId="699C62C8" w:rsidR="004D0D57" w:rsidRPr="0058458C" w:rsidRDefault="004D0D57" w:rsidP="004D0D57">
            <w:pPr>
              <w:pStyle w:val="TableTextIndent1"/>
              <w:spacing w:before="40" w:after="40"/>
            </w:pPr>
            <w:r w:rsidRPr="0058458C">
              <w:t>25–34:35–44</w:t>
            </w:r>
          </w:p>
        </w:tc>
        <w:tc>
          <w:tcPr>
            <w:tcW w:w="937" w:type="pct"/>
            <w:tcBorders>
              <w:top w:val="single" w:sz="6" w:space="0" w:color="808080" w:themeColor="background1" w:themeShade="80"/>
              <w:bottom w:val="single" w:sz="6" w:space="0" w:color="808080" w:themeColor="background1" w:themeShade="80"/>
            </w:tcBorders>
          </w:tcPr>
          <w:p w14:paraId="75674CE3" w14:textId="0C1C56B9" w:rsidR="004D0D57" w:rsidRPr="0058458C" w:rsidRDefault="004D0D57" w:rsidP="004D0D57">
            <w:pPr>
              <w:pStyle w:val="TableText"/>
              <w:spacing w:before="40" w:after="40"/>
              <w:jc w:val="center"/>
            </w:pPr>
            <w:r w:rsidRPr="00E34AFA">
              <w:t>0.300</w:t>
            </w:r>
          </w:p>
        </w:tc>
        <w:tc>
          <w:tcPr>
            <w:tcW w:w="936" w:type="pct"/>
            <w:tcBorders>
              <w:top w:val="single" w:sz="6" w:space="0" w:color="808080" w:themeColor="background1" w:themeShade="80"/>
              <w:bottom w:val="single" w:sz="6" w:space="0" w:color="808080" w:themeColor="background1" w:themeShade="80"/>
            </w:tcBorders>
          </w:tcPr>
          <w:p w14:paraId="16FD8792" w14:textId="1456E999" w:rsidR="004D0D57" w:rsidRPr="0058458C" w:rsidRDefault="004D0D57" w:rsidP="004D0D57">
            <w:pPr>
              <w:pStyle w:val="TableText"/>
              <w:spacing w:before="40" w:after="40"/>
              <w:jc w:val="center"/>
            </w:pPr>
            <w:r w:rsidRPr="0058458C">
              <w:t>0.150</w:t>
            </w:r>
          </w:p>
        </w:tc>
        <w:tc>
          <w:tcPr>
            <w:tcW w:w="991" w:type="pct"/>
            <w:tcBorders>
              <w:top w:val="single" w:sz="6" w:space="0" w:color="808080" w:themeColor="background1" w:themeShade="80"/>
              <w:bottom w:val="single" w:sz="6" w:space="0" w:color="808080" w:themeColor="background1" w:themeShade="80"/>
            </w:tcBorders>
          </w:tcPr>
          <w:p w14:paraId="17469D1F" w14:textId="654C41A3" w:rsidR="004D0D57" w:rsidRPr="0058458C" w:rsidRDefault="004D0D57" w:rsidP="004D0D57">
            <w:pPr>
              <w:pStyle w:val="TableText"/>
              <w:spacing w:before="40" w:after="40"/>
              <w:jc w:val="center"/>
            </w:pPr>
            <w:r w:rsidRPr="0058458C">
              <w:t>0.350</w:t>
            </w:r>
          </w:p>
        </w:tc>
      </w:tr>
      <w:tr w:rsidR="004D0D57" w:rsidRPr="0058458C" w14:paraId="202112FC"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004FD733" w14:textId="539B2EB2" w:rsidR="004D0D57" w:rsidRPr="0058458C" w:rsidRDefault="004D0D57" w:rsidP="004D0D57">
            <w:pPr>
              <w:pStyle w:val="TableTextIndent1"/>
              <w:spacing w:before="40" w:after="40"/>
            </w:pPr>
            <w:r w:rsidRPr="0058458C">
              <w:t>25–34:45–54</w:t>
            </w:r>
          </w:p>
        </w:tc>
        <w:tc>
          <w:tcPr>
            <w:tcW w:w="937" w:type="pct"/>
            <w:tcBorders>
              <w:top w:val="single" w:sz="6" w:space="0" w:color="808080" w:themeColor="background1" w:themeShade="80"/>
              <w:bottom w:val="single" w:sz="6" w:space="0" w:color="808080" w:themeColor="background1" w:themeShade="80"/>
            </w:tcBorders>
          </w:tcPr>
          <w:p w14:paraId="11FF61B3" w14:textId="3637BD7E" w:rsidR="004D0D57" w:rsidRPr="0058458C" w:rsidRDefault="004D0D57" w:rsidP="004D0D57">
            <w:pPr>
              <w:pStyle w:val="TableText"/>
              <w:spacing w:before="40" w:after="40"/>
              <w:jc w:val="center"/>
            </w:pPr>
            <w:r w:rsidRPr="00E34AFA">
              <w:t>0.059</w:t>
            </w:r>
          </w:p>
        </w:tc>
        <w:tc>
          <w:tcPr>
            <w:tcW w:w="936" w:type="pct"/>
            <w:tcBorders>
              <w:top w:val="single" w:sz="6" w:space="0" w:color="808080" w:themeColor="background1" w:themeShade="80"/>
              <w:bottom w:val="single" w:sz="6" w:space="0" w:color="808080" w:themeColor="background1" w:themeShade="80"/>
            </w:tcBorders>
          </w:tcPr>
          <w:p w14:paraId="0D53BCEA" w14:textId="397EE6C1"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60831748" w14:textId="54673A1A" w:rsidR="004D0D57" w:rsidRPr="0058458C" w:rsidRDefault="004D0D57" w:rsidP="004D0D57">
            <w:pPr>
              <w:pStyle w:val="TableText"/>
              <w:spacing w:before="40" w:after="40"/>
              <w:jc w:val="center"/>
            </w:pPr>
            <w:r w:rsidRPr="0058458C">
              <w:t>0.080</w:t>
            </w:r>
          </w:p>
        </w:tc>
      </w:tr>
      <w:tr w:rsidR="004D0D57" w:rsidRPr="0058458C" w14:paraId="3435C887"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9B3B837" w14:textId="5EA2CD3B" w:rsidR="004D0D57" w:rsidRPr="0058458C" w:rsidRDefault="004D0D57" w:rsidP="004D0D57">
            <w:pPr>
              <w:pStyle w:val="TableTextIndent1"/>
              <w:spacing w:before="40" w:after="40"/>
            </w:pPr>
            <w:r w:rsidRPr="0058458C">
              <w:t>25–34:55–64</w:t>
            </w:r>
          </w:p>
        </w:tc>
        <w:tc>
          <w:tcPr>
            <w:tcW w:w="937" w:type="pct"/>
            <w:tcBorders>
              <w:top w:val="single" w:sz="6" w:space="0" w:color="808080" w:themeColor="background1" w:themeShade="80"/>
              <w:bottom w:val="single" w:sz="6" w:space="0" w:color="808080" w:themeColor="background1" w:themeShade="80"/>
            </w:tcBorders>
          </w:tcPr>
          <w:p w14:paraId="5EAEE913" w14:textId="136D4CCA" w:rsidR="004D0D57" w:rsidRPr="0058458C" w:rsidRDefault="004D0D57" w:rsidP="004D0D57">
            <w:pPr>
              <w:pStyle w:val="TableText"/>
              <w:spacing w:before="40" w:after="40"/>
              <w:jc w:val="center"/>
            </w:pPr>
            <w:r w:rsidRPr="00E34AFA">
              <w:t>0.034</w:t>
            </w:r>
          </w:p>
        </w:tc>
        <w:tc>
          <w:tcPr>
            <w:tcW w:w="936" w:type="pct"/>
            <w:tcBorders>
              <w:top w:val="single" w:sz="6" w:space="0" w:color="808080" w:themeColor="background1" w:themeShade="80"/>
              <w:bottom w:val="single" w:sz="6" w:space="0" w:color="808080" w:themeColor="background1" w:themeShade="80"/>
            </w:tcBorders>
          </w:tcPr>
          <w:p w14:paraId="77306899" w14:textId="172CD5EF"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729A89A" w14:textId="2E17E72D" w:rsidR="004D0D57" w:rsidRPr="0058458C" w:rsidRDefault="004D0D57" w:rsidP="004D0D57">
            <w:pPr>
              <w:pStyle w:val="TableText"/>
              <w:spacing w:before="40" w:after="40"/>
              <w:jc w:val="center"/>
            </w:pPr>
            <w:r w:rsidRPr="0058458C">
              <w:t>0.050</w:t>
            </w:r>
          </w:p>
        </w:tc>
      </w:tr>
      <w:tr w:rsidR="004D0D57" w:rsidRPr="0058458C" w14:paraId="433340AC"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1A284099" w14:textId="26A840AE" w:rsidR="004D0D57" w:rsidRPr="0058458C" w:rsidRDefault="004D0D57" w:rsidP="004D0D57">
            <w:pPr>
              <w:pStyle w:val="TableTextIndent1"/>
              <w:spacing w:before="40" w:after="40"/>
            </w:pPr>
            <w:r w:rsidRPr="0058458C">
              <w:t>25–34:65+</w:t>
            </w:r>
          </w:p>
        </w:tc>
        <w:tc>
          <w:tcPr>
            <w:tcW w:w="937" w:type="pct"/>
            <w:tcBorders>
              <w:top w:val="single" w:sz="6" w:space="0" w:color="808080" w:themeColor="background1" w:themeShade="80"/>
              <w:bottom w:val="single" w:sz="6" w:space="0" w:color="808080" w:themeColor="background1" w:themeShade="80"/>
            </w:tcBorders>
          </w:tcPr>
          <w:p w14:paraId="1542FB96" w14:textId="632795D5" w:rsidR="004D0D57" w:rsidRPr="0058458C" w:rsidRDefault="004D0D57" w:rsidP="004D0D57">
            <w:pPr>
              <w:pStyle w:val="TableText"/>
              <w:spacing w:before="40" w:after="40"/>
              <w:jc w:val="center"/>
            </w:pPr>
            <w:r w:rsidRPr="00E34AFA">
              <w:t>0.029</w:t>
            </w:r>
          </w:p>
        </w:tc>
        <w:tc>
          <w:tcPr>
            <w:tcW w:w="936" w:type="pct"/>
            <w:tcBorders>
              <w:top w:val="single" w:sz="6" w:space="0" w:color="808080" w:themeColor="background1" w:themeShade="80"/>
              <w:bottom w:val="single" w:sz="6" w:space="0" w:color="808080" w:themeColor="background1" w:themeShade="80"/>
            </w:tcBorders>
          </w:tcPr>
          <w:p w14:paraId="45BA6057" w14:textId="660C6969"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A0EC1F3" w14:textId="0534C69A" w:rsidR="004D0D57" w:rsidRPr="0058458C" w:rsidRDefault="004D0D57" w:rsidP="004D0D57">
            <w:pPr>
              <w:pStyle w:val="TableText"/>
              <w:spacing w:before="40" w:after="40"/>
              <w:jc w:val="center"/>
            </w:pPr>
            <w:r w:rsidRPr="0058458C">
              <w:t>0.050</w:t>
            </w:r>
          </w:p>
        </w:tc>
      </w:tr>
      <w:tr w:rsidR="004D0D57" w:rsidRPr="0058458C" w14:paraId="7B767090"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7AABBB49" w14:textId="0B8B1926" w:rsidR="004D0D57" w:rsidRPr="0058458C" w:rsidRDefault="004D0D57" w:rsidP="004D0D57">
            <w:pPr>
              <w:pStyle w:val="TableTextIndent1"/>
              <w:spacing w:before="40" w:after="40"/>
            </w:pPr>
            <w:r w:rsidRPr="0058458C">
              <w:t>35–44:13–17</w:t>
            </w:r>
          </w:p>
        </w:tc>
        <w:tc>
          <w:tcPr>
            <w:tcW w:w="937" w:type="pct"/>
            <w:tcBorders>
              <w:top w:val="single" w:sz="6" w:space="0" w:color="808080" w:themeColor="background1" w:themeShade="80"/>
              <w:bottom w:val="single" w:sz="6" w:space="0" w:color="808080" w:themeColor="background1" w:themeShade="80"/>
            </w:tcBorders>
          </w:tcPr>
          <w:p w14:paraId="293CE15F" w14:textId="00ABEBEB" w:rsidR="004D0D57" w:rsidRPr="0058458C" w:rsidRDefault="004D0D57" w:rsidP="004D0D57">
            <w:pPr>
              <w:pStyle w:val="TableText"/>
              <w:spacing w:before="40" w:after="40"/>
              <w:jc w:val="center"/>
            </w:pPr>
            <w:r w:rsidRPr="00E34AFA">
              <w:t>0.023</w:t>
            </w:r>
          </w:p>
        </w:tc>
        <w:tc>
          <w:tcPr>
            <w:tcW w:w="936" w:type="pct"/>
            <w:tcBorders>
              <w:top w:val="single" w:sz="6" w:space="0" w:color="808080" w:themeColor="background1" w:themeShade="80"/>
              <w:bottom w:val="single" w:sz="6" w:space="0" w:color="808080" w:themeColor="background1" w:themeShade="80"/>
            </w:tcBorders>
          </w:tcPr>
          <w:p w14:paraId="1F9ECB1C" w14:textId="174724EA"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29E2C398" w14:textId="1F5FE526" w:rsidR="004D0D57" w:rsidRPr="0058458C" w:rsidRDefault="004D0D57" w:rsidP="004D0D57">
            <w:pPr>
              <w:pStyle w:val="TableText"/>
              <w:spacing w:before="40" w:after="40"/>
              <w:jc w:val="center"/>
            </w:pPr>
            <w:r w:rsidRPr="0058458C">
              <w:t>0.050</w:t>
            </w:r>
          </w:p>
        </w:tc>
      </w:tr>
      <w:tr w:rsidR="004D0D57" w:rsidRPr="0058458C" w14:paraId="6D68564E"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20C9CA7" w14:textId="123C872E" w:rsidR="004D0D57" w:rsidRPr="0058458C" w:rsidRDefault="004D0D57" w:rsidP="004D0D57">
            <w:pPr>
              <w:pStyle w:val="TableTextIndent1"/>
              <w:spacing w:before="40" w:after="40"/>
            </w:pPr>
            <w:r w:rsidRPr="0058458C">
              <w:t>35–44:18–24</w:t>
            </w:r>
          </w:p>
        </w:tc>
        <w:tc>
          <w:tcPr>
            <w:tcW w:w="937" w:type="pct"/>
            <w:tcBorders>
              <w:top w:val="single" w:sz="6" w:space="0" w:color="808080" w:themeColor="background1" w:themeShade="80"/>
              <w:bottom w:val="single" w:sz="6" w:space="0" w:color="808080" w:themeColor="background1" w:themeShade="80"/>
            </w:tcBorders>
          </w:tcPr>
          <w:p w14:paraId="48E29101" w14:textId="5E863A2F" w:rsidR="004D0D57" w:rsidRPr="0058458C" w:rsidRDefault="004D0D57" w:rsidP="004D0D57">
            <w:pPr>
              <w:pStyle w:val="TableText"/>
              <w:spacing w:before="40" w:after="40"/>
              <w:jc w:val="center"/>
            </w:pPr>
            <w:r w:rsidRPr="00E34AFA">
              <w:t>0.106</w:t>
            </w:r>
          </w:p>
        </w:tc>
        <w:tc>
          <w:tcPr>
            <w:tcW w:w="936" w:type="pct"/>
            <w:tcBorders>
              <w:top w:val="single" w:sz="6" w:space="0" w:color="808080" w:themeColor="background1" w:themeShade="80"/>
              <w:bottom w:val="single" w:sz="6" w:space="0" w:color="808080" w:themeColor="background1" w:themeShade="80"/>
            </w:tcBorders>
          </w:tcPr>
          <w:p w14:paraId="36E1A124" w14:textId="3CE6A8DD" w:rsidR="004D0D57" w:rsidRPr="0058458C" w:rsidRDefault="004D0D57" w:rsidP="004D0D57">
            <w:pPr>
              <w:pStyle w:val="TableText"/>
              <w:spacing w:before="40" w:after="40"/>
              <w:jc w:val="center"/>
            </w:pPr>
            <w:r w:rsidRPr="0058458C">
              <w:t>0.050</w:t>
            </w:r>
          </w:p>
        </w:tc>
        <w:tc>
          <w:tcPr>
            <w:tcW w:w="991" w:type="pct"/>
            <w:tcBorders>
              <w:top w:val="single" w:sz="6" w:space="0" w:color="808080" w:themeColor="background1" w:themeShade="80"/>
              <w:bottom w:val="single" w:sz="6" w:space="0" w:color="808080" w:themeColor="background1" w:themeShade="80"/>
            </w:tcBorders>
          </w:tcPr>
          <w:p w14:paraId="08EFAA63" w14:textId="77E8F9C1" w:rsidR="004D0D57" w:rsidRPr="0058458C" w:rsidRDefault="004D0D57" w:rsidP="004D0D57">
            <w:pPr>
              <w:pStyle w:val="TableText"/>
              <w:spacing w:before="40" w:after="40"/>
              <w:jc w:val="center"/>
            </w:pPr>
            <w:r w:rsidRPr="0058458C">
              <w:t>0.150</w:t>
            </w:r>
          </w:p>
        </w:tc>
      </w:tr>
      <w:tr w:rsidR="004D0D57" w:rsidRPr="0058458C" w14:paraId="1CFFC0B6"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3B56FE41" w14:textId="14383702" w:rsidR="004D0D57" w:rsidRPr="0058458C" w:rsidRDefault="004D0D57" w:rsidP="004D0D57">
            <w:pPr>
              <w:pStyle w:val="TableTextIndent1"/>
              <w:spacing w:before="40" w:after="40"/>
            </w:pPr>
            <w:r w:rsidRPr="0058458C">
              <w:t>35–44:25–34</w:t>
            </w:r>
          </w:p>
        </w:tc>
        <w:tc>
          <w:tcPr>
            <w:tcW w:w="937" w:type="pct"/>
            <w:tcBorders>
              <w:top w:val="single" w:sz="6" w:space="0" w:color="808080" w:themeColor="background1" w:themeShade="80"/>
              <w:bottom w:val="single" w:sz="6" w:space="0" w:color="808080" w:themeColor="background1" w:themeShade="80"/>
            </w:tcBorders>
          </w:tcPr>
          <w:p w14:paraId="1364E40D" w14:textId="5E731688" w:rsidR="004D0D57" w:rsidRPr="0058458C" w:rsidRDefault="004D0D57" w:rsidP="004D0D57">
            <w:pPr>
              <w:pStyle w:val="TableText"/>
              <w:spacing w:before="40" w:after="40"/>
              <w:jc w:val="center"/>
            </w:pPr>
            <w:r w:rsidRPr="00E34AFA">
              <w:t>0.226</w:t>
            </w:r>
          </w:p>
        </w:tc>
        <w:tc>
          <w:tcPr>
            <w:tcW w:w="936" w:type="pct"/>
            <w:tcBorders>
              <w:top w:val="single" w:sz="6" w:space="0" w:color="808080" w:themeColor="background1" w:themeShade="80"/>
              <w:bottom w:val="single" w:sz="6" w:space="0" w:color="808080" w:themeColor="background1" w:themeShade="80"/>
            </w:tcBorders>
          </w:tcPr>
          <w:p w14:paraId="208D716F" w14:textId="3FC2484A" w:rsidR="004D0D57" w:rsidRPr="0058458C" w:rsidRDefault="004D0D57" w:rsidP="004D0D57">
            <w:pPr>
              <w:pStyle w:val="TableText"/>
              <w:spacing w:before="40" w:after="40"/>
              <w:jc w:val="center"/>
            </w:pPr>
            <w:r w:rsidRPr="0058458C">
              <w:t>0.150</w:t>
            </w:r>
          </w:p>
        </w:tc>
        <w:tc>
          <w:tcPr>
            <w:tcW w:w="991" w:type="pct"/>
            <w:tcBorders>
              <w:top w:val="single" w:sz="6" w:space="0" w:color="808080" w:themeColor="background1" w:themeShade="80"/>
              <w:bottom w:val="single" w:sz="6" w:space="0" w:color="808080" w:themeColor="background1" w:themeShade="80"/>
            </w:tcBorders>
          </w:tcPr>
          <w:p w14:paraId="6D457754" w14:textId="1B5C1D5F" w:rsidR="004D0D57" w:rsidRPr="0058458C" w:rsidRDefault="004D0D57" w:rsidP="004D0D57">
            <w:pPr>
              <w:pStyle w:val="TableText"/>
              <w:spacing w:before="40" w:after="40"/>
              <w:jc w:val="center"/>
            </w:pPr>
            <w:r w:rsidRPr="0058458C">
              <w:t>0.300</w:t>
            </w:r>
          </w:p>
        </w:tc>
      </w:tr>
      <w:tr w:rsidR="004D0D57" w:rsidRPr="0058458C" w14:paraId="348EAB9A"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2496E897" w14:textId="48E77067" w:rsidR="004D0D57" w:rsidRPr="0058458C" w:rsidRDefault="004D0D57" w:rsidP="004D0D57">
            <w:pPr>
              <w:pStyle w:val="TableTextIndent1"/>
              <w:spacing w:before="40" w:after="40"/>
            </w:pPr>
            <w:r w:rsidRPr="0058458C">
              <w:t>35–44:45–54</w:t>
            </w:r>
          </w:p>
        </w:tc>
        <w:tc>
          <w:tcPr>
            <w:tcW w:w="937" w:type="pct"/>
            <w:tcBorders>
              <w:top w:val="single" w:sz="6" w:space="0" w:color="808080" w:themeColor="background1" w:themeShade="80"/>
              <w:bottom w:val="single" w:sz="6" w:space="0" w:color="808080" w:themeColor="background1" w:themeShade="80"/>
            </w:tcBorders>
          </w:tcPr>
          <w:p w14:paraId="4C65A027" w14:textId="00345593" w:rsidR="004D0D57" w:rsidRPr="0058458C" w:rsidRDefault="004D0D57" w:rsidP="004D0D57">
            <w:pPr>
              <w:pStyle w:val="TableText"/>
              <w:spacing w:before="40" w:after="40"/>
              <w:jc w:val="center"/>
            </w:pPr>
            <w:r w:rsidRPr="00E34AFA">
              <w:t>0.235</w:t>
            </w:r>
          </w:p>
        </w:tc>
        <w:tc>
          <w:tcPr>
            <w:tcW w:w="936" w:type="pct"/>
            <w:tcBorders>
              <w:top w:val="single" w:sz="6" w:space="0" w:color="808080" w:themeColor="background1" w:themeShade="80"/>
              <w:bottom w:val="single" w:sz="6" w:space="0" w:color="808080" w:themeColor="background1" w:themeShade="80"/>
            </w:tcBorders>
          </w:tcPr>
          <w:p w14:paraId="71BDD3F4" w14:textId="37DF7ADD" w:rsidR="004D0D57" w:rsidRPr="0058458C" w:rsidRDefault="004D0D57" w:rsidP="004D0D57">
            <w:pPr>
              <w:pStyle w:val="TableText"/>
              <w:spacing w:before="40" w:after="40"/>
              <w:jc w:val="center"/>
            </w:pPr>
            <w:r w:rsidRPr="0058458C">
              <w:t>0.100</w:t>
            </w:r>
          </w:p>
        </w:tc>
        <w:tc>
          <w:tcPr>
            <w:tcW w:w="991" w:type="pct"/>
            <w:tcBorders>
              <w:top w:val="single" w:sz="6" w:space="0" w:color="808080" w:themeColor="background1" w:themeShade="80"/>
              <w:bottom w:val="single" w:sz="6" w:space="0" w:color="808080" w:themeColor="background1" w:themeShade="80"/>
            </w:tcBorders>
          </w:tcPr>
          <w:p w14:paraId="1A79250A" w14:textId="1379305A" w:rsidR="004D0D57" w:rsidRPr="0058458C" w:rsidRDefault="004D0D57" w:rsidP="004D0D57">
            <w:pPr>
              <w:pStyle w:val="TableText"/>
              <w:spacing w:before="40" w:after="40"/>
              <w:jc w:val="center"/>
            </w:pPr>
            <w:r w:rsidRPr="0058458C">
              <w:t>0.300</w:t>
            </w:r>
          </w:p>
        </w:tc>
      </w:tr>
      <w:tr w:rsidR="004D0D57" w:rsidRPr="0058458C" w14:paraId="6944F5E3"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34E89592" w14:textId="55128E32" w:rsidR="004D0D57" w:rsidRPr="0058458C" w:rsidRDefault="004D0D57" w:rsidP="004D0D57">
            <w:pPr>
              <w:pStyle w:val="TableTextIndent1"/>
              <w:spacing w:before="40" w:after="40"/>
            </w:pPr>
            <w:r w:rsidRPr="0058458C">
              <w:t>35–44:55–64</w:t>
            </w:r>
          </w:p>
        </w:tc>
        <w:tc>
          <w:tcPr>
            <w:tcW w:w="937" w:type="pct"/>
            <w:tcBorders>
              <w:top w:val="single" w:sz="6" w:space="0" w:color="808080" w:themeColor="background1" w:themeShade="80"/>
              <w:bottom w:val="single" w:sz="6" w:space="0" w:color="808080" w:themeColor="background1" w:themeShade="80"/>
            </w:tcBorders>
          </w:tcPr>
          <w:p w14:paraId="59BEDE6D" w14:textId="72C386AC" w:rsidR="004D0D57" w:rsidRPr="0058458C" w:rsidRDefault="004D0D57" w:rsidP="004D0D57">
            <w:pPr>
              <w:pStyle w:val="TableText"/>
              <w:spacing w:before="40" w:after="40"/>
              <w:jc w:val="center"/>
            </w:pPr>
            <w:r w:rsidRPr="00E34AFA">
              <w:t>0.062</w:t>
            </w:r>
          </w:p>
        </w:tc>
        <w:tc>
          <w:tcPr>
            <w:tcW w:w="936" w:type="pct"/>
            <w:tcBorders>
              <w:top w:val="single" w:sz="6" w:space="0" w:color="808080" w:themeColor="background1" w:themeShade="80"/>
              <w:bottom w:val="single" w:sz="6" w:space="0" w:color="808080" w:themeColor="background1" w:themeShade="80"/>
            </w:tcBorders>
          </w:tcPr>
          <w:p w14:paraId="0A67D404" w14:textId="2B40ABC9"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4C3D5DD1" w14:textId="6B0B159C" w:rsidR="004D0D57" w:rsidRPr="0058458C" w:rsidRDefault="004D0D57" w:rsidP="004D0D57">
            <w:pPr>
              <w:pStyle w:val="TableText"/>
              <w:spacing w:before="40" w:after="40"/>
              <w:jc w:val="center"/>
            </w:pPr>
            <w:r w:rsidRPr="0058458C">
              <w:t>0.100</w:t>
            </w:r>
          </w:p>
        </w:tc>
      </w:tr>
      <w:tr w:rsidR="004D0D57" w:rsidRPr="0058458C" w14:paraId="5B6B33A9" w14:textId="77777777" w:rsidTr="005821C6">
        <w:trPr>
          <w:cantSplit/>
        </w:trPr>
        <w:tc>
          <w:tcPr>
            <w:tcW w:w="2136" w:type="pct"/>
            <w:tcBorders>
              <w:top w:val="single" w:sz="6" w:space="0" w:color="808080" w:themeColor="background1" w:themeShade="80"/>
              <w:bottom w:val="single" w:sz="6" w:space="0" w:color="808080" w:themeColor="background1" w:themeShade="80"/>
            </w:tcBorders>
          </w:tcPr>
          <w:p w14:paraId="55286A0E" w14:textId="43E5FBCA" w:rsidR="004D0D57" w:rsidRPr="0058458C" w:rsidRDefault="004D0D57" w:rsidP="004D0D57">
            <w:pPr>
              <w:pStyle w:val="TableTextIndent1"/>
              <w:spacing w:before="40" w:after="40"/>
            </w:pPr>
            <w:r w:rsidRPr="0058458C">
              <w:t>35–44:65+</w:t>
            </w:r>
          </w:p>
        </w:tc>
        <w:tc>
          <w:tcPr>
            <w:tcW w:w="937" w:type="pct"/>
            <w:tcBorders>
              <w:top w:val="single" w:sz="6" w:space="0" w:color="808080" w:themeColor="background1" w:themeShade="80"/>
              <w:bottom w:val="single" w:sz="6" w:space="0" w:color="808080" w:themeColor="background1" w:themeShade="80"/>
            </w:tcBorders>
          </w:tcPr>
          <w:p w14:paraId="0A7971B5" w14:textId="52125D03" w:rsidR="004D0D57" w:rsidRPr="0058458C" w:rsidRDefault="004D0D57" w:rsidP="004D0D57">
            <w:pPr>
              <w:pStyle w:val="TableText"/>
              <w:spacing w:before="40" w:after="40"/>
              <w:jc w:val="center"/>
            </w:pPr>
            <w:r w:rsidRPr="00E34AFA">
              <w:t>0.029</w:t>
            </w:r>
          </w:p>
        </w:tc>
        <w:tc>
          <w:tcPr>
            <w:tcW w:w="936" w:type="pct"/>
            <w:tcBorders>
              <w:top w:val="single" w:sz="6" w:space="0" w:color="808080" w:themeColor="background1" w:themeShade="80"/>
              <w:bottom w:val="single" w:sz="6" w:space="0" w:color="808080" w:themeColor="background1" w:themeShade="80"/>
            </w:tcBorders>
          </w:tcPr>
          <w:p w14:paraId="700BDF54" w14:textId="2348E87A" w:rsidR="004D0D57" w:rsidRPr="0058458C" w:rsidRDefault="004D0D57" w:rsidP="004D0D57">
            <w:pPr>
              <w:pStyle w:val="TableText"/>
              <w:spacing w:before="40" w:after="40"/>
              <w:jc w:val="center"/>
            </w:pPr>
            <w:r w:rsidRPr="0058458C">
              <w:t>0.000</w:t>
            </w:r>
          </w:p>
        </w:tc>
        <w:tc>
          <w:tcPr>
            <w:tcW w:w="991" w:type="pct"/>
            <w:tcBorders>
              <w:top w:val="single" w:sz="6" w:space="0" w:color="808080" w:themeColor="background1" w:themeShade="80"/>
              <w:bottom w:val="single" w:sz="6" w:space="0" w:color="808080" w:themeColor="background1" w:themeShade="80"/>
            </w:tcBorders>
          </w:tcPr>
          <w:p w14:paraId="12838AA9" w14:textId="3F0B4BE4" w:rsidR="004D0D57" w:rsidRPr="0058458C" w:rsidRDefault="004D0D57" w:rsidP="004D0D57">
            <w:pPr>
              <w:pStyle w:val="TableText"/>
              <w:spacing w:before="40" w:after="40"/>
              <w:jc w:val="center"/>
            </w:pPr>
            <w:r w:rsidRPr="0058458C">
              <w:t>0.050</w:t>
            </w:r>
          </w:p>
        </w:tc>
      </w:tr>
    </w:tbl>
    <w:p w14:paraId="13537153" w14:textId="76593BBC" w:rsidR="001F3E43" w:rsidRPr="0058458C" w:rsidRDefault="001F3E43" w:rsidP="003222D9">
      <w:pPr>
        <w:pStyle w:val="table-continued"/>
      </w:pPr>
      <w:r w:rsidRPr="0058458C">
        <w:t>(continued)</w:t>
      </w:r>
    </w:p>
    <w:p w14:paraId="67638D6F" w14:textId="045B89EB" w:rsidR="001F3E43" w:rsidRPr="0058458C" w:rsidRDefault="00642CDD" w:rsidP="001F3E43">
      <w:pPr>
        <w:pStyle w:val="TableTitlecont"/>
      </w:pPr>
      <w:r w:rsidRPr="0058458C">
        <w:lastRenderedPageBreak/>
        <w:t xml:space="preserve">Table </w:t>
      </w:r>
      <w:r w:rsidR="0005114B" w:rsidRPr="0058458C">
        <w:t>1</w:t>
      </w:r>
      <w:r w:rsidR="0005114B">
        <w:t>0</w:t>
      </w:r>
      <w:r w:rsidRPr="0058458C">
        <w:t>.2.</w:t>
      </w:r>
      <w:r w:rsidRPr="0058458C">
        <w:tab/>
      </w:r>
      <w:r w:rsidR="001F3E43" w:rsidRPr="0058458C">
        <w:t xml:space="preserve">Bounds and Final Values of Inputs Defining Behaviors and Infectivity Varied in </w:t>
      </w:r>
      <w:proofErr w:type="spellStart"/>
      <w:r w:rsidR="001F3E43" w:rsidRPr="0058458C">
        <w:t>Calibration</w:t>
      </w:r>
      <w:r w:rsidR="001F3E43" w:rsidRPr="0058458C">
        <w:rPr>
          <w:vertAlign w:val="superscript"/>
        </w:rPr>
        <w:t>a</w:t>
      </w:r>
      <w:proofErr w:type="spellEnd"/>
      <w:r w:rsidR="001F3E43"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1F3E43" w:rsidRPr="0058458C" w14:paraId="15D666B5" w14:textId="77777777" w:rsidTr="000E78F7">
        <w:trPr>
          <w:cantSplit/>
          <w:tblHeader/>
        </w:trPr>
        <w:tc>
          <w:tcPr>
            <w:tcW w:w="2150" w:type="pct"/>
            <w:tcBorders>
              <w:top w:val="single" w:sz="12" w:space="0" w:color="auto"/>
              <w:bottom w:val="single" w:sz="6" w:space="0" w:color="auto"/>
            </w:tcBorders>
            <w:vAlign w:val="bottom"/>
          </w:tcPr>
          <w:p w14:paraId="7135CEB6" w14:textId="77777777" w:rsidR="001F3E43" w:rsidRPr="0058458C" w:rsidRDefault="001F3E43" w:rsidP="000E78F7">
            <w:pPr>
              <w:pStyle w:val="TableHeaders"/>
            </w:pPr>
            <w:r w:rsidRPr="0058458C">
              <w:t>Parameter</w:t>
            </w:r>
          </w:p>
        </w:tc>
        <w:tc>
          <w:tcPr>
            <w:tcW w:w="951" w:type="pct"/>
            <w:tcBorders>
              <w:top w:val="single" w:sz="12" w:space="0" w:color="auto"/>
              <w:bottom w:val="single" w:sz="6" w:space="0" w:color="auto"/>
            </w:tcBorders>
            <w:vAlign w:val="bottom"/>
          </w:tcPr>
          <w:p w14:paraId="384811D5" w14:textId="77777777" w:rsidR="001F3E43" w:rsidRPr="0058458C" w:rsidRDefault="001F3E43" w:rsidP="000E78F7">
            <w:pPr>
              <w:pStyle w:val="TableHeaders"/>
            </w:pPr>
            <w:r w:rsidRPr="0058458C">
              <w:t>Calibrated Value</w:t>
            </w:r>
          </w:p>
        </w:tc>
        <w:tc>
          <w:tcPr>
            <w:tcW w:w="950" w:type="pct"/>
            <w:tcBorders>
              <w:top w:val="single" w:sz="12" w:space="0" w:color="auto"/>
              <w:bottom w:val="single" w:sz="6" w:space="0" w:color="auto"/>
            </w:tcBorders>
            <w:vAlign w:val="bottom"/>
          </w:tcPr>
          <w:p w14:paraId="3FE0D9A4" w14:textId="77777777" w:rsidR="001F3E43" w:rsidRPr="0058458C" w:rsidRDefault="001F3E43" w:rsidP="000E78F7">
            <w:pPr>
              <w:pStyle w:val="TableHeaders"/>
            </w:pPr>
            <w:r w:rsidRPr="0058458C">
              <w:t>Lower Bound</w:t>
            </w:r>
          </w:p>
        </w:tc>
        <w:tc>
          <w:tcPr>
            <w:tcW w:w="949" w:type="pct"/>
            <w:tcBorders>
              <w:top w:val="single" w:sz="12" w:space="0" w:color="auto"/>
              <w:bottom w:val="single" w:sz="6" w:space="0" w:color="auto"/>
            </w:tcBorders>
            <w:vAlign w:val="bottom"/>
          </w:tcPr>
          <w:p w14:paraId="300A4A70" w14:textId="77777777" w:rsidR="001F3E43" w:rsidRPr="0058458C" w:rsidRDefault="001F3E43" w:rsidP="000E78F7">
            <w:pPr>
              <w:pStyle w:val="TableHeaders"/>
            </w:pPr>
            <w:r w:rsidRPr="0058458C">
              <w:t>Upper Bound</w:t>
            </w:r>
          </w:p>
        </w:tc>
      </w:tr>
      <w:tr w:rsidR="004D0D57" w:rsidRPr="0058458C" w14:paraId="58EEE9D1"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56D485D" w14:textId="406E448B" w:rsidR="004D0D57" w:rsidRPr="0058458C" w:rsidRDefault="004D0D57" w:rsidP="004D0D57">
            <w:pPr>
              <w:pStyle w:val="TableTextIndent1"/>
              <w:spacing w:before="40" w:after="40"/>
            </w:pPr>
            <w:r w:rsidRPr="0058458C">
              <w:t>45–54:13–17</w:t>
            </w:r>
          </w:p>
        </w:tc>
        <w:tc>
          <w:tcPr>
            <w:tcW w:w="951" w:type="pct"/>
            <w:tcBorders>
              <w:top w:val="single" w:sz="6" w:space="0" w:color="808080" w:themeColor="background1" w:themeShade="80"/>
              <w:bottom w:val="single" w:sz="6" w:space="0" w:color="808080" w:themeColor="background1" w:themeShade="80"/>
            </w:tcBorders>
          </w:tcPr>
          <w:p w14:paraId="4C7DB9A7" w14:textId="25870CF0" w:rsidR="004D0D57" w:rsidRPr="0058458C" w:rsidRDefault="004D0D57" w:rsidP="004D0D57">
            <w:pPr>
              <w:pStyle w:val="TableText"/>
              <w:spacing w:before="40" w:after="40"/>
              <w:jc w:val="center"/>
            </w:pPr>
            <w:r w:rsidRPr="001B3A3A">
              <w:t>0.026</w:t>
            </w:r>
          </w:p>
        </w:tc>
        <w:tc>
          <w:tcPr>
            <w:tcW w:w="950" w:type="pct"/>
            <w:tcBorders>
              <w:top w:val="single" w:sz="6" w:space="0" w:color="808080" w:themeColor="background1" w:themeShade="80"/>
              <w:bottom w:val="single" w:sz="6" w:space="0" w:color="808080" w:themeColor="background1" w:themeShade="80"/>
            </w:tcBorders>
          </w:tcPr>
          <w:p w14:paraId="0E4824E7" w14:textId="423ABB2A" w:rsidR="004D0D57" w:rsidRPr="0058458C" w:rsidRDefault="004D0D57" w:rsidP="004D0D57">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00BC755C" w14:textId="622B03C3" w:rsidR="004D0D57" w:rsidRPr="0058458C" w:rsidRDefault="004D0D57" w:rsidP="004D0D57">
            <w:pPr>
              <w:pStyle w:val="TableText"/>
              <w:spacing w:before="40" w:after="40"/>
              <w:jc w:val="center"/>
            </w:pPr>
            <w:r w:rsidRPr="0058458C">
              <w:t>0.050</w:t>
            </w:r>
          </w:p>
        </w:tc>
      </w:tr>
      <w:tr w:rsidR="004D0D57" w:rsidRPr="0058458C" w14:paraId="5AF3CF0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608CD4E3" w14:textId="2E08D069" w:rsidR="004D0D57" w:rsidRPr="0058458C" w:rsidRDefault="004D0D57" w:rsidP="004D0D57">
            <w:pPr>
              <w:pStyle w:val="TableTextIndent1"/>
              <w:spacing w:before="40" w:after="40"/>
            </w:pPr>
            <w:r w:rsidRPr="0058458C">
              <w:t>45–54:18–24</w:t>
            </w:r>
          </w:p>
        </w:tc>
        <w:tc>
          <w:tcPr>
            <w:tcW w:w="951" w:type="pct"/>
            <w:tcBorders>
              <w:top w:val="single" w:sz="6" w:space="0" w:color="808080" w:themeColor="background1" w:themeShade="80"/>
              <w:bottom w:val="single" w:sz="6" w:space="0" w:color="808080" w:themeColor="background1" w:themeShade="80"/>
            </w:tcBorders>
          </w:tcPr>
          <w:p w14:paraId="15CFE53B" w14:textId="49082CA7" w:rsidR="004D0D57" w:rsidRPr="0058458C" w:rsidRDefault="004D0D57" w:rsidP="004D0D57">
            <w:pPr>
              <w:pStyle w:val="TableText"/>
              <w:spacing w:before="40" w:after="40"/>
              <w:jc w:val="center"/>
            </w:pPr>
            <w:r w:rsidRPr="001B3A3A">
              <w:t>0.043</w:t>
            </w:r>
          </w:p>
        </w:tc>
        <w:tc>
          <w:tcPr>
            <w:tcW w:w="950" w:type="pct"/>
            <w:tcBorders>
              <w:top w:val="single" w:sz="6" w:space="0" w:color="808080" w:themeColor="background1" w:themeShade="80"/>
              <w:bottom w:val="single" w:sz="6" w:space="0" w:color="808080" w:themeColor="background1" w:themeShade="80"/>
            </w:tcBorders>
          </w:tcPr>
          <w:p w14:paraId="6399B6F6" w14:textId="273C30F3" w:rsidR="004D0D57" w:rsidRPr="0058458C" w:rsidRDefault="004D0D57" w:rsidP="004D0D57">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1B0CF3DB" w14:textId="4B2E9D56" w:rsidR="004D0D57" w:rsidRPr="0058458C" w:rsidRDefault="004D0D57" w:rsidP="004D0D57">
            <w:pPr>
              <w:pStyle w:val="TableText"/>
              <w:spacing w:before="40" w:after="40"/>
              <w:jc w:val="center"/>
            </w:pPr>
            <w:r w:rsidRPr="0058458C">
              <w:t>0.080</w:t>
            </w:r>
          </w:p>
        </w:tc>
      </w:tr>
      <w:tr w:rsidR="004D0D57" w:rsidRPr="0058458C" w14:paraId="61FEE99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565A41C4" w14:textId="081732C4" w:rsidR="004D0D57" w:rsidRPr="0058458C" w:rsidRDefault="004D0D57" w:rsidP="004D0D57">
            <w:pPr>
              <w:pStyle w:val="TableTextIndent1"/>
              <w:spacing w:before="40" w:after="40"/>
            </w:pPr>
            <w:r w:rsidRPr="0058458C">
              <w:t>45–54:25–34</w:t>
            </w:r>
          </w:p>
        </w:tc>
        <w:tc>
          <w:tcPr>
            <w:tcW w:w="951" w:type="pct"/>
            <w:tcBorders>
              <w:top w:val="single" w:sz="6" w:space="0" w:color="808080" w:themeColor="background1" w:themeShade="80"/>
              <w:bottom w:val="single" w:sz="6" w:space="0" w:color="808080" w:themeColor="background1" w:themeShade="80"/>
            </w:tcBorders>
          </w:tcPr>
          <w:p w14:paraId="5F99F091" w14:textId="59A5D7DC" w:rsidR="004D0D57" w:rsidRPr="0058458C" w:rsidRDefault="004D0D57" w:rsidP="004D0D57">
            <w:pPr>
              <w:pStyle w:val="TableText"/>
              <w:spacing w:before="40" w:after="40"/>
              <w:jc w:val="center"/>
            </w:pPr>
            <w:r w:rsidRPr="001B3A3A">
              <w:t>0.083</w:t>
            </w:r>
          </w:p>
        </w:tc>
        <w:tc>
          <w:tcPr>
            <w:tcW w:w="950" w:type="pct"/>
            <w:tcBorders>
              <w:top w:val="single" w:sz="6" w:space="0" w:color="808080" w:themeColor="background1" w:themeShade="80"/>
              <w:bottom w:val="single" w:sz="6" w:space="0" w:color="808080" w:themeColor="background1" w:themeShade="80"/>
            </w:tcBorders>
          </w:tcPr>
          <w:p w14:paraId="2FAEC7E3" w14:textId="5656DBE2" w:rsidR="004D0D57" w:rsidRPr="0058458C" w:rsidRDefault="004D0D57" w:rsidP="004D0D57">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5F3727CE" w14:textId="5D3E5FAA" w:rsidR="004D0D57" w:rsidRPr="0058458C" w:rsidRDefault="004D0D57" w:rsidP="004D0D57">
            <w:pPr>
              <w:pStyle w:val="TableText"/>
              <w:spacing w:before="40" w:after="40"/>
              <w:jc w:val="center"/>
            </w:pPr>
            <w:r w:rsidRPr="0058458C">
              <w:t>0.120</w:t>
            </w:r>
          </w:p>
        </w:tc>
      </w:tr>
      <w:tr w:rsidR="004D0D57" w:rsidRPr="0058458C" w14:paraId="49AC6DC6"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B544B4E" w14:textId="029475DC" w:rsidR="004D0D57" w:rsidRPr="0058458C" w:rsidRDefault="004D0D57" w:rsidP="004D0D57">
            <w:pPr>
              <w:pStyle w:val="TableTextIndent1"/>
              <w:spacing w:before="40" w:after="40"/>
            </w:pPr>
            <w:r w:rsidRPr="0058458C">
              <w:t>45–54:35–44</w:t>
            </w:r>
          </w:p>
        </w:tc>
        <w:tc>
          <w:tcPr>
            <w:tcW w:w="951" w:type="pct"/>
            <w:tcBorders>
              <w:top w:val="single" w:sz="6" w:space="0" w:color="808080" w:themeColor="background1" w:themeShade="80"/>
              <w:bottom w:val="single" w:sz="6" w:space="0" w:color="808080" w:themeColor="background1" w:themeShade="80"/>
            </w:tcBorders>
          </w:tcPr>
          <w:p w14:paraId="3BD9B612" w14:textId="4A5700EB" w:rsidR="004D0D57" w:rsidRPr="0058458C" w:rsidRDefault="004D0D57" w:rsidP="004D0D57">
            <w:pPr>
              <w:pStyle w:val="TableText"/>
              <w:spacing w:before="40" w:after="40"/>
              <w:jc w:val="center"/>
            </w:pPr>
            <w:r w:rsidRPr="001B3A3A">
              <w:t>0.173</w:t>
            </w:r>
          </w:p>
        </w:tc>
        <w:tc>
          <w:tcPr>
            <w:tcW w:w="950" w:type="pct"/>
            <w:tcBorders>
              <w:top w:val="single" w:sz="6" w:space="0" w:color="808080" w:themeColor="background1" w:themeShade="80"/>
              <w:bottom w:val="single" w:sz="6" w:space="0" w:color="808080" w:themeColor="background1" w:themeShade="80"/>
            </w:tcBorders>
          </w:tcPr>
          <w:p w14:paraId="2A2A9600" w14:textId="3CE8F28C" w:rsidR="004D0D57" w:rsidRPr="0058458C" w:rsidRDefault="004D0D57" w:rsidP="004D0D57">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3EC94016" w14:textId="4FADAD04" w:rsidR="004D0D57" w:rsidRPr="0058458C" w:rsidRDefault="004D0D57" w:rsidP="004D0D57">
            <w:pPr>
              <w:pStyle w:val="TableText"/>
              <w:spacing w:before="40" w:after="40"/>
              <w:jc w:val="center"/>
            </w:pPr>
            <w:r w:rsidRPr="0058458C">
              <w:t>0.300</w:t>
            </w:r>
          </w:p>
        </w:tc>
      </w:tr>
      <w:tr w:rsidR="004D0D57" w:rsidRPr="0058458C" w14:paraId="6122C52B"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76FC2057" w14:textId="2B5FB540" w:rsidR="004D0D57" w:rsidRPr="0058458C" w:rsidRDefault="004D0D57" w:rsidP="004D0D57">
            <w:pPr>
              <w:pStyle w:val="TableTextIndent1"/>
              <w:spacing w:before="40" w:after="40"/>
            </w:pPr>
            <w:r w:rsidRPr="0058458C">
              <w:t>45–54:55–64</w:t>
            </w:r>
          </w:p>
        </w:tc>
        <w:tc>
          <w:tcPr>
            <w:tcW w:w="951" w:type="pct"/>
            <w:tcBorders>
              <w:top w:val="single" w:sz="6" w:space="0" w:color="808080" w:themeColor="background1" w:themeShade="80"/>
              <w:bottom w:val="single" w:sz="6" w:space="0" w:color="808080" w:themeColor="background1" w:themeShade="80"/>
            </w:tcBorders>
          </w:tcPr>
          <w:p w14:paraId="41719A86" w14:textId="06CB03BA" w:rsidR="004D0D57" w:rsidRPr="0058458C" w:rsidRDefault="004D0D57" w:rsidP="004D0D57">
            <w:pPr>
              <w:pStyle w:val="TableText"/>
              <w:spacing w:before="40" w:after="40"/>
              <w:jc w:val="center"/>
            </w:pPr>
            <w:r w:rsidRPr="001B3A3A">
              <w:t>0.208</w:t>
            </w:r>
          </w:p>
        </w:tc>
        <w:tc>
          <w:tcPr>
            <w:tcW w:w="950" w:type="pct"/>
            <w:tcBorders>
              <w:top w:val="single" w:sz="6" w:space="0" w:color="808080" w:themeColor="background1" w:themeShade="80"/>
              <w:bottom w:val="single" w:sz="6" w:space="0" w:color="808080" w:themeColor="background1" w:themeShade="80"/>
            </w:tcBorders>
          </w:tcPr>
          <w:p w14:paraId="3E41D654" w14:textId="54D34938" w:rsidR="004D0D57" w:rsidRPr="0058458C" w:rsidRDefault="004D0D57" w:rsidP="004D0D57">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7EC83193" w14:textId="48ACD038" w:rsidR="004D0D57" w:rsidRPr="0058458C" w:rsidRDefault="004D0D57" w:rsidP="004D0D57">
            <w:pPr>
              <w:pStyle w:val="TableText"/>
              <w:spacing w:before="40" w:after="40"/>
              <w:jc w:val="center"/>
            </w:pPr>
            <w:r w:rsidRPr="0058458C">
              <w:t>0.300</w:t>
            </w:r>
          </w:p>
        </w:tc>
      </w:tr>
      <w:tr w:rsidR="004D0D57" w:rsidRPr="0058458C" w14:paraId="7F6D9D24"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DF2EAB3" w14:textId="11B92FC5" w:rsidR="004D0D57" w:rsidRPr="0058458C" w:rsidRDefault="004D0D57" w:rsidP="004D0D57">
            <w:pPr>
              <w:pStyle w:val="TableTextIndent1"/>
              <w:spacing w:before="40" w:after="40"/>
            </w:pPr>
            <w:r w:rsidRPr="0058458C">
              <w:t>45–54:65+</w:t>
            </w:r>
          </w:p>
        </w:tc>
        <w:tc>
          <w:tcPr>
            <w:tcW w:w="951" w:type="pct"/>
            <w:tcBorders>
              <w:top w:val="single" w:sz="6" w:space="0" w:color="808080" w:themeColor="background1" w:themeShade="80"/>
              <w:bottom w:val="single" w:sz="6" w:space="0" w:color="808080" w:themeColor="background1" w:themeShade="80"/>
            </w:tcBorders>
          </w:tcPr>
          <w:p w14:paraId="3B2293F8" w14:textId="355AAD92" w:rsidR="004D0D57" w:rsidRPr="0058458C" w:rsidRDefault="004D0D57" w:rsidP="004D0D57">
            <w:pPr>
              <w:pStyle w:val="TableText"/>
              <w:spacing w:before="40" w:after="40"/>
              <w:jc w:val="center"/>
            </w:pPr>
            <w:r w:rsidRPr="001B3A3A">
              <w:t>0.054</w:t>
            </w:r>
          </w:p>
        </w:tc>
        <w:tc>
          <w:tcPr>
            <w:tcW w:w="950" w:type="pct"/>
            <w:tcBorders>
              <w:top w:val="single" w:sz="6" w:space="0" w:color="808080" w:themeColor="background1" w:themeShade="80"/>
              <w:bottom w:val="single" w:sz="6" w:space="0" w:color="808080" w:themeColor="background1" w:themeShade="80"/>
            </w:tcBorders>
          </w:tcPr>
          <w:p w14:paraId="38935AC0" w14:textId="28BCDD3F" w:rsidR="004D0D57" w:rsidRPr="0058458C" w:rsidRDefault="004D0D57" w:rsidP="004D0D57">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080D406F" w14:textId="708078C0" w:rsidR="004D0D57" w:rsidRPr="0058458C" w:rsidRDefault="004D0D57" w:rsidP="004D0D57">
            <w:pPr>
              <w:pStyle w:val="TableText"/>
              <w:spacing w:before="40" w:after="40"/>
              <w:jc w:val="center"/>
            </w:pPr>
            <w:r w:rsidRPr="0058458C">
              <w:t>0.100</w:t>
            </w:r>
          </w:p>
        </w:tc>
      </w:tr>
      <w:tr w:rsidR="004D0D57" w:rsidRPr="0058458C" w14:paraId="654DCC9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2B325E79" w14:textId="71DA0952" w:rsidR="004D0D57" w:rsidRPr="0058458C" w:rsidRDefault="004D0D57" w:rsidP="004D0D57">
            <w:pPr>
              <w:pStyle w:val="TableTextIndent1"/>
              <w:spacing w:before="40" w:after="40"/>
            </w:pPr>
            <w:r w:rsidRPr="0058458C">
              <w:t>55–64:13–17</w:t>
            </w:r>
          </w:p>
        </w:tc>
        <w:tc>
          <w:tcPr>
            <w:tcW w:w="951" w:type="pct"/>
            <w:tcBorders>
              <w:top w:val="single" w:sz="6" w:space="0" w:color="808080" w:themeColor="background1" w:themeShade="80"/>
              <w:bottom w:val="single" w:sz="6" w:space="0" w:color="808080" w:themeColor="background1" w:themeShade="80"/>
            </w:tcBorders>
          </w:tcPr>
          <w:p w14:paraId="465F0D1E" w14:textId="72C179F3" w:rsidR="004D0D57" w:rsidRPr="0058458C" w:rsidRDefault="004D0D57" w:rsidP="004D0D57">
            <w:pPr>
              <w:pStyle w:val="TableText"/>
              <w:spacing w:before="40" w:after="40"/>
              <w:jc w:val="center"/>
            </w:pPr>
            <w:r w:rsidRPr="001B3A3A">
              <w:t>0.005</w:t>
            </w:r>
          </w:p>
        </w:tc>
        <w:tc>
          <w:tcPr>
            <w:tcW w:w="950" w:type="pct"/>
            <w:tcBorders>
              <w:top w:val="single" w:sz="6" w:space="0" w:color="808080" w:themeColor="background1" w:themeShade="80"/>
              <w:bottom w:val="single" w:sz="6" w:space="0" w:color="808080" w:themeColor="background1" w:themeShade="80"/>
            </w:tcBorders>
          </w:tcPr>
          <w:p w14:paraId="4787047A" w14:textId="69973086" w:rsidR="004D0D57" w:rsidRPr="0058458C" w:rsidRDefault="004D0D57" w:rsidP="004D0D57">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21C3883A" w14:textId="682D82B5" w:rsidR="004D0D57" w:rsidRPr="0058458C" w:rsidRDefault="004D0D57" w:rsidP="004D0D57">
            <w:pPr>
              <w:pStyle w:val="TableText"/>
              <w:spacing w:before="40" w:after="40"/>
              <w:jc w:val="center"/>
            </w:pPr>
            <w:r w:rsidRPr="0058458C">
              <w:t>0.010</w:t>
            </w:r>
          </w:p>
        </w:tc>
      </w:tr>
      <w:tr w:rsidR="004D0D57" w:rsidRPr="0058458C" w14:paraId="00B4394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74AFC866" w14:textId="4493601C" w:rsidR="004D0D57" w:rsidRPr="0058458C" w:rsidRDefault="004D0D57" w:rsidP="004D0D57">
            <w:pPr>
              <w:pStyle w:val="TableTextIndent1"/>
              <w:spacing w:before="40" w:after="40"/>
            </w:pPr>
            <w:r w:rsidRPr="0058458C">
              <w:t>55–64:18–24</w:t>
            </w:r>
          </w:p>
        </w:tc>
        <w:tc>
          <w:tcPr>
            <w:tcW w:w="951" w:type="pct"/>
            <w:tcBorders>
              <w:top w:val="single" w:sz="6" w:space="0" w:color="808080" w:themeColor="background1" w:themeShade="80"/>
              <w:bottom w:val="single" w:sz="6" w:space="0" w:color="808080" w:themeColor="background1" w:themeShade="80"/>
            </w:tcBorders>
          </w:tcPr>
          <w:p w14:paraId="16A7ECB0" w14:textId="03705D29" w:rsidR="004D0D57" w:rsidRPr="0058458C" w:rsidRDefault="004D0D57" w:rsidP="004D0D57">
            <w:pPr>
              <w:pStyle w:val="TableText"/>
              <w:spacing w:before="40" w:after="40"/>
              <w:jc w:val="center"/>
            </w:pPr>
            <w:r w:rsidRPr="001B3A3A">
              <w:t>0.043</w:t>
            </w:r>
          </w:p>
        </w:tc>
        <w:tc>
          <w:tcPr>
            <w:tcW w:w="950" w:type="pct"/>
            <w:tcBorders>
              <w:top w:val="single" w:sz="6" w:space="0" w:color="808080" w:themeColor="background1" w:themeShade="80"/>
              <w:bottom w:val="single" w:sz="6" w:space="0" w:color="808080" w:themeColor="background1" w:themeShade="80"/>
            </w:tcBorders>
          </w:tcPr>
          <w:p w14:paraId="432FEAB0" w14:textId="34FC4786" w:rsidR="004D0D57" w:rsidRPr="0058458C" w:rsidRDefault="004D0D57" w:rsidP="004D0D57">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204B381B" w14:textId="4D50BD7D" w:rsidR="004D0D57" w:rsidRPr="0058458C" w:rsidRDefault="004D0D57" w:rsidP="004D0D57">
            <w:pPr>
              <w:pStyle w:val="TableText"/>
              <w:spacing w:before="40" w:after="40"/>
              <w:jc w:val="center"/>
            </w:pPr>
            <w:r w:rsidRPr="0058458C">
              <w:t>0.080</w:t>
            </w:r>
          </w:p>
        </w:tc>
      </w:tr>
      <w:tr w:rsidR="004D0D57" w:rsidRPr="0058458C" w14:paraId="265ED565"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D07227B" w14:textId="4051C198" w:rsidR="004D0D57" w:rsidRPr="0058458C" w:rsidRDefault="004D0D57" w:rsidP="004D0D57">
            <w:pPr>
              <w:pStyle w:val="TableTextIndent1"/>
              <w:spacing w:before="40" w:after="40"/>
            </w:pPr>
            <w:r w:rsidRPr="0058458C">
              <w:t>55–64:25–34</w:t>
            </w:r>
          </w:p>
        </w:tc>
        <w:tc>
          <w:tcPr>
            <w:tcW w:w="951" w:type="pct"/>
            <w:tcBorders>
              <w:top w:val="single" w:sz="6" w:space="0" w:color="808080" w:themeColor="background1" w:themeShade="80"/>
              <w:bottom w:val="single" w:sz="6" w:space="0" w:color="808080" w:themeColor="background1" w:themeShade="80"/>
            </w:tcBorders>
          </w:tcPr>
          <w:p w14:paraId="35C2848E" w14:textId="08B2A75E" w:rsidR="004D0D57" w:rsidRPr="0058458C" w:rsidRDefault="004D0D57" w:rsidP="004D0D57">
            <w:pPr>
              <w:pStyle w:val="TableText"/>
              <w:spacing w:before="40" w:after="40"/>
              <w:jc w:val="center"/>
            </w:pPr>
            <w:r w:rsidRPr="001B3A3A">
              <w:t>0.051</w:t>
            </w:r>
          </w:p>
        </w:tc>
        <w:tc>
          <w:tcPr>
            <w:tcW w:w="950" w:type="pct"/>
            <w:tcBorders>
              <w:top w:val="single" w:sz="6" w:space="0" w:color="808080" w:themeColor="background1" w:themeShade="80"/>
              <w:bottom w:val="single" w:sz="6" w:space="0" w:color="808080" w:themeColor="background1" w:themeShade="80"/>
            </w:tcBorders>
          </w:tcPr>
          <w:p w14:paraId="0263FF96" w14:textId="2D824E23" w:rsidR="004D0D57" w:rsidRPr="0058458C" w:rsidRDefault="004D0D57" w:rsidP="004D0D57">
            <w:pPr>
              <w:pStyle w:val="TableText"/>
              <w:spacing w:before="40" w:after="40"/>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5150DDEE" w14:textId="7AFC5380" w:rsidR="004D0D57" w:rsidRPr="0058458C" w:rsidRDefault="004D0D57" w:rsidP="004D0D57">
            <w:pPr>
              <w:pStyle w:val="TableText"/>
              <w:spacing w:before="40" w:after="40"/>
              <w:jc w:val="center"/>
            </w:pPr>
            <w:r w:rsidRPr="0058458C">
              <w:t>0.100</w:t>
            </w:r>
          </w:p>
        </w:tc>
      </w:tr>
      <w:tr w:rsidR="004D0D57" w:rsidRPr="0058458C" w14:paraId="1741117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F2D5DAF" w14:textId="1C26B087" w:rsidR="004D0D57" w:rsidRPr="0058458C" w:rsidRDefault="004D0D57" w:rsidP="004D0D57">
            <w:pPr>
              <w:pStyle w:val="TableTextIndent1"/>
              <w:spacing w:before="40" w:after="40"/>
            </w:pPr>
            <w:r w:rsidRPr="0058458C">
              <w:t>55–64:35–44</w:t>
            </w:r>
          </w:p>
        </w:tc>
        <w:tc>
          <w:tcPr>
            <w:tcW w:w="951" w:type="pct"/>
            <w:tcBorders>
              <w:top w:val="single" w:sz="6" w:space="0" w:color="808080" w:themeColor="background1" w:themeShade="80"/>
              <w:bottom w:val="single" w:sz="6" w:space="0" w:color="808080" w:themeColor="background1" w:themeShade="80"/>
            </w:tcBorders>
          </w:tcPr>
          <w:p w14:paraId="2A6FBBD2" w14:textId="48CB80D6" w:rsidR="004D0D57" w:rsidRPr="0058458C" w:rsidRDefault="004D0D57" w:rsidP="004D0D57">
            <w:pPr>
              <w:pStyle w:val="TableText"/>
              <w:spacing w:before="40" w:after="40"/>
              <w:jc w:val="center"/>
            </w:pPr>
            <w:r w:rsidRPr="001B3A3A">
              <w:t>0.093</w:t>
            </w:r>
          </w:p>
        </w:tc>
        <w:tc>
          <w:tcPr>
            <w:tcW w:w="950" w:type="pct"/>
            <w:tcBorders>
              <w:top w:val="single" w:sz="6" w:space="0" w:color="808080" w:themeColor="background1" w:themeShade="80"/>
              <w:bottom w:val="single" w:sz="6" w:space="0" w:color="808080" w:themeColor="background1" w:themeShade="80"/>
            </w:tcBorders>
          </w:tcPr>
          <w:p w14:paraId="1B853870" w14:textId="3D1C5DF2" w:rsidR="004D0D57" w:rsidRPr="0058458C" w:rsidRDefault="004D0D57" w:rsidP="004D0D57">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60D2EFA9" w14:textId="044CDDEA" w:rsidR="004D0D57" w:rsidRPr="0058458C" w:rsidRDefault="004D0D57" w:rsidP="004D0D57">
            <w:pPr>
              <w:pStyle w:val="TableText"/>
              <w:spacing w:before="40" w:after="40"/>
              <w:jc w:val="center"/>
            </w:pPr>
            <w:r w:rsidRPr="0058458C">
              <w:t>0.150</w:t>
            </w:r>
          </w:p>
        </w:tc>
      </w:tr>
      <w:tr w:rsidR="004D0D57" w:rsidRPr="0058458C" w14:paraId="115D648A"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647F1BA" w14:textId="56A9A43C" w:rsidR="004D0D57" w:rsidRPr="0058458C" w:rsidRDefault="004D0D57" w:rsidP="004D0D57">
            <w:pPr>
              <w:pStyle w:val="TableTextIndent1"/>
              <w:spacing w:before="40" w:after="40"/>
            </w:pPr>
            <w:r w:rsidRPr="0058458C">
              <w:t>55–64:45–54</w:t>
            </w:r>
          </w:p>
        </w:tc>
        <w:tc>
          <w:tcPr>
            <w:tcW w:w="951" w:type="pct"/>
            <w:tcBorders>
              <w:top w:val="single" w:sz="6" w:space="0" w:color="808080" w:themeColor="background1" w:themeShade="80"/>
              <w:bottom w:val="single" w:sz="6" w:space="0" w:color="808080" w:themeColor="background1" w:themeShade="80"/>
            </w:tcBorders>
          </w:tcPr>
          <w:p w14:paraId="01112AD7" w14:textId="421A7AB8" w:rsidR="004D0D57" w:rsidRPr="0058458C" w:rsidRDefault="004D0D57" w:rsidP="004D0D57">
            <w:pPr>
              <w:pStyle w:val="TableText"/>
              <w:spacing w:before="40" w:after="40"/>
              <w:jc w:val="center"/>
            </w:pPr>
            <w:r w:rsidRPr="001B3A3A">
              <w:t>0.194</w:t>
            </w:r>
          </w:p>
        </w:tc>
        <w:tc>
          <w:tcPr>
            <w:tcW w:w="950" w:type="pct"/>
            <w:tcBorders>
              <w:top w:val="single" w:sz="6" w:space="0" w:color="808080" w:themeColor="background1" w:themeShade="80"/>
              <w:bottom w:val="single" w:sz="6" w:space="0" w:color="808080" w:themeColor="background1" w:themeShade="80"/>
            </w:tcBorders>
          </w:tcPr>
          <w:p w14:paraId="0AA52B69" w14:textId="13EA1B0C" w:rsidR="004D0D57" w:rsidRPr="0058458C" w:rsidRDefault="004D0D57" w:rsidP="004D0D57">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7D7F228D" w14:textId="171C6850" w:rsidR="004D0D57" w:rsidRPr="0058458C" w:rsidRDefault="004D0D57" w:rsidP="004D0D57">
            <w:pPr>
              <w:pStyle w:val="TableText"/>
              <w:spacing w:before="40" w:after="40"/>
              <w:jc w:val="center"/>
            </w:pPr>
            <w:r w:rsidRPr="0058458C">
              <w:t>0.300</w:t>
            </w:r>
          </w:p>
        </w:tc>
      </w:tr>
      <w:tr w:rsidR="004D0D57" w:rsidRPr="0058458C" w14:paraId="45E8D8A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46E6ADD1" w14:textId="450E69C3" w:rsidR="004D0D57" w:rsidRPr="0058458C" w:rsidRDefault="004D0D57" w:rsidP="004D0D57">
            <w:pPr>
              <w:pStyle w:val="TableTextIndent1"/>
              <w:spacing w:before="40" w:after="40"/>
            </w:pPr>
            <w:r w:rsidRPr="0058458C">
              <w:t>55–64:65+</w:t>
            </w:r>
          </w:p>
        </w:tc>
        <w:tc>
          <w:tcPr>
            <w:tcW w:w="951" w:type="pct"/>
            <w:tcBorders>
              <w:top w:val="single" w:sz="6" w:space="0" w:color="808080" w:themeColor="background1" w:themeShade="80"/>
              <w:bottom w:val="single" w:sz="6" w:space="0" w:color="808080" w:themeColor="background1" w:themeShade="80"/>
            </w:tcBorders>
          </w:tcPr>
          <w:p w14:paraId="1AA700CC" w14:textId="0CE2AAAE" w:rsidR="004D0D57" w:rsidRPr="0058458C" w:rsidRDefault="004D0D57" w:rsidP="004D0D57">
            <w:pPr>
              <w:pStyle w:val="TableText"/>
              <w:spacing w:before="40" w:after="40"/>
              <w:jc w:val="center"/>
            </w:pPr>
            <w:r w:rsidRPr="001B3A3A">
              <w:t>0.239</w:t>
            </w:r>
          </w:p>
        </w:tc>
        <w:tc>
          <w:tcPr>
            <w:tcW w:w="950" w:type="pct"/>
            <w:tcBorders>
              <w:top w:val="single" w:sz="6" w:space="0" w:color="808080" w:themeColor="background1" w:themeShade="80"/>
              <w:bottom w:val="single" w:sz="6" w:space="0" w:color="808080" w:themeColor="background1" w:themeShade="80"/>
            </w:tcBorders>
          </w:tcPr>
          <w:p w14:paraId="13D64BBB" w14:textId="37DA8D72" w:rsidR="004D0D57" w:rsidRPr="0058458C" w:rsidRDefault="004D0D57" w:rsidP="004D0D57">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1F241290" w14:textId="567113B9" w:rsidR="004D0D57" w:rsidRPr="0058458C" w:rsidRDefault="004D0D57" w:rsidP="004D0D57">
            <w:pPr>
              <w:pStyle w:val="TableText"/>
              <w:spacing w:before="40" w:after="40"/>
              <w:jc w:val="center"/>
            </w:pPr>
            <w:r w:rsidRPr="0058458C">
              <w:t>0.300</w:t>
            </w:r>
          </w:p>
        </w:tc>
      </w:tr>
      <w:tr w:rsidR="004D0D57" w:rsidRPr="0058458C" w14:paraId="76029067"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0CD7829" w14:textId="54FC411E" w:rsidR="004D0D57" w:rsidRPr="0058458C" w:rsidRDefault="004D0D57" w:rsidP="004D0D57">
            <w:pPr>
              <w:pStyle w:val="TableTextIndent1"/>
              <w:spacing w:before="40" w:after="40"/>
            </w:pPr>
            <w:r w:rsidRPr="0058458C">
              <w:t>65+:13–17</w:t>
            </w:r>
          </w:p>
        </w:tc>
        <w:tc>
          <w:tcPr>
            <w:tcW w:w="951" w:type="pct"/>
            <w:tcBorders>
              <w:top w:val="single" w:sz="6" w:space="0" w:color="808080" w:themeColor="background1" w:themeShade="80"/>
              <w:bottom w:val="single" w:sz="6" w:space="0" w:color="808080" w:themeColor="background1" w:themeShade="80"/>
            </w:tcBorders>
          </w:tcPr>
          <w:p w14:paraId="3587746B" w14:textId="6EBA93C6" w:rsidR="004D0D57" w:rsidRPr="0058458C" w:rsidRDefault="004D0D57" w:rsidP="004D0D57">
            <w:pPr>
              <w:pStyle w:val="TableText"/>
              <w:spacing w:before="40" w:after="40"/>
              <w:jc w:val="center"/>
            </w:pPr>
            <w:r w:rsidRPr="001B3A3A">
              <w:t>0.005</w:t>
            </w:r>
          </w:p>
        </w:tc>
        <w:tc>
          <w:tcPr>
            <w:tcW w:w="950" w:type="pct"/>
            <w:tcBorders>
              <w:top w:val="single" w:sz="6" w:space="0" w:color="808080" w:themeColor="background1" w:themeShade="80"/>
              <w:bottom w:val="single" w:sz="6" w:space="0" w:color="808080" w:themeColor="background1" w:themeShade="80"/>
            </w:tcBorders>
          </w:tcPr>
          <w:p w14:paraId="2889F734" w14:textId="2771E99F" w:rsidR="004D0D57" w:rsidRPr="0058458C" w:rsidRDefault="004D0D57" w:rsidP="004D0D57">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4FDD408F" w14:textId="581C3142" w:rsidR="004D0D57" w:rsidRPr="0058458C" w:rsidRDefault="004D0D57" w:rsidP="004D0D57">
            <w:pPr>
              <w:pStyle w:val="TableText"/>
              <w:spacing w:before="40" w:after="40"/>
              <w:jc w:val="center"/>
            </w:pPr>
            <w:r w:rsidRPr="0058458C">
              <w:t>0.010</w:t>
            </w:r>
          </w:p>
        </w:tc>
      </w:tr>
      <w:tr w:rsidR="004D0D57" w:rsidRPr="0058458C" w14:paraId="17F46189"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5B6AB32E" w14:textId="6C5B0F96" w:rsidR="004D0D57" w:rsidRPr="0058458C" w:rsidRDefault="004D0D57" w:rsidP="004D0D57">
            <w:pPr>
              <w:pStyle w:val="TableTextIndent1"/>
              <w:spacing w:before="40" w:after="40"/>
            </w:pPr>
            <w:r w:rsidRPr="0058458C">
              <w:t>65+:18–24</w:t>
            </w:r>
          </w:p>
        </w:tc>
        <w:tc>
          <w:tcPr>
            <w:tcW w:w="951" w:type="pct"/>
            <w:tcBorders>
              <w:top w:val="single" w:sz="6" w:space="0" w:color="808080" w:themeColor="background1" w:themeShade="80"/>
              <w:bottom w:val="single" w:sz="6" w:space="0" w:color="808080" w:themeColor="background1" w:themeShade="80"/>
            </w:tcBorders>
          </w:tcPr>
          <w:p w14:paraId="2768DDFA" w14:textId="06C40679" w:rsidR="004D0D57" w:rsidRPr="0058458C" w:rsidRDefault="004D0D57" w:rsidP="004D0D57">
            <w:pPr>
              <w:pStyle w:val="TableText"/>
              <w:spacing w:before="40" w:after="40"/>
              <w:jc w:val="center"/>
            </w:pPr>
            <w:r w:rsidRPr="001B3A3A">
              <w:t>0.005</w:t>
            </w:r>
          </w:p>
        </w:tc>
        <w:tc>
          <w:tcPr>
            <w:tcW w:w="950" w:type="pct"/>
            <w:tcBorders>
              <w:top w:val="single" w:sz="6" w:space="0" w:color="808080" w:themeColor="background1" w:themeShade="80"/>
              <w:bottom w:val="single" w:sz="6" w:space="0" w:color="808080" w:themeColor="background1" w:themeShade="80"/>
            </w:tcBorders>
          </w:tcPr>
          <w:p w14:paraId="7D1899BB" w14:textId="4C9A892B" w:rsidR="004D0D57" w:rsidRPr="0058458C" w:rsidRDefault="004D0D57" w:rsidP="004D0D57">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33CE99F0" w14:textId="5F8D0871" w:rsidR="004D0D57" w:rsidRPr="0058458C" w:rsidRDefault="004D0D57" w:rsidP="004D0D57">
            <w:pPr>
              <w:pStyle w:val="TableText"/>
              <w:spacing w:before="40" w:after="40"/>
              <w:jc w:val="center"/>
            </w:pPr>
            <w:r w:rsidRPr="0058458C">
              <w:t>0.010</w:t>
            </w:r>
          </w:p>
        </w:tc>
      </w:tr>
      <w:tr w:rsidR="004D0D57" w:rsidRPr="0058458C" w14:paraId="2D55DF1A"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54E73FA" w14:textId="7C71D8B6" w:rsidR="004D0D57" w:rsidRPr="0058458C" w:rsidRDefault="004D0D57" w:rsidP="004D0D57">
            <w:pPr>
              <w:pStyle w:val="TableTextIndent1"/>
              <w:spacing w:before="40" w:after="40"/>
            </w:pPr>
            <w:r w:rsidRPr="0058458C">
              <w:t>65+:25–34</w:t>
            </w:r>
          </w:p>
        </w:tc>
        <w:tc>
          <w:tcPr>
            <w:tcW w:w="951" w:type="pct"/>
            <w:tcBorders>
              <w:top w:val="single" w:sz="6" w:space="0" w:color="808080" w:themeColor="background1" w:themeShade="80"/>
              <w:bottom w:val="single" w:sz="6" w:space="0" w:color="808080" w:themeColor="background1" w:themeShade="80"/>
            </w:tcBorders>
          </w:tcPr>
          <w:p w14:paraId="7DC401ED" w14:textId="29390708" w:rsidR="004D0D57" w:rsidRPr="0058458C" w:rsidRDefault="004D0D57" w:rsidP="004D0D57">
            <w:pPr>
              <w:pStyle w:val="TableText"/>
              <w:spacing w:before="40" w:after="40"/>
              <w:jc w:val="center"/>
            </w:pPr>
            <w:r w:rsidRPr="001B3A3A">
              <w:t>0.022</w:t>
            </w:r>
          </w:p>
        </w:tc>
        <w:tc>
          <w:tcPr>
            <w:tcW w:w="950" w:type="pct"/>
            <w:tcBorders>
              <w:top w:val="single" w:sz="6" w:space="0" w:color="808080" w:themeColor="background1" w:themeShade="80"/>
              <w:bottom w:val="single" w:sz="6" w:space="0" w:color="808080" w:themeColor="background1" w:themeShade="80"/>
            </w:tcBorders>
          </w:tcPr>
          <w:p w14:paraId="638AE592" w14:textId="4089BE61" w:rsidR="004D0D57" w:rsidRPr="0058458C" w:rsidRDefault="004D0D57" w:rsidP="004D0D57">
            <w:pPr>
              <w:pStyle w:val="TableText"/>
              <w:spacing w:before="40" w:after="40"/>
              <w:jc w:val="center"/>
            </w:pPr>
            <w:r w:rsidRPr="0058458C">
              <w:t>0.000</w:t>
            </w:r>
          </w:p>
        </w:tc>
        <w:tc>
          <w:tcPr>
            <w:tcW w:w="949" w:type="pct"/>
            <w:tcBorders>
              <w:top w:val="single" w:sz="6" w:space="0" w:color="808080" w:themeColor="background1" w:themeShade="80"/>
              <w:bottom w:val="single" w:sz="6" w:space="0" w:color="808080" w:themeColor="background1" w:themeShade="80"/>
            </w:tcBorders>
          </w:tcPr>
          <w:p w14:paraId="6295F145" w14:textId="7F595538" w:rsidR="004D0D57" w:rsidRPr="0058458C" w:rsidRDefault="004D0D57" w:rsidP="004D0D57">
            <w:pPr>
              <w:pStyle w:val="TableText"/>
              <w:spacing w:before="40" w:after="40"/>
              <w:jc w:val="center"/>
            </w:pPr>
            <w:r w:rsidRPr="0058458C">
              <w:t>0.050</w:t>
            </w:r>
          </w:p>
        </w:tc>
      </w:tr>
      <w:tr w:rsidR="004D0D57" w:rsidRPr="0058458C" w14:paraId="11D8EC5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525CA5A9" w14:textId="3693BB9F" w:rsidR="004D0D57" w:rsidRPr="0058458C" w:rsidRDefault="004D0D57" w:rsidP="004D0D57">
            <w:pPr>
              <w:pStyle w:val="TableTextIndent1"/>
              <w:spacing w:before="40" w:after="40"/>
            </w:pPr>
            <w:r w:rsidRPr="0058458C">
              <w:t>65+:35–44</w:t>
            </w:r>
          </w:p>
        </w:tc>
        <w:tc>
          <w:tcPr>
            <w:tcW w:w="951" w:type="pct"/>
            <w:tcBorders>
              <w:top w:val="single" w:sz="6" w:space="0" w:color="808080" w:themeColor="background1" w:themeShade="80"/>
              <w:bottom w:val="single" w:sz="6" w:space="0" w:color="808080" w:themeColor="background1" w:themeShade="80"/>
            </w:tcBorders>
          </w:tcPr>
          <w:p w14:paraId="474C2D98" w14:textId="0BCF84CB" w:rsidR="004D0D57" w:rsidRPr="0058458C" w:rsidRDefault="004D0D57" w:rsidP="004D0D57">
            <w:pPr>
              <w:pStyle w:val="TableText"/>
              <w:spacing w:before="40" w:after="40"/>
              <w:jc w:val="center"/>
            </w:pPr>
            <w:r w:rsidRPr="001B3A3A">
              <w:t>0.086</w:t>
            </w:r>
          </w:p>
        </w:tc>
        <w:tc>
          <w:tcPr>
            <w:tcW w:w="950" w:type="pct"/>
            <w:tcBorders>
              <w:top w:val="single" w:sz="6" w:space="0" w:color="808080" w:themeColor="background1" w:themeShade="80"/>
              <w:bottom w:val="single" w:sz="6" w:space="0" w:color="808080" w:themeColor="background1" w:themeShade="80"/>
            </w:tcBorders>
          </w:tcPr>
          <w:p w14:paraId="507DFAF5" w14:textId="21273836" w:rsidR="004D0D57" w:rsidRPr="0058458C" w:rsidRDefault="004D0D57" w:rsidP="004D0D57">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0C116193" w14:textId="78A4349F" w:rsidR="004D0D57" w:rsidRPr="0058458C" w:rsidRDefault="004D0D57" w:rsidP="004D0D57">
            <w:pPr>
              <w:pStyle w:val="TableText"/>
              <w:spacing w:before="40" w:after="40"/>
              <w:jc w:val="center"/>
            </w:pPr>
            <w:r w:rsidRPr="0058458C">
              <w:t>0.200</w:t>
            </w:r>
          </w:p>
        </w:tc>
      </w:tr>
      <w:tr w:rsidR="004D0D57" w:rsidRPr="0058458C" w14:paraId="47AC6CB7"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49EF9853" w14:textId="5C91A631" w:rsidR="004D0D57" w:rsidRPr="0058458C" w:rsidRDefault="004D0D57" w:rsidP="004D0D57">
            <w:pPr>
              <w:pStyle w:val="TableTextIndent1"/>
              <w:spacing w:before="40" w:after="40"/>
            </w:pPr>
            <w:r w:rsidRPr="0058458C">
              <w:t>65+:45–54</w:t>
            </w:r>
          </w:p>
        </w:tc>
        <w:tc>
          <w:tcPr>
            <w:tcW w:w="951" w:type="pct"/>
            <w:tcBorders>
              <w:top w:val="single" w:sz="6" w:space="0" w:color="808080" w:themeColor="background1" w:themeShade="80"/>
              <w:bottom w:val="single" w:sz="6" w:space="0" w:color="808080" w:themeColor="background1" w:themeShade="80"/>
            </w:tcBorders>
          </w:tcPr>
          <w:p w14:paraId="07B39660" w14:textId="33260CC7" w:rsidR="004D0D57" w:rsidRPr="0058458C" w:rsidRDefault="004D0D57" w:rsidP="004D0D57">
            <w:pPr>
              <w:pStyle w:val="TableText"/>
              <w:spacing w:before="40" w:after="40"/>
              <w:jc w:val="center"/>
            </w:pPr>
            <w:r w:rsidRPr="001B3A3A">
              <w:t>0.123</w:t>
            </w:r>
          </w:p>
        </w:tc>
        <w:tc>
          <w:tcPr>
            <w:tcW w:w="950" w:type="pct"/>
            <w:tcBorders>
              <w:top w:val="single" w:sz="6" w:space="0" w:color="808080" w:themeColor="background1" w:themeShade="80"/>
              <w:bottom w:val="single" w:sz="6" w:space="0" w:color="808080" w:themeColor="background1" w:themeShade="80"/>
            </w:tcBorders>
          </w:tcPr>
          <w:p w14:paraId="0F9C9BC6" w14:textId="4E83C321" w:rsidR="004D0D57" w:rsidRPr="0058458C" w:rsidRDefault="004D0D57" w:rsidP="004D0D57">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0610A591" w14:textId="2FE19D22" w:rsidR="004D0D57" w:rsidRPr="0058458C" w:rsidRDefault="004D0D57" w:rsidP="004D0D57">
            <w:pPr>
              <w:pStyle w:val="TableText"/>
              <w:spacing w:before="40" w:after="40"/>
              <w:jc w:val="center"/>
            </w:pPr>
            <w:r w:rsidRPr="0058458C">
              <w:t>0.250</w:t>
            </w:r>
          </w:p>
        </w:tc>
      </w:tr>
      <w:tr w:rsidR="004D0D57" w:rsidRPr="0058458C" w14:paraId="119FFE2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CD3756F" w14:textId="5AA18110" w:rsidR="004D0D57" w:rsidRPr="0058458C" w:rsidRDefault="004D0D57" w:rsidP="004D0D57">
            <w:pPr>
              <w:pStyle w:val="TableTextIndent1"/>
              <w:spacing w:before="40" w:after="40"/>
            </w:pPr>
            <w:r w:rsidRPr="0058458C">
              <w:t>65+:55–64</w:t>
            </w:r>
          </w:p>
        </w:tc>
        <w:tc>
          <w:tcPr>
            <w:tcW w:w="951" w:type="pct"/>
            <w:tcBorders>
              <w:top w:val="single" w:sz="6" w:space="0" w:color="808080" w:themeColor="background1" w:themeShade="80"/>
              <w:bottom w:val="single" w:sz="6" w:space="0" w:color="808080" w:themeColor="background1" w:themeShade="80"/>
            </w:tcBorders>
          </w:tcPr>
          <w:p w14:paraId="174CEBB5" w14:textId="55C50E80" w:rsidR="004D0D57" w:rsidRPr="0058458C" w:rsidRDefault="004D0D57" w:rsidP="004D0D57">
            <w:pPr>
              <w:pStyle w:val="TableText"/>
              <w:spacing w:before="40" w:after="40"/>
              <w:jc w:val="center"/>
            </w:pPr>
            <w:r w:rsidRPr="001B3A3A">
              <w:t>0.207</w:t>
            </w:r>
          </w:p>
        </w:tc>
        <w:tc>
          <w:tcPr>
            <w:tcW w:w="950" w:type="pct"/>
            <w:tcBorders>
              <w:top w:val="single" w:sz="6" w:space="0" w:color="808080" w:themeColor="background1" w:themeShade="80"/>
              <w:bottom w:val="single" w:sz="6" w:space="0" w:color="808080" w:themeColor="background1" w:themeShade="80"/>
            </w:tcBorders>
          </w:tcPr>
          <w:p w14:paraId="7CFB440F" w14:textId="7D55FA83" w:rsidR="004D0D57" w:rsidRPr="0058458C" w:rsidRDefault="004D0D57" w:rsidP="004D0D57">
            <w:pPr>
              <w:pStyle w:val="TableText"/>
              <w:spacing w:before="40" w:after="40"/>
              <w:jc w:val="center"/>
            </w:pPr>
            <w:r w:rsidRPr="0058458C">
              <w:t>0.100</w:t>
            </w:r>
          </w:p>
        </w:tc>
        <w:tc>
          <w:tcPr>
            <w:tcW w:w="949" w:type="pct"/>
            <w:tcBorders>
              <w:top w:val="single" w:sz="6" w:space="0" w:color="808080" w:themeColor="background1" w:themeShade="80"/>
              <w:bottom w:val="single" w:sz="6" w:space="0" w:color="808080" w:themeColor="background1" w:themeShade="80"/>
            </w:tcBorders>
          </w:tcPr>
          <w:p w14:paraId="4E6EF453" w14:textId="667879A2" w:rsidR="004D0D57" w:rsidRPr="0058458C" w:rsidRDefault="004D0D57" w:rsidP="004D0D57">
            <w:pPr>
              <w:pStyle w:val="TableText"/>
              <w:spacing w:before="40" w:after="40"/>
              <w:jc w:val="center"/>
            </w:pPr>
            <w:r w:rsidRPr="0058458C">
              <w:t>0.400</w:t>
            </w:r>
          </w:p>
        </w:tc>
      </w:tr>
      <w:tr w:rsidR="001F3E43" w:rsidRPr="0058458C" w14:paraId="031C84C6" w14:textId="77777777" w:rsidTr="00E2014A">
        <w:trPr>
          <w:cantSplit/>
        </w:trPr>
        <w:tc>
          <w:tcPr>
            <w:tcW w:w="3101" w:type="pct"/>
            <w:gridSpan w:val="2"/>
            <w:tcBorders>
              <w:top w:val="single" w:sz="6" w:space="0" w:color="808080" w:themeColor="background1" w:themeShade="80"/>
              <w:bottom w:val="single" w:sz="6" w:space="0" w:color="808080" w:themeColor="background1" w:themeShade="80"/>
            </w:tcBorders>
          </w:tcPr>
          <w:p w14:paraId="41E6DF03" w14:textId="03CA2709" w:rsidR="001F3E43" w:rsidRPr="0058458C" w:rsidRDefault="001F3E43" w:rsidP="003222D9">
            <w:pPr>
              <w:pStyle w:val="TableText"/>
              <w:spacing w:before="40" w:after="40"/>
            </w:pPr>
            <w:r w:rsidRPr="0058458C">
              <w:t xml:space="preserve">Base probability of transmission per </w:t>
            </w:r>
            <w:proofErr w:type="spellStart"/>
            <w:r w:rsidR="000229FE">
              <w:t>condomless</w:t>
            </w:r>
            <w:proofErr w:type="spellEnd"/>
            <w:r w:rsidR="004D0D57">
              <w:t xml:space="preserve"> </w:t>
            </w:r>
            <w:r w:rsidRPr="0058458C">
              <w:t>sex act</w:t>
            </w:r>
          </w:p>
        </w:tc>
        <w:tc>
          <w:tcPr>
            <w:tcW w:w="950" w:type="pct"/>
            <w:tcBorders>
              <w:top w:val="single" w:sz="6" w:space="0" w:color="808080" w:themeColor="background1" w:themeShade="80"/>
              <w:bottom w:val="single" w:sz="6" w:space="0" w:color="808080" w:themeColor="background1" w:themeShade="80"/>
            </w:tcBorders>
          </w:tcPr>
          <w:p w14:paraId="510647B0" w14:textId="77777777" w:rsidR="001F3E43" w:rsidRPr="0058458C" w:rsidRDefault="001F3E43" w:rsidP="003222D9">
            <w:pPr>
              <w:pStyle w:val="TableText"/>
              <w:spacing w:before="40" w:after="40"/>
            </w:pPr>
          </w:p>
        </w:tc>
        <w:tc>
          <w:tcPr>
            <w:tcW w:w="949" w:type="pct"/>
            <w:tcBorders>
              <w:top w:val="single" w:sz="6" w:space="0" w:color="808080" w:themeColor="background1" w:themeShade="80"/>
              <w:bottom w:val="single" w:sz="6" w:space="0" w:color="808080" w:themeColor="background1" w:themeShade="80"/>
            </w:tcBorders>
          </w:tcPr>
          <w:p w14:paraId="78F8FD5B" w14:textId="77777777" w:rsidR="001F3E43" w:rsidRPr="0058458C" w:rsidRDefault="001F3E43" w:rsidP="003222D9">
            <w:pPr>
              <w:pStyle w:val="TableText"/>
              <w:spacing w:before="40" w:after="40"/>
            </w:pPr>
          </w:p>
        </w:tc>
      </w:tr>
      <w:tr w:rsidR="004D0D57" w:rsidRPr="0058458C" w14:paraId="79BB1E14"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781E4504" w14:textId="77777777" w:rsidR="004D0D57" w:rsidRPr="0058458C" w:rsidRDefault="004D0D57" w:rsidP="004D0D57">
            <w:pPr>
              <w:pStyle w:val="TableTextIndent1"/>
              <w:spacing w:before="40" w:after="40"/>
            </w:pPr>
            <w:r w:rsidRPr="0058458C">
              <w:t xml:space="preserve">Vaginal </w:t>
            </w:r>
            <w:proofErr w:type="spellStart"/>
            <w:r w:rsidRPr="0058458C">
              <w:t>insertive</w:t>
            </w:r>
            <w:proofErr w:type="spellEnd"/>
          </w:p>
        </w:tc>
        <w:tc>
          <w:tcPr>
            <w:tcW w:w="951" w:type="pct"/>
            <w:tcBorders>
              <w:top w:val="single" w:sz="6" w:space="0" w:color="808080" w:themeColor="background1" w:themeShade="80"/>
              <w:bottom w:val="single" w:sz="6" w:space="0" w:color="808080" w:themeColor="background1" w:themeShade="80"/>
            </w:tcBorders>
          </w:tcPr>
          <w:p w14:paraId="3C4AA749" w14:textId="7D483246" w:rsidR="004D0D57" w:rsidRPr="0058458C" w:rsidRDefault="004D0D57" w:rsidP="004D0D57">
            <w:pPr>
              <w:pStyle w:val="TableText"/>
              <w:spacing w:before="40" w:after="40"/>
              <w:jc w:val="center"/>
            </w:pPr>
            <w:r w:rsidRPr="00A85861">
              <w:t>0.000</w:t>
            </w:r>
          </w:p>
        </w:tc>
        <w:tc>
          <w:tcPr>
            <w:tcW w:w="950" w:type="pct"/>
            <w:tcBorders>
              <w:top w:val="single" w:sz="6" w:space="0" w:color="808080" w:themeColor="background1" w:themeShade="80"/>
              <w:bottom w:val="single" w:sz="6" w:space="0" w:color="808080" w:themeColor="background1" w:themeShade="80"/>
            </w:tcBorders>
          </w:tcPr>
          <w:p w14:paraId="17007D9A" w14:textId="77777777" w:rsidR="004D0D57" w:rsidRPr="0058458C" w:rsidRDefault="004D0D57" w:rsidP="004D0D57">
            <w:pPr>
              <w:pStyle w:val="TableText"/>
              <w:spacing w:before="40" w:after="40"/>
              <w:jc w:val="center"/>
            </w:pPr>
            <w:r w:rsidRPr="0058458C">
              <w:t>0.0001</w:t>
            </w:r>
          </w:p>
        </w:tc>
        <w:tc>
          <w:tcPr>
            <w:tcW w:w="949" w:type="pct"/>
            <w:tcBorders>
              <w:top w:val="single" w:sz="6" w:space="0" w:color="808080" w:themeColor="background1" w:themeShade="80"/>
              <w:bottom w:val="single" w:sz="6" w:space="0" w:color="808080" w:themeColor="background1" w:themeShade="80"/>
            </w:tcBorders>
          </w:tcPr>
          <w:p w14:paraId="08DF4DDF" w14:textId="77777777" w:rsidR="004D0D57" w:rsidRPr="0058458C" w:rsidRDefault="004D0D57" w:rsidP="004D0D57">
            <w:pPr>
              <w:pStyle w:val="TableText"/>
              <w:spacing w:before="40" w:after="40"/>
              <w:jc w:val="center"/>
            </w:pPr>
            <w:r w:rsidRPr="0058458C">
              <w:t>0.0008</w:t>
            </w:r>
          </w:p>
        </w:tc>
      </w:tr>
      <w:tr w:rsidR="004D0D57" w:rsidRPr="0058458C" w14:paraId="12861FE7"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A7DDCB4" w14:textId="77777777" w:rsidR="004D0D57" w:rsidRPr="0058458C" w:rsidRDefault="004D0D57" w:rsidP="004D0D57">
            <w:pPr>
              <w:pStyle w:val="TableTextIndent1"/>
              <w:spacing w:before="40" w:after="40"/>
            </w:pPr>
            <w:r w:rsidRPr="0058458C">
              <w:t>Vaginal receptive</w:t>
            </w:r>
          </w:p>
        </w:tc>
        <w:tc>
          <w:tcPr>
            <w:tcW w:w="951" w:type="pct"/>
            <w:tcBorders>
              <w:top w:val="single" w:sz="6" w:space="0" w:color="808080" w:themeColor="background1" w:themeShade="80"/>
              <w:bottom w:val="single" w:sz="6" w:space="0" w:color="808080" w:themeColor="background1" w:themeShade="80"/>
            </w:tcBorders>
          </w:tcPr>
          <w:p w14:paraId="6988AD8B" w14:textId="55BD9580" w:rsidR="004D0D57" w:rsidRPr="0058458C" w:rsidRDefault="004D0D57" w:rsidP="004D0D57">
            <w:pPr>
              <w:pStyle w:val="TableText"/>
              <w:spacing w:before="40" w:after="40"/>
              <w:jc w:val="center"/>
            </w:pPr>
            <w:r w:rsidRPr="00A85861">
              <w:t>0.001</w:t>
            </w:r>
          </w:p>
        </w:tc>
        <w:tc>
          <w:tcPr>
            <w:tcW w:w="950" w:type="pct"/>
            <w:tcBorders>
              <w:top w:val="single" w:sz="6" w:space="0" w:color="808080" w:themeColor="background1" w:themeShade="80"/>
              <w:bottom w:val="single" w:sz="6" w:space="0" w:color="808080" w:themeColor="background1" w:themeShade="80"/>
            </w:tcBorders>
          </w:tcPr>
          <w:p w14:paraId="3B76AAA0" w14:textId="77777777" w:rsidR="004D0D57" w:rsidRPr="0058458C" w:rsidRDefault="004D0D57" w:rsidP="004D0D57">
            <w:pPr>
              <w:pStyle w:val="TableText"/>
              <w:spacing w:before="40" w:after="40"/>
              <w:jc w:val="center"/>
            </w:pPr>
            <w:r w:rsidRPr="0058458C">
              <w:t>0.0004</w:t>
            </w:r>
          </w:p>
        </w:tc>
        <w:tc>
          <w:tcPr>
            <w:tcW w:w="949" w:type="pct"/>
            <w:tcBorders>
              <w:top w:val="single" w:sz="6" w:space="0" w:color="808080" w:themeColor="background1" w:themeShade="80"/>
              <w:bottom w:val="single" w:sz="6" w:space="0" w:color="808080" w:themeColor="background1" w:themeShade="80"/>
            </w:tcBorders>
          </w:tcPr>
          <w:p w14:paraId="527CA300" w14:textId="77777777" w:rsidR="004D0D57" w:rsidRPr="0058458C" w:rsidRDefault="004D0D57" w:rsidP="004D0D57">
            <w:pPr>
              <w:pStyle w:val="TableText"/>
              <w:spacing w:before="40" w:after="40"/>
              <w:jc w:val="center"/>
            </w:pPr>
            <w:r w:rsidRPr="0058458C">
              <w:t>0.0009</w:t>
            </w:r>
          </w:p>
        </w:tc>
      </w:tr>
      <w:tr w:rsidR="004D0D57" w:rsidRPr="0058458C" w14:paraId="5943F83E"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E829FC9" w14:textId="77777777" w:rsidR="004D0D57" w:rsidRPr="0058458C" w:rsidRDefault="004D0D57" w:rsidP="004D0D57">
            <w:pPr>
              <w:pStyle w:val="TableTextIndent1"/>
              <w:spacing w:before="40" w:after="40"/>
            </w:pPr>
            <w:r w:rsidRPr="0058458C">
              <w:t xml:space="preserve">Anal </w:t>
            </w:r>
            <w:proofErr w:type="spellStart"/>
            <w:r w:rsidRPr="0058458C">
              <w:t>insertive</w:t>
            </w:r>
            <w:proofErr w:type="spellEnd"/>
          </w:p>
        </w:tc>
        <w:tc>
          <w:tcPr>
            <w:tcW w:w="951" w:type="pct"/>
            <w:tcBorders>
              <w:top w:val="single" w:sz="6" w:space="0" w:color="808080" w:themeColor="background1" w:themeShade="80"/>
              <w:bottom w:val="single" w:sz="6" w:space="0" w:color="808080" w:themeColor="background1" w:themeShade="80"/>
            </w:tcBorders>
          </w:tcPr>
          <w:p w14:paraId="3438A4B5" w14:textId="651D22E5" w:rsidR="004D0D57" w:rsidRPr="0058458C" w:rsidRDefault="004D0D57" w:rsidP="004D0D57">
            <w:pPr>
              <w:pStyle w:val="TableText"/>
              <w:spacing w:before="40" w:after="40"/>
              <w:jc w:val="center"/>
            </w:pPr>
            <w:r w:rsidRPr="00A85861">
              <w:t>0.001</w:t>
            </w:r>
          </w:p>
        </w:tc>
        <w:tc>
          <w:tcPr>
            <w:tcW w:w="950" w:type="pct"/>
            <w:tcBorders>
              <w:top w:val="single" w:sz="6" w:space="0" w:color="808080" w:themeColor="background1" w:themeShade="80"/>
              <w:bottom w:val="single" w:sz="6" w:space="0" w:color="808080" w:themeColor="background1" w:themeShade="80"/>
            </w:tcBorders>
          </w:tcPr>
          <w:p w14:paraId="7C13808D" w14:textId="77777777" w:rsidR="004D0D57" w:rsidRPr="0058458C" w:rsidRDefault="004D0D57" w:rsidP="004D0D57">
            <w:pPr>
              <w:pStyle w:val="TableText"/>
              <w:spacing w:before="40" w:after="40"/>
              <w:jc w:val="center"/>
            </w:pPr>
            <w:r w:rsidRPr="0058458C">
              <w:t>0.0003</w:t>
            </w:r>
          </w:p>
        </w:tc>
        <w:tc>
          <w:tcPr>
            <w:tcW w:w="949" w:type="pct"/>
            <w:tcBorders>
              <w:top w:val="single" w:sz="6" w:space="0" w:color="808080" w:themeColor="background1" w:themeShade="80"/>
              <w:bottom w:val="single" w:sz="6" w:space="0" w:color="808080" w:themeColor="background1" w:themeShade="80"/>
            </w:tcBorders>
          </w:tcPr>
          <w:p w14:paraId="1337A865" w14:textId="36DF3A68" w:rsidR="004D0D57" w:rsidRPr="0058458C" w:rsidRDefault="004D0D57" w:rsidP="004D0D57">
            <w:pPr>
              <w:pStyle w:val="TableText"/>
              <w:spacing w:before="40" w:after="40"/>
              <w:jc w:val="center"/>
            </w:pPr>
            <w:r w:rsidRPr="0058458C">
              <w:t>0.0011</w:t>
            </w:r>
          </w:p>
        </w:tc>
      </w:tr>
      <w:tr w:rsidR="004D0D57" w:rsidRPr="0058458C" w14:paraId="2F952A42"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1F973C4A" w14:textId="77777777" w:rsidR="004D0D57" w:rsidRPr="0058458C" w:rsidRDefault="004D0D57" w:rsidP="004D0D57">
            <w:pPr>
              <w:pStyle w:val="TableTextIndent1"/>
              <w:spacing w:before="40" w:after="40"/>
            </w:pPr>
            <w:r w:rsidRPr="0058458C">
              <w:t>Anal receptive</w:t>
            </w:r>
          </w:p>
        </w:tc>
        <w:tc>
          <w:tcPr>
            <w:tcW w:w="951" w:type="pct"/>
            <w:tcBorders>
              <w:top w:val="single" w:sz="6" w:space="0" w:color="808080" w:themeColor="background1" w:themeShade="80"/>
              <w:bottom w:val="single" w:sz="6" w:space="0" w:color="808080" w:themeColor="background1" w:themeShade="80"/>
            </w:tcBorders>
          </w:tcPr>
          <w:p w14:paraId="07F0AD97" w14:textId="29D08B67" w:rsidR="004D0D57" w:rsidRPr="0058458C" w:rsidRDefault="004D0D57" w:rsidP="004D0D57">
            <w:pPr>
              <w:pStyle w:val="TableText"/>
              <w:spacing w:before="40" w:after="40"/>
              <w:jc w:val="center"/>
            </w:pPr>
            <w:r w:rsidRPr="00A85861">
              <w:t>0.013</w:t>
            </w:r>
          </w:p>
        </w:tc>
        <w:tc>
          <w:tcPr>
            <w:tcW w:w="950" w:type="pct"/>
            <w:tcBorders>
              <w:top w:val="single" w:sz="6" w:space="0" w:color="808080" w:themeColor="background1" w:themeShade="80"/>
              <w:bottom w:val="single" w:sz="6" w:space="0" w:color="808080" w:themeColor="background1" w:themeShade="80"/>
            </w:tcBorders>
          </w:tcPr>
          <w:p w14:paraId="37403101" w14:textId="77777777" w:rsidR="004D0D57" w:rsidRPr="0058458C" w:rsidRDefault="004D0D57" w:rsidP="004D0D57">
            <w:pPr>
              <w:pStyle w:val="TableText"/>
              <w:spacing w:before="40" w:after="40"/>
              <w:jc w:val="center"/>
            </w:pPr>
            <w:r w:rsidRPr="0058458C">
              <w:t>0.0080</w:t>
            </w:r>
          </w:p>
        </w:tc>
        <w:tc>
          <w:tcPr>
            <w:tcW w:w="949" w:type="pct"/>
            <w:tcBorders>
              <w:top w:val="single" w:sz="6" w:space="0" w:color="808080" w:themeColor="background1" w:themeShade="80"/>
              <w:bottom w:val="single" w:sz="6" w:space="0" w:color="808080" w:themeColor="background1" w:themeShade="80"/>
            </w:tcBorders>
          </w:tcPr>
          <w:p w14:paraId="34A4C137" w14:textId="2E6F736A" w:rsidR="004D0D57" w:rsidRPr="0058458C" w:rsidRDefault="004D0D57" w:rsidP="004D0D57">
            <w:pPr>
              <w:pStyle w:val="TableText"/>
              <w:spacing w:before="40" w:after="40"/>
              <w:jc w:val="center"/>
            </w:pPr>
            <w:r w:rsidRPr="0058458C">
              <w:t>0.0138</w:t>
            </w:r>
          </w:p>
        </w:tc>
      </w:tr>
      <w:tr w:rsidR="001F3E43" w:rsidRPr="0058458C" w14:paraId="55B1399C"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882E033" w14:textId="77777777" w:rsidR="001F3E43" w:rsidRPr="0058458C" w:rsidRDefault="001F3E43" w:rsidP="003222D9">
            <w:pPr>
              <w:pStyle w:val="TableTextIndent1"/>
              <w:spacing w:before="40" w:after="40"/>
              <w:ind w:left="0"/>
            </w:pPr>
            <w:r w:rsidRPr="0058458C">
              <w:t>Probability of transmission per shared needle</w:t>
            </w:r>
          </w:p>
        </w:tc>
        <w:tc>
          <w:tcPr>
            <w:tcW w:w="951" w:type="pct"/>
            <w:tcBorders>
              <w:top w:val="single" w:sz="6" w:space="0" w:color="808080" w:themeColor="background1" w:themeShade="80"/>
              <w:bottom w:val="single" w:sz="6" w:space="0" w:color="808080" w:themeColor="background1" w:themeShade="80"/>
            </w:tcBorders>
          </w:tcPr>
          <w:p w14:paraId="1FDFBD2D" w14:textId="4080AA96" w:rsidR="001F3E43" w:rsidRPr="00E54903" w:rsidRDefault="004D0D57" w:rsidP="003222D9">
            <w:pPr>
              <w:pStyle w:val="TableText"/>
              <w:spacing w:before="40" w:after="40"/>
              <w:jc w:val="center"/>
              <w:rPr>
                <w:iCs/>
              </w:rPr>
            </w:pPr>
            <w:r w:rsidRPr="003C3D46">
              <w:rPr>
                <w:iCs/>
              </w:rPr>
              <w:t>0.002</w:t>
            </w:r>
          </w:p>
        </w:tc>
        <w:tc>
          <w:tcPr>
            <w:tcW w:w="950" w:type="pct"/>
            <w:tcBorders>
              <w:top w:val="single" w:sz="6" w:space="0" w:color="808080" w:themeColor="background1" w:themeShade="80"/>
              <w:bottom w:val="single" w:sz="6" w:space="0" w:color="808080" w:themeColor="background1" w:themeShade="80"/>
            </w:tcBorders>
          </w:tcPr>
          <w:p w14:paraId="6569271C" w14:textId="77777777" w:rsidR="001F3E43" w:rsidRPr="0058458C" w:rsidRDefault="001F3E43" w:rsidP="003222D9">
            <w:pPr>
              <w:pStyle w:val="TableText"/>
              <w:spacing w:before="40" w:after="40"/>
              <w:jc w:val="center"/>
            </w:pPr>
            <w:r w:rsidRPr="0058458C">
              <w:t>0.0010</w:t>
            </w:r>
          </w:p>
        </w:tc>
        <w:tc>
          <w:tcPr>
            <w:tcW w:w="949" w:type="pct"/>
            <w:tcBorders>
              <w:top w:val="single" w:sz="6" w:space="0" w:color="808080" w:themeColor="background1" w:themeShade="80"/>
              <w:bottom w:val="single" w:sz="6" w:space="0" w:color="808080" w:themeColor="background1" w:themeShade="80"/>
            </w:tcBorders>
          </w:tcPr>
          <w:p w14:paraId="0E0E4D1E" w14:textId="77777777" w:rsidR="001F3E43" w:rsidRPr="0058458C" w:rsidRDefault="001F3E43" w:rsidP="003222D9">
            <w:pPr>
              <w:pStyle w:val="TableText"/>
              <w:spacing w:before="40" w:after="40"/>
              <w:jc w:val="center"/>
            </w:pPr>
            <w:r w:rsidRPr="0058458C">
              <w:t>0.005</w:t>
            </w:r>
          </w:p>
        </w:tc>
      </w:tr>
      <w:tr w:rsidR="001F3E43" w:rsidRPr="0058458C" w14:paraId="656704D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0AFBFAFA" w14:textId="77777777" w:rsidR="001F3E43" w:rsidRPr="0058458C" w:rsidRDefault="001F3E43" w:rsidP="003222D9">
            <w:pPr>
              <w:pStyle w:val="TableTextIndent1"/>
              <w:spacing w:before="40" w:after="40"/>
              <w:ind w:left="0"/>
            </w:pPr>
            <w:r w:rsidRPr="0058458C">
              <w:t>Percentage of injections that are shared</w:t>
            </w:r>
          </w:p>
        </w:tc>
        <w:tc>
          <w:tcPr>
            <w:tcW w:w="951" w:type="pct"/>
            <w:tcBorders>
              <w:top w:val="single" w:sz="6" w:space="0" w:color="808080" w:themeColor="background1" w:themeShade="80"/>
              <w:bottom w:val="single" w:sz="6" w:space="0" w:color="808080" w:themeColor="background1" w:themeShade="80"/>
            </w:tcBorders>
          </w:tcPr>
          <w:p w14:paraId="7FD81279" w14:textId="231D10DD" w:rsidR="001F3E43" w:rsidRPr="00E54903" w:rsidDel="00FF79B9" w:rsidRDefault="007E4347" w:rsidP="003222D9">
            <w:pPr>
              <w:pStyle w:val="TableText"/>
              <w:spacing w:before="40" w:after="40"/>
              <w:jc w:val="center"/>
              <w:rPr>
                <w:iCs/>
              </w:rPr>
            </w:pPr>
            <w:r w:rsidRPr="003C3D46">
              <w:rPr>
                <w:iCs/>
              </w:rPr>
              <w:t>0.062</w:t>
            </w:r>
          </w:p>
        </w:tc>
        <w:tc>
          <w:tcPr>
            <w:tcW w:w="950" w:type="pct"/>
            <w:tcBorders>
              <w:top w:val="single" w:sz="6" w:space="0" w:color="808080" w:themeColor="background1" w:themeShade="80"/>
              <w:bottom w:val="single" w:sz="6" w:space="0" w:color="808080" w:themeColor="background1" w:themeShade="80"/>
            </w:tcBorders>
          </w:tcPr>
          <w:p w14:paraId="1F499B01" w14:textId="77777777" w:rsidR="001F3E43" w:rsidRPr="0058458C" w:rsidRDefault="001F3E43" w:rsidP="003222D9">
            <w:pPr>
              <w:pStyle w:val="TableText"/>
              <w:spacing w:before="40" w:after="40"/>
              <w:jc w:val="center"/>
            </w:pPr>
            <w:r w:rsidRPr="0058458C">
              <w:t>0.050</w:t>
            </w:r>
          </w:p>
        </w:tc>
        <w:tc>
          <w:tcPr>
            <w:tcW w:w="949" w:type="pct"/>
            <w:tcBorders>
              <w:top w:val="single" w:sz="6" w:space="0" w:color="808080" w:themeColor="background1" w:themeShade="80"/>
              <w:bottom w:val="single" w:sz="6" w:space="0" w:color="808080" w:themeColor="background1" w:themeShade="80"/>
            </w:tcBorders>
          </w:tcPr>
          <w:p w14:paraId="65CC3054" w14:textId="77777777" w:rsidR="001F3E43" w:rsidRPr="0058458C" w:rsidRDefault="001F3E43" w:rsidP="003222D9">
            <w:pPr>
              <w:pStyle w:val="TableText"/>
              <w:spacing w:before="40" w:after="40"/>
              <w:jc w:val="center"/>
            </w:pPr>
            <w:r w:rsidRPr="0058458C">
              <w:t>0.300</w:t>
            </w:r>
          </w:p>
        </w:tc>
      </w:tr>
      <w:tr w:rsidR="001F3E43" w:rsidRPr="0058458C" w14:paraId="1DBFC4B1"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C31B5C0" w14:textId="77777777" w:rsidR="001F3E43" w:rsidRPr="0058458C" w:rsidRDefault="001F3E43" w:rsidP="003222D9">
            <w:pPr>
              <w:pStyle w:val="TableTextIndent1"/>
              <w:spacing w:before="40" w:after="40"/>
              <w:ind w:left="0"/>
            </w:pPr>
            <w:r w:rsidRPr="0058458C">
              <w:t>Reduction in transmission per shared needle if VLS vs. not VLS</w:t>
            </w:r>
          </w:p>
        </w:tc>
        <w:tc>
          <w:tcPr>
            <w:tcW w:w="951" w:type="pct"/>
            <w:tcBorders>
              <w:top w:val="single" w:sz="6" w:space="0" w:color="808080" w:themeColor="background1" w:themeShade="80"/>
              <w:bottom w:val="single" w:sz="6" w:space="0" w:color="808080" w:themeColor="background1" w:themeShade="80"/>
            </w:tcBorders>
          </w:tcPr>
          <w:p w14:paraId="5A165413" w14:textId="2D1CB5FE" w:rsidR="001F3E43" w:rsidRPr="00E54903" w:rsidDel="00FF79B9" w:rsidRDefault="007E4347" w:rsidP="003222D9">
            <w:pPr>
              <w:pStyle w:val="TableText"/>
              <w:spacing w:before="40" w:after="40"/>
              <w:jc w:val="center"/>
              <w:rPr>
                <w:iCs/>
              </w:rPr>
            </w:pPr>
            <w:r w:rsidRPr="003C3D46">
              <w:rPr>
                <w:iCs/>
              </w:rPr>
              <w:t>0.742</w:t>
            </w:r>
          </w:p>
        </w:tc>
        <w:tc>
          <w:tcPr>
            <w:tcW w:w="950" w:type="pct"/>
            <w:tcBorders>
              <w:top w:val="single" w:sz="6" w:space="0" w:color="808080" w:themeColor="background1" w:themeShade="80"/>
              <w:bottom w:val="single" w:sz="6" w:space="0" w:color="808080" w:themeColor="background1" w:themeShade="80"/>
            </w:tcBorders>
          </w:tcPr>
          <w:p w14:paraId="25A44820" w14:textId="77777777" w:rsidR="001F3E43" w:rsidRPr="0058458C" w:rsidRDefault="001F3E43" w:rsidP="003222D9">
            <w:pPr>
              <w:pStyle w:val="TableText"/>
              <w:spacing w:before="40" w:after="40"/>
              <w:jc w:val="center"/>
            </w:pPr>
            <w:r w:rsidRPr="0058458C">
              <w:t>0.500</w:t>
            </w:r>
          </w:p>
        </w:tc>
        <w:tc>
          <w:tcPr>
            <w:tcW w:w="949" w:type="pct"/>
            <w:tcBorders>
              <w:top w:val="single" w:sz="6" w:space="0" w:color="808080" w:themeColor="background1" w:themeShade="80"/>
              <w:bottom w:val="single" w:sz="6" w:space="0" w:color="808080" w:themeColor="background1" w:themeShade="80"/>
            </w:tcBorders>
          </w:tcPr>
          <w:p w14:paraId="2A6FCAB1" w14:textId="77777777" w:rsidR="001F3E43" w:rsidRPr="0058458C" w:rsidRDefault="001F3E43" w:rsidP="003222D9">
            <w:pPr>
              <w:pStyle w:val="TableText"/>
              <w:spacing w:before="40" w:after="40"/>
              <w:jc w:val="center"/>
            </w:pPr>
            <w:r w:rsidRPr="0058458C">
              <w:t>0.990</w:t>
            </w:r>
          </w:p>
        </w:tc>
      </w:tr>
      <w:tr w:rsidR="00642CDD" w:rsidRPr="0058458C" w14:paraId="1514AF63" w14:textId="77777777" w:rsidTr="00642CDD">
        <w:trPr>
          <w:cantSplit/>
        </w:trPr>
        <w:tc>
          <w:tcPr>
            <w:tcW w:w="3101" w:type="pct"/>
            <w:gridSpan w:val="2"/>
            <w:tcBorders>
              <w:top w:val="single" w:sz="6" w:space="0" w:color="808080" w:themeColor="background1" w:themeShade="80"/>
              <w:bottom w:val="single" w:sz="6" w:space="0" w:color="808080" w:themeColor="background1" w:themeShade="80"/>
            </w:tcBorders>
          </w:tcPr>
          <w:p w14:paraId="2CFD650E" w14:textId="046BB6FB" w:rsidR="00642CDD" w:rsidRPr="0058458C" w:rsidRDefault="00642CDD" w:rsidP="00F12F29">
            <w:pPr>
              <w:pStyle w:val="TableText"/>
              <w:spacing w:before="40" w:after="40"/>
            </w:pPr>
            <w:r w:rsidRPr="0058458C">
              <w:t>Annual number of sexual contacts per uninfected person for high-risk MSM</w:t>
            </w:r>
          </w:p>
        </w:tc>
        <w:tc>
          <w:tcPr>
            <w:tcW w:w="950" w:type="pct"/>
            <w:tcBorders>
              <w:top w:val="single" w:sz="6" w:space="0" w:color="808080" w:themeColor="background1" w:themeShade="80"/>
              <w:bottom w:val="single" w:sz="6" w:space="0" w:color="808080" w:themeColor="background1" w:themeShade="80"/>
            </w:tcBorders>
          </w:tcPr>
          <w:p w14:paraId="101A9072" w14:textId="77777777" w:rsidR="00642CDD" w:rsidRPr="0058458C" w:rsidRDefault="00642CDD"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66242E64" w14:textId="77777777" w:rsidR="00642CDD" w:rsidRPr="0058458C" w:rsidRDefault="00642CDD" w:rsidP="003222D9">
            <w:pPr>
              <w:pStyle w:val="TableText"/>
              <w:spacing w:before="40" w:after="40"/>
              <w:jc w:val="center"/>
            </w:pPr>
          </w:p>
        </w:tc>
      </w:tr>
      <w:tr w:rsidR="00642CDD" w:rsidRPr="0058458C" w14:paraId="19F74DDF"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2329D145" w14:textId="5C71AD2F" w:rsidR="00642CDD" w:rsidRPr="0058458C" w:rsidRDefault="00642CDD" w:rsidP="00F12F29">
            <w:pPr>
              <w:pStyle w:val="TableText"/>
              <w:spacing w:before="40" w:after="40"/>
              <w:ind w:left="245"/>
            </w:pPr>
            <w:r w:rsidRPr="0058458C">
              <w:t>Black</w:t>
            </w:r>
          </w:p>
        </w:tc>
        <w:tc>
          <w:tcPr>
            <w:tcW w:w="951" w:type="pct"/>
            <w:tcBorders>
              <w:top w:val="single" w:sz="6" w:space="0" w:color="808080" w:themeColor="background1" w:themeShade="80"/>
              <w:bottom w:val="single" w:sz="6" w:space="0" w:color="808080" w:themeColor="background1" w:themeShade="80"/>
            </w:tcBorders>
          </w:tcPr>
          <w:p w14:paraId="164E16CA" w14:textId="77777777" w:rsidR="00642CDD" w:rsidRPr="0058458C" w:rsidRDefault="00642CDD" w:rsidP="003222D9">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4CCD0B3D" w14:textId="77777777" w:rsidR="00642CDD" w:rsidRPr="0058458C" w:rsidRDefault="00642CDD"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7135046A" w14:textId="77777777" w:rsidR="00642CDD" w:rsidRPr="0058458C" w:rsidRDefault="00642CDD" w:rsidP="003222D9">
            <w:pPr>
              <w:pStyle w:val="TableText"/>
              <w:spacing w:before="40" w:after="40"/>
              <w:jc w:val="center"/>
            </w:pPr>
          </w:p>
        </w:tc>
      </w:tr>
      <w:tr w:rsidR="007E4347" w:rsidRPr="0058458C" w14:paraId="1E000FFC"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5836E40E" w14:textId="00E125CC" w:rsidR="007E4347" w:rsidRPr="0058458C" w:rsidRDefault="007E4347" w:rsidP="007E4347">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4CD7D071" w14:textId="417EA498" w:rsidR="007E4347" w:rsidRPr="0058458C" w:rsidRDefault="007E4347" w:rsidP="007E4347">
            <w:pPr>
              <w:pStyle w:val="TableText"/>
              <w:spacing w:before="40" w:after="40"/>
              <w:jc w:val="center"/>
            </w:pPr>
            <w:r w:rsidRPr="00C14221">
              <w:t>39.58</w:t>
            </w:r>
          </w:p>
        </w:tc>
        <w:tc>
          <w:tcPr>
            <w:tcW w:w="950" w:type="pct"/>
            <w:tcBorders>
              <w:top w:val="single" w:sz="6" w:space="0" w:color="808080" w:themeColor="background1" w:themeShade="80"/>
              <w:bottom w:val="single" w:sz="6" w:space="0" w:color="808080" w:themeColor="background1" w:themeShade="80"/>
            </w:tcBorders>
          </w:tcPr>
          <w:p w14:paraId="0E645359" w14:textId="03F2B87D" w:rsidR="007E4347" w:rsidRPr="0058458C" w:rsidRDefault="007E4347" w:rsidP="007E4347">
            <w:pPr>
              <w:pStyle w:val="TableText"/>
              <w:spacing w:before="40" w:after="40"/>
              <w:jc w:val="center"/>
            </w:pPr>
            <w:r w:rsidRPr="0058458C">
              <w:t>30.00</w:t>
            </w:r>
          </w:p>
        </w:tc>
        <w:tc>
          <w:tcPr>
            <w:tcW w:w="949" w:type="pct"/>
            <w:tcBorders>
              <w:top w:val="single" w:sz="6" w:space="0" w:color="808080" w:themeColor="background1" w:themeShade="80"/>
              <w:bottom w:val="single" w:sz="6" w:space="0" w:color="808080" w:themeColor="background1" w:themeShade="80"/>
            </w:tcBorders>
          </w:tcPr>
          <w:p w14:paraId="39DE3E12" w14:textId="119C43D1" w:rsidR="007E4347" w:rsidRPr="0058458C" w:rsidRDefault="007E4347" w:rsidP="007E4347">
            <w:pPr>
              <w:pStyle w:val="TableText"/>
              <w:spacing w:before="40" w:after="40"/>
              <w:jc w:val="center"/>
            </w:pPr>
            <w:r w:rsidRPr="0058458C">
              <w:t>42.00</w:t>
            </w:r>
          </w:p>
        </w:tc>
      </w:tr>
      <w:tr w:rsidR="007E4347" w:rsidRPr="0058458C" w14:paraId="35F1C858" w14:textId="77777777" w:rsidTr="00E2014A">
        <w:trPr>
          <w:cantSplit/>
        </w:trPr>
        <w:tc>
          <w:tcPr>
            <w:tcW w:w="2150" w:type="pct"/>
            <w:tcBorders>
              <w:top w:val="single" w:sz="6" w:space="0" w:color="808080" w:themeColor="background1" w:themeShade="80"/>
              <w:bottom w:val="single" w:sz="6" w:space="0" w:color="808080" w:themeColor="background1" w:themeShade="80"/>
            </w:tcBorders>
          </w:tcPr>
          <w:p w14:paraId="32160FD4" w14:textId="7268C935" w:rsidR="007E4347" w:rsidRPr="0058458C" w:rsidRDefault="007E4347" w:rsidP="007E4347">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1369F888" w14:textId="327D3476" w:rsidR="007E4347" w:rsidRPr="0058458C" w:rsidRDefault="007E4347" w:rsidP="007E4347">
            <w:pPr>
              <w:pStyle w:val="TableText"/>
              <w:spacing w:before="40" w:after="40"/>
              <w:jc w:val="center"/>
            </w:pPr>
            <w:r w:rsidRPr="00C14221">
              <w:t>119.31</w:t>
            </w:r>
          </w:p>
        </w:tc>
        <w:tc>
          <w:tcPr>
            <w:tcW w:w="950" w:type="pct"/>
            <w:tcBorders>
              <w:top w:val="single" w:sz="6" w:space="0" w:color="808080" w:themeColor="background1" w:themeShade="80"/>
              <w:bottom w:val="single" w:sz="6" w:space="0" w:color="808080" w:themeColor="background1" w:themeShade="80"/>
            </w:tcBorders>
          </w:tcPr>
          <w:p w14:paraId="63703BF1" w14:textId="32E26971" w:rsidR="007E4347" w:rsidRPr="0058458C" w:rsidRDefault="007E4347" w:rsidP="007E4347">
            <w:pPr>
              <w:pStyle w:val="TableText"/>
              <w:spacing w:before="40" w:after="40"/>
              <w:jc w:val="center"/>
            </w:pPr>
            <w:r w:rsidRPr="0058458C">
              <w:t>89.20</w:t>
            </w:r>
          </w:p>
        </w:tc>
        <w:tc>
          <w:tcPr>
            <w:tcW w:w="949" w:type="pct"/>
            <w:tcBorders>
              <w:top w:val="single" w:sz="6" w:space="0" w:color="808080" w:themeColor="background1" w:themeShade="80"/>
              <w:bottom w:val="single" w:sz="6" w:space="0" w:color="808080" w:themeColor="background1" w:themeShade="80"/>
            </w:tcBorders>
          </w:tcPr>
          <w:p w14:paraId="63B871C7" w14:textId="32F3D697" w:rsidR="007E4347" w:rsidRPr="0058458C" w:rsidRDefault="007E4347" w:rsidP="007E4347">
            <w:pPr>
              <w:pStyle w:val="TableText"/>
              <w:spacing w:before="40" w:after="40"/>
              <w:jc w:val="center"/>
            </w:pPr>
            <w:r w:rsidRPr="0058458C">
              <w:t>127.00</w:t>
            </w:r>
          </w:p>
        </w:tc>
      </w:tr>
    </w:tbl>
    <w:p w14:paraId="58559C8C" w14:textId="715AC5DE" w:rsidR="001F3E43" w:rsidRPr="0058458C" w:rsidRDefault="00642CDD" w:rsidP="00642CDD">
      <w:pPr>
        <w:pStyle w:val="Source1"/>
        <w:spacing w:after="0"/>
        <w:jc w:val="right"/>
      </w:pPr>
      <w:r w:rsidRPr="0058458C">
        <w:t>(continued)</w:t>
      </w:r>
    </w:p>
    <w:p w14:paraId="586AD6B3" w14:textId="46C6B132" w:rsidR="00642CDD" w:rsidRPr="0058458C" w:rsidRDefault="00642CDD" w:rsidP="00642CDD">
      <w:pPr>
        <w:pStyle w:val="TableTitlecont"/>
      </w:pPr>
      <w:r w:rsidRPr="0058458C">
        <w:lastRenderedPageBreak/>
        <w:t xml:space="preserve">Table </w:t>
      </w:r>
      <w:r w:rsidR="0005114B" w:rsidRPr="0058458C">
        <w:t>1</w:t>
      </w:r>
      <w:r w:rsidR="0005114B">
        <w:t>0</w:t>
      </w:r>
      <w:r w:rsidRPr="0058458C">
        <w:t>.2.</w:t>
      </w:r>
      <w:r w:rsidRPr="0058458C">
        <w:tab/>
        <w:t xml:space="preserve">Bounds and Final Values of Inputs Defining Behaviors and Infectivity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642CDD" w:rsidRPr="0058458C" w14:paraId="6CB85617" w14:textId="77777777" w:rsidTr="003222D9">
        <w:trPr>
          <w:cantSplit/>
          <w:tblHeader/>
        </w:trPr>
        <w:tc>
          <w:tcPr>
            <w:tcW w:w="2150" w:type="pct"/>
            <w:tcBorders>
              <w:top w:val="single" w:sz="12" w:space="0" w:color="auto"/>
              <w:bottom w:val="single" w:sz="6" w:space="0" w:color="auto"/>
            </w:tcBorders>
            <w:vAlign w:val="bottom"/>
          </w:tcPr>
          <w:p w14:paraId="15BB70CA" w14:textId="77777777" w:rsidR="00642CDD" w:rsidRPr="0058458C" w:rsidRDefault="00642CDD" w:rsidP="003222D9">
            <w:pPr>
              <w:pStyle w:val="TableHeaders"/>
            </w:pPr>
            <w:r w:rsidRPr="0058458C">
              <w:t>Parameter</w:t>
            </w:r>
          </w:p>
        </w:tc>
        <w:tc>
          <w:tcPr>
            <w:tcW w:w="951" w:type="pct"/>
            <w:tcBorders>
              <w:top w:val="single" w:sz="12" w:space="0" w:color="auto"/>
              <w:bottom w:val="single" w:sz="6" w:space="0" w:color="auto"/>
            </w:tcBorders>
            <w:vAlign w:val="bottom"/>
          </w:tcPr>
          <w:p w14:paraId="52E2AE1A" w14:textId="77777777" w:rsidR="00642CDD" w:rsidRPr="0058458C" w:rsidRDefault="00642CDD" w:rsidP="003222D9">
            <w:pPr>
              <w:pStyle w:val="TableHeaders"/>
            </w:pPr>
            <w:r w:rsidRPr="0058458C">
              <w:t>Calibrated Value</w:t>
            </w:r>
          </w:p>
        </w:tc>
        <w:tc>
          <w:tcPr>
            <w:tcW w:w="950" w:type="pct"/>
            <w:tcBorders>
              <w:top w:val="single" w:sz="12" w:space="0" w:color="auto"/>
              <w:bottom w:val="single" w:sz="6" w:space="0" w:color="auto"/>
            </w:tcBorders>
            <w:vAlign w:val="bottom"/>
          </w:tcPr>
          <w:p w14:paraId="5D3E088A" w14:textId="77777777" w:rsidR="00642CDD" w:rsidRPr="0058458C" w:rsidRDefault="00642CDD" w:rsidP="003222D9">
            <w:pPr>
              <w:pStyle w:val="TableHeaders"/>
            </w:pPr>
            <w:r w:rsidRPr="0058458C">
              <w:t>Lower Bound</w:t>
            </w:r>
          </w:p>
        </w:tc>
        <w:tc>
          <w:tcPr>
            <w:tcW w:w="949" w:type="pct"/>
            <w:tcBorders>
              <w:top w:val="single" w:sz="12" w:space="0" w:color="auto"/>
              <w:bottom w:val="single" w:sz="6" w:space="0" w:color="auto"/>
            </w:tcBorders>
            <w:vAlign w:val="bottom"/>
          </w:tcPr>
          <w:p w14:paraId="2FDA81F5" w14:textId="77777777" w:rsidR="00642CDD" w:rsidRPr="0058458C" w:rsidRDefault="00642CDD" w:rsidP="003222D9">
            <w:pPr>
              <w:pStyle w:val="TableHeaders"/>
            </w:pPr>
            <w:r w:rsidRPr="0058458C">
              <w:t>Upper Bound</w:t>
            </w:r>
          </w:p>
        </w:tc>
      </w:tr>
      <w:tr w:rsidR="007E4347" w:rsidRPr="0058458C" w14:paraId="700BD561"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14E258D" w14:textId="77777777" w:rsidR="007E4347" w:rsidRPr="0058458C" w:rsidRDefault="007E4347" w:rsidP="007E4347">
            <w:pPr>
              <w:pStyle w:val="TableText"/>
              <w:spacing w:before="40" w:after="40"/>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5E0396C5" w14:textId="08525329" w:rsidR="007E4347" w:rsidRPr="0058458C" w:rsidRDefault="007E4347" w:rsidP="007E4347">
            <w:pPr>
              <w:pStyle w:val="TableText"/>
              <w:spacing w:before="40" w:after="40"/>
              <w:jc w:val="center"/>
            </w:pPr>
            <w:r w:rsidRPr="009817B0">
              <w:t>108.84</w:t>
            </w:r>
          </w:p>
        </w:tc>
        <w:tc>
          <w:tcPr>
            <w:tcW w:w="950" w:type="pct"/>
            <w:tcBorders>
              <w:top w:val="single" w:sz="6" w:space="0" w:color="808080" w:themeColor="background1" w:themeShade="80"/>
              <w:bottom w:val="single" w:sz="6" w:space="0" w:color="808080" w:themeColor="background1" w:themeShade="80"/>
            </w:tcBorders>
          </w:tcPr>
          <w:p w14:paraId="4ABBE9D8" w14:textId="77777777" w:rsidR="007E4347" w:rsidRPr="0058458C" w:rsidRDefault="007E4347" w:rsidP="007E4347">
            <w:pPr>
              <w:pStyle w:val="TableText"/>
              <w:spacing w:before="40" w:after="40"/>
              <w:jc w:val="center"/>
            </w:pPr>
            <w:r w:rsidRPr="0058458C">
              <w:t>87.60</w:t>
            </w:r>
          </w:p>
        </w:tc>
        <w:tc>
          <w:tcPr>
            <w:tcW w:w="949" w:type="pct"/>
            <w:tcBorders>
              <w:top w:val="single" w:sz="6" w:space="0" w:color="808080" w:themeColor="background1" w:themeShade="80"/>
              <w:bottom w:val="single" w:sz="6" w:space="0" w:color="808080" w:themeColor="background1" w:themeShade="80"/>
            </w:tcBorders>
          </w:tcPr>
          <w:p w14:paraId="2606DAFD" w14:textId="77777777" w:rsidR="007E4347" w:rsidRPr="0058458C" w:rsidRDefault="007E4347" w:rsidP="007E4347">
            <w:pPr>
              <w:pStyle w:val="TableText"/>
              <w:spacing w:before="40" w:after="40"/>
              <w:jc w:val="center"/>
            </w:pPr>
            <w:r w:rsidRPr="0058458C">
              <w:t>125.00</w:t>
            </w:r>
          </w:p>
        </w:tc>
      </w:tr>
      <w:tr w:rsidR="007E4347" w:rsidRPr="0058458C" w14:paraId="036F3095"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105D04B" w14:textId="77777777" w:rsidR="007E4347" w:rsidRPr="0058458C" w:rsidRDefault="007E4347" w:rsidP="007E4347">
            <w:pPr>
              <w:pStyle w:val="TableText"/>
              <w:spacing w:before="40" w:after="40"/>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27149002" w14:textId="594CF986" w:rsidR="007E4347" w:rsidRPr="0058458C" w:rsidRDefault="007E4347" w:rsidP="007E4347">
            <w:pPr>
              <w:pStyle w:val="TableText"/>
              <w:spacing w:before="40" w:after="40"/>
              <w:jc w:val="center"/>
            </w:pPr>
            <w:r w:rsidRPr="009817B0">
              <w:t>98.86</w:t>
            </w:r>
          </w:p>
        </w:tc>
        <w:tc>
          <w:tcPr>
            <w:tcW w:w="950" w:type="pct"/>
            <w:tcBorders>
              <w:top w:val="single" w:sz="6" w:space="0" w:color="808080" w:themeColor="background1" w:themeShade="80"/>
              <w:bottom w:val="single" w:sz="6" w:space="0" w:color="808080" w:themeColor="background1" w:themeShade="80"/>
            </w:tcBorders>
          </w:tcPr>
          <w:p w14:paraId="5AE5707F" w14:textId="77777777" w:rsidR="007E4347" w:rsidRPr="0058458C" w:rsidRDefault="007E4347" w:rsidP="007E4347">
            <w:pPr>
              <w:pStyle w:val="TableText"/>
              <w:spacing w:before="40" w:after="40"/>
              <w:jc w:val="center"/>
            </w:pPr>
            <w:r w:rsidRPr="0058458C">
              <w:t>71.20</w:t>
            </w:r>
          </w:p>
        </w:tc>
        <w:tc>
          <w:tcPr>
            <w:tcW w:w="949" w:type="pct"/>
            <w:tcBorders>
              <w:top w:val="single" w:sz="6" w:space="0" w:color="808080" w:themeColor="background1" w:themeShade="80"/>
              <w:bottom w:val="single" w:sz="6" w:space="0" w:color="808080" w:themeColor="background1" w:themeShade="80"/>
            </w:tcBorders>
          </w:tcPr>
          <w:p w14:paraId="2F1994D3" w14:textId="77777777" w:rsidR="007E4347" w:rsidRPr="0058458C" w:rsidRDefault="007E4347" w:rsidP="007E4347">
            <w:pPr>
              <w:pStyle w:val="TableText"/>
              <w:spacing w:before="40" w:after="40"/>
              <w:jc w:val="center"/>
            </w:pPr>
            <w:r w:rsidRPr="0058458C">
              <w:t>100.00</w:t>
            </w:r>
          </w:p>
        </w:tc>
      </w:tr>
      <w:tr w:rsidR="007E4347" w:rsidRPr="0058458C" w14:paraId="5FE3EF87"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BA77402" w14:textId="5873B490" w:rsidR="007E4347" w:rsidRPr="0058458C" w:rsidRDefault="007E4347" w:rsidP="007E4347">
            <w:pPr>
              <w:pStyle w:val="TableText"/>
              <w:spacing w:before="40" w:after="40"/>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421A4D30" w14:textId="790D7B45" w:rsidR="007E4347" w:rsidRPr="0058458C" w:rsidRDefault="007E4347" w:rsidP="007E4347">
            <w:pPr>
              <w:pStyle w:val="TableText"/>
              <w:spacing w:before="40" w:after="40"/>
              <w:jc w:val="center"/>
            </w:pPr>
            <w:r w:rsidRPr="009817B0">
              <w:t>68.75</w:t>
            </w:r>
          </w:p>
        </w:tc>
        <w:tc>
          <w:tcPr>
            <w:tcW w:w="950" w:type="pct"/>
            <w:tcBorders>
              <w:top w:val="single" w:sz="6" w:space="0" w:color="808080" w:themeColor="background1" w:themeShade="80"/>
              <w:bottom w:val="single" w:sz="6" w:space="0" w:color="808080" w:themeColor="background1" w:themeShade="80"/>
            </w:tcBorders>
          </w:tcPr>
          <w:p w14:paraId="061009D3" w14:textId="77777777" w:rsidR="007E4347" w:rsidRPr="0058458C" w:rsidRDefault="007E4347" w:rsidP="007E4347">
            <w:pPr>
              <w:pStyle w:val="TableText"/>
              <w:spacing w:before="40" w:after="40"/>
              <w:jc w:val="center"/>
            </w:pPr>
            <w:r w:rsidRPr="0058458C">
              <w:t>57.00</w:t>
            </w:r>
          </w:p>
        </w:tc>
        <w:tc>
          <w:tcPr>
            <w:tcW w:w="949" w:type="pct"/>
            <w:tcBorders>
              <w:top w:val="single" w:sz="6" w:space="0" w:color="808080" w:themeColor="background1" w:themeShade="80"/>
              <w:bottom w:val="single" w:sz="6" w:space="0" w:color="808080" w:themeColor="background1" w:themeShade="80"/>
            </w:tcBorders>
          </w:tcPr>
          <w:p w14:paraId="30559FE5" w14:textId="77777777" w:rsidR="007E4347" w:rsidRPr="0058458C" w:rsidRDefault="007E4347" w:rsidP="007E4347">
            <w:pPr>
              <w:pStyle w:val="TableText"/>
              <w:spacing w:before="40" w:after="40"/>
              <w:jc w:val="center"/>
            </w:pPr>
            <w:r w:rsidRPr="0058458C">
              <w:t>81.00</w:t>
            </w:r>
          </w:p>
        </w:tc>
      </w:tr>
      <w:tr w:rsidR="007E4347" w:rsidRPr="0058458C" w14:paraId="7F9A6C89"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668F7FE" w14:textId="69E2CDA8" w:rsidR="007E4347" w:rsidRPr="0058458C" w:rsidRDefault="007E4347" w:rsidP="007E4347">
            <w:pPr>
              <w:pStyle w:val="TableText"/>
              <w:spacing w:before="40" w:after="40"/>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43FE9EF8" w14:textId="153EEDFF" w:rsidR="007E4347" w:rsidRPr="0058458C" w:rsidRDefault="007E4347" w:rsidP="007E4347">
            <w:pPr>
              <w:pStyle w:val="TableText"/>
              <w:spacing w:before="40" w:after="40"/>
              <w:jc w:val="center"/>
            </w:pPr>
            <w:r w:rsidRPr="009817B0">
              <w:t>73.19</w:t>
            </w:r>
          </w:p>
        </w:tc>
        <w:tc>
          <w:tcPr>
            <w:tcW w:w="950" w:type="pct"/>
            <w:tcBorders>
              <w:top w:val="single" w:sz="6" w:space="0" w:color="808080" w:themeColor="background1" w:themeShade="80"/>
              <w:bottom w:val="single" w:sz="6" w:space="0" w:color="808080" w:themeColor="background1" w:themeShade="80"/>
            </w:tcBorders>
          </w:tcPr>
          <w:p w14:paraId="1A2565D0" w14:textId="77777777" w:rsidR="007E4347" w:rsidRPr="0058458C" w:rsidRDefault="007E4347" w:rsidP="007E4347">
            <w:pPr>
              <w:pStyle w:val="TableText"/>
              <w:spacing w:before="40" w:after="40"/>
              <w:jc w:val="center"/>
            </w:pPr>
            <w:r w:rsidRPr="0058458C">
              <w:t>55.00</w:t>
            </w:r>
          </w:p>
        </w:tc>
        <w:tc>
          <w:tcPr>
            <w:tcW w:w="949" w:type="pct"/>
            <w:tcBorders>
              <w:top w:val="single" w:sz="6" w:space="0" w:color="808080" w:themeColor="background1" w:themeShade="80"/>
              <w:bottom w:val="single" w:sz="6" w:space="0" w:color="808080" w:themeColor="background1" w:themeShade="80"/>
            </w:tcBorders>
          </w:tcPr>
          <w:p w14:paraId="27BFAE9C" w14:textId="77777777" w:rsidR="007E4347" w:rsidRPr="0058458C" w:rsidRDefault="007E4347" w:rsidP="007E4347">
            <w:pPr>
              <w:pStyle w:val="TableText"/>
              <w:spacing w:before="40" w:after="40"/>
              <w:jc w:val="center"/>
            </w:pPr>
            <w:r w:rsidRPr="0058458C">
              <w:t>78.00</w:t>
            </w:r>
          </w:p>
        </w:tc>
      </w:tr>
      <w:tr w:rsidR="007E4347" w:rsidRPr="0058458C" w14:paraId="2C20C872"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242CA1D" w14:textId="77777777" w:rsidR="007E4347" w:rsidRPr="0058458C" w:rsidRDefault="007E4347" w:rsidP="007E4347">
            <w:pPr>
              <w:pStyle w:val="TableText"/>
              <w:spacing w:before="40" w:after="40"/>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3750AE9A" w14:textId="2A3D00B7" w:rsidR="007E4347" w:rsidRPr="0058458C" w:rsidRDefault="007E4347" w:rsidP="007E4347">
            <w:pPr>
              <w:pStyle w:val="TableText"/>
              <w:spacing w:before="40" w:after="40"/>
              <w:jc w:val="center"/>
            </w:pPr>
            <w:r w:rsidRPr="009817B0">
              <w:t>53.12</w:t>
            </w:r>
          </w:p>
        </w:tc>
        <w:tc>
          <w:tcPr>
            <w:tcW w:w="950" w:type="pct"/>
            <w:tcBorders>
              <w:top w:val="single" w:sz="6" w:space="0" w:color="808080" w:themeColor="background1" w:themeShade="80"/>
              <w:bottom w:val="single" w:sz="6" w:space="0" w:color="808080" w:themeColor="background1" w:themeShade="80"/>
            </w:tcBorders>
          </w:tcPr>
          <w:p w14:paraId="2D470B49" w14:textId="77777777" w:rsidR="007E4347" w:rsidRPr="0058458C" w:rsidRDefault="007E4347" w:rsidP="007E4347">
            <w:pPr>
              <w:pStyle w:val="TableText"/>
              <w:spacing w:before="40" w:after="40"/>
              <w:jc w:val="center"/>
            </w:pPr>
            <w:r w:rsidRPr="0058458C">
              <w:t>45.00</w:t>
            </w:r>
          </w:p>
        </w:tc>
        <w:tc>
          <w:tcPr>
            <w:tcW w:w="949" w:type="pct"/>
            <w:tcBorders>
              <w:top w:val="single" w:sz="6" w:space="0" w:color="808080" w:themeColor="background1" w:themeShade="80"/>
              <w:bottom w:val="single" w:sz="6" w:space="0" w:color="808080" w:themeColor="background1" w:themeShade="80"/>
            </w:tcBorders>
          </w:tcPr>
          <w:p w14:paraId="1988B1FC" w14:textId="77777777" w:rsidR="007E4347" w:rsidRPr="0058458C" w:rsidRDefault="007E4347" w:rsidP="007E4347">
            <w:pPr>
              <w:pStyle w:val="TableText"/>
              <w:spacing w:before="40" w:after="40"/>
              <w:jc w:val="center"/>
            </w:pPr>
            <w:r w:rsidRPr="0058458C">
              <w:t>65.00</w:t>
            </w:r>
          </w:p>
        </w:tc>
      </w:tr>
      <w:tr w:rsidR="003222D9" w:rsidRPr="0058458C" w14:paraId="3B08CDFF"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0B6843A" w14:textId="77777777" w:rsidR="003222D9" w:rsidRPr="0058458C" w:rsidRDefault="003222D9" w:rsidP="00F12F29">
            <w:pPr>
              <w:pStyle w:val="TableText"/>
              <w:spacing w:before="40" w:after="40"/>
              <w:ind w:left="245"/>
            </w:pPr>
            <w:r w:rsidRPr="0058458C">
              <w:t>Hispanic</w:t>
            </w:r>
          </w:p>
        </w:tc>
        <w:tc>
          <w:tcPr>
            <w:tcW w:w="951" w:type="pct"/>
            <w:tcBorders>
              <w:top w:val="single" w:sz="6" w:space="0" w:color="808080" w:themeColor="background1" w:themeShade="80"/>
              <w:bottom w:val="single" w:sz="6" w:space="0" w:color="808080" w:themeColor="background1" w:themeShade="80"/>
            </w:tcBorders>
          </w:tcPr>
          <w:p w14:paraId="74FB4B22" w14:textId="77777777" w:rsidR="003222D9" w:rsidRPr="0058458C" w:rsidRDefault="003222D9" w:rsidP="003222D9">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677E3BAE" w14:textId="77777777" w:rsidR="003222D9" w:rsidRPr="0058458C" w:rsidRDefault="003222D9"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70C46FFA" w14:textId="77777777" w:rsidR="003222D9" w:rsidRPr="0058458C" w:rsidRDefault="003222D9" w:rsidP="003222D9">
            <w:pPr>
              <w:pStyle w:val="TableText"/>
              <w:spacing w:before="40" w:after="40"/>
              <w:jc w:val="center"/>
            </w:pPr>
          </w:p>
        </w:tc>
      </w:tr>
      <w:tr w:rsidR="007E4347" w:rsidRPr="0058458C" w14:paraId="4C1B3E9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BD372FF" w14:textId="3CF88710" w:rsidR="007E4347" w:rsidRPr="0058458C" w:rsidRDefault="007E4347" w:rsidP="007E4347">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59EF85CA" w14:textId="01514559" w:rsidR="007E4347" w:rsidRPr="0058458C" w:rsidRDefault="007E4347" w:rsidP="007E4347">
            <w:pPr>
              <w:pStyle w:val="TableText"/>
              <w:spacing w:before="40" w:after="40"/>
              <w:jc w:val="center"/>
            </w:pPr>
            <w:r w:rsidRPr="00466202">
              <w:t>37.65</w:t>
            </w:r>
          </w:p>
        </w:tc>
        <w:tc>
          <w:tcPr>
            <w:tcW w:w="950" w:type="pct"/>
            <w:tcBorders>
              <w:top w:val="single" w:sz="6" w:space="0" w:color="808080" w:themeColor="background1" w:themeShade="80"/>
              <w:bottom w:val="single" w:sz="6" w:space="0" w:color="808080" w:themeColor="background1" w:themeShade="80"/>
            </w:tcBorders>
          </w:tcPr>
          <w:p w14:paraId="54EC7877" w14:textId="77777777" w:rsidR="007E4347" w:rsidRPr="0058458C" w:rsidRDefault="007E4347" w:rsidP="007E4347">
            <w:pPr>
              <w:pStyle w:val="TableText"/>
              <w:spacing w:before="40" w:after="40"/>
              <w:jc w:val="center"/>
            </w:pPr>
            <w:r w:rsidRPr="0058458C">
              <w:t>30.00</w:t>
            </w:r>
          </w:p>
        </w:tc>
        <w:tc>
          <w:tcPr>
            <w:tcW w:w="949" w:type="pct"/>
            <w:tcBorders>
              <w:top w:val="single" w:sz="6" w:space="0" w:color="808080" w:themeColor="background1" w:themeShade="80"/>
              <w:bottom w:val="single" w:sz="6" w:space="0" w:color="808080" w:themeColor="background1" w:themeShade="80"/>
            </w:tcBorders>
          </w:tcPr>
          <w:p w14:paraId="0ED63E28" w14:textId="77777777" w:rsidR="007E4347" w:rsidRPr="0058458C" w:rsidRDefault="007E4347" w:rsidP="007E4347">
            <w:pPr>
              <w:pStyle w:val="TableText"/>
              <w:spacing w:before="40" w:after="40"/>
              <w:jc w:val="center"/>
            </w:pPr>
            <w:r w:rsidRPr="0058458C">
              <w:t>42.00</w:t>
            </w:r>
          </w:p>
        </w:tc>
      </w:tr>
      <w:tr w:rsidR="007E4347" w:rsidRPr="0058458C" w14:paraId="463346B3"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C3D6B04" w14:textId="77777777" w:rsidR="007E4347" w:rsidRPr="0058458C" w:rsidRDefault="007E4347" w:rsidP="007E4347">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6B3F66D2" w14:textId="25DE2B25" w:rsidR="007E4347" w:rsidRPr="0058458C" w:rsidRDefault="007E4347" w:rsidP="007E4347">
            <w:pPr>
              <w:pStyle w:val="TableText"/>
              <w:spacing w:before="40" w:after="40"/>
              <w:jc w:val="center"/>
            </w:pPr>
            <w:r w:rsidRPr="00466202">
              <w:t>106.34</w:t>
            </w:r>
          </w:p>
        </w:tc>
        <w:tc>
          <w:tcPr>
            <w:tcW w:w="950" w:type="pct"/>
            <w:tcBorders>
              <w:top w:val="single" w:sz="6" w:space="0" w:color="808080" w:themeColor="background1" w:themeShade="80"/>
              <w:bottom w:val="single" w:sz="6" w:space="0" w:color="808080" w:themeColor="background1" w:themeShade="80"/>
            </w:tcBorders>
          </w:tcPr>
          <w:p w14:paraId="7A58757B" w14:textId="77777777" w:rsidR="007E4347" w:rsidRPr="0058458C" w:rsidRDefault="007E4347" w:rsidP="007E4347">
            <w:pPr>
              <w:pStyle w:val="TableText"/>
              <w:spacing w:before="40" w:after="40"/>
              <w:jc w:val="center"/>
            </w:pPr>
            <w:r w:rsidRPr="0058458C">
              <w:t>89.20</w:t>
            </w:r>
          </w:p>
        </w:tc>
        <w:tc>
          <w:tcPr>
            <w:tcW w:w="949" w:type="pct"/>
            <w:tcBorders>
              <w:top w:val="single" w:sz="6" w:space="0" w:color="808080" w:themeColor="background1" w:themeShade="80"/>
              <w:bottom w:val="single" w:sz="6" w:space="0" w:color="808080" w:themeColor="background1" w:themeShade="80"/>
            </w:tcBorders>
          </w:tcPr>
          <w:p w14:paraId="2E9FDECE" w14:textId="77777777" w:rsidR="007E4347" w:rsidRPr="0058458C" w:rsidRDefault="007E4347" w:rsidP="007E4347">
            <w:pPr>
              <w:pStyle w:val="TableText"/>
              <w:spacing w:before="40" w:after="40"/>
              <w:jc w:val="center"/>
            </w:pPr>
            <w:r w:rsidRPr="0058458C">
              <w:t>127.00</w:t>
            </w:r>
          </w:p>
        </w:tc>
      </w:tr>
      <w:tr w:rsidR="007E4347" w:rsidRPr="0058458C" w14:paraId="5B34051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382C0DE8" w14:textId="77777777" w:rsidR="007E4347" w:rsidRPr="0058458C" w:rsidRDefault="007E4347" w:rsidP="007E4347">
            <w:pPr>
              <w:pStyle w:val="TableText"/>
              <w:spacing w:before="40" w:after="40"/>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0D1E3EB2" w14:textId="5729ECAE" w:rsidR="007E4347" w:rsidRPr="0058458C" w:rsidRDefault="007E4347" w:rsidP="007E4347">
            <w:pPr>
              <w:pStyle w:val="TableText"/>
              <w:spacing w:before="40" w:after="40"/>
              <w:jc w:val="center"/>
            </w:pPr>
            <w:r w:rsidRPr="00466202">
              <w:t>103.52</w:t>
            </w:r>
          </w:p>
        </w:tc>
        <w:tc>
          <w:tcPr>
            <w:tcW w:w="950" w:type="pct"/>
            <w:tcBorders>
              <w:top w:val="single" w:sz="6" w:space="0" w:color="808080" w:themeColor="background1" w:themeShade="80"/>
              <w:bottom w:val="single" w:sz="6" w:space="0" w:color="808080" w:themeColor="background1" w:themeShade="80"/>
            </w:tcBorders>
          </w:tcPr>
          <w:p w14:paraId="5C57FC18" w14:textId="77777777" w:rsidR="007E4347" w:rsidRPr="0058458C" w:rsidRDefault="007E4347" w:rsidP="007E4347">
            <w:pPr>
              <w:pStyle w:val="TableText"/>
              <w:spacing w:before="40" w:after="40"/>
              <w:jc w:val="center"/>
            </w:pPr>
            <w:r w:rsidRPr="0058458C">
              <w:t>87.60</w:t>
            </w:r>
          </w:p>
        </w:tc>
        <w:tc>
          <w:tcPr>
            <w:tcW w:w="949" w:type="pct"/>
            <w:tcBorders>
              <w:top w:val="single" w:sz="6" w:space="0" w:color="808080" w:themeColor="background1" w:themeShade="80"/>
              <w:bottom w:val="single" w:sz="6" w:space="0" w:color="808080" w:themeColor="background1" w:themeShade="80"/>
            </w:tcBorders>
          </w:tcPr>
          <w:p w14:paraId="366EFEDC" w14:textId="77777777" w:rsidR="007E4347" w:rsidRPr="0058458C" w:rsidRDefault="007E4347" w:rsidP="007E4347">
            <w:pPr>
              <w:pStyle w:val="TableText"/>
              <w:spacing w:before="40" w:after="40"/>
              <w:jc w:val="center"/>
            </w:pPr>
            <w:r w:rsidRPr="0058458C">
              <w:t>125.00</w:t>
            </w:r>
          </w:p>
        </w:tc>
      </w:tr>
      <w:tr w:rsidR="007E4347" w:rsidRPr="0058458C" w14:paraId="4C1C14D4"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5B4A5B6" w14:textId="77777777" w:rsidR="007E4347" w:rsidRPr="0058458C" w:rsidRDefault="007E4347" w:rsidP="007E4347">
            <w:pPr>
              <w:pStyle w:val="TableText"/>
              <w:spacing w:before="40" w:after="40"/>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2E462D35" w14:textId="7E69A410" w:rsidR="007E4347" w:rsidRPr="0058458C" w:rsidRDefault="007E4347" w:rsidP="007E4347">
            <w:pPr>
              <w:pStyle w:val="TableText"/>
              <w:spacing w:before="40" w:after="40"/>
              <w:jc w:val="center"/>
            </w:pPr>
            <w:r w:rsidRPr="00466202">
              <w:t>72.49</w:t>
            </w:r>
          </w:p>
        </w:tc>
        <w:tc>
          <w:tcPr>
            <w:tcW w:w="950" w:type="pct"/>
            <w:tcBorders>
              <w:top w:val="single" w:sz="6" w:space="0" w:color="808080" w:themeColor="background1" w:themeShade="80"/>
              <w:bottom w:val="single" w:sz="6" w:space="0" w:color="808080" w:themeColor="background1" w:themeShade="80"/>
            </w:tcBorders>
          </w:tcPr>
          <w:p w14:paraId="554107EB" w14:textId="77777777" w:rsidR="007E4347" w:rsidRPr="0058458C" w:rsidRDefault="007E4347" w:rsidP="007E4347">
            <w:pPr>
              <w:pStyle w:val="TableText"/>
              <w:spacing w:before="40" w:after="40"/>
              <w:jc w:val="center"/>
            </w:pPr>
            <w:r w:rsidRPr="0058458C">
              <w:t>71.20</w:t>
            </w:r>
          </w:p>
        </w:tc>
        <w:tc>
          <w:tcPr>
            <w:tcW w:w="949" w:type="pct"/>
            <w:tcBorders>
              <w:top w:val="single" w:sz="6" w:space="0" w:color="808080" w:themeColor="background1" w:themeShade="80"/>
              <w:bottom w:val="single" w:sz="6" w:space="0" w:color="808080" w:themeColor="background1" w:themeShade="80"/>
            </w:tcBorders>
          </w:tcPr>
          <w:p w14:paraId="3AD9AF05" w14:textId="77777777" w:rsidR="007E4347" w:rsidRPr="0058458C" w:rsidRDefault="007E4347" w:rsidP="007E4347">
            <w:pPr>
              <w:pStyle w:val="TableText"/>
              <w:spacing w:before="40" w:after="40"/>
              <w:jc w:val="center"/>
            </w:pPr>
            <w:r w:rsidRPr="0058458C">
              <w:t>100.00</w:t>
            </w:r>
          </w:p>
        </w:tc>
      </w:tr>
      <w:tr w:rsidR="007E4347" w:rsidRPr="0058458C" w14:paraId="05AC1143"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C57E3D4" w14:textId="25625345" w:rsidR="007E4347" w:rsidRPr="0058458C" w:rsidRDefault="007E4347" w:rsidP="007E4347">
            <w:pPr>
              <w:pStyle w:val="TableText"/>
              <w:spacing w:before="40" w:after="40"/>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02CC1B8E" w14:textId="35C80208" w:rsidR="007E4347" w:rsidRPr="0058458C" w:rsidRDefault="007E4347" w:rsidP="007E4347">
            <w:pPr>
              <w:pStyle w:val="TableText"/>
              <w:spacing w:before="40" w:after="40"/>
              <w:jc w:val="center"/>
            </w:pPr>
            <w:r w:rsidRPr="00466202">
              <w:t>70.54</w:t>
            </w:r>
          </w:p>
        </w:tc>
        <w:tc>
          <w:tcPr>
            <w:tcW w:w="950" w:type="pct"/>
            <w:tcBorders>
              <w:top w:val="single" w:sz="6" w:space="0" w:color="808080" w:themeColor="background1" w:themeShade="80"/>
              <w:bottom w:val="single" w:sz="6" w:space="0" w:color="808080" w:themeColor="background1" w:themeShade="80"/>
            </w:tcBorders>
          </w:tcPr>
          <w:p w14:paraId="6B49BA79" w14:textId="77777777" w:rsidR="007E4347" w:rsidRPr="0058458C" w:rsidRDefault="007E4347" w:rsidP="007E4347">
            <w:pPr>
              <w:pStyle w:val="TableText"/>
              <w:spacing w:before="40" w:after="40"/>
              <w:jc w:val="center"/>
            </w:pPr>
            <w:r w:rsidRPr="0058458C">
              <w:t>57.00</w:t>
            </w:r>
          </w:p>
        </w:tc>
        <w:tc>
          <w:tcPr>
            <w:tcW w:w="949" w:type="pct"/>
            <w:tcBorders>
              <w:top w:val="single" w:sz="6" w:space="0" w:color="808080" w:themeColor="background1" w:themeShade="80"/>
              <w:bottom w:val="single" w:sz="6" w:space="0" w:color="808080" w:themeColor="background1" w:themeShade="80"/>
            </w:tcBorders>
          </w:tcPr>
          <w:p w14:paraId="0683B464" w14:textId="77777777" w:rsidR="007E4347" w:rsidRPr="0058458C" w:rsidRDefault="007E4347" w:rsidP="007E4347">
            <w:pPr>
              <w:pStyle w:val="TableText"/>
              <w:spacing w:before="40" w:after="40"/>
              <w:jc w:val="center"/>
            </w:pPr>
            <w:r w:rsidRPr="0058458C">
              <w:t>81.00</w:t>
            </w:r>
          </w:p>
        </w:tc>
      </w:tr>
      <w:tr w:rsidR="007E4347" w:rsidRPr="0058458C" w14:paraId="22AA6FB7"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351EDBE8" w14:textId="48214B78" w:rsidR="007E4347" w:rsidRPr="0058458C" w:rsidRDefault="007E4347" w:rsidP="007E4347">
            <w:pPr>
              <w:pStyle w:val="TableText"/>
              <w:spacing w:before="40" w:after="40"/>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7BE71F55" w14:textId="5502CF70" w:rsidR="007E4347" w:rsidRPr="0058458C" w:rsidRDefault="007E4347" w:rsidP="007E4347">
            <w:pPr>
              <w:pStyle w:val="TableText"/>
              <w:spacing w:before="40" w:after="40"/>
              <w:jc w:val="center"/>
            </w:pPr>
            <w:r w:rsidRPr="00466202">
              <w:t>72.55</w:t>
            </w:r>
          </w:p>
        </w:tc>
        <w:tc>
          <w:tcPr>
            <w:tcW w:w="950" w:type="pct"/>
            <w:tcBorders>
              <w:top w:val="single" w:sz="6" w:space="0" w:color="808080" w:themeColor="background1" w:themeShade="80"/>
              <w:bottom w:val="single" w:sz="6" w:space="0" w:color="808080" w:themeColor="background1" w:themeShade="80"/>
            </w:tcBorders>
          </w:tcPr>
          <w:p w14:paraId="6CA9E7BA" w14:textId="77777777" w:rsidR="007E4347" w:rsidRPr="0058458C" w:rsidRDefault="007E4347" w:rsidP="007E4347">
            <w:pPr>
              <w:pStyle w:val="TableText"/>
              <w:spacing w:before="40" w:after="40"/>
              <w:jc w:val="center"/>
            </w:pPr>
            <w:r w:rsidRPr="0058458C">
              <w:t>55.00</w:t>
            </w:r>
          </w:p>
        </w:tc>
        <w:tc>
          <w:tcPr>
            <w:tcW w:w="949" w:type="pct"/>
            <w:tcBorders>
              <w:top w:val="single" w:sz="6" w:space="0" w:color="808080" w:themeColor="background1" w:themeShade="80"/>
              <w:bottom w:val="single" w:sz="6" w:space="0" w:color="808080" w:themeColor="background1" w:themeShade="80"/>
            </w:tcBorders>
          </w:tcPr>
          <w:p w14:paraId="4D2BC17B" w14:textId="77777777" w:rsidR="007E4347" w:rsidRPr="0058458C" w:rsidRDefault="007E4347" w:rsidP="007E4347">
            <w:pPr>
              <w:pStyle w:val="TableText"/>
              <w:spacing w:before="40" w:after="40"/>
              <w:jc w:val="center"/>
            </w:pPr>
            <w:r w:rsidRPr="0058458C">
              <w:t>78.00</w:t>
            </w:r>
          </w:p>
        </w:tc>
      </w:tr>
      <w:tr w:rsidR="007E4347" w:rsidRPr="0058458C" w14:paraId="03584F3B"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F8C85C2" w14:textId="77777777" w:rsidR="007E4347" w:rsidRPr="0058458C" w:rsidRDefault="007E4347" w:rsidP="007E4347">
            <w:pPr>
              <w:pStyle w:val="TableText"/>
              <w:spacing w:before="40" w:after="40"/>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4CF47237" w14:textId="67DCD00E" w:rsidR="007E4347" w:rsidRPr="0058458C" w:rsidRDefault="007E4347" w:rsidP="007E4347">
            <w:pPr>
              <w:pStyle w:val="TableText"/>
              <w:spacing w:before="40" w:after="40"/>
              <w:jc w:val="center"/>
            </w:pPr>
            <w:r w:rsidRPr="00466202">
              <w:t>57.71</w:t>
            </w:r>
          </w:p>
        </w:tc>
        <w:tc>
          <w:tcPr>
            <w:tcW w:w="950" w:type="pct"/>
            <w:tcBorders>
              <w:top w:val="single" w:sz="6" w:space="0" w:color="808080" w:themeColor="background1" w:themeShade="80"/>
              <w:bottom w:val="single" w:sz="6" w:space="0" w:color="808080" w:themeColor="background1" w:themeShade="80"/>
            </w:tcBorders>
          </w:tcPr>
          <w:p w14:paraId="58CE82DE" w14:textId="77777777" w:rsidR="007E4347" w:rsidRPr="0058458C" w:rsidRDefault="007E4347" w:rsidP="007E4347">
            <w:pPr>
              <w:pStyle w:val="TableText"/>
              <w:spacing w:before="40" w:after="40"/>
              <w:jc w:val="center"/>
            </w:pPr>
            <w:r w:rsidRPr="0058458C">
              <w:t>45.00</w:t>
            </w:r>
          </w:p>
        </w:tc>
        <w:tc>
          <w:tcPr>
            <w:tcW w:w="949" w:type="pct"/>
            <w:tcBorders>
              <w:top w:val="single" w:sz="6" w:space="0" w:color="808080" w:themeColor="background1" w:themeShade="80"/>
              <w:bottom w:val="single" w:sz="6" w:space="0" w:color="808080" w:themeColor="background1" w:themeShade="80"/>
            </w:tcBorders>
          </w:tcPr>
          <w:p w14:paraId="057F6527" w14:textId="77777777" w:rsidR="007E4347" w:rsidRPr="0058458C" w:rsidRDefault="007E4347" w:rsidP="007E4347">
            <w:pPr>
              <w:pStyle w:val="TableText"/>
              <w:spacing w:before="40" w:after="40"/>
              <w:jc w:val="center"/>
            </w:pPr>
            <w:r w:rsidRPr="0058458C">
              <w:t>65.00</w:t>
            </w:r>
          </w:p>
        </w:tc>
      </w:tr>
      <w:tr w:rsidR="003222D9" w:rsidRPr="0058458C" w14:paraId="71128072"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DE4378A" w14:textId="77777777" w:rsidR="003222D9" w:rsidRPr="0058458C" w:rsidRDefault="003222D9" w:rsidP="00F12F29">
            <w:pPr>
              <w:pStyle w:val="TableText"/>
              <w:spacing w:before="40" w:after="40"/>
              <w:ind w:left="245"/>
            </w:pPr>
            <w:r w:rsidRPr="0058458C">
              <w:t>White/other</w:t>
            </w:r>
          </w:p>
        </w:tc>
        <w:tc>
          <w:tcPr>
            <w:tcW w:w="951" w:type="pct"/>
            <w:tcBorders>
              <w:top w:val="single" w:sz="6" w:space="0" w:color="808080" w:themeColor="background1" w:themeShade="80"/>
              <w:bottom w:val="single" w:sz="6" w:space="0" w:color="808080" w:themeColor="background1" w:themeShade="80"/>
            </w:tcBorders>
          </w:tcPr>
          <w:p w14:paraId="6733904F" w14:textId="77777777" w:rsidR="003222D9" w:rsidRPr="0058458C" w:rsidRDefault="003222D9" w:rsidP="003222D9">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4034052F" w14:textId="77777777" w:rsidR="003222D9" w:rsidRPr="0058458C" w:rsidRDefault="003222D9"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6B7B7CA" w14:textId="77777777" w:rsidR="003222D9" w:rsidRPr="0058458C" w:rsidRDefault="003222D9" w:rsidP="003222D9">
            <w:pPr>
              <w:pStyle w:val="TableText"/>
              <w:spacing w:before="40" w:after="40"/>
              <w:jc w:val="center"/>
            </w:pPr>
          </w:p>
        </w:tc>
      </w:tr>
      <w:tr w:rsidR="007E4347" w:rsidRPr="0058458C" w14:paraId="2C09BA68"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DD67ADD" w14:textId="4059066C" w:rsidR="007E4347" w:rsidRPr="0058458C" w:rsidRDefault="007E4347" w:rsidP="007E4347">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58346E63" w14:textId="1D269728" w:rsidR="007E4347" w:rsidRPr="0058458C" w:rsidRDefault="007E4347" w:rsidP="007E4347">
            <w:pPr>
              <w:pStyle w:val="TableText"/>
              <w:spacing w:before="40" w:after="40"/>
              <w:jc w:val="center"/>
            </w:pPr>
            <w:r w:rsidRPr="00142FAC">
              <w:t>38.03</w:t>
            </w:r>
          </w:p>
        </w:tc>
        <w:tc>
          <w:tcPr>
            <w:tcW w:w="950" w:type="pct"/>
            <w:tcBorders>
              <w:top w:val="single" w:sz="6" w:space="0" w:color="808080" w:themeColor="background1" w:themeShade="80"/>
              <w:bottom w:val="single" w:sz="6" w:space="0" w:color="808080" w:themeColor="background1" w:themeShade="80"/>
            </w:tcBorders>
          </w:tcPr>
          <w:p w14:paraId="6E7BC0C7" w14:textId="77777777" w:rsidR="007E4347" w:rsidRPr="0058458C" w:rsidRDefault="007E4347" w:rsidP="007E4347">
            <w:pPr>
              <w:pStyle w:val="TableText"/>
              <w:spacing w:before="40" w:after="40"/>
              <w:jc w:val="center"/>
            </w:pPr>
            <w:r w:rsidRPr="0058458C">
              <w:t>30.00</w:t>
            </w:r>
          </w:p>
        </w:tc>
        <w:tc>
          <w:tcPr>
            <w:tcW w:w="949" w:type="pct"/>
            <w:tcBorders>
              <w:top w:val="single" w:sz="6" w:space="0" w:color="808080" w:themeColor="background1" w:themeShade="80"/>
              <w:bottom w:val="single" w:sz="6" w:space="0" w:color="808080" w:themeColor="background1" w:themeShade="80"/>
            </w:tcBorders>
          </w:tcPr>
          <w:p w14:paraId="1C9F72F4" w14:textId="77777777" w:rsidR="007E4347" w:rsidRPr="0058458C" w:rsidRDefault="007E4347" w:rsidP="007E4347">
            <w:pPr>
              <w:pStyle w:val="TableText"/>
              <w:spacing w:before="40" w:after="40"/>
              <w:jc w:val="center"/>
            </w:pPr>
            <w:r w:rsidRPr="0058458C">
              <w:t>42.00</w:t>
            </w:r>
          </w:p>
        </w:tc>
      </w:tr>
      <w:tr w:rsidR="007E4347" w:rsidRPr="0058458C" w14:paraId="16170B70"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C40F15D" w14:textId="77777777" w:rsidR="007E4347" w:rsidRPr="0058458C" w:rsidRDefault="007E4347" w:rsidP="007E4347">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32783E80" w14:textId="6C81ACD9" w:rsidR="007E4347" w:rsidRPr="0058458C" w:rsidRDefault="007E4347" w:rsidP="007E4347">
            <w:pPr>
              <w:pStyle w:val="TableText"/>
              <w:spacing w:before="40" w:after="40"/>
              <w:jc w:val="center"/>
            </w:pPr>
            <w:r w:rsidRPr="00142FAC">
              <w:t>102.73</w:t>
            </w:r>
          </w:p>
        </w:tc>
        <w:tc>
          <w:tcPr>
            <w:tcW w:w="950" w:type="pct"/>
            <w:tcBorders>
              <w:top w:val="single" w:sz="6" w:space="0" w:color="808080" w:themeColor="background1" w:themeShade="80"/>
              <w:bottom w:val="single" w:sz="6" w:space="0" w:color="808080" w:themeColor="background1" w:themeShade="80"/>
            </w:tcBorders>
          </w:tcPr>
          <w:p w14:paraId="4A027371" w14:textId="77777777" w:rsidR="007E4347" w:rsidRPr="0058458C" w:rsidRDefault="007E4347" w:rsidP="007E4347">
            <w:pPr>
              <w:pStyle w:val="TableText"/>
              <w:spacing w:before="40" w:after="40"/>
              <w:jc w:val="center"/>
            </w:pPr>
            <w:r w:rsidRPr="0058458C">
              <w:t>89.20</w:t>
            </w:r>
          </w:p>
        </w:tc>
        <w:tc>
          <w:tcPr>
            <w:tcW w:w="949" w:type="pct"/>
            <w:tcBorders>
              <w:top w:val="single" w:sz="6" w:space="0" w:color="808080" w:themeColor="background1" w:themeShade="80"/>
              <w:bottom w:val="single" w:sz="6" w:space="0" w:color="808080" w:themeColor="background1" w:themeShade="80"/>
            </w:tcBorders>
          </w:tcPr>
          <w:p w14:paraId="5B137FB4" w14:textId="77777777" w:rsidR="007E4347" w:rsidRPr="0058458C" w:rsidRDefault="007E4347" w:rsidP="007E4347">
            <w:pPr>
              <w:pStyle w:val="TableText"/>
              <w:spacing w:before="40" w:after="40"/>
              <w:jc w:val="center"/>
            </w:pPr>
            <w:r w:rsidRPr="0058458C">
              <w:t>127.00</w:t>
            </w:r>
          </w:p>
        </w:tc>
      </w:tr>
      <w:tr w:rsidR="007E4347" w:rsidRPr="0058458C" w14:paraId="0D973427"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D1E8282" w14:textId="77777777" w:rsidR="007E4347" w:rsidRPr="0058458C" w:rsidRDefault="007E4347" w:rsidP="007E4347">
            <w:pPr>
              <w:pStyle w:val="TableText"/>
              <w:spacing w:before="40" w:after="40"/>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66817F41" w14:textId="45D1006F" w:rsidR="007E4347" w:rsidRPr="0058458C" w:rsidRDefault="007E4347" w:rsidP="007E4347">
            <w:pPr>
              <w:pStyle w:val="TableText"/>
              <w:spacing w:before="40" w:after="40"/>
              <w:jc w:val="center"/>
            </w:pPr>
            <w:r w:rsidRPr="00142FAC">
              <w:t>111.12</w:t>
            </w:r>
          </w:p>
        </w:tc>
        <w:tc>
          <w:tcPr>
            <w:tcW w:w="950" w:type="pct"/>
            <w:tcBorders>
              <w:top w:val="single" w:sz="6" w:space="0" w:color="808080" w:themeColor="background1" w:themeShade="80"/>
              <w:bottom w:val="single" w:sz="6" w:space="0" w:color="808080" w:themeColor="background1" w:themeShade="80"/>
            </w:tcBorders>
          </w:tcPr>
          <w:p w14:paraId="10FBCC23" w14:textId="77777777" w:rsidR="007E4347" w:rsidRPr="0058458C" w:rsidRDefault="007E4347" w:rsidP="007E4347">
            <w:pPr>
              <w:pStyle w:val="TableText"/>
              <w:spacing w:before="40" w:after="40"/>
              <w:jc w:val="center"/>
            </w:pPr>
            <w:r w:rsidRPr="0058458C">
              <w:t>87.60</w:t>
            </w:r>
          </w:p>
        </w:tc>
        <w:tc>
          <w:tcPr>
            <w:tcW w:w="949" w:type="pct"/>
            <w:tcBorders>
              <w:top w:val="single" w:sz="6" w:space="0" w:color="808080" w:themeColor="background1" w:themeShade="80"/>
              <w:bottom w:val="single" w:sz="6" w:space="0" w:color="808080" w:themeColor="background1" w:themeShade="80"/>
            </w:tcBorders>
          </w:tcPr>
          <w:p w14:paraId="26D3274B" w14:textId="77777777" w:rsidR="007E4347" w:rsidRPr="0058458C" w:rsidRDefault="007E4347" w:rsidP="007E4347">
            <w:pPr>
              <w:pStyle w:val="TableText"/>
              <w:spacing w:before="40" w:after="40"/>
              <w:jc w:val="center"/>
            </w:pPr>
            <w:r w:rsidRPr="0058458C">
              <w:t>125.00</w:t>
            </w:r>
          </w:p>
        </w:tc>
      </w:tr>
      <w:tr w:rsidR="007E4347" w:rsidRPr="0058458C" w14:paraId="5BDA18A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CB86FB7" w14:textId="77777777" w:rsidR="007E4347" w:rsidRPr="0058458C" w:rsidRDefault="007E4347" w:rsidP="007E4347">
            <w:pPr>
              <w:pStyle w:val="TableText"/>
              <w:spacing w:before="40" w:after="40"/>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4AA2BE7C" w14:textId="7E0A890C" w:rsidR="007E4347" w:rsidRPr="0058458C" w:rsidRDefault="007E4347" w:rsidP="007E4347">
            <w:pPr>
              <w:pStyle w:val="TableText"/>
              <w:spacing w:before="40" w:after="40"/>
              <w:jc w:val="center"/>
            </w:pPr>
            <w:r w:rsidRPr="00142FAC">
              <w:t>83.84</w:t>
            </w:r>
          </w:p>
        </w:tc>
        <w:tc>
          <w:tcPr>
            <w:tcW w:w="950" w:type="pct"/>
            <w:tcBorders>
              <w:top w:val="single" w:sz="6" w:space="0" w:color="808080" w:themeColor="background1" w:themeShade="80"/>
              <w:bottom w:val="single" w:sz="6" w:space="0" w:color="808080" w:themeColor="background1" w:themeShade="80"/>
            </w:tcBorders>
          </w:tcPr>
          <w:p w14:paraId="60727063" w14:textId="77777777" w:rsidR="007E4347" w:rsidRPr="0058458C" w:rsidRDefault="007E4347" w:rsidP="007E4347">
            <w:pPr>
              <w:pStyle w:val="TableText"/>
              <w:spacing w:before="40" w:after="40"/>
              <w:jc w:val="center"/>
            </w:pPr>
            <w:r w:rsidRPr="0058458C">
              <w:t>71.20</w:t>
            </w:r>
          </w:p>
        </w:tc>
        <w:tc>
          <w:tcPr>
            <w:tcW w:w="949" w:type="pct"/>
            <w:tcBorders>
              <w:top w:val="single" w:sz="6" w:space="0" w:color="808080" w:themeColor="background1" w:themeShade="80"/>
              <w:bottom w:val="single" w:sz="6" w:space="0" w:color="808080" w:themeColor="background1" w:themeShade="80"/>
            </w:tcBorders>
          </w:tcPr>
          <w:p w14:paraId="214E81E6" w14:textId="77777777" w:rsidR="007E4347" w:rsidRPr="0058458C" w:rsidRDefault="007E4347" w:rsidP="007E4347">
            <w:pPr>
              <w:pStyle w:val="TableText"/>
              <w:spacing w:before="40" w:after="40"/>
              <w:jc w:val="center"/>
            </w:pPr>
            <w:r w:rsidRPr="0058458C">
              <w:t>100.00</w:t>
            </w:r>
          </w:p>
        </w:tc>
      </w:tr>
      <w:tr w:rsidR="007E4347" w:rsidRPr="0058458C" w14:paraId="4A3949A4"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8F10FDE" w14:textId="3258302E" w:rsidR="007E4347" w:rsidRPr="0058458C" w:rsidRDefault="007E4347" w:rsidP="007E4347">
            <w:pPr>
              <w:pStyle w:val="TableText"/>
              <w:spacing w:before="40" w:after="40"/>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32FA96E2" w14:textId="753892AF" w:rsidR="007E4347" w:rsidRPr="0058458C" w:rsidRDefault="007E4347" w:rsidP="007E4347">
            <w:pPr>
              <w:pStyle w:val="TableText"/>
              <w:spacing w:before="40" w:after="40"/>
              <w:jc w:val="center"/>
            </w:pPr>
            <w:r w:rsidRPr="00142FAC">
              <w:t>69.95</w:t>
            </w:r>
          </w:p>
        </w:tc>
        <w:tc>
          <w:tcPr>
            <w:tcW w:w="950" w:type="pct"/>
            <w:tcBorders>
              <w:top w:val="single" w:sz="6" w:space="0" w:color="808080" w:themeColor="background1" w:themeShade="80"/>
              <w:bottom w:val="single" w:sz="6" w:space="0" w:color="808080" w:themeColor="background1" w:themeShade="80"/>
            </w:tcBorders>
          </w:tcPr>
          <w:p w14:paraId="527B30C5" w14:textId="77777777" w:rsidR="007E4347" w:rsidRPr="0058458C" w:rsidRDefault="007E4347" w:rsidP="007E4347">
            <w:pPr>
              <w:pStyle w:val="TableText"/>
              <w:spacing w:before="40" w:after="40"/>
              <w:jc w:val="center"/>
            </w:pPr>
            <w:r w:rsidRPr="0058458C">
              <w:t>57.00</w:t>
            </w:r>
          </w:p>
        </w:tc>
        <w:tc>
          <w:tcPr>
            <w:tcW w:w="949" w:type="pct"/>
            <w:tcBorders>
              <w:top w:val="single" w:sz="6" w:space="0" w:color="808080" w:themeColor="background1" w:themeShade="80"/>
              <w:bottom w:val="single" w:sz="6" w:space="0" w:color="808080" w:themeColor="background1" w:themeShade="80"/>
            </w:tcBorders>
          </w:tcPr>
          <w:p w14:paraId="5B0AD925" w14:textId="77777777" w:rsidR="007E4347" w:rsidRPr="0058458C" w:rsidRDefault="007E4347" w:rsidP="007E4347">
            <w:pPr>
              <w:pStyle w:val="TableText"/>
              <w:spacing w:before="40" w:after="40"/>
              <w:jc w:val="center"/>
            </w:pPr>
            <w:r w:rsidRPr="0058458C">
              <w:t>81.00</w:t>
            </w:r>
          </w:p>
        </w:tc>
      </w:tr>
      <w:tr w:rsidR="007E4347" w:rsidRPr="0058458C" w14:paraId="79F75D7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2CAF352" w14:textId="7C3D3178" w:rsidR="007E4347" w:rsidRPr="0058458C" w:rsidRDefault="007E4347" w:rsidP="007E4347">
            <w:pPr>
              <w:pStyle w:val="TableText"/>
              <w:spacing w:before="40" w:after="40"/>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0EE542FF" w14:textId="16603132" w:rsidR="007E4347" w:rsidRPr="0058458C" w:rsidRDefault="007E4347" w:rsidP="007E4347">
            <w:pPr>
              <w:pStyle w:val="TableText"/>
              <w:spacing w:before="40" w:after="40"/>
              <w:jc w:val="center"/>
            </w:pPr>
            <w:r w:rsidRPr="00142FAC">
              <w:t>60.75</w:t>
            </w:r>
          </w:p>
        </w:tc>
        <w:tc>
          <w:tcPr>
            <w:tcW w:w="950" w:type="pct"/>
            <w:tcBorders>
              <w:top w:val="single" w:sz="6" w:space="0" w:color="808080" w:themeColor="background1" w:themeShade="80"/>
              <w:bottom w:val="single" w:sz="6" w:space="0" w:color="808080" w:themeColor="background1" w:themeShade="80"/>
            </w:tcBorders>
          </w:tcPr>
          <w:p w14:paraId="0C47D894" w14:textId="77777777" w:rsidR="007E4347" w:rsidRPr="0058458C" w:rsidRDefault="007E4347" w:rsidP="007E4347">
            <w:pPr>
              <w:pStyle w:val="TableText"/>
              <w:spacing w:before="40" w:after="40"/>
              <w:jc w:val="center"/>
            </w:pPr>
            <w:r w:rsidRPr="0058458C">
              <w:t>55.00</w:t>
            </w:r>
          </w:p>
        </w:tc>
        <w:tc>
          <w:tcPr>
            <w:tcW w:w="949" w:type="pct"/>
            <w:tcBorders>
              <w:top w:val="single" w:sz="6" w:space="0" w:color="808080" w:themeColor="background1" w:themeShade="80"/>
              <w:bottom w:val="single" w:sz="6" w:space="0" w:color="808080" w:themeColor="background1" w:themeShade="80"/>
            </w:tcBorders>
          </w:tcPr>
          <w:p w14:paraId="3B4C5220" w14:textId="77777777" w:rsidR="007E4347" w:rsidRPr="0058458C" w:rsidRDefault="007E4347" w:rsidP="007E4347">
            <w:pPr>
              <w:pStyle w:val="TableText"/>
              <w:spacing w:before="40" w:after="40"/>
              <w:jc w:val="center"/>
            </w:pPr>
            <w:r w:rsidRPr="0058458C">
              <w:t>78.00</w:t>
            </w:r>
          </w:p>
        </w:tc>
      </w:tr>
      <w:tr w:rsidR="007E4347" w:rsidRPr="0058458C" w14:paraId="1DE57109"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21CA18F1" w14:textId="77777777" w:rsidR="007E4347" w:rsidRPr="0058458C" w:rsidRDefault="007E4347" w:rsidP="007E4347">
            <w:pPr>
              <w:pStyle w:val="TableText"/>
              <w:spacing w:before="40" w:after="40"/>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612BA6B2" w14:textId="034C1B1E" w:rsidR="007E4347" w:rsidRPr="0058458C" w:rsidRDefault="007E4347" w:rsidP="007E4347">
            <w:pPr>
              <w:pStyle w:val="TableText"/>
              <w:spacing w:before="40" w:after="40"/>
              <w:jc w:val="center"/>
            </w:pPr>
            <w:r w:rsidRPr="00142FAC">
              <w:t>53.09</w:t>
            </w:r>
          </w:p>
        </w:tc>
        <w:tc>
          <w:tcPr>
            <w:tcW w:w="950" w:type="pct"/>
            <w:tcBorders>
              <w:top w:val="single" w:sz="6" w:space="0" w:color="808080" w:themeColor="background1" w:themeShade="80"/>
              <w:bottom w:val="single" w:sz="6" w:space="0" w:color="808080" w:themeColor="background1" w:themeShade="80"/>
            </w:tcBorders>
          </w:tcPr>
          <w:p w14:paraId="62A6F000" w14:textId="77777777" w:rsidR="007E4347" w:rsidRPr="0058458C" w:rsidRDefault="007E4347" w:rsidP="007E4347">
            <w:pPr>
              <w:pStyle w:val="TableText"/>
              <w:spacing w:before="40" w:after="40"/>
              <w:jc w:val="center"/>
            </w:pPr>
            <w:r w:rsidRPr="0058458C">
              <w:t>45.00</w:t>
            </w:r>
          </w:p>
        </w:tc>
        <w:tc>
          <w:tcPr>
            <w:tcW w:w="949" w:type="pct"/>
            <w:tcBorders>
              <w:top w:val="single" w:sz="6" w:space="0" w:color="808080" w:themeColor="background1" w:themeShade="80"/>
              <w:bottom w:val="single" w:sz="6" w:space="0" w:color="808080" w:themeColor="background1" w:themeShade="80"/>
            </w:tcBorders>
          </w:tcPr>
          <w:p w14:paraId="39521B13" w14:textId="77777777" w:rsidR="007E4347" w:rsidRPr="0058458C" w:rsidRDefault="007E4347" w:rsidP="007E4347">
            <w:pPr>
              <w:pStyle w:val="TableText"/>
              <w:spacing w:before="40" w:after="40"/>
              <w:jc w:val="center"/>
            </w:pPr>
            <w:r w:rsidRPr="0058458C">
              <w:t>65.00</w:t>
            </w:r>
          </w:p>
        </w:tc>
      </w:tr>
      <w:tr w:rsidR="00642CDD" w:rsidRPr="0058458C" w14:paraId="24BAAB8D" w14:textId="77777777" w:rsidTr="00642CDD">
        <w:trPr>
          <w:cantSplit/>
        </w:trPr>
        <w:tc>
          <w:tcPr>
            <w:tcW w:w="3101" w:type="pct"/>
            <w:gridSpan w:val="2"/>
            <w:tcBorders>
              <w:top w:val="single" w:sz="6" w:space="0" w:color="808080" w:themeColor="background1" w:themeShade="80"/>
              <w:bottom w:val="single" w:sz="6" w:space="0" w:color="808080" w:themeColor="background1" w:themeShade="80"/>
            </w:tcBorders>
          </w:tcPr>
          <w:p w14:paraId="306BE965" w14:textId="4E669365" w:rsidR="00642CDD" w:rsidRPr="0058458C" w:rsidRDefault="00642CDD" w:rsidP="003222D9">
            <w:pPr>
              <w:pStyle w:val="TableText"/>
              <w:spacing w:before="40" w:after="40"/>
            </w:pPr>
            <w:r w:rsidRPr="0058458C">
              <w:t xml:space="preserve">Percentage of MSM sexual contacts that are </w:t>
            </w:r>
            <w:proofErr w:type="spellStart"/>
            <w:r w:rsidRPr="0058458C">
              <w:t>insertive</w:t>
            </w:r>
            <w:proofErr w:type="spellEnd"/>
          </w:p>
        </w:tc>
        <w:tc>
          <w:tcPr>
            <w:tcW w:w="950" w:type="pct"/>
            <w:tcBorders>
              <w:top w:val="single" w:sz="6" w:space="0" w:color="808080" w:themeColor="background1" w:themeShade="80"/>
              <w:bottom w:val="single" w:sz="6" w:space="0" w:color="808080" w:themeColor="background1" w:themeShade="80"/>
            </w:tcBorders>
          </w:tcPr>
          <w:p w14:paraId="36E5A667" w14:textId="77777777" w:rsidR="00642CDD" w:rsidRPr="0058458C" w:rsidRDefault="00642CDD"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232D87AD" w14:textId="77777777" w:rsidR="00642CDD" w:rsidRPr="0058458C" w:rsidRDefault="00642CDD" w:rsidP="003222D9">
            <w:pPr>
              <w:pStyle w:val="TableText"/>
              <w:spacing w:before="40" w:after="40"/>
              <w:jc w:val="center"/>
            </w:pPr>
          </w:p>
        </w:tc>
      </w:tr>
      <w:tr w:rsidR="007E4347" w:rsidRPr="0058458C" w14:paraId="529A4D90"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28540070" w14:textId="77777777" w:rsidR="007E4347" w:rsidRPr="0058458C" w:rsidRDefault="007E4347" w:rsidP="007E4347">
            <w:pPr>
              <w:pStyle w:val="TableText"/>
              <w:spacing w:before="40" w:after="40"/>
              <w:ind w:left="245"/>
            </w:pPr>
            <w:r w:rsidRPr="0058458C">
              <w:t>Black</w:t>
            </w:r>
          </w:p>
        </w:tc>
        <w:tc>
          <w:tcPr>
            <w:tcW w:w="951" w:type="pct"/>
            <w:tcBorders>
              <w:top w:val="single" w:sz="6" w:space="0" w:color="808080" w:themeColor="background1" w:themeShade="80"/>
              <w:bottom w:val="single" w:sz="6" w:space="0" w:color="808080" w:themeColor="background1" w:themeShade="80"/>
            </w:tcBorders>
          </w:tcPr>
          <w:p w14:paraId="39A195B7" w14:textId="19B8FA1C" w:rsidR="007E4347" w:rsidRPr="0058458C" w:rsidRDefault="007E4347" w:rsidP="007E4347">
            <w:pPr>
              <w:pStyle w:val="TableText"/>
              <w:spacing w:before="40" w:after="40"/>
              <w:jc w:val="center"/>
            </w:pPr>
            <w:r w:rsidRPr="00D338A8">
              <w:t>30.5%</w:t>
            </w:r>
          </w:p>
        </w:tc>
        <w:tc>
          <w:tcPr>
            <w:tcW w:w="950" w:type="pct"/>
            <w:tcBorders>
              <w:top w:val="single" w:sz="6" w:space="0" w:color="808080" w:themeColor="background1" w:themeShade="80"/>
              <w:bottom w:val="single" w:sz="6" w:space="0" w:color="808080" w:themeColor="background1" w:themeShade="80"/>
            </w:tcBorders>
          </w:tcPr>
          <w:p w14:paraId="06F95CD5" w14:textId="320CE976"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76B1891" w14:textId="3465320E" w:rsidR="007E4347" w:rsidRPr="0058458C" w:rsidRDefault="007E4347" w:rsidP="007E4347">
            <w:pPr>
              <w:pStyle w:val="TableText"/>
              <w:spacing w:before="40" w:after="40"/>
              <w:jc w:val="center"/>
            </w:pPr>
            <w:r w:rsidRPr="0058458C">
              <w:t>80.0%</w:t>
            </w:r>
          </w:p>
        </w:tc>
      </w:tr>
      <w:tr w:rsidR="007E4347" w:rsidRPr="0058458C" w14:paraId="21B563FA"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049E73D1" w14:textId="529FC3DA" w:rsidR="007E4347" w:rsidRPr="0058458C" w:rsidRDefault="007E4347" w:rsidP="007E4347">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4DCDDEFC" w14:textId="685FBE17" w:rsidR="007E4347" w:rsidRPr="0058458C" w:rsidRDefault="007E4347" w:rsidP="007E4347">
            <w:pPr>
              <w:pStyle w:val="TableText"/>
              <w:spacing w:before="40" w:after="40"/>
              <w:jc w:val="center"/>
            </w:pPr>
            <w:r w:rsidRPr="00D338A8">
              <w:t>24.2%</w:t>
            </w:r>
          </w:p>
        </w:tc>
        <w:tc>
          <w:tcPr>
            <w:tcW w:w="950" w:type="pct"/>
            <w:tcBorders>
              <w:top w:val="single" w:sz="6" w:space="0" w:color="808080" w:themeColor="background1" w:themeShade="80"/>
              <w:bottom w:val="single" w:sz="6" w:space="0" w:color="808080" w:themeColor="background1" w:themeShade="80"/>
            </w:tcBorders>
          </w:tcPr>
          <w:p w14:paraId="6DF03D04" w14:textId="293E02ED"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3461A9A1" w14:textId="4B030EA5" w:rsidR="007E4347" w:rsidRPr="0058458C" w:rsidRDefault="007E4347" w:rsidP="007E4347">
            <w:pPr>
              <w:pStyle w:val="TableText"/>
              <w:spacing w:before="40" w:after="40"/>
              <w:jc w:val="center"/>
            </w:pPr>
            <w:r w:rsidRPr="0058458C">
              <w:t>80.0%</w:t>
            </w:r>
          </w:p>
        </w:tc>
      </w:tr>
      <w:tr w:rsidR="007E4347" w:rsidRPr="0058458C" w14:paraId="6C231A0B"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46C9232B" w14:textId="77777777" w:rsidR="007E4347" w:rsidRPr="0058458C" w:rsidRDefault="007E4347" w:rsidP="007E4347">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2D570F0D" w14:textId="3C0C78DC" w:rsidR="007E4347" w:rsidRPr="0058458C" w:rsidRDefault="007E4347" w:rsidP="007E4347">
            <w:pPr>
              <w:pStyle w:val="TableText"/>
              <w:spacing w:before="40" w:after="40"/>
              <w:jc w:val="center"/>
            </w:pPr>
            <w:r w:rsidRPr="00D338A8">
              <w:t>26.1%</w:t>
            </w:r>
          </w:p>
        </w:tc>
        <w:tc>
          <w:tcPr>
            <w:tcW w:w="950" w:type="pct"/>
            <w:tcBorders>
              <w:top w:val="single" w:sz="6" w:space="0" w:color="808080" w:themeColor="background1" w:themeShade="80"/>
              <w:bottom w:val="single" w:sz="6" w:space="0" w:color="808080" w:themeColor="background1" w:themeShade="80"/>
            </w:tcBorders>
          </w:tcPr>
          <w:p w14:paraId="7FE924CF" w14:textId="4F55B3E5"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E361728" w14:textId="25E33DDF" w:rsidR="007E4347" w:rsidRPr="0058458C" w:rsidRDefault="007E4347" w:rsidP="007E4347">
            <w:pPr>
              <w:pStyle w:val="TableText"/>
              <w:spacing w:before="40" w:after="40"/>
              <w:jc w:val="center"/>
            </w:pPr>
            <w:r w:rsidRPr="0058458C">
              <w:t>80.0%</w:t>
            </w:r>
          </w:p>
        </w:tc>
      </w:tr>
      <w:tr w:rsidR="007E4347" w:rsidRPr="0058458C" w14:paraId="4639F194"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19AB00E6" w14:textId="77777777" w:rsidR="007E4347" w:rsidRPr="0058458C" w:rsidRDefault="007E4347" w:rsidP="007E4347">
            <w:pPr>
              <w:pStyle w:val="TableText"/>
              <w:spacing w:before="40" w:after="40"/>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504E366B" w14:textId="4585571B" w:rsidR="007E4347" w:rsidRPr="0058458C" w:rsidRDefault="007E4347" w:rsidP="007E4347">
            <w:pPr>
              <w:pStyle w:val="TableText"/>
              <w:spacing w:before="40" w:after="40"/>
              <w:jc w:val="center"/>
            </w:pPr>
            <w:r w:rsidRPr="00D338A8">
              <w:t>43.3%</w:t>
            </w:r>
          </w:p>
        </w:tc>
        <w:tc>
          <w:tcPr>
            <w:tcW w:w="950" w:type="pct"/>
            <w:tcBorders>
              <w:top w:val="single" w:sz="6" w:space="0" w:color="808080" w:themeColor="background1" w:themeShade="80"/>
              <w:bottom w:val="single" w:sz="6" w:space="0" w:color="808080" w:themeColor="background1" w:themeShade="80"/>
            </w:tcBorders>
          </w:tcPr>
          <w:p w14:paraId="638A8FEB" w14:textId="19C95A26"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55C01D89" w14:textId="5C9417E1" w:rsidR="007E4347" w:rsidRPr="0058458C" w:rsidRDefault="007E4347" w:rsidP="007E4347">
            <w:pPr>
              <w:pStyle w:val="TableText"/>
              <w:spacing w:before="40" w:after="40"/>
              <w:jc w:val="center"/>
            </w:pPr>
            <w:r w:rsidRPr="0058458C">
              <w:t>80.0%</w:t>
            </w:r>
          </w:p>
        </w:tc>
      </w:tr>
      <w:tr w:rsidR="007E4347" w:rsidRPr="0058458C" w14:paraId="487305BA"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37F58851" w14:textId="77777777" w:rsidR="007E4347" w:rsidRPr="0058458C" w:rsidRDefault="007E4347" w:rsidP="007E4347">
            <w:pPr>
              <w:pStyle w:val="TableText"/>
              <w:spacing w:before="40" w:after="40"/>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617B6530" w14:textId="276B6FB7" w:rsidR="007E4347" w:rsidRPr="0058458C" w:rsidRDefault="007E4347" w:rsidP="007E4347">
            <w:pPr>
              <w:pStyle w:val="TableText"/>
              <w:spacing w:before="40" w:after="40"/>
              <w:jc w:val="center"/>
            </w:pPr>
            <w:r w:rsidRPr="00D338A8">
              <w:t>62.7%</w:t>
            </w:r>
          </w:p>
        </w:tc>
        <w:tc>
          <w:tcPr>
            <w:tcW w:w="950" w:type="pct"/>
            <w:tcBorders>
              <w:top w:val="single" w:sz="6" w:space="0" w:color="808080" w:themeColor="background1" w:themeShade="80"/>
              <w:bottom w:val="single" w:sz="6" w:space="0" w:color="808080" w:themeColor="background1" w:themeShade="80"/>
            </w:tcBorders>
          </w:tcPr>
          <w:p w14:paraId="55E5D381" w14:textId="3864F5CB"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6CEFD95F" w14:textId="14364B89" w:rsidR="007E4347" w:rsidRPr="0058458C" w:rsidRDefault="007E4347" w:rsidP="007E4347">
            <w:pPr>
              <w:pStyle w:val="TableText"/>
              <w:spacing w:before="40" w:after="40"/>
              <w:jc w:val="center"/>
            </w:pPr>
            <w:r w:rsidRPr="0058458C">
              <w:t>80.0%</w:t>
            </w:r>
          </w:p>
        </w:tc>
      </w:tr>
      <w:tr w:rsidR="007E4347" w:rsidRPr="0058458C" w14:paraId="158B998C"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7FAF7FEA" w14:textId="56295464" w:rsidR="007E4347" w:rsidRPr="0058458C" w:rsidRDefault="007E4347" w:rsidP="007E4347">
            <w:pPr>
              <w:pStyle w:val="TableText"/>
              <w:spacing w:before="40" w:after="40"/>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0ACB41ED" w14:textId="5FA98F34" w:rsidR="007E4347" w:rsidRPr="0058458C" w:rsidRDefault="007E4347" w:rsidP="007E4347">
            <w:pPr>
              <w:pStyle w:val="TableText"/>
              <w:spacing w:before="40" w:after="40"/>
              <w:jc w:val="center"/>
            </w:pPr>
            <w:r w:rsidRPr="00D338A8">
              <w:t>63.2%</w:t>
            </w:r>
          </w:p>
        </w:tc>
        <w:tc>
          <w:tcPr>
            <w:tcW w:w="950" w:type="pct"/>
            <w:tcBorders>
              <w:top w:val="single" w:sz="6" w:space="0" w:color="808080" w:themeColor="background1" w:themeShade="80"/>
              <w:bottom w:val="single" w:sz="6" w:space="0" w:color="808080" w:themeColor="background1" w:themeShade="80"/>
            </w:tcBorders>
          </w:tcPr>
          <w:p w14:paraId="32ACD5C6" w14:textId="01FC71A2"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B91DB02" w14:textId="4CA0036E" w:rsidR="007E4347" w:rsidRPr="0058458C" w:rsidRDefault="007E4347" w:rsidP="007E4347">
            <w:pPr>
              <w:pStyle w:val="TableText"/>
              <w:spacing w:before="40" w:after="40"/>
              <w:jc w:val="center"/>
            </w:pPr>
            <w:r w:rsidRPr="0058458C">
              <w:t>80.0%</w:t>
            </w:r>
          </w:p>
        </w:tc>
      </w:tr>
      <w:tr w:rsidR="007E4347" w:rsidRPr="0058458C" w14:paraId="5D31C93C"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278E3DB8" w14:textId="0A976423" w:rsidR="007E4347" w:rsidRPr="0058458C" w:rsidRDefault="007E4347" w:rsidP="007E4347">
            <w:pPr>
              <w:pStyle w:val="TableText"/>
              <w:spacing w:before="40" w:after="40"/>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16E2759E" w14:textId="06E7A1EC" w:rsidR="007E4347" w:rsidRPr="0058458C" w:rsidRDefault="007E4347" w:rsidP="007E4347">
            <w:pPr>
              <w:pStyle w:val="TableText"/>
              <w:spacing w:before="40" w:after="40"/>
              <w:jc w:val="center"/>
            </w:pPr>
            <w:r w:rsidRPr="00D338A8">
              <w:t>62.4%</w:t>
            </w:r>
          </w:p>
        </w:tc>
        <w:tc>
          <w:tcPr>
            <w:tcW w:w="950" w:type="pct"/>
            <w:tcBorders>
              <w:top w:val="single" w:sz="6" w:space="0" w:color="808080" w:themeColor="background1" w:themeShade="80"/>
              <w:bottom w:val="single" w:sz="6" w:space="0" w:color="808080" w:themeColor="background1" w:themeShade="80"/>
            </w:tcBorders>
          </w:tcPr>
          <w:p w14:paraId="08C6E39A" w14:textId="31B079EA"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51163D12" w14:textId="5A41E684" w:rsidR="007E4347" w:rsidRPr="0058458C" w:rsidRDefault="007E4347" w:rsidP="007E4347">
            <w:pPr>
              <w:pStyle w:val="TableText"/>
              <w:spacing w:before="40" w:after="40"/>
              <w:jc w:val="center"/>
            </w:pPr>
            <w:r w:rsidRPr="0058458C">
              <w:t>80.0%</w:t>
            </w:r>
          </w:p>
        </w:tc>
      </w:tr>
      <w:tr w:rsidR="007E4347" w:rsidRPr="0058458C" w14:paraId="005D5E04"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5A01D9A3" w14:textId="77777777" w:rsidR="007E4347" w:rsidRPr="0058458C" w:rsidRDefault="007E4347" w:rsidP="007E4347">
            <w:pPr>
              <w:pStyle w:val="TableText"/>
              <w:spacing w:before="40" w:after="40"/>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14073010" w14:textId="7F3BA103" w:rsidR="007E4347" w:rsidRPr="0058458C" w:rsidRDefault="007E4347" w:rsidP="007E4347">
            <w:pPr>
              <w:pStyle w:val="TableText"/>
              <w:spacing w:before="40" w:after="40"/>
              <w:jc w:val="center"/>
            </w:pPr>
            <w:r w:rsidRPr="00D338A8">
              <w:t>30.5%</w:t>
            </w:r>
          </w:p>
        </w:tc>
        <w:tc>
          <w:tcPr>
            <w:tcW w:w="950" w:type="pct"/>
            <w:tcBorders>
              <w:top w:val="single" w:sz="6" w:space="0" w:color="808080" w:themeColor="background1" w:themeShade="80"/>
              <w:bottom w:val="single" w:sz="6" w:space="0" w:color="808080" w:themeColor="background1" w:themeShade="80"/>
            </w:tcBorders>
          </w:tcPr>
          <w:p w14:paraId="72CB943A" w14:textId="3C065E8C"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07025AAD" w14:textId="5B65F6A7" w:rsidR="007E4347" w:rsidRPr="0058458C" w:rsidRDefault="007E4347" w:rsidP="007E4347">
            <w:pPr>
              <w:pStyle w:val="TableText"/>
              <w:spacing w:before="40" w:after="40"/>
              <w:jc w:val="center"/>
            </w:pPr>
            <w:r w:rsidRPr="0058458C">
              <w:t>80.0%</w:t>
            </w:r>
          </w:p>
        </w:tc>
      </w:tr>
      <w:tr w:rsidR="00642CDD" w:rsidRPr="0058458C" w14:paraId="7B2F6DC0"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18EC77A7" w14:textId="77777777" w:rsidR="00642CDD" w:rsidRPr="0058458C" w:rsidRDefault="00642CDD" w:rsidP="003222D9">
            <w:pPr>
              <w:pStyle w:val="TableText"/>
              <w:spacing w:before="40" w:after="40"/>
              <w:ind w:left="245"/>
            </w:pPr>
            <w:r w:rsidRPr="0058458C">
              <w:t>Hispanic</w:t>
            </w:r>
          </w:p>
        </w:tc>
        <w:tc>
          <w:tcPr>
            <w:tcW w:w="951" w:type="pct"/>
            <w:tcBorders>
              <w:top w:val="single" w:sz="6" w:space="0" w:color="808080" w:themeColor="background1" w:themeShade="80"/>
              <w:bottom w:val="single" w:sz="6" w:space="0" w:color="808080" w:themeColor="background1" w:themeShade="80"/>
            </w:tcBorders>
          </w:tcPr>
          <w:p w14:paraId="42B6FDFD" w14:textId="77777777" w:rsidR="00642CDD" w:rsidRPr="0058458C" w:rsidRDefault="00642CDD" w:rsidP="003222D9">
            <w:pPr>
              <w:pStyle w:val="TableText"/>
              <w:spacing w:before="40" w:after="40"/>
              <w:jc w:val="center"/>
            </w:pPr>
          </w:p>
        </w:tc>
        <w:tc>
          <w:tcPr>
            <w:tcW w:w="950" w:type="pct"/>
            <w:tcBorders>
              <w:top w:val="single" w:sz="6" w:space="0" w:color="808080" w:themeColor="background1" w:themeShade="80"/>
              <w:bottom w:val="single" w:sz="6" w:space="0" w:color="808080" w:themeColor="background1" w:themeShade="80"/>
            </w:tcBorders>
          </w:tcPr>
          <w:p w14:paraId="013A9D39" w14:textId="77777777" w:rsidR="00642CDD" w:rsidRPr="0058458C" w:rsidRDefault="00642CDD" w:rsidP="003222D9">
            <w:pPr>
              <w:pStyle w:val="TableText"/>
              <w:spacing w:before="40" w:after="40"/>
              <w:jc w:val="center"/>
            </w:pPr>
          </w:p>
        </w:tc>
        <w:tc>
          <w:tcPr>
            <w:tcW w:w="949" w:type="pct"/>
            <w:tcBorders>
              <w:top w:val="single" w:sz="6" w:space="0" w:color="808080" w:themeColor="background1" w:themeShade="80"/>
              <w:bottom w:val="single" w:sz="6" w:space="0" w:color="808080" w:themeColor="background1" w:themeShade="80"/>
            </w:tcBorders>
          </w:tcPr>
          <w:p w14:paraId="40AE563E" w14:textId="77777777" w:rsidR="00642CDD" w:rsidRPr="0058458C" w:rsidRDefault="00642CDD" w:rsidP="003222D9">
            <w:pPr>
              <w:pStyle w:val="TableText"/>
              <w:spacing w:before="40" w:after="40"/>
              <w:jc w:val="center"/>
            </w:pPr>
          </w:p>
        </w:tc>
      </w:tr>
      <w:tr w:rsidR="007E4347" w:rsidRPr="0058458C" w14:paraId="22D1128B"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65925343" w14:textId="6CE94417" w:rsidR="007E4347" w:rsidRPr="0058458C" w:rsidRDefault="007E4347" w:rsidP="007E4347">
            <w:pPr>
              <w:pStyle w:val="TableText"/>
              <w:spacing w:before="40" w:after="40"/>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39911C90" w14:textId="2D9CFED4" w:rsidR="007E4347" w:rsidRPr="0058458C" w:rsidRDefault="007E4347" w:rsidP="007E4347">
            <w:pPr>
              <w:pStyle w:val="TableText"/>
              <w:spacing w:before="40" w:after="40"/>
              <w:jc w:val="center"/>
            </w:pPr>
            <w:r w:rsidRPr="00F849E7">
              <w:t>64.8%</w:t>
            </w:r>
          </w:p>
        </w:tc>
        <w:tc>
          <w:tcPr>
            <w:tcW w:w="950" w:type="pct"/>
            <w:tcBorders>
              <w:top w:val="single" w:sz="6" w:space="0" w:color="808080" w:themeColor="background1" w:themeShade="80"/>
              <w:bottom w:val="single" w:sz="6" w:space="0" w:color="808080" w:themeColor="background1" w:themeShade="80"/>
            </w:tcBorders>
          </w:tcPr>
          <w:p w14:paraId="0F019762" w14:textId="5B9E5D35"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4B1940A0" w14:textId="656AA998" w:rsidR="007E4347" w:rsidRPr="0058458C" w:rsidRDefault="007E4347" w:rsidP="007E4347">
            <w:pPr>
              <w:pStyle w:val="TableText"/>
              <w:spacing w:before="40" w:after="40"/>
              <w:jc w:val="center"/>
            </w:pPr>
            <w:r w:rsidRPr="0058458C">
              <w:t>80.0%</w:t>
            </w:r>
          </w:p>
        </w:tc>
      </w:tr>
      <w:tr w:rsidR="007E4347" w:rsidRPr="0058458C" w14:paraId="0CDFDD74" w14:textId="77777777" w:rsidTr="00642CDD">
        <w:trPr>
          <w:cantSplit/>
        </w:trPr>
        <w:tc>
          <w:tcPr>
            <w:tcW w:w="2150" w:type="pct"/>
            <w:tcBorders>
              <w:top w:val="single" w:sz="6" w:space="0" w:color="808080" w:themeColor="background1" w:themeShade="80"/>
              <w:bottom w:val="single" w:sz="6" w:space="0" w:color="808080" w:themeColor="background1" w:themeShade="80"/>
            </w:tcBorders>
          </w:tcPr>
          <w:p w14:paraId="49C11EDC" w14:textId="77777777" w:rsidR="007E4347" w:rsidRPr="0058458C" w:rsidRDefault="007E4347" w:rsidP="007E4347">
            <w:pPr>
              <w:pStyle w:val="TableText"/>
              <w:spacing w:before="40" w:after="40"/>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10C9B8E3" w14:textId="7AE8E5E6" w:rsidR="007E4347" w:rsidRPr="0058458C" w:rsidRDefault="007E4347" w:rsidP="007E4347">
            <w:pPr>
              <w:pStyle w:val="TableText"/>
              <w:spacing w:before="40" w:after="40"/>
              <w:jc w:val="center"/>
            </w:pPr>
            <w:r w:rsidRPr="00F849E7">
              <w:t>28.2%</w:t>
            </w:r>
          </w:p>
        </w:tc>
        <w:tc>
          <w:tcPr>
            <w:tcW w:w="950" w:type="pct"/>
            <w:tcBorders>
              <w:top w:val="single" w:sz="6" w:space="0" w:color="808080" w:themeColor="background1" w:themeShade="80"/>
              <w:bottom w:val="single" w:sz="6" w:space="0" w:color="808080" w:themeColor="background1" w:themeShade="80"/>
            </w:tcBorders>
          </w:tcPr>
          <w:p w14:paraId="25C6A393" w14:textId="47F92946" w:rsidR="007E4347" w:rsidRPr="0058458C" w:rsidRDefault="007E4347" w:rsidP="007E4347">
            <w:pPr>
              <w:pStyle w:val="TableText"/>
              <w:spacing w:before="40" w:after="40"/>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507E0057" w14:textId="3CB14257" w:rsidR="007E4347" w:rsidRPr="0058458C" w:rsidRDefault="007E4347" w:rsidP="007E4347">
            <w:pPr>
              <w:pStyle w:val="TableText"/>
              <w:spacing w:before="40" w:after="40"/>
              <w:jc w:val="center"/>
            </w:pPr>
            <w:r w:rsidRPr="0058458C">
              <w:t>80.0%</w:t>
            </w:r>
          </w:p>
        </w:tc>
      </w:tr>
    </w:tbl>
    <w:p w14:paraId="4265DA0C" w14:textId="045917A3" w:rsidR="00642CDD" w:rsidRPr="0058458C" w:rsidRDefault="00F022C7" w:rsidP="003222D9">
      <w:pPr>
        <w:pStyle w:val="table-continued"/>
      </w:pPr>
      <w:r w:rsidRPr="0058458C">
        <w:t>(continued)</w:t>
      </w:r>
    </w:p>
    <w:p w14:paraId="55ADABD0" w14:textId="4F88A72D" w:rsidR="00F022C7" w:rsidRPr="0058458C" w:rsidRDefault="00F022C7" w:rsidP="00F022C7">
      <w:pPr>
        <w:pStyle w:val="TableTitlecont"/>
      </w:pPr>
      <w:r w:rsidRPr="0058458C">
        <w:lastRenderedPageBreak/>
        <w:t xml:space="preserve">Table </w:t>
      </w:r>
      <w:r w:rsidR="0005114B" w:rsidRPr="0058458C">
        <w:t>1</w:t>
      </w:r>
      <w:r w:rsidR="0005114B">
        <w:t>0</w:t>
      </w:r>
      <w:r w:rsidRPr="0058458C">
        <w:t>.2.</w:t>
      </w:r>
      <w:r w:rsidRPr="0058458C">
        <w:tab/>
        <w:t xml:space="preserve">Bounds and Final Values of Inputs Defining Behaviors and Infectivity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F022C7" w:rsidRPr="0058458C" w14:paraId="58D80543" w14:textId="77777777" w:rsidTr="003222D9">
        <w:trPr>
          <w:cantSplit/>
          <w:tblHeader/>
        </w:trPr>
        <w:tc>
          <w:tcPr>
            <w:tcW w:w="2150" w:type="pct"/>
            <w:tcBorders>
              <w:top w:val="single" w:sz="12" w:space="0" w:color="auto"/>
              <w:bottom w:val="single" w:sz="6" w:space="0" w:color="auto"/>
            </w:tcBorders>
            <w:vAlign w:val="bottom"/>
          </w:tcPr>
          <w:p w14:paraId="02A534E4" w14:textId="77777777" w:rsidR="00F022C7" w:rsidRPr="0058458C" w:rsidRDefault="00F022C7" w:rsidP="003222D9">
            <w:pPr>
              <w:pStyle w:val="TableHeaders"/>
            </w:pPr>
            <w:r w:rsidRPr="0058458C">
              <w:t>Parameter</w:t>
            </w:r>
          </w:p>
        </w:tc>
        <w:tc>
          <w:tcPr>
            <w:tcW w:w="951" w:type="pct"/>
            <w:tcBorders>
              <w:top w:val="single" w:sz="12" w:space="0" w:color="auto"/>
              <w:bottom w:val="single" w:sz="6" w:space="0" w:color="auto"/>
            </w:tcBorders>
            <w:vAlign w:val="bottom"/>
          </w:tcPr>
          <w:p w14:paraId="16EAB8A4" w14:textId="77777777" w:rsidR="00F022C7" w:rsidRPr="0058458C" w:rsidRDefault="00F022C7" w:rsidP="003222D9">
            <w:pPr>
              <w:pStyle w:val="TableHeaders"/>
            </w:pPr>
            <w:r w:rsidRPr="0058458C">
              <w:t>Calibrated Value</w:t>
            </w:r>
          </w:p>
        </w:tc>
        <w:tc>
          <w:tcPr>
            <w:tcW w:w="950" w:type="pct"/>
            <w:tcBorders>
              <w:top w:val="single" w:sz="12" w:space="0" w:color="auto"/>
              <w:bottom w:val="single" w:sz="6" w:space="0" w:color="auto"/>
            </w:tcBorders>
            <w:vAlign w:val="bottom"/>
          </w:tcPr>
          <w:p w14:paraId="45BA2CB1" w14:textId="77777777" w:rsidR="00F022C7" w:rsidRPr="0058458C" w:rsidRDefault="00F022C7" w:rsidP="003222D9">
            <w:pPr>
              <w:pStyle w:val="TableHeaders"/>
            </w:pPr>
            <w:r w:rsidRPr="0058458C">
              <w:t>Lower Bound</w:t>
            </w:r>
          </w:p>
        </w:tc>
        <w:tc>
          <w:tcPr>
            <w:tcW w:w="949" w:type="pct"/>
            <w:tcBorders>
              <w:top w:val="single" w:sz="12" w:space="0" w:color="auto"/>
              <w:bottom w:val="single" w:sz="6" w:space="0" w:color="auto"/>
            </w:tcBorders>
            <w:vAlign w:val="bottom"/>
          </w:tcPr>
          <w:p w14:paraId="12516D3A" w14:textId="77777777" w:rsidR="00F022C7" w:rsidRPr="0058458C" w:rsidRDefault="00F022C7" w:rsidP="003222D9">
            <w:pPr>
              <w:pStyle w:val="TableHeaders"/>
            </w:pPr>
            <w:r w:rsidRPr="0058458C">
              <w:t>Upper Bound</w:t>
            </w:r>
          </w:p>
        </w:tc>
      </w:tr>
      <w:tr w:rsidR="007E4347" w:rsidRPr="0058458C" w14:paraId="1BDB61ED"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F97DB57" w14:textId="77777777" w:rsidR="007E4347" w:rsidRPr="0058458C" w:rsidRDefault="007E4347" w:rsidP="007E4347">
            <w:pPr>
              <w:pStyle w:val="TableText"/>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7FC69BF4" w14:textId="53C8B56B" w:rsidR="007E4347" w:rsidRPr="0058458C" w:rsidRDefault="007E4347" w:rsidP="007E4347">
            <w:pPr>
              <w:pStyle w:val="TableText"/>
              <w:jc w:val="center"/>
            </w:pPr>
            <w:r w:rsidRPr="00B13748">
              <w:t>46.9%</w:t>
            </w:r>
          </w:p>
        </w:tc>
        <w:tc>
          <w:tcPr>
            <w:tcW w:w="950" w:type="pct"/>
            <w:tcBorders>
              <w:top w:val="single" w:sz="6" w:space="0" w:color="808080" w:themeColor="background1" w:themeShade="80"/>
              <w:bottom w:val="single" w:sz="6" w:space="0" w:color="808080" w:themeColor="background1" w:themeShade="80"/>
            </w:tcBorders>
          </w:tcPr>
          <w:p w14:paraId="0159C985"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6C9499C1" w14:textId="77777777" w:rsidR="007E4347" w:rsidRPr="0058458C" w:rsidRDefault="007E4347" w:rsidP="007E4347">
            <w:pPr>
              <w:pStyle w:val="TableText"/>
              <w:jc w:val="center"/>
            </w:pPr>
            <w:r w:rsidRPr="0058458C">
              <w:t>80.0%</w:t>
            </w:r>
          </w:p>
        </w:tc>
      </w:tr>
      <w:tr w:rsidR="007E4347" w:rsidRPr="0058458C" w14:paraId="4DFA3605"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A4873D3" w14:textId="77777777" w:rsidR="007E4347" w:rsidRPr="0058458C" w:rsidRDefault="007E4347" w:rsidP="007E4347">
            <w:pPr>
              <w:pStyle w:val="TableText"/>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58903E5E" w14:textId="55E4B64B" w:rsidR="007E4347" w:rsidRPr="0058458C" w:rsidRDefault="007E4347" w:rsidP="007E4347">
            <w:pPr>
              <w:pStyle w:val="TableText"/>
              <w:jc w:val="center"/>
            </w:pPr>
            <w:r w:rsidRPr="00B13748">
              <w:t>62.5%</w:t>
            </w:r>
          </w:p>
        </w:tc>
        <w:tc>
          <w:tcPr>
            <w:tcW w:w="950" w:type="pct"/>
            <w:tcBorders>
              <w:top w:val="single" w:sz="6" w:space="0" w:color="808080" w:themeColor="background1" w:themeShade="80"/>
              <w:bottom w:val="single" w:sz="6" w:space="0" w:color="808080" w:themeColor="background1" w:themeShade="80"/>
            </w:tcBorders>
          </w:tcPr>
          <w:p w14:paraId="30B57863"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3CD83872" w14:textId="77777777" w:rsidR="007E4347" w:rsidRPr="0058458C" w:rsidRDefault="007E4347" w:rsidP="007E4347">
            <w:pPr>
              <w:pStyle w:val="TableText"/>
              <w:jc w:val="center"/>
            </w:pPr>
            <w:r w:rsidRPr="0058458C">
              <w:t>80.0%</w:t>
            </w:r>
          </w:p>
        </w:tc>
      </w:tr>
      <w:tr w:rsidR="007E4347" w:rsidRPr="0058458C" w14:paraId="3DB18BB3"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2F73808" w14:textId="4BE61B18" w:rsidR="007E4347" w:rsidRPr="0058458C" w:rsidRDefault="007E4347" w:rsidP="007E4347">
            <w:pPr>
              <w:pStyle w:val="TableText"/>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312D590F" w14:textId="42322EB7" w:rsidR="007E4347" w:rsidRPr="0058458C" w:rsidRDefault="007E4347" w:rsidP="007E4347">
            <w:pPr>
              <w:pStyle w:val="TableText"/>
              <w:jc w:val="center"/>
            </w:pPr>
            <w:r w:rsidRPr="00B13748">
              <w:t>60.0%</w:t>
            </w:r>
          </w:p>
        </w:tc>
        <w:tc>
          <w:tcPr>
            <w:tcW w:w="950" w:type="pct"/>
            <w:tcBorders>
              <w:top w:val="single" w:sz="6" w:space="0" w:color="808080" w:themeColor="background1" w:themeShade="80"/>
              <w:bottom w:val="single" w:sz="6" w:space="0" w:color="808080" w:themeColor="background1" w:themeShade="80"/>
            </w:tcBorders>
          </w:tcPr>
          <w:p w14:paraId="33BE593C"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87222E6" w14:textId="77777777" w:rsidR="007E4347" w:rsidRPr="0058458C" w:rsidRDefault="007E4347" w:rsidP="007E4347">
            <w:pPr>
              <w:pStyle w:val="TableText"/>
              <w:jc w:val="center"/>
            </w:pPr>
            <w:r w:rsidRPr="0058458C">
              <w:t>80.0%</w:t>
            </w:r>
          </w:p>
        </w:tc>
      </w:tr>
      <w:tr w:rsidR="007E4347" w:rsidRPr="0058458C" w14:paraId="77634015"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F492A11" w14:textId="55AA418F" w:rsidR="007E4347" w:rsidRPr="0058458C" w:rsidRDefault="007E4347" w:rsidP="007E4347">
            <w:pPr>
              <w:pStyle w:val="TableText"/>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14DFB86D" w14:textId="1A3709A9" w:rsidR="007E4347" w:rsidRPr="0058458C" w:rsidRDefault="007E4347" w:rsidP="007E4347">
            <w:pPr>
              <w:pStyle w:val="TableText"/>
              <w:jc w:val="center"/>
            </w:pPr>
            <w:r w:rsidRPr="00B13748">
              <w:t>56.4%</w:t>
            </w:r>
          </w:p>
        </w:tc>
        <w:tc>
          <w:tcPr>
            <w:tcW w:w="950" w:type="pct"/>
            <w:tcBorders>
              <w:top w:val="single" w:sz="6" w:space="0" w:color="808080" w:themeColor="background1" w:themeShade="80"/>
              <w:bottom w:val="single" w:sz="6" w:space="0" w:color="808080" w:themeColor="background1" w:themeShade="80"/>
            </w:tcBorders>
          </w:tcPr>
          <w:p w14:paraId="65B2F6CD"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1DB30212" w14:textId="77777777" w:rsidR="007E4347" w:rsidRPr="0058458C" w:rsidRDefault="007E4347" w:rsidP="007E4347">
            <w:pPr>
              <w:pStyle w:val="TableText"/>
              <w:jc w:val="center"/>
            </w:pPr>
            <w:r w:rsidRPr="0058458C">
              <w:t>80.0%</w:t>
            </w:r>
          </w:p>
        </w:tc>
      </w:tr>
      <w:tr w:rsidR="007E4347" w:rsidRPr="0058458C" w14:paraId="07EC0513"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359E53C6" w14:textId="77777777" w:rsidR="007E4347" w:rsidRPr="0058458C" w:rsidRDefault="007E4347" w:rsidP="007E4347">
            <w:pPr>
              <w:pStyle w:val="TableText"/>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1600AD5F" w14:textId="4C7A5071" w:rsidR="007E4347" w:rsidRPr="0058458C" w:rsidRDefault="007E4347" w:rsidP="007E4347">
            <w:pPr>
              <w:pStyle w:val="TableText"/>
              <w:jc w:val="center"/>
            </w:pPr>
            <w:r w:rsidRPr="00B13748">
              <w:t>56.3%</w:t>
            </w:r>
          </w:p>
        </w:tc>
        <w:tc>
          <w:tcPr>
            <w:tcW w:w="950" w:type="pct"/>
            <w:tcBorders>
              <w:top w:val="single" w:sz="6" w:space="0" w:color="808080" w:themeColor="background1" w:themeShade="80"/>
              <w:bottom w:val="single" w:sz="6" w:space="0" w:color="808080" w:themeColor="background1" w:themeShade="80"/>
            </w:tcBorders>
          </w:tcPr>
          <w:p w14:paraId="3307D234"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4E17F3AD" w14:textId="77777777" w:rsidR="007E4347" w:rsidRPr="0058458C" w:rsidRDefault="007E4347" w:rsidP="007E4347">
            <w:pPr>
              <w:pStyle w:val="TableText"/>
              <w:jc w:val="center"/>
            </w:pPr>
            <w:r w:rsidRPr="0058458C">
              <w:t>80.0%</w:t>
            </w:r>
          </w:p>
        </w:tc>
      </w:tr>
      <w:tr w:rsidR="003222D9" w:rsidRPr="0058458C" w14:paraId="04A4B2A7"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48B597C" w14:textId="77777777" w:rsidR="003222D9" w:rsidRPr="0058458C" w:rsidRDefault="003222D9" w:rsidP="003E06E9">
            <w:pPr>
              <w:pStyle w:val="TableText"/>
              <w:ind w:left="245"/>
            </w:pPr>
            <w:r w:rsidRPr="0058458C">
              <w:t>White/other</w:t>
            </w:r>
          </w:p>
        </w:tc>
        <w:tc>
          <w:tcPr>
            <w:tcW w:w="951" w:type="pct"/>
            <w:tcBorders>
              <w:top w:val="single" w:sz="6" w:space="0" w:color="808080" w:themeColor="background1" w:themeShade="80"/>
              <w:bottom w:val="single" w:sz="6" w:space="0" w:color="808080" w:themeColor="background1" w:themeShade="80"/>
            </w:tcBorders>
          </w:tcPr>
          <w:p w14:paraId="70F4AAA2" w14:textId="77777777" w:rsidR="003222D9" w:rsidRPr="0058458C" w:rsidRDefault="003222D9" w:rsidP="003E06E9">
            <w:pPr>
              <w:pStyle w:val="TableText"/>
              <w:jc w:val="center"/>
            </w:pPr>
          </w:p>
        </w:tc>
        <w:tc>
          <w:tcPr>
            <w:tcW w:w="950" w:type="pct"/>
            <w:tcBorders>
              <w:top w:val="single" w:sz="6" w:space="0" w:color="808080" w:themeColor="background1" w:themeShade="80"/>
              <w:bottom w:val="single" w:sz="6" w:space="0" w:color="808080" w:themeColor="background1" w:themeShade="80"/>
            </w:tcBorders>
          </w:tcPr>
          <w:p w14:paraId="7542F8B7" w14:textId="77777777" w:rsidR="003222D9" w:rsidRPr="0058458C" w:rsidRDefault="003222D9" w:rsidP="003E06E9">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254C8C07" w14:textId="77777777" w:rsidR="003222D9" w:rsidRPr="0058458C" w:rsidRDefault="003222D9" w:rsidP="003E06E9">
            <w:pPr>
              <w:pStyle w:val="TableText"/>
              <w:jc w:val="center"/>
            </w:pPr>
          </w:p>
        </w:tc>
      </w:tr>
      <w:tr w:rsidR="007E4347" w:rsidRPr="0058458C" w14:paraId="455CFF61"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3D66566F" w14:textId="7FA1DC9E" w:rsidR="007E4347" w:rsidRPr="0058458C" w:rsidRDefault="007E4347" w:rsidP="007E4347">
            <w:pPr>
              <w:pStyle w:val="TableText"/>
              <w:ind w:left="490"/>
            </w:pPr>
            <w:r w:rsidRPr="0058458C">
              <w:t>13–17</w:t>
            </w:r>
          </w:p>
        </w:tc>
        <w:tc>
          <w:tcPr>
            <w:tcW w:w="951" w:type="pct"/>
            <w:tcBorders>
              <w:top w:val="single" w:sz="6" w:space="0" w:color="808080" w:themeColor="background1" w:themeShade="80"/>
              <w:bottom w:val="single" w:sz="6" w:space="0" w:color="808080" w:themeColor="background1" w:themeShade="80"/>
            </w:tcBorders>
          </w:tcPr>
          <w:p w14:paraId="1A0EA8C8" w14:textId="0B6CD3CC" w:rsidR="007E4347" w:rsidRPr="0058458C" w:rsidRDefault="007E4347" w:rsidP="007E4347">
            <w:pPr>
              <w:pStyle w:val="TableText"/>
              <w:jc w:val="center"/>
            </w:pPr>
            <w:r w:rsidRPr="00816831">
              <w:t>61.1%</w:t>
            </w:r>
          </w:p>
        </w:tc>
        <w:tc>
          <w:tcPr>
            <w:tcW w:w="950" w:type="pct"/>
            <w:tcBorders>
              <w:top w:val="single" w:sz="6" w:space="0" w:color="808080" w:themeColor="background1" w:themeShade="80"/>
              <w:bottom w:val="single" w:sz="6" w:space="0" w:color="808080" w:themeColor="background1" w:themeShade="80"/>
            </w:tcBorders>
          </w:tcPr>
          <w:p w14:paraId="3F6DCCEF"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725BC337" w14:textId="77777777" w:rsidR="007E4347" w:rsidRPr="0058458C" w:rsidRDefault="007E4347" w:rsidP="007E4347">
            <w:pPr>
              <w:pStyle w:val="TableText"/>
              <w:jc w:val="center"/>
            </w:pPr>
            <w:r w:rsidRPr="0058458C">
              <w:t>80.0%</w:t>
            </w:r>
          </w:p>
        </w:tc>
      </w:tr>
      <w:tr w:rsidR="007E4347" w:rsidRPr="0058458C" w14:paraId="78CB07BD"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BBE0362" w14:textId="77777777" w:rsidR="007E4347" w:rsidRPr="0058458C" w:rsidRDefault="007E4347" w:rsidP="007E4347">
            <w:pPr>
              <w:pStyle w:val="TableText"/>
              <w:ind w:left="490"/>
            </w:pPr>
            <w:r w:rsidRPr="0058458C">
              <w:t>18–24</w:t>
            </w:r>
          </w:p>
        </w:tc>
        <w:tc>
          <w:tcPr>
            <w:tcW w:w="951" w:type="pct"/>
            <w:tcBorders>
              <w:top w:val="single" w:sz="6" w:space="0" w:color="808080" w:themeColor="background1" w:themeShade="80"/>
              <w:bottom w:val="single" w:sz="6" w:space="0" w:color="808080" w:themeColor="background1" w:themeShade="80"/>
            </w:tcBorders>
          </w:tcPr>
          <w:p w14:paraId="63948397" w14:textId="6905FD4B" w:rsidR="007E4347" w:rsidRPr="0058458C" w:rsidRDefault="007E4347" w:rsidP="007E4347">
            <w:pPr>
              <w:pStyle w:val="TableText"/>
              <w:jc w:val="center"/>
            </w:pPr>
            <w:r w:rsidRPr="00816831">
              <w:t>62.3%</w:t>
            </w:r>
          </w:p>
        </w:tc>
        <w:tc>
          <w:tcPr>
            <w:tcW w:w="950" w:type="pct"/>
            <w:tcBorders>
              <w:top w:val="single" w:sz="6" w:space="0" w:color="808080" w:themeColor="background1" w:themeShade="80"/>
              <w:bottom w:val="single" w:sz="6" w:space="0" w:color="808080" w:themeColor="background1" w:themeShade="80"/>
            </w:tcBorders>
          </w:tcPr>
          <w:p w14:paraId="53893283"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5163B2B1" w14:textId="77777777" w:rsidR="007E4347" w:rsidRPr="0058458C" w:rsidRDefault="007E4347" w:rsidP="007E4347">
            <w:pPr>
              <w:pStyle w:val="TableText"/>
              <w:jc w:val="center"/>
            </w:pPr>
            <w:r w:rsidRPr="0058458C">
              <w:t>80.0%</w:t>
            </w:r>
          </w:p>
        </w:tc>
      </w:tr>
      <w:tr w:rsidR="007E4347" w:rsidRPr="0058458C" w14:paraId="4F0F0BCE"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FF4DCE4" w14:textId="77777777" w:rsidR="007E4347" w:rsidRPr="0058458C" w:rsidRDefault="007E4347" w:rsidP="007E4347">
            <w:pPr>
              <w:pStyle w:val="TableText"/>
              <w:ind w:left="490"/>
            </w:pPr>
            <w:r w:rsidRPr="0058458C">
              <w:t>25–34</w:t>
            </w:r>
          </w:p>
        </w:tc>
        <w:tc>
          <w:tcPr>
            <w:tcW w:w="951" w:type="pct"/>
            <w:tcBorders>
              <w:top w:val="single" w:sz="6" w:space="0" w:color="808080" w:themeColor="background1" w:themeShade="80"/>
              <w:bottom w:val="single" w:sz="6" w:space="0" w:color="808080" w:themeColor="background1" w:themeShade="80"/>
            </w:tcBorders>
          </w:tcPr>
          <w:p w14:paraId="0FCADACB" w14:textId="25D30B54" w:rsidR="007E4347" w:rsidRPr="0058458C" w:rsidRDefault="007E4347" w:rsidP="007E4347">
            <w:pPr>
              <w:pStyle w:val="TableText"/>
              <w:jc w:val="center"/>
            </w:pPr>
            <w:r w:rsidRPr="00816831">
              <w:t>67.2%</w:t>
            </w:r>
          </w:p>
        </w:tc>
        <w:tc>
          <w:tcPr>
            <w:tcW w:w="950" w:type="pct"/>
            <w:tcBorders>
              <w:top w:val="single" w:sz="6" w:space="0" w:color="808080" w:themeColor="background1" w:themeShade="80"/>
              <w:bottom w:val="single" w:sz="6" w:space="0" w:color="808080" w:themeColor="background1" w:themeShade="80"/>
            </w:tcBorders>
          </w:tcPr>
          <w:p w14:paraId="7438478E"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2E1DFA10" w14:textId="77777777" w:rsidR="007E4347" w:rsidRPr="0058458C" w:rsidRDefault="007E4347" w:rsidP="007E4347">
            <w:pPr>
              <w:pStyle w:val="TableText"/>
              <w:jc w:val="center"/>
            </w:pPr>
            <w:r w:rsidRPr="0058458C">
              <w:t>80.0%</w:t>
            </w:r>
          </w:p>
        </w:tc>
      </w:tr>
      <w:tr w:rsidR="007E4347" w:rsidRPr="0058458C" w14:paraId="769F8DE8"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F44CF6E" w14:textId="77777777" w:rsidR="007E4347" w:rsidRPr="0058458C" w:rsidRDefault="007E4347" w:rsidP="007E4347">
            <w:pPr>
              <w:pStyle w:val="TableText"/>
              <w:ind w:left="490"/>
            </w:pPr>
            <w:r w:rsidRPr="0058458C">
              <w:t>35–44</w:t>
            </w:r>
          </w:p>
        </w:tc>
        <w:tc>
          <w:tcPr>
            <w:tcW w:w="951" w:type="pct"/>
            <w:tcBorders>
              <w:top w:val="single" w:sz="6" w:space="0" w:color="808080" w:themeColor="background1" w:themeShade="80"/>
              <w:bottom w:val="single" w:sz="6" w:space="0" w:color="808080" w:themeColor="background1" w:themeShade="80"/>
            </w:tcBorders>
          </w:tcPr>
          <w:p w14:paraId="5DD67086" w14:textId="2C664A44" w:rsidR="007E4347" w:rsidRPr="0058458C" w:rsidRDefault="007E4347" w:rsidP="007E4347">
            <w:pPr>
              <w:pStyle w:val="TableText"/>
              <w:jc w:val="center"/>
            </w:pPr>
            <w:r w:rsidRPr="00816831">
              <w:t>56.9%</w:t>
            </w:r>
          </w:p>
        </w:tc>
        <w:tc>
          <w:tcPr>
            <w:tcW w:w="950" w:type="pct"/>
            <w:tcBorders>
              <w:top w:val="single" w:sz="6" w:space="0" w:color="808080" w:themeColor="background1" w:themeShade="80"/>
              <w:bottom w:val="single" w:sz="6" w:space="0" w:color="808080" w:themeColor="background1" w:themeShade="80"/>
            </w:tcBorders>
          </w:tcPr>
          <w:p w14:paraId="06A79C0D"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671A4A41" w14:textId="77777777" w:rsidR="007E4347" w:rsidRPr="0058458C" w:rsidRDefault="007E4347" w:rsidP="007E4347">
            <w:pPr>
              <w:pStyle w:val="TableText"/>
              <w:jc w:val="center"/>
            </w:pPr>
            <w:r w:rsidRPr="0058458C">
              <w:t>80.0%</w:t>
            </w:r>
          </w:p>
        </w:tc>
      </w:tr>
      <w:tr w:rsidR="007E4347" w:rsidRPr="0058458C" w14:paraId="05623F0F"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213E581" w14:textId="7F999926" w:rsidR="007E4347" w:rsidRPr="0058458C" w:rsidRDefault="007E4347" w:rsidP="007E4347">
            <w:pPr>
              <w:pStyle w:val="TableText"/>
              <w:ind w:left="490"/>
            </w:pPr>
            <w:r w:rsidRPr="0058458C">
              <w:t>45–54</w:t>
            </w:r>
          </w:p>
        </w:tc>
        <w:tc>
          <w:tcPr>
            <w:tcW w:w="951" w:type="pct"/>
            <w:tcBorders>
              <w:top w:val="single" w:sz="6" w:space="0" w:color="808080" w:themeColor="background1" w:themeShade="80"/>
              <w:bottom w:val="single" w:sz="6" w:space="0" w:color="808080" w:themeColor="background1" w:themeShade="80"/>
            </w:tcBorders>
          </w:tcPr>
          <w:p w14:paraId="3058792E" w14:textId="6B3BE7BF" w:rsidR="007E4347" w:rsidRPr="0058458C" w:rsidRDefault="007E4347" w:rsidP="007E4347">
            <w:pPr>
              <w:pStyle w:val="TableText"/>
              <w:jc w:val="center"/>
            </w:pPr>
            <w:r w:rsidRPr="00816831">
              <w:t>71.7%</w:t>
            </w:r>
          </w:p>
        </w:tc>
        <w:tc>
          <w:tcPr>
            <w:tcW w:w="950" w:type="pct"/>
            <w:tcBorders>
              <w:top w:val="single" w:sz="6" w:space="0" w:color="808080" w:themeColor="background1" w:themeShade="80"/>
              <w:bottom w:val="single" w:sz="6" w:space="0" w:color="808080" w:themeColor="background1" w:themeShade="80"/>
            </w:tcBorders>
          </w:tcPr>
          <w:p w14:paraId="4D2DA217"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6AB03806" w14:textId="77777777" w:rsidR="007E4347" w:rsidRPr="0058458C" w:rsidRDefault="007E4347" w:rsidP="007E4347">
            <w:pPr>
              <w:pStyle w:val="TableText"/>
              <w:jc w:val="center"/>
            </w:pPr>
            <w:r w:rsidRPr="0058458C">
              <w:t>80.0%</w:t>
            </w:r>
          </w:p>
        </w:tc>
      </w:tr>
      <w:tr w:rsidR="007E4347" w:rsidRPr="0058458C" w14:paraId="5356E7C2"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2519E61D" w14:textId="42953B78" w:rsidR="007E4347" w:rsidRPr="0058458C" w:rsidRDefault="007E4347" w:rsidP="007E4347">
            <w:pPr>
              <w:pStyle w:val="TableText"/>
              <w:ind w:left="490"/>
            </w:pPr>
            <w:r w:rsidRPr="0058458C">
              <w:t>55–64</w:t>
            </w:r>
          </w:p>
        </w:tc>
        <w:tc>
          <w:tcPr>
            <w:tcW w:w="951" w:type="pct"/>
            <w:tcBorders>
              <w:top w:val="single" w:sz="6" w:space="0" w:color="808080" w:themeColor="background1" w:themeShade="80"/>
              <w:bottom w:val="single" w:sz="6" w:space="0" w:color="808080" w:themeColor="background1" w:themeShade="80"/>
            </w:tcBorders>
          </w:tcPr>
          <w:p w14:paraId="6D9D9AD5" w14:textId="74366A71" w:rsidR="007E4347" w:rsidRPr="0058458C" w:rsidRDefault="007E4347" w:rsidP="007E4347">
            <w:pPr>
              <w:pStyle w:val="TableText"/>
              <w:jc w:val="center"/>
            </w:pPr>
            <w:r w:rsidRPr="00816831">
              <w:t>69.3%</w:t>
            </w:r>
          </w:p>
        </w:tc>
        <w:tc>
          <w:tcPr>
            <w:tcW w:w="950" w:type="pct"/>
            <w:tcBorders>
              <w:top w:val="single" w:sz="6" w:space="0" w:color="808080" w:themeColor="background1" w:themeShade="80"/>
              <w:bottom w:val="single" w:sz="6" w:space="0" w:color="808080" w:themeColor="background1" w:themeShade="80"/>
            </w:tcBorders>
          </w:tcPr>
          <w:p w14:paraId="5249D557"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758A3D19" w14:textId="77777777" w:rsidR="007E4347" w:rsidRPr="0058458C" w:rsidRDefault="007E4347" w:rsidP="007E4347">
            <w:pPr>
              <w:pStyle w:val="TableText"/>
              <w:jc w:val="center"/>
            </w:pPr>
            <w:r w:rsidRPr="0058458C">
              <w:t>80.0%</w:t>
            </w:r>
          </w:p>
        </w:tc>
      </w:tr>
      <w:tr w:rsidR="007E4347" w:rsidRPr="0058458C" w14:paraId="4738C83E"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805EB19" w14:textId="77777777" w:rsidR="007E4347" w:rsidRPr="0058458C" w:rsidRDefault="007E4347" w:rsidP="007E4347">
            <w:pPr>
              <w:pStyle w:val="TableText"/>
              <w:ind w:left="490"/>
            </w:pPr>
            <w:r w:rsidRPr="0058458C">
              <w:t>65+</w:t>
            </w:r>
          </w:p>
        </w:tc>
        <w:tc>
          <w:tcPr>
            <w:tcW w:w="951" w:type="pct"/>
            <w:tcBorders>
              <w:top w:val="single" w:sz="6" w:space="0" w:color="808080" w:themeColor="background1" w:themeShade="80"/>
              <w:bottom w:val="single" w:sz="6" w:space="0" w:color="808080" w:themeColor="background1" w:themeShade="80"/>
            </w:tcBorders>
          </w:tcPr>
          <w:p w14:paraId="2618EDF5" w14:textId="669E6C28" w:rsidR="007E4347" w:rsidRPr="0058458C" w:rsidRDefault="007E4347" w:rsidP="007E4347">
            <w:pPr>
              <w:pStyle w:val="TableText"/>
              <w:jc w:val="center"/>
            </w:pPr>
            <w:r w:rsidRPr="00816831">
              <w:t>69.8%</w:t>
            </w:r>
          </w:p>
        </w:tc>
        <w:tc>
          <w:tcPr>
            <w:tcW w:w="950" w:type="pct"/>
            <w:tcBorders>
              <w:top w:val="single" w:sz="6" w:space="0" w:color="808080" w:themeColor="background1" w:themeShade="80"/>
              <w:bottom w:val="single" w:sz="6" w:space="0" w:color="808080" w:themeColor="background1" w:themeShade="80"/>
            </w:tcBorders>
          </w:tcPr>
          <w:p w14:paraId="256D9B9C" w14:textId="77777777" w:rsidR="007E4347" w:rsidRPr="0058458C" w:rsidRDefault="007E4347" w:rsidP="007E4347">
            <w:pPr>
              <w:pStyle w:val="TableText"/>
              <w:jc w:val="center"/>
            </w:pPr>
            <w:r w:rsidRPr="0058458C">
              <w:t>20.0%</w:t>
            </w:r>
          </w:p>
        </w:tc>
        <w:tc>
          <w:tcPr>
            <w:tcW w:w="949" w:type="pct"/>
            <w:tcBorders>
              <w:top w:val="single" w:sz="6" w:space="0" w:color="808080" w:themeColor="background1" w:themeShade="80"/>
              <w:bottom w:val="single" w:sz="6" w:space="0" w:color="808080" w:themeColor="background1" w:themeShade="80"/>
            </w:tcBorders>
          </w:tcPr>
          <w:p w14:paraId="78F76DB6" w14:textId="77777777" w:rsidR="007E4347" w:rsidRPr="0058458C" w:rsidRDefault="007E4347" w:rsidP="007E4347">
            <w:pPr>
              <w:pStyle w:val="TableText"/>
              <w:jc w:val="center"/>
            </w:pPr>
            <w:r w:rsidRPr="0058458C">
              <w:t>80.0%</w:t>
            </w:r>
          </w:p>
        </w:tc>
      </w:tr>
      <w:tr w:rsidR="003222D9" w:rsidRPr="0058458C" w14:paraId="74A5D131" w14:textId="77777777" w:rsidTr="003E06E9">
        <w:trPr>
          <w:cantSplit/>
        </w:trPr>
        <w:tc>
          <w:tcPr>
            <w:tcW w:w="3101" w:type="pct"/>
            <w:gridSpan w:val="2"/>
            <w:tcBorders>
              <w:top w:val="single" w:sz="6" w:space="0" w:color="808080" w:themeColor="background1" w:themeShade="80"/>
              <w:bottom w:val="single" w:sz="6" w:space="0" w:color="808080" w:themeColor="background1" w:themeShade="80"/>
            </w:tcBorders>
          </w:tcPr>
          <w:p w14:paraId="6866C65E" w14:textId="72173D63" w:rsidR="003222D9" w:rsidRPr="0058458C" w:rsidRDefault="003222D9" w:rsidP="00F12F29">
            <w:pPr>
              <w:pStyle w:val="TableText"/>
            </w:pPr>
            <w:r w:rsidRPr="0058458C">
              <w:t>If participating in AI, percentage of male–female sexual partnerships that include AI</w:t>
            </w:r>
          </w:p>
        </w:tc>
        <w:tc>
          <w:tcPr>
            <w:tcW w:w="950" w:type="pct"/>
            <w:tcBorders>
              <w:top w:val="single" w:sz="6" w:space="0" w:color="808080" w:themeColor="background1" w:themeShade="80"/>
              <w:bottom w:val="single" w:sz="6" w:space="0" w:color="808080" w:themeColor="background1" w:themeShade="80"/>
            </w:tcBorders>
          </w:tcPr>
          <w:p w14:paraId="49D4E7CE" w14:textId="77777777" w:rsidR="003222D9" w:rsidRPr="0058458C" w:rsidRDefault="003222D9" w:rsidP="003E06E9">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07CD93A5" w14:textId="77777777" w:rsidR="003222D9" w:rsidRPr="0058458C" w:rsidRDefault="003222D9" w:rsidP="003E06E9">
            <w:pPr>
              <w:pStyle w:val="TableText"/>
              <w:jc w:val="center"/>
            </w:pPr>
          </w:p>
        </w:tc>
      </w:tr>
      <w:tr w:rsidR="007E4347" w:rsidRPr="0058458C" w14:paraId="08B9434B"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857441B" w14:textId="009AF428" w:rsidR="007E4347" w:rsidRPr="0058458C" w:rsidRDefault="007E4347" w:rsidP="007E4347">
            <w:pPr>
              <w:pStyle w:val="TableText"/>
              <w:ind w:left="245"/>
            </w:pPr>
            <w:r w:rsidRPr="0058458C">
              <w:t>13–17</w:t>
            </w:r>
          </w:p>
        </w:tc>
        <w:tc>
          <w:tcPr>
            <w:tcW w:w="951" w:type="pct"/>
            <w:tcBorders>
              <w:top w:val="single" w:sz="6" w:space="0" w:color="808080" w:themeColor="background1" w:themeShade="80"/>
              <w:bottom w:val="single" w:sz="6" w:space="0" w:color="808080" w:themeColor="background1" w:themeShade="80"/>
            </w:tcBorders>
          </w:tcPr>
          <w:p w14:paraId="66DC8AA9" w14:textId="66A82527" w:rsidR="007E4347" w:rsidRPr="0058458C" w:rsidRDefault="007E4347" w:rsidP="007E4347">
            <w:pPr>
              <w:pStyle w:val="TableText"/>
              <w:jc w:val="center"/>
            </w:pPr>
            <w:r w:rsidRPr="004B4B3A">
              <w:t>80.2%</w:t>
            </w:r>
          </w:p>
        </w:tc>
        <w:tc>
          <w:tcPr>
            <w:tcW w:w="950" w:type="pct"/>
            <w:tcBorders>
              <w:top w:val="single" w:sz="6" w:space="0" w:color="808080" w:themeColor="background1" w:themeShade="80"/>
              <w:bottom w:val="single" w:sz="6" w:space="0" w:color="808080" w:themeColor="background1" w:themeShade="80"/>
            </w:tcBorders>
          </w:tcPr>
          <w:p w14:paraId="35C060D8" w14:textId="77777777" w:rsidR="007E4347" w:rsidRPr="0058458C" w:rsidRDefault="007E4347" w:rsidP="007E4347">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30500414" w14:textId="77777777" w:rsidR="007E4347" w:rsidRPr="0058458C" w:rsidRDefault="007E4347" w:rsidP="007E4347">
            <w:pPr>
              <w:pStyle w:val="TableText"/>
              <w:jc w:val="center"/>
            </w:pPr>
            <w:r w:rsidRPr="0058458C">
              <w:t>95.0%</w:t>
            </w:r>
          </w:p>
        </w:tc>
      </w:tr>
      <w:tr w:rsidR="007E4347" w:rsidRPr="0058458C" w14:paraId="3C8DEE42"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657476C" w14:textId="77777777" w:rsidR="007E4347" w:rsidRPr="0058458C" w:rsidRDefault="007E4347" w:rsidP="007E4347">
            <w:pPr>
              <w:pStyle w:val="TableText"/>
              <w:ind w:left="245"/>
            </w:pPr>
            <w:r w:rsidRPr="0058458C">
              <w:t>18–24</w:t>
            </w:r>
          </w:p>
        </w:tc>
        <w:tc>
          <w:tcPr>
            <w:tcW w:w="951" w:type="pct"/>
            <w:tcBorders>
              <w:top w:val="single" w:sz="6" w:space="0" w:color="808080" w:themeColor="background1" w:themeShade="80"/>
              <w:bottom w:val="single" w:sz="6" w:space="0" w:color="808080" w:themeColor="background1" w:themeShade="80"/>
            </w:tcBorders>
          </w:tcPr>
          <w:p w14:paraId="1D5BD666" w14:textId="5BA63537" w:rsidR="007E4347" w:rsidRPr="0058458C" w:rsidRDefault="007E4347" w:rsidP="007E4347">
            <w:pPr>
              <w:pStyle w:val="TableText"/>
              <w:jc w:val="center"/>
            </w:pPr>
            <w:r w:rsidRPr="004B4B3A">
              <w:t>80.3%</w:t>
            </w:r>
          </w:p>
        </w:tc>
        <w:tc>
          <w:tcPr>
            <w:tcW w:w="950" w:type="pct"/>
            <w:tcBorders>
              <w:top w:val="single" w:sz="6" w:space="0" w:color="808080" w:themeColor="background1" w:themeShade="80"/>
              <w:bottom w:val="single" w:sz="6" w:space="0" w:color="808080" w:themeColor="background1" w:themeShade="80"/>
            </w:tcBorders>
          </w:tcPr>
          <w:p w14:paraId="673CCA90" w14:textId="77777777" w:rsidR="007E4347" w:rsidRPr="0058458C" w:rsidRDefault="007E4347" w:rsidP="007E4347">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2233E968" w14:textId="77777777" w:rsidR="007E4347" w:rsidRPr="0058458C" w:rsidRDefault="007E4347" w:rsidP="007E4347">
            <w:pPr>
              <w:pStyle w:val="TableText"/>
              <w:jc w:val="center"/>
            </w:pPr>
            <w:r w:rsidRPr="0058458C">
              <w:t>95.0%</w:t>
            </w:r>
          </w:p>
        </w:tc>
      </w:tr>
      <w:tr w:rsidR="007E4347" w:rsidRPr="0058458C" w14:paraId="5A96001B"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2BFA2BA6" w14:textId="77777777" w:rsidR="007E4347" w:rsidRPr="0058458C" w:rsidRDefault="007E4347" w:rsidP="007E4347">
            <w:pPr>
              <w:pStyle w:val="TableText"/>
              <w:ind w:left="245"/>
            </w:pPr>
            <w:r w:rsidRPr="0058458C">
              <w:t>25–34</w:t>
            </w:r>
          </w:p>
        </w:tc>
        <w:tc>
          <w:tcPr>
            <w:tcW w:w="951" w:type="pct"/>
            <w:tcBorders>
              <w:top w:val="single" w:sz="6" w:space="0" w:color="808080" w:themeColor="background1" w:themeShade="80"/>
              <w:bottom w:val="single" w:sz="6" w:space="0" w:color="808080" w:themeColor="background1" w:themeShade="80"/>
            </w:tcBorders>
          </w:tcPr>
          <w:p w14:paraId="376958B2" w14:textId="125455FA" w:rsidR="007E4347" w:rsidRPr="0058458C" w:rsidRDefault="007E4347" w:rsidP="007E4347">
            <w:pPr>
              <w:pStyle w:val="TableText"/>
              <w:jc w:val="center"/>
            </w:pPr>
            <w:r w:rsidRPr="004B4B3A">
              <w:t>79.0%</w:t>
            </w:r>
          </w:p>
        </w:tc>
        <w:tc>
          <w:tcPr>
            <w:tcW w:w="950" w:type="pct"/>
            <w:tcBorders>
              <w:top w:val="single" w:sz="6" w:space="0" w:color="808080" w:themeColor="background1" w:themeShade="80"/>
              <w:bottom w:val="single" w:sz="6" w:space="0" w:color="808080" w:themeColor="background1" w:themeShade="80"/>
            </w:tcBorders>
          </w:tcPr>
          <w:p w14:paraId="5F7C72E3" w14:textId="77777777" w:rsidR="007E4347" w:rsidRPr="0058458C" w:rsidRDefault="007E4347" w:rsidP="007E4347">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44506095" w14:textId="77777777" w:rsidR="007E4347" w:rsidRPr="0058458C" w:rsidRDefault="007E4347" w:rsidP="007E4347">
            <w:pPr>
              <w:pStyle w:val="TableText"/>
              <w:jc w:val="center"/>
            </w:pPr>
            <w:r w:rsidRPr="0058458C">
              <w:t>95.0%</w:t>
            </w:r>
          </w:p>
        </w:tc>
      </w:tr>
      <w:tr w:rsidR="007E4347" w:rsidRPr="0058458C" w14:paraId="1132A9E9"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78EECB1" w14:textId="77777777" w:rsidR="007E4347" w:rsidRPr="0058458C" w:rsidRDefault="007E4347" w:rsidP="007E4347">
            <w:pPr>
              <w:pStyle w:val="TableText"/>
              <w:ind w:left="245"/>
            </w:pPr>
            <w:r w:rsidRPr="0058458C">
              <w:t>35–44</w:t>
            </w:r>
          </w:p>
        </w:tc>
        <w:tc>
          <w:tcPr>
            <w:tcW w:w="951" w:type="pct"/>
            <w:tcBorders>
              <w:top w:val="single" w:sz="6" w:space="0" w:color="808080" w:themeColor="background1" w:themeShade="80"/>
              <w:bottom w:val="single" w:sz="6" w:space="0" w:color="808080" w:themeColor="background1" w:themeShade="80"/>
            </w:tcBorders>
          </w:tcPr>
          <w:p w14:paraId="511B16D2" w14:textId="487306E0" w:rsidR="007E4347" w:rsidRPr="0058458C" w:rsidRDefault="007E4347" w:rsidP="007E4347">
            <w:pPr>
              <w:pStyle w:val="TableText"/>
              <w:jc w:val="center"/>
            </w:pPr>
            <w:r w:rsidRPr="004B4B3A">
              <w:t>80.1%</w:t>
            </w:r>
          </w:p>
        </w:tc>
        <w:tc>
          <w:tcPr>
            <w:tcW w:w="950" w:type="pct"/>
            <w:tcBorders>
              <w:top w:val="single" w:sz="6" w:space="0" w:color="808080" w:themeColor="background1" w:themeShade="80"/>
              <w:bottom w:val="single" w:sz="6" w:space="0" w:color="808080" w:themeColor="background1" w:themeShade="80"/>
            </w:tcBorders>
          </w:tcPr>
          <w:p w14:paraId="17474BEF" w14:textId="77777777" w:rsidR="007E4347" w:rsidRPr="0058458C" w:rsidRDefault="007E4347" w:rsidP="007E4347">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2538DAE8" w14:textId="77777777" w:rsidR="007E4347" w:rsidRPr="0058458C" w:rsidRDefault="007E4347" w:rsidP="007E4347">
            <w:pPr>
              <w:pStyle w:val="TableText"/>
              <w:jc w:val="center"/>
            </w:pPr>
            <w:r w:rsidRPr="0058458C">
              <w:t>95.0%</w:t>
            </w:r>
          </w:p>
        </w:tc>
      </w:tr>
      <w:tr w:rsidR="007E4347" w:rsidRPr="0058458C" w14:paraId="32961B6C"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5FAD08E3" w14:textId="5395594E" w:rsidR="007E4347" w:rsidRPr="0058458C" w:rsidRDefault="007E4347" w:rsidP="007E4347">
            <w:pPr>
              <w:pStyle w:val="TableText"/>
              <w:ind w:left="245"/>
            </w:pPr>
            <w:r w:rsidRPr="0058458C">
              <w:t>45–54</w:t>
            </w:r>
          </w:p>
        </w:tc>
        <w:tc>
          <w:tcPr>
            <w:tcW w:w="951" w:type="pct"/>
            <w:tcBorders>
              <w:top w:val="single" w:sz="6" w:space="0" w:color="808080" w:themeColor="background1" w:themeShade="80"/>
              <w:bottom w:val="single" w:sz="6" w:space="0" w:color="808080" w:themeColor="background1" w:themeShade="80"/>
            </w:tcBorders>
          </w:tcPr>
          <w:p w14:paraId="0C3AE3FB" w14:textId="7FDB9BE8" w:rsidR="007E4347" w:rsidRPr="0058458C" w:rsidRDefault="007E4347" w:rsidP="007E4347">
            <w:pPr>
              <w:pStyle w:val="TableText"/>
              <w:jc w:val="center"/>
            </w:pPr>
            <w:r w:rsidRPr="004B4B3A">
              <w:t>79.3%</w:t>
            </w:r>
          </w:p>
        </w:tc>
        <w:tc>
          <w:tcPr>
            <w:tcW w:w="950" w:type="pct"/>
            <w:tcBorders>
              <w:top w:val="single" w:sz="6" w:space="0" w:color="808080" w:themeColor="background1" w:themeShade="80"/>
              <w:bottom w:val="single" w:sz="6" w:space="0" w:color="808080" w:themeColor="background1" w:themeShade="80"/>
            </w:tcBorders>
          </w:tcPr>
          <w:p w14:paraId="4A48BCCB" w14:textId="77777777" w:rsidR="007E4347" w:rsidRPr="0058458C" w:rsidRDefault="007E4347" w:rsidP="007E4347">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637FA2D1" w14:textId="77777777" w:rsidR="007E4347" w:rsidRPr="0058458C" w:rsidRDefault="007E4347" w:rsidP="007E4347">
            <w:pPr>
              <w:pStyle w:val="TableText"/>
              <w:jc w:val="center"/>
            </w:pPr>
            <w:r w:rsidRPr="0058458C">
              <w:t>95.0%</w:t>
            </w:r>
          </w:p>
        </w:tc>
      </w:tr>
      <w:tr w:rsidR="007E4347" w:rsidRPr="0058458C" w14:paraId="4927A34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3A6BC80" w14:textId="238FD6B6" w:rsidR="007E4347" w:rsidRPr="0058458C" w:rsidRDefault="007E4347" w:rsidP="007E4347">
            <w:pPr>
              <w:pStyle w:val="TableText"/>
              <w:ind w:left="245"/>
            </w:pPr>
            <w:r w:rsidRPr="0058458C">
              <w:t>55–64</w:t>
            </w:r>
          </w:p>
        </w:tc>
        <w:tc>
          <w:tcPr>
            <w:tcW w:w="951" w:type="pct"/>
            <w:tcBorders>
              <w:top w:val="single" w:sz="6" w:space="0" w:color="808080" w:themeColor="background1" w:themeShade="80"/>
              <w:bottom w:val="single" w:sz="6" w:space="0" w:color="808080" w:themeColor="background1" w:themeShade="80"/>
            </w:tcBorders>
          </w:tcPr>
          <w:p w14:paraId="6E9A522A" w14:textId="26F92000" w:rsidR="007E4347" w:rsidRPr="0058458C" w:rsidRDefault="007E4347" w:rsidP="007E4347">
            <w:pPr>
              <w:pStyle w:val="TableText"/>
              <w:jc w:val="center"/>
            </w:pPr>
            <w:r w:rsidRPr="004B4B3A">
              <w:t>79.7%</w:t>
            </w:r>
          </w:p>
        </w:tc>
        <w:tc>
          <w:tcPr>
            <w:tcW w:w="950" w:type="pct"/>
            <w:tcBorders>
              <w:top w:val="single" w:sz="6" w:space="0" w:color="808080" w:themeColor="background1" w:themeShade="80"/>
              <w:bottom w:val="single" w:sz="6" w:space="0" w:color="808080" w:themeColor="background1" w:themeShade="80"/>
            </w:tcBorders>
          </w:tcPr>
          <w:p w14:paraId="314F0307" w14:textId="77777777" w:rsidR="007E4347" w:rsidRPr="0058458C" w:rsidRDefault="007E4347" w:rsidP="007E4347">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3F34016E" w14:textId="77777777" w:rsidR="007E4347" w:rsidRPr="0058458C" w:rsidRDefault="007E4347" w:rsidP="007E4347">
            <w:pPr>
              <w:pStyle w:val="TableText"/>
              <w:jc w:val="center"/>
            </w:pPr>
            <w:r w:rsidRPr="0058458C">
              <w:t>95.0%</w:t>
            </w:r>
          </w:p>
        </w:tc>
      </w:tr>
      <w:tr w:rsidR="007E4347" w:rsidRPr="0058458C" w14:paraId="4810EF28"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10B02EEB" w14:textId="77777777" w:rsidR="007E4347" w:rsidRPr="0058458C" w:rsidRDefault="007E4347" w:rsidP="007E4347">
            <w:pPr>
              <w:pStyle w:val="TableText"/>
              <w:ind w:left="245"/>
            </w:pPr>
            <w:r w:rsidRPr="0058458C">
              <w:t>65+</w:t>
            </w:r>
          </w:p>
        </w:tc>
        <w:tc>
          <w:tcPr>
            <w:tcW w:w="951" w:type="pct"/>
            <w:tcBorders>
              <w:top w:val="single" w:sz="6" w:space="0" w:color="808080" w:themeColor="background1" w:themeShade="80"/>
              <w:bottom w:val="single" w:sz="6" w:space="0" w:color="808080" w:themeColor="background1" w:themeShade="80"/>
            </w:tcBorders>
          </w:tcPr>
          <w:p w14:paraId="5204A976" w14:textId="3E4D5846" w:rsidR="007E4347" w:rsidRPr="0058458C" w:rsidRDefault="007E4347" w:rsidP="007E4347">
            <w:pPr>
              <w:pStyle w:val="TableText"/>
              <w:jc w:val="center"/>
            </w:pPr>
            <w:r w:rsidRPr="004B4B3A">
              <w:t>79.5%</w:t>
            </w:r>
          </w:p>
        </w:tc>
        <w:tc>
          <w:tcPr>
            <w:tcW w:w="950" w:type="pct"/>
            <w:tcBorders>
              <w:top w:val="single" w:sz="6" w:space="0" w:color="808080" w:themeColor="background1" w:themeShade="80"/>
              <w:bottom w:val="single" w:sz="6" w:space="0" w:color="808080" w:themeColor="background1" w:themeShade="80"/>
            </w:tcBorders>
          </w:tcPr>
          <w:p w14:paraId="17E607A2" w14:textId="77777777" w:rsidR="007E4347" w:rsidRPr="0058458C" w:rsidRDefault="007E4347" w:rsidP="007E4347">
            <w:pPr>
              <w:pStyle w:val="TableText"/>
              <w:jc w:val="center"/>
            </w:pPr>
            <w:r w:rsidRPr="0058458C">
              <w:t>65.0%</w:t>
            </w:r>
          </w:p>
        </w:tc>
        <w:tc>
          <w:tcPr>
            <w:tcW w:w="949" w:type="pct"/>
            <w:tcBorders>
              <w:top w:val="single" w:sz="6" w:space="0" w:color="808080" w:themeColor="background1" w:themeShade="80"/>
              <w:bottom w:val="single" w:sz="6" w:space="0" w:color="808080" w:themeColor="background1" w:themeShade="80"/>
            </w:tcBorders>
          </w:tcPr>
          <w:p w14:paraId="6EBF9DAD" w14:textId="77777777" w:rsidR="007E4347" w:rsidRPr="0058458C" w:rsidRDefault="007E4347" w:rsidP="007E4347">
            <w:pPr>
              <w:pStyle w:val="TableText"/>
              <w:jc w:val="center"/>
            </w:pPr>
            <w:r w:rsidRPr="0058458C">
              <w:t>95.0%</w:t>
            </w:r>
          </w:p>
        </w:tc>
      </w:tr>
      <w:tr w:rsidR="00345E40" w:rsidRPr="0058458C" w14:paraId="4A7C707A" w14:textId="77777777" w:rsidTr="00345E40">
        <w:trPr>
          <w:cantSplit/>
        </w:trPr>
        <w:tc>
          <w:tcPr>
            <w:tcW w:w="5000" w:type="pct"/>
            <w:gridSpan w:val="4"/>
            <w:tcBorders>
              <w:top w:val="single" w:sz="6" w:space="0" w:color="808080" w:themeColor="background1" w:themeShade="80"/>
              <w:bottom w:val="single" w:sz="6" w:space="0" w:color="808080" w:themeColor="background1" w:themeShade="80"/>
            </w:tcBorders>
          </w:tcPr>
          <w:p w14:paraId="451ED273" w14:textId="49F1C3E5" w:rsidR="00345E40" w:rsidRPr="00E832D1" w:rsidRDefault="00345E40" w:rsidP="00345E40">
            <w:pPr>
              <w:pStyle w:val="TableText"/>
            </w:pPr>
            <w:r w:rsidRPr="00E832D1">
              <w:t>Adjustment factor for number of years in each age interval</w:t>
            </w:r>
          </w:p>
        </w:tc>
      </w:tr>
      <w:tr w:rsidR="007E4347" w:rsidRPr="0058458C" w14:paraId="327DCEC6"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66003019" w14:textId="52DF09A2" w:rsidR="007E4347" w:rsidRPr="00E832D1" w:rsidRDefault="007E4347" w:rsidP="007E4347">
            <w:pPr>
              <w:pStyle w:val="TableText"/>
              <w:ind w:left="245"/>
            </w:pPr>
            <w:r w:rsidRPr="00E832D1">
              <w:t>13–17</w:t>
            </w:r>
          </w:p>
        </w:tc>
        <w:tc>
          <w:tcPr>
            <w:tcW w:w="951" w:type="pct"/>
            <w:tcBorders>
              <w:top w:val="single" w:sz="6" w:space="0" w:color="808080" w:themeColor="background1" w:themeShade="80"/>
              <w:bottom w:val="single" w:sz="6" w:space="0" w:color="808080" w:themeColor="background1" w:themeShade="80"/>
            </w:tcBorders>
          </w:tcPr>
          <w:p w14:paraId="30420B52" w14:textId="384038B7" w:rsidR="007E4347" w:rsidRPr="00E832D1" w:rsidRDefault="007E4347" w:rsidP="007E4347">
            <w:pPr>
              <w:pStyle w:val="TableText"/>
              <w:jc w:val="center"/>
              <w:rPr>
                <w:i/>
                <w:iCs/>
              </w:rPr>
            </w:pPr>
            <w:r w:rsidRPr="00CD6798">
              <w:t>1.0</w:t>
            </w:r>
          </w:p>
        </w:tc>
        <w:tc>
          <w:tcPr>
            <w:tcW w:w="950" w:type="pct"/>
            <w:tcBorders>
              <w:top w:val="single" w:sz="6" w:space="0" w:color="808080" w:themeColor="background1" w:themeShade="80"/>
              <w:bottom w:val="single" w:sz="6" w:space="0" w:color="808080" w:themeColor="background1" w:themeShade="80"/>
            </w:tcBorders>
          </w:tcPr>
          <w:p w14:paraId="70B91344" w14:textId="39DA39FD" w:rsidR="007E4347" w:rsidRPr="006E7529" w:rsidRDefault="007E4347" w:rsidP="007E4347">
            <w:pPr>
              <w:pStyle w:val="TableText"/>
              <w:jc w:val="center"/>
            </w:pPr>
            <w:r w:rsidRPr="006E7529">
              <w:t>0.5</w:t>
            </w:r>
          </w:p>
        </w:tc>
        <w:tc>
          <w:tcPr>
            <w:tcW w:w="949" w:type="pct"/>
            <w:tcBorders>
              <w:top w:val="single" w:sz="6" w:space="0" w:color="808080" w:themeColor="background1" w:themeShade="80"/>
              <w:bottom w:val="single" w:sz="6" w:space="0" w:color="808080" w:themeColor="background1" w:themeShade="80"/>
            </w:tcBorders>
          </w:tcPr>
          <w:p w14:paraId="072506AD" w14:textId="7CBEBE8E" w:rsidR="007E4347" w:rsidRPr="006E7529" w:rsidRDefault="007E4347" w:rsidP="007E4347">
            <w:pPr>
              <w:pStyle w:val="TableText"/>
              <w:jc w:val="center"/>
            </w:pPr>
            <w:r w:rsidRPr="006E7529">
              <w:t>3.0</w:t>
            </w:r>
          </w:p>
        </w:tc>
      </w:tr>
      <w:tr w:rsidR="007E4347" w:rsidRPr="0058458C" w14:paraId="2F895D3F"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12888CA" w14:textId="51816098" w:rsidR="007E4347" w:rsidRPr="00E832D1" w:rsidRDefault="007E4347" w:rsidP="007E4347">
            <w:pPr>
              <w:pStyle w:val="TableText"/>
              <w:ind w:left="245"/>
            </w:pPr>
            <w:r w:rsidRPr="00E832D1">
              <w:t>18–24</w:t>
            </w:r>
          </w:p>
        </w:tc>
        <w:tc>
          <w:tcPr>
            <w:tcW w:w="951" w:type="pct"/>
            <w:tcBorders>
              <w:top w:val="single" w:sz="6" w:space="0" w:color="808080" w:themeColor="background1" w:themeShade="80"/>
              <w:bottom w:val="single" w:sz="6" w:space="0" w:color="808080" w:themeColor="background1" w:themeShade="80"/>
            </w:tcBorders>
          </w:tcPr>
          <w:p w14:paraId="0B145B64" w14:textId="12CCA2AB" w:rsidR="007E4347" w:rsidRPr="00E832D1" w:rsidRDefault="007E4347" w:rsidP="007E4347">
            <w:pPr>
              <w:pStyle w:val="TableText"/>
              <w:jc w:val="center"/>
              <w:rPr>
                <w:i/>
                <w:iCs/>
              </w:rPr>
            </w:pPr>
            <w:r w:rsidRPr="00CD6798">
              <w:t>1.0</w:t>
            </w:r>
          </w:p>
        </w:tc>
        <w:tc>
          <w:tcPr>
            <w:tcW w:w="950" w:type="pct"/>
            <w:tcBorders>
              <w:top w:val="single" w:sz="6" w:space="0" w:color="808080" w:themeColor="background1" w:themeShade="80"/>
              <w:bottom w:val="single" w:sz="6" w:space="0" w:color="808080" w:themeColor="background1" w:themeShade="80"/>
            </w:tcBorders>
          </w:tcPr>
          <w:p w14:paraId="2702D30A" w14:textId="0E74C361" w:rsidR="007E4347" w:rsidRPr="006E7529" w:rsidRDefault="007E4347" w:rsidP="007E4347">
            <w:pPr>
              <w:pStyle w:val="TableText"/>
              <w:jc w:val="center"/>
            </w:pPr>
            <w:r w:rsidRPr="006E7529">
              <w:t>0.5</w:t>
            </w:r>
          </w:p>
        </w:tc>
        <w:tc>
          <w:tcPr>
            <w:tcW w:w="949" w:type="pct"/>
            <w:tcBorders>
              <w:top w:val="single" w:sz="6" w:space="0" w:color="808080" w:themeColor="background1" w:themeShade="80"/>
              <w:bottom w:val="single" w:sz="6" w:space="0" w:color="808080" w:themeColor="background1" w:themeShade="80"/>
            </w:tcBorders>
          </w:tcPr>
          <w:p w14:paraId="3266DF18" w14:textId="30780854" w:rsidR="007E4347" w:rsidRPr="006E7529" w:rsidRDefault="007E4347" w:rsidP="007E4347">
            <w:pPr>
              <w:pStyle w:val="TableText"/>
              <w:jc w:val="center"/>
            </w:pPr>
            <w:r w:rsidRPr="006E7529">
              <w:t>3.0</w:t>
            </w:r>
          </w:p>
        </w:tc>
      </w:tr>
      <w:tr w:rsidR="007E4347" w:rsidRPr="0058458C" w14:paraId="0922BD5A"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9A83432" w14:textId="6B6391C4" w:rsidR="007E4347" w:rsidRPr="00E832D1" w:rsidRDefault="007E4347" w:rsidP="007E4347">
            <w:pPr>
              <w:pStyle w:val="TableText"/>
              <w:ind w:left="245"/>
            </w:pPr>
            <w:r w:rsidRPr="00E832D1">
              <w:t>25–34</w:t>
            </w:r>
          </w:p>
        </w:tc>
        <w:tc>
          <w:tcPr>
            <w:tcW w:w="951" w:type="pct"/>
            <w:tcBorders>
              <w:top w:val="single" w:sz="6" w:space="0" w:color="808080" w:themeColor="background1" w:themeShade="80"/>
              <w:bottom w:val="single" w:sz="6" w:space="0" w:color="808080" w:themeColor="background1" w:themeShade="80"/>
            </w:tcBorders>
          </w:tcPr>
          <w:p w14:paraId="44E74931" w14:textId="4F8939F6" w:rsidR="007E4347" w:rsidRPr="00E832D1" w:rsidRDefault="007E4347" w:rsidP="007E4347">
            <w:pPr>
              <w:pStyle w:val="TableText"/>
              <w:jc w:val="center"/>
              <w:rPr>
                <w:i/>
                <w:iCs/>
              </w:rPr>
            </w:pPr>
            <w:r w:rsidRPr="00CD6798">
              <w:t>1.0</w:t>
            </w:r>
          </w:p>
        </w:tc>
        <w:tc>
          <w:tcPr>
            <w:tcW w:w="950" w:type="pct"/>
            <w:tcBorders>
              <w:top w:val="single" w:sz="6" w:space="0" w:color="808080" w:themeColor="background1" w:themeShade="80"/>
              <w:bottom w:val="single" w:sz="6" w:space="0" w:color="808080" w:themeColor="background1" w:themeShade="80"/>
            </w:tcBorders>
          </w:tcPr>
          <w:p w14:paraId="77EFAD58" w14:textId="4BAADFB8" w:rsidR="007E4347" w:rsidRPr="006E7529" w:rsidRDefault="007E4347" w:rsidP="007E4347">
            <w:pPr>
              <w:pStyle w:val="TableText"/>
              <w:jc w:val="center"/>
            </w:pPr>
            <w:r w:rsidRPr="006E7529">
              <w:t>0.5</w:t>
            </w:r>
          </w:p>
        </w:tc>
        <w:tc>
          <w:tcPr>
            <w:tcW w:w="949" w:type="pct"/>
            <w:tcBorders>
              <w:top w:val="single" w:sz="6" w:space="0" w:color="808080" w:themeColor="background1" w:themeShade="80"/>
              <w:bottom w:val="single" w:sz="6" w:space="0" w:color="808080" w:themeColor="background1" w:themeShade="80"/>
            </w:tcBorders>
          </w:tcPr>
          <w:p w14:paraId="40DA1349" w14:textId="75556D82" w:rsidR="007E4347" w:rsidRPr="006E7529" w:rsidRDefault="007E4347" w:rsidP="007E4347">
            <w:pPr>
              <w:pStyle w:val="TableText"/>
              <w:jc w:val="center"/>
            </w:pPr>
            <w:r w:rsidRPr="006E7529">
              <w:t>3.0</w:t>
            </w:r>
          </w:p>
        </w:tc>
      </w:tr>
      <w:tr w:rsidR="007E4347" w:rsidRPr="0058458C" w14:paraId="34F7C48E"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752B8834" w14:textId="65DBF148" w:rsidR="007E4347" w:rsidRPr="00E832D1" w:rsidRDefault="007E4347" w:rsidP="007E4347">
            <w:pPr>
              <w:pStyle w:val="TableText"/>
              <w:ind w:left="245"/>
            </w:pPr>
            <w:r w:rsidRPr="00E832D1">
              <w:t>35–44</w:t>
            </w:r>
          </w:p>
        </w:tc>
        <w:tc>
          <w:tcPr>
            <w:tcW w:w="951" w:type="pct"/>
            <w:tcBorders>
              <w:top w:val="single" w:sz="6" w:space="0" w:color="808080" w:themeColor="background1" w:themeShade="80"/>
              <w:bottom w:val="single" w:sz="6" w:space="0" w:color="808080" w:themeColor="background1" w:themeShade="80"/>
            </w:tcBorders>
          </w:tcPr>
          <w:p w14:paraId="221532F2" w14:textId="5E8162EA" w:rsidR="007E4347" w:rsidRPr="00E832D1" w:rsidRDefault="007E4347" w:rsidP="007E4347">
            <w:pPr>
              <w:pStyle w:val="TableText"/>
              <w:jc w:val="center"/>
              <w:rPr>
                <w:i/>
                <w:iCs/>
              </w:rPr>
            </w:pPr>
            <w:r w:rsidRPr="00CD6798">
              <w:t>1.0</w:t>
            </w:r>
          </w:p>
        </w:tc>
        <w:tc>
          <w:tcPr>
            <w:tcW w:w="950" w:type="pct"/>
            <w:tcBorders>
              <w:top w:val="single" w:sz="6" w:space="0" w:color="808080" w:themeColor="background1" w:themeShade="80"/>
              <w:bottom w:val="single" w:sz="6" w:space="0" w:color="808080" w:themeColor="background1" w:themeShade="80"/>
            </w:tcBorders>
          </w:tcPr>
          <w:p w14:paraId="225031BA" w14:textId="632199EE" w:rsidR="007E4347" w:rsidRPr="006E7529" w:rsidRDefault="007E4347" w:rsidP="007E4347">
            <w:pPr>
              <w:pStyle w:val="TableText"/>
              <w:jc w:val="center"/>
            </w:pPr>
            <w:r w:rsidRPr="006E7529">
              <w:t>0.5</w:t>
            </w:r>
          </w:p>
        </w:tc>
        <w:tc>
          <w:tcPr>
            <w:tcW w:w="949" w:type="pct"/>
            <w:tcBorders>
              <w:top w:val="single" w:sz="6" w:space="0" w:color="808080" w:themeColor="background1" w:themeShade="80"/>
              <w:bottom w:val="single" w:sz="6" w:space="0" w:color="808080" w:themeColor="background1" w:themeShade="80"/>
            </w:tcBorders>
          </w:tcPr>
          <w:p w14:paraId="79906ECE" w14:textId="1B1B333A" w:rsidR="007E4347" w:rsidRPr="006E7529" w:rsidRDefault="007E4347" w:rsidP="007E4347">
            <w:pPr>
              <w:pStyle w:val="TableText"/>
              <w:jc w:val="center"/>
            </w:pPr>
            <w:r w:rsidRPr="006E7529">
              <w:t>3.0</w:t>
            </w:r>
          </w:p>
        </w:tc>
      </w:tr>
      <w:tr w:rsidR="007E4347" w:rsidRPr="0058458C" w14:paraId="2552C7F9"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0CCADF38" w14:textId="41C43258" w:rsidR="007E4347" w:rsidRPr="00E832D1" w:rsidRDefault="007E4347" w:rsidP="007E4347">
            <w:pPr>
              <w:pStyle w:val="TableText"/>
              <w:ind w:left="245"/>
            </w:pPr>
            <w:r w:rsidRPr="00E832D1">
              <w:t>45–54</w:t>
            </w:r>
          </w:p>
        </w:tc>
        <w:tc>
          <w:tcPr>
            <w:tcW w:w="951" w:type="pct"/>
            <w:tcBorders>
              <w:top w:val="single" w:sz="6" w:space="0" w:color="808080" w:themeColor="background1" w:themeShade="80"/>
              <w:bottom w:val="single" w:sz="6" w:space="0" w:color="808080" w:themeColor="background1" w:themeShade="80"/>
            </w:tcBorders>
          </w:tcPr>
          <w:p w14:paraId="5DE21739" w14:textId="24BC8EF7" w:rsidR="007E4347" w:rsidRPr="00E832D1" w:rsidRDefault="007E4347" w:rsidP="007E4347">
            <w:pPr>
              <w:pStyle w:val="TableText"/>
              <w:jc w:val="center"/>
              <w:rPr>
                <w:i/>
                <w:iCs/>
              </w:rPr>
            </w:pPr>
            <w:r w:rsidRPr="00CD6798">
              <w:t>1.0</w:t>
            </w:r>
          </w:p>
        </w:tc>
        <w:tc>
          <w:tcPr>
            <w:tcW w:w="950" w:type="pct"/>
            <w:tcBorders>
              <w:top w:val="single" w:sz="6" w:space="0" w:color="808080" w:themeColor="background1" w:themeShade="80"/>
              <w:bottom w:val="single" w:sz="6" w:space="0" w:color="808080" w:themeColor="background1" w:themeShade="80"/>
            </w:tcBorders>
          </w:tcPr>
          <w:p w14:paraId="45A1C22B" w14:textId="63D9C4F5" w:rsidR="007E4347" w:rsidRPr="006E7529" w:rsidRDefault="007E4347" w:rsidP="007E4347">
            <w:pPr>
              <w:pStyle w:val="TableText"/>
              <w:jc w:val="center"/>
            </w:pPr>
            <w:r w:rsidRPr="006E7529">
              <w:t>0.5</w:t>
            </w:r>
          </w:p>
        </w:tc>
        <w:tc>
          <w:tcPr>
            <w:tcW w:w="949" w:type="pct"/>
            <w:tcBorders>
              <w:top w:val="single" w:sz="6" w:space="0" w:color="808080" w:themeColor="background1" w:themeShade="80"/>
              <w:bottom w:val="single" w:sz="6" w:space="0" w:color="808080" w:themeColor="background1" w:themeShade="80"/>
            </w:tcBorders>
          </w:tcPr>
          <w:p w14:paraId="69A2CB01" w14:textId="3465D627" w:rsidR="007E4347" w:rsidRPr="006E7529" w:rsidRDefault="007E4347" w:rsidP="007E4347">
            <w:pPr>
              <w:pStyle w:val="TableText"/>
              <w:jc w:val="center"/>
            </w:pPr>
            <w:r w:rsidRPr="006E7529">
              <w:t>3.0</w:t>
            </w:r>
          </w:p>
        </w:tc>
      </w:tr>
      <w:tr w:rsidR="007E4347" w:rsidRPr="0058458C" w14:paraId="14E68500" w14:textId="77777777" w:rsidTr="003E06E9">
        <w:trPr>
          <w:cantSplit/>
        </w:trPr>
        <w:tc>
          <w:tcPr>
            <w:tcW w:w="2150" w:type="pct"/>
            <w:tcBorders>
              <w:top w:val="single" w:sz="6" w:space="0" w:color="808080" w:themeColor="background1" w:themeShade="80"/>
              <w:bottom w:val="single" w:sz="6" w:space="0" w:color="808080" w:themeColor="background1" w:themeShade="80"/>
            </w:tcBorders>
          </w:tcPr>
          <w:p w14:paraId="4C028FFB" w14:textId="1ECC35FC" w:rsidR="007E4347" w:rsidRPr="00E832D1" w:rsidRDefault="007E4347" w:rsidP="007E4347">
            <w:pPr>
              <w:pStyle w:val="TableText"/>
              <w:ind w:left="245"/>
            </w:pPr>
            <w:r w:rsidRPr="00E832D1">
              <w:t>55–64</w:t>
            </w:r>
          </w:p>
        </w:tc>
        <w:tc>
          <w:tcPr>
            <w:tcW w:w="951" w:type="pct"/>
            <w:tcBorders>
              <w:top w:val="single" w:sz="6" w:space="0" w:color="808080" w:themeColor="background1" w:themeShade="80"/>
              <w:bottom w:val="single" w:sz="6" w:space="0" w:color="808080" w:themeColor="background1" w:themeShade="80"/>
            </w:tcBorders>
          </w:tcPr>
          <w:p w14:paraId="195A66CE" w14:textId="70C5590B" w:rsidR="007E4347" w:rsidRPr="00E832D1" w:rsidRDefault="007E4347" w:rsidP="007E4347">
            <w:pPr>
              <w:pStyle w:val="TableText"/>
              <w:jc w:val="center"/>
              <w:rPr>
                <w:i/>
                <w:iCs/>
              </w:rPr>
            </w:pPr>
            <w:r w:rsidRPr="00CD6798">
              <w:t>1.0</w:t>
            </w:r>
          </w:p>
        </w:tc>
        <w:tc>
          <w:tcPr>
            <w:tcW w:w="950" w:type="pct"/>
            <w:tcBorders>
              <w:top w:val="single" w:sz="6" w:space="0" w:color="808080" w:themeColor="background1" w:themeShade="80"/>
              <w:bottom w:val="single" w:sz="6" w:space="0" w:color="808080" w:themeColor="background1" w:themeShade="80"/>
            </w:tcBorders>
          </w:tcPr>
          <w:p w14:paraId="3C269F6A" w14:textId="1338305D" w:rsidR="007E4347" w:rsidRPr="006E7529" w:rsidRDefault="007E4347" w:rsidP="007E4347">
            <w:pPr>
              <w:pStyle w:val="TableText"/>
              <w:jc w:val="center"/>
            </w:pPr>
            <w:r w:rsidRPr="006E7529">
              <w:t>0.5</w:t>
            </w:r>
          </w:p>
        </w:tc>
        <w:tc>
          <w:tcPr>
            <w:tcW w:w="949" w:type="pct"/>
            <w:tcBorders>
              <w:top w:val="single" w:sz="6" w:space="0" w:color="808080" w:themeColor="background1" w:themeShade="80"/>
              <w:bottom w:val="single" w:sz="6" w:space="0" w:color="808080" w:themeColor="background1" w:themeShade="80"/>
            </w:tcBorders>
          </w:tcPr>
          <w:p w14:paraId="30BE704A" w14:textId="6DA42504" w:rsidR="007E4347" w:rsidRPr="006E7529" w:rsidRDefault="007E4347" w:rsidP="007E4347">
            <w:pPr>
              <w:pStyle w:val="TableText"/>
              <w:jc w:val="center"/>
            </w:pPr>
            <w:r w:rsidRPr="006E7529">
              <w:t>3.0</w:t>
            </w:r>
          </w:p>
        </w:tc>
      </w:tr>
    </w:tbl>
    <w:p w14:paraId="3B17D449" w14:textId="0612C72A" w:rsidR="003222D9" w:rsidRPr="0058458C" w:rsidRDefault="003222D9" w:rsidP="003222D9">
      <w:pPr>
        <w:pStyle w:val="table-continued"/>
      </w:pPr>
      <w:r w:rsidRPr="0058458C">
        <w:t>(continued)</w:t>
      </w:r>
      <w:r w:rsidRPr="0058458C">
        <w:rPr>
          <w:sz w:val="20"/>
        </w:rPr>
        <w:br w:type="page"/>
      </w:r>
    </w:p>
    <w:p w14:paraId="3BD3EEAE" w14:textId="3557B356" w:rsidR="003222D9" w:rsidRPr="0058458C" w:rsidRDefault="003222D9" w:rsidP="003222D9">
      <w:pPr>
        <w:pStyle w:val="TableTitlecont"/>
      </w:pPr>
      <w:r w:rsidRPr="0058458C">
        <w:lastRenderedPageBreak/>
        <w:t xml:space="preserve">Table </w:t>
      </w:r>
      <w:r w:rsidR="0005114B" w:rsidRPr="0058458C">
        <w:t>1</w:t>
      </w:r>
      <w:r w:rsidR="0005114B">
        <w:t>0</w:t>
      </w:r>
      <w:r w:rsidRPr="0058458C">
        <w:t>.2.</w:t>
      </w:r>
      <w:r w:rsidRPr="0058458C">
        <w:tab/>
        <w:t xml:space="preserve">Bounds and Final Values of Inputs Defining Behaviors and Infectivity Varied in </w:t>
      </w:r>
      <w:proofErr w:type="spellStart"/>
      <w:r w:rsidRPr="0058458C">
        <w:t>Calibration</w:t>
      </w:r>
      <w:r w:rsidRPr="0058458C">
        <w:rPr>
          <w:vertAlign w:val="superscript"/>
        </w:rPr>
        <w:t>a</w:t>
      </w:r>
      <w:proofErr w:type="spellEnd"/>
      <w:r w:rsidRPr="0058458C">
        <w:t xml:space="preserve"> (continued)</w:t>
      </w:r>
    </w:p>
    <w:tbl>
      <w:tblPr>
        <w:tblW w:w="5000" w:type="pct"/>
        <w:tblBorders>
          <w:top w:val="single" w:sz="12" w:space="0" w:color="auto"/>
          <w:bottom w:val="single" w:sz="12" w:space="0" w:color="auto"/>
        </w:tblBorders>
        <w:tblCellMar>
          <w:left w:w="115" w:type="dxa"/>
          <w:right w:w="115" w:type="dxa"/>
        </w:tblCellMar>
        <w:tblLook w:val="04A0" w:firstRow="1" w:lastRow="0" w:firstColumn="1" w:lastColumn="0" w:noHBand="0" w:noVBand="1"/>
      </w:tblPr>
      <w:tblGrid>
        <w:gridCol w:w="4025"/>
        <w:gridCol w:w="1780"/>
        <w:gridCol w:w="1778"/>
        <w:gridCol w:w="1777"/>
      </w:tblGrid>
      <w:tr w:rsidR="003222D9" w:rsidRPr="0058458C" w14:paraId="33378F34" w14:textId="77777777" w:rsidTr="003E06E9">
        <w:trPr>
          <w:cantSplit/>
          <w:tblHeader/>
        </w:trPr>
        <w:tc>
          <w:tcPr>
            <w:tcW w:w="2150" w:type="pct"/>
            <w:tcBorders>
              <w:top w:val="single" w:sz="12" w:space="0" w:color="auto"/>
              <w:bottom w:val="single" w:sz="6" w:space="0" w:color="auto"/>
            </w:tcBorders>
            <w:vAlign w:val="bottom"/>
          </w:tcPr>
          <w:p w14:paraId="4C7854D0" w14:textId="77777777" w:rsidR="003222D9" w:rsidRPr="0058458C" w:rsidRDefault="003222D9" w:rsidP="003E06E9">
            <w:pPr>
              <w:pStyle w:val="TableHeaders"/>
            </w:pPr>
            <w:r w:rsidRPr="0058458C">
              <w:t>Parameter</w:t>
            </w:r>
          </w:p>
        </w:tc>
        <w:tc>
          <w:tcPr>
            <w:tcW w:w="951" w:type="pct"/>
            <w:tcBorders>
              <w:top w:val="single" w:sz="12" w:space="0" w:color="auto"/>
              <w:bottom w:val="single" w:sz="6" w:space="0" w:color="auto"/>
            </w:tcBorders>
            <w:vAlign w:val="bottom"/>
          </w:tcPr>
          <w:p w14:paraId="3F5A93F7" w14:textId="77777777" w:rsidR="003222D9" w:rsidRPr="0058458C" w:rsidRDefault="003222D9" w:rsidP="003E06E9">
            <w:pPr>
              <w:pStyle w:val="TableHeaders"/>
            </w:pPr>
            <w:r w:rsidRPr="0058458C">
              <w:t>Calibrated Value</w:t>
            </w:r>
          </w:p>
        </w:tc>
        <w:tc>
          <w:tcPr>
            <w:tcW w:w="950" w:type="pct"/>
            <w:tcBorders>
              <w:top w:val="single" w:sz="12" w:space="0" w:color="auto"/>
              <w:bottom w:val="single" w:sz="6" w:space="0" w:color="auto"/>
            </w:tcBorders>
            <w:vAlign w:val="bottom"/>
          </w:tcPr>
          <w:p w14:paraId="10EB53DC" w14:textId="77777777" w:rsidR="003222D9" w:rsidRPr="0058458C" w:rsidRDefault="003222D9" w:rsidP="003E06E9">
            <w:pPr>
              <w:pStyle w:val="TableHeaders"/>
            </w:pPr>
            <w:r w:rsidRPr="0058458C">
              <w:t>Lower Bound</w:t>
            </w:r>
          </w:p>
        </w:tc>
        <w:tc>
          <w:tcPr>
            <w:tcW w:w="949" w:type="pct"/>
            <w:tcBorders>
              <w:top w:val="single" w:sz="12" w:space="0" w:color="auto"/>
              <w:bottom w:val="single" w:sz="6" w:space="0" w:color="auto"/>
            </w:tcBorders>
            <w:vAlign w:val="bottom"/>
          </w:tcPr>
          <w:p w14:paraId="2EFCCC54" w14:textId="77777777" w:rsidR="003222D9" w:rsidRPr="0058458C" w:rsidRDefault="003222D9" w:rsidP="003E06E9">
            <w:pPr>
              <w:pStyle w:val="TableHeaders"/>
            </w:pPr>
            <w:r w:rsidRPr="0058458C">
              <w:t>Upper Bound</w:t>
            </w:r>
          </w:p>
        </w:tc>
      </w:tr>
      <w:tr w:rsidR="008261F3" w:rsidRPr="0058458C" w14:paraId="4DA8FAC2" w14:textId="77777777" w:rsidTr="00BA30F7">
        <w:trPr>
          <w:cantSplit/>
        </w:trPr>
        <w:tc>
          <w:tcPr>
            <w:tcW w:w="3101" w:type="pct"/>
            <w:gridSpan w:val="2"/>
            <w:tcBorders>
              <w:top w:val="single" w:sz="6" w:space="0" w:color="808080" w:themeColor="background1" w:themeShade="80"/>
              <w:bottom w:val="single" w:sz="6" w:space="0" w:color="808080" w:themeColor="background1" w:themeShade="80"/>
            </w:tcBorders>
          </w:tcPr>
          <w:p w14:paraId="03E59A05" w14:textId="77777777" w:rsidR="008261F3" w:rsidRPr="0058458C" w:rsidRDefault="008261F3" w:rsidP="00BA30F7">
            <w:pPr>
              <w:pStyle w:val="TableText"/>
            </w:pPr>
            <w:r w:rsidRPr="0058458C">
              <w:t>Length of time (in years) in each HIV stage if ART-not-VLS</w:t>
            </w:r>
          </w:p>
        </w:tc>
        <w:tc>
          <w:tcPr>
            <w:tcW w:w="950" w:type="pct"/>
            <w:tcBorders>
              <w:top w:val="single" w:sz="6" w:space="0" w:color="808080" w:themeColor="background1" w:themeShade="80"/>
              <w:bottom w:val="single" w:sz="6" w:space="0" w:color="808080" w:themeColor="background1" w:themeShade="80"/>
            </w:tcBorders>
          </w:tcPr>
          <w:p w14:paraId="1A526080" w14:textId="77777777" w:rsidR="008261F3" w:rsidRPr="0058458C" w:rsidRDefault="008261F3" w:rsidP="00BA30F7">
            <w:pPr>
              <w:pStyle w:val="TableText"/>
            </w:pPr>
          </w:p>
        </w:tc>
        <w:tc>
          <w:tcPr>
            <w:tcW w:w="949" w:type="pct"/>
            <w:tcBorders>
              <w:top w:val="single" w:sz="6" w:space="0" w:color="808080" w:themeColor="background1" w:themeShade="80"/>
              <w:bottom w:val="single" w:sz="6" w:space="0" w:color="808080" w:themeColor="background1" w:themeShade="80"/>
            </w:tcBorders>
          </w:tcPr>
          <w:p w14:paraId="654CC831" w14:textId="77777777" w:rsidR="008261F3" w:rsidRPr="0058458C" w:rsidRDefault="008261F3" w:rsidP="00BA30F7">
            <w:pPr>
              <w:pStyle w:val="TableText"/>
            </w:pPr>
          </w:p>
        </w:tc>
      </w:tr>
      <w:tr w:rsidR="008261F3" w:rsidRPr="0058458C" w14:paraId="548F2638"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66A8C116" w14:textId="77777777" w:rsidR="008261F3" w:rsidRPr="0058458C" w:rsidRDefault="008261F3" w:rsidP="00BA30F7">
            <w:pPr>
              <w:pStyle w:val="TableText"/>
              <w:ind w:left="274"/>
            </w:pPr>
            <w:r w:rsidRPr="0058458C">
              <w:t>CD4 &gt; 500</w:t>
            </w:r>
          </w:p>
        </w:tc>
        <w:tc>
          <w:tcPr>
            <w:tcW w:w="951" w:type="pct"/>
            <w:tcBorders>
              <w:top w:val="single" w:sz="6" w:space="0" w:color="808080" w:themeColor="background1" w:themeShade="80"/>
              <w:bottom w:val="single" w:sz="6" w:space="0" w:color="808080" w:themeColor="background1" w:themeShade="80"/>
            </w:tcBorders>
          </w:tcPr>
          <w:p w14:paraId="7304564F" w14:textId="77777777" w:rsidR="008261F3" w:rsidRPr="003C3D46" w:rsidRDefault="008261F3" w:rsidP="00BA30F7">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0870156E" w14:textId="77777777" w:rsidR="008261F3" w:rsidRPr="0058458C" w:rsidRDefault="008261F3" w:rsidP="00BA30F7">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4EF2D2D5" w14:textId="77777777" w:rsidR="008261F3" w:rsidRPr="0058458C" w:rsidRDefault="008261F3" w:rsidP="00BA30F7">
            <w:pPr>
              <w:pStyle w:val="TableText"/>
              <w:jc w:val="center"/>
            </w:pPr>
          </w:p>
        </w:tc>
      </w:tr>
      <w:tr w:rsidR="008261F3" w:rsidRPr="0058458C" w14:paraId="17AC6821"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12BA2151" w14:textId="77777777" w:rsidR="008261F3" w:rsidRPr="0058458C" w:rsidRDefault="008261F3" w:rsidP="00BA30F7">
            <w:pPr>
              <w:pStyle w:val="TableText"/>
              <w:ind w:left="490"/>
            </w:pPr>
            <w:r w:rsidRPr="000E6E26">
              <w:t>13-44</w:t>
            </w:r>
          </w:p>
        </w:tc>
        <w:tc>
          <w:tcPr>
            <w:tcW w:w="951" w:type="pct"/>
            <w:tcBorders>
              <w:top w:val="single" w:sz="6" w:space="0" w:color="808080" w:themeColor="background1" w:themeShade="80"/>
              <w:bottom w:val="single" w:sz="6" w:space="0" w:color="808080" w:themeColor="background1" w:themeShade="80"/>
            </w:tcBorders>
          </w:tcPr>
          <w:p w14:paraId="099CD448" w14:textId="77777777" w:rsidR="008261F3" w:rsidRPr="00516DEF" w:rsidRDefault="008261F3" w:rsidP="00BA30F7">
            <w:pPr>
              <w:pStyle w:val="TableText"/>
              <w:jc w:val="center"/>
              <w:rPr>
                <w:i/>
                <w:highlight w:val="yellow"/>
              </w:rPr>
            </w:pPr>
            <w:r w:rsidRPr="0039144D">
              <w:t>9.45</w:t>
            </w:r>
          </w:p>
        </w:tc>
        <w:tc>
          <w:tcPr>
            <w:tcW w:w="950" w:type="pct"/>
            <w:tcBorders>
              <w:top w:val="single" w:sz="6" w:space="0" w:color="808080" w:themeColor="background1" w:themeShade="80"/>
              <w:bottom w:val="single" w:sz="6" w:space="0" w:color="808080" w:themeColor="background1" w:themeShade="80"/>
            </w:tcBorders>
          </w:tcPr>
          <w:p w14:paraId="608875F1"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6E2189B2" w14:textId="77777777" w:rsidR="008261F3" w:rsidRPr="0058458C" w:rsidRDefault="008261F3" w:rsidP="00BA30F7">
            <w:pPr>
              <w:pStyle w:val="TableText"/>
              <w:jc w:val="center"/>
            </w:pPr>
            <w:r w:rsidRPr="0058458C">
              <w:t>50.00</w:t>
            </w:r>
          </w:p>
        </w:tc>
      </w:tr>
      <w:tr w:rsidR="008261F3" w:rsidRPr="0058458C" w14:paraId="7137450F"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4C237435" w14:textId="77777777" w:rsidR="008261F3" w:rsidRPr="0058458C" w:rsidRDefault="008261F3" w:rsidP="00BA30F7">
            <w:pPr>
              <w:pStyle w:val="TableText"/>
              <w:ind w:left="490"/>
            </w:pPr>
            <w:r w:rsidRPr="000E6E26">
              <w:t>45-64</w:t>
            </w:r>
          </w:p>
        </w:tc>
        <w:tc>
          <w:tcPr>
            <w:tcW w:w="951" w:type="pct"/>
            <w:tcBorders>
              <w:top w:val="single" w:sz="6" w:space="0" w:color="808080" w:themeColor="background1" w:themeShade="80"/>
              <w:bottom w:val="single" w:sz="6" w:space="0" w:color="808080" w:themeColor="background1" w:themeShade="80"/>
            </w:tcBorders>
          </w:tcPr>
          <w:p w14:paraId="072DF444" w14:textId="77777777" w:rsidR="008261F3" w:rsidRPr="00516DEF" w:rsidRDefault="008261F3" w:rsidP="00BA30F7">
            <w:pPr>
              <w:pStyle w:val="TableText"/>
              <w:jc w:val="center"/>
              <w:rPr>
                <w:i/>
                <w:highlight w:val="yellow"/>
              </w:rPr>
            </w:pPr>
            <w:r w:rsidRPr="0039144D">
              <w:t>38.82</w:t>
            </w:r>
          </w:p>
        </w:tc>
        <w:tc>
          <w:tcPr>
            <w:tcW w:w="950" w:type="pct"/>
            <w:tcBorders>
              <w:top w:val="single" w:sz="6" w:space="0" w:color="808080" w:themeColor="background1" w:themeShade="80"/>
              <w:bottom w:val="single" w:sz="6" w:space="0" w:color="808080" w:themeColor="background1" w:themeShade="80"/>
            </w:tcBorders>
          </w:tcPr>
          <w:p w14:paraId="09009479"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764C892C" w14:textId="77777777" w:rsidR="008261F3" w:rsidRPr="0058458C" w:rsidRDefault="008261F3" w:rsidP="00BA30F7">
            <w:pPr>
              <w:pStyle w:val="TableText"/>
              <w:jc w:val="center"/>
            </w:pPr>
            <w:r w:rsidRPr="0058458C">
              <w:t>50.00</w:t>
            </w:r>
          </w:p>
        </w:tc>
      </w:tr>
      <w:tr w:rsidR="008261F3" w:rsidRPr="0058458C" w14:paraId="443FE408"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706135D3" w14:textId="77777777" w:rsidR="008261F3" w:rsidRPr="0058458C" w:rsidRDefault="008261F3" w:rsidP="00BA30F7">
            <w:pPr>
              <w:pStyle w:val="TableText"/>
              <w:ind w:left="490"/>
            </w:pPr>
            <w:r w:rsidRPr="000E6E26">
              <w:t>65+</w:t>
            </w:r>
          </w:p>
        </w:tc>
        <w:tc>
          <w:tcPr>
            <w:tcW w:w="951" w:type="pct"/>
            <w:tcBorders>
              <w:top w:val="single" w:sz="6" w:space="0" w:color="808080" w:themeColor="background1" w:themeShade="80"/>
              <w:bottom w:val="single" w:sz="6" w:space="0" w:color="808080" w:themeColor="background1" w:themeShade="80"/>
            </w:tcBorders>
          </w:tcPr>
          <w:p w14:paraId="5C5AD6B6" w14:textId="77777777" w:rsidR="008261F3" w:rsidRPr="00516DEF" w:rsidRDefault="008261F3" w:rsidP="00BA30F7">
            <w:pPr>
              <w:pStyle w:val="TableText"/>
              <w:jc w:val="center"/>
              <w:rPr>
                <w:i/>
                <w:highlight w:val="yellow"/>
              </w:rPr>
            </w:pPr>
            <w:r w:rsidRPr="0039144D">
              <w:t>48.19</w:t>
            </w:r>
          </w:p>
        </w:tc>
        <w:tc>
          <w:tcPr>
            <w:tcW w:w="950" w:type="pct"/>
            <w:tcBorders>
              <w:top w:val="single" w:sz="6" w:space="0" w:color="808080" w:themeColor="background1" w:themeShade="80"/>
              <w:bottom w:val="single" w:sz="6" w:space="0" w:color="808080" w:themeColor="background1" w:themeShade="80"/>
            </w:tcBorders>
          </w:tcPr>
          <w:p w14:paraId="23EBF616"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2E4C6809" w14:textId="77777777" w:rsidR="008261F3" w:rsidRPr="0058458C" w:rsidRDefault="008261F3" w:rsidP="00BA30F7">
            <w:pPr>
              <w:pStyle w:val="TableText"/>
              <w:jc w:val="center"/>
            </w:pPr>
            <w:r w:rsidRPr="0058458C">
              <w:t>50.00</w:t>
            </w:r>
          </w:p>
        </w:tc>
      </w:tr>
      <w:tr w:rsidR="008261F3" w:rsidRPr="0058458C" w14:paraId="36FF7ED2"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621BDAAD" w14:textId="77777777" w:rsidR="008261F3" w:rsidRPr="0058458C" w:rsidRDefault="008261F3" w:rsidP="00BA30F7">
            <w:pPr>
              <w:pStyle w:val="TableText"/>
              <w:ind w:left="274"/>
            </w:pPr>
            <w:r w:rsidRPr="0058458C">
              <w:t>CD4 350–500</w:t>
            </w:r>
          </w:p>
        </w:tc>
        <w:tc>
          <w:tcPr>
            <w:tcW w:w="951" w:type="pct"/>
            <w:tcBorders>
              <w:top w:val="single" w:sz="6" w:space="0" w:color="808080" w:themeColor="background1" w:themeShade="80"/>
              <w:bottom w:val="single" w:sz="6" w:space="0" w:color="808080" w:themeColor="background1" w:themeShade="80"/>
            </w:tcBorders>
          </w:tcPr>
          <w:p w14:paraId="61A0FB88" w14:textId="77777777" w:rsidR="008261F3" w:rsidRPr="003C3D46" w:rsidRDefault="008261F3" w:rsidP="00BA30F7">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77DE84B1" w14:textId="77777777" w:rsidR="008261F3" w:rsidRPr="0058458C" w:rsidRDefault="008261F3" w:rsidP="00BA30F7">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2E9576E8" w14:textId="77777777" w:rsidR="008261F3" w:rsidRPr="0058458C" w:rsidRDefault="008261F3" w:rsidP="00BA30F7">
            <w:pPr>
              <w:pStyle w:val="TableText"/>
              <w:jc w:val="center"/>
            </w:pPr>
          </w:p>
        </w:tc>
      </w:tr>
      <w:tr w:rsidR="008261F3" w:rsidRPr="0058458C" w14:paraId="54EE82A2"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02B0FE48" w14:textId="77777777" w:rsidR="008261F3" w:rsidRPr="0058458C" w:rsidRDefault="008261F3" w:rsidP="00BA30F7">
            <w:pPr>
              <w:pStyle w:val="TableText"/>
              <w:ind w:left="490"/>
            </w:pPr>
            <w:r w:rsidRPr="008E0190">
              <w:t>13-44</w:t>
            </w:r>
          </w:p>
        </w:tc>
        <w:tc>
          <w:tcPr>
            <w:tcW w:w="951" w:type="pct"/>
            <w:tcBorders>
              <w:top w:val="single" w:sz="6" w:space="0" w:color="808080" w:themeColor="background1" w:themeShade="80"/>
              <w:bottom w:val="single" w:sz="6" w:space="0" w:color="808080" w:themeColor="background1" w:themeShade="80"/>
            </w:tcBorders>
          </w:tcPr>
          <w:p w14:paraId="5B17C847" w14:textId="77777777" w:rsidR="008261F3" w:rsidRPr="00516DEF" w:rsidRDefault="008261F3" w:rsidP="00BA30F7">
            <w:pPr>
              <w:pStyle w:val="TableText"/>
              <w:jc w:val="center"/>
              <w:rPr>
                <w:i/>
                <w:highlight w:val="yellow"/>
              </w:rPr>
            </w:pPr>
            <w:r w:rsidRPr="006C3EDB">
              <w:t>36.27</w:t>
            </w:r>
          </w:p>
        </w:tc>
        <w:tc>
          <w:tcPr>
            <w:tcW w:w="950" w:type="pct"/>
            <w:tcBorders>
              <w:top w:val="single" w:sz="6" w:space="0" w:color="808080" w:themeColor="background1" w:themeShade="80"/>
              <w:bottom w:val="single" w:sz="6" w:space="0" w:color="808080" w:themeColor="background1" w:themeShade="80"/>
            </w:tcBorders>
          </w:tcPr>
          <w:p w14:paraId="3A6B2782"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3BD77D4B" w14:textId="77777777" w:rsidR="008261F3" w:rsidRPr="0058458C" w:rsidRDefault="008261F3" w:rsidP="00BA30F7">
            <w:pPr>
              <w:pStyle w:val="TableText"/>
              <w:jc w:val="center"/>
            </w:pPr>
            <w:r w:rsidRPr="0058458C">
              <w:t>50.00</w:t>
            </w:r>
          </w:p>
        </w:tc>
      </w:tr>
      <w:tr w:rsidR="008261F3" w:rsidRPr="0058458C" w14:paraId="66C19430"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5D165944" w14:textId="77777777" w:rsidR="008261F3" w:rsidRPr="0058458C" w:rsidRDefault="008261F3" w:rsidP="00BA30F7">
            <w:pPr>
              <w:pStyle w:val="TableText"/>
              <w:ind w:left="490"/>
            </w:pPr>
            <w:r w:rsidRPr="008E0190">
              <w:t>45-64</w:t>
            </w:r>
          </w:p>
        </w:tc>
        <w:tc>
          <w:tcPr>
            <w:tcW w:w="951" w:type="pct"/>
            <w:tcBorders>
              <w:top w:val="single" w:sz="6" w:space="0" w:color="808080" w:themeColor="background1" w:themeShade="80"/>
              <w:bottom w:val="single" w:sz="6" w:space="0" w:color="808080" w:themeColor="background1" w:themeShade="80"/>
            </w:tcBorders>
          </w:tcPr>
          <w:p w14:paraId="3D6B6C6E" w14:textId="77777777" w:rsidR="008261F3" w:rsidRPr="00516DEF" w:rsidRDefault="008261F3" w:rsidP="00BA30F7">
            <w:pPr>
              <w:pStyle w:val="TableText"/>
              <w:jc w:val="center"/>
              <w:rPr>
                <w:i/>
                <w:highlight w:val="yellow"/>
              </w:rPr>
            </w:pPr>
            <w:r w:rsidRPr="006C3EDB">
              <w:t>18.98</w:t>
            </w:r>
          </w:p>
        </w:tc>
        <w:tc>
          <w:tcPr>
            <w:tcW w:w="950" w:type="pct"/>
            <w:tcBorders>
              <w:top w:val="single" w:sz="6" w:space="0" w:color="808080" w:themeColor="background1" w:themeShade="80"/>
              <w:bottom w:val="single" w:sz="6" w:space="0" w:color="808080" w:themeColor="background1" w:themeShade="80"/>
            </w:tcBorders>
          </w:tcPr>
          <w:p w14:paraId="5D2B92EC"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6BB05534" w14:textId="77777777" w:rsidR="008261F3" w:rsidRPr="0058458C" w:rsidRDefault="008261F3" w:rsidP="00BA30F7">
            <w:pPr>
              <w:pStyle w:val="TableText"/>
              <w:jc w:val="center"/>
            </w:pPr>
            <w:r w:rsidRPr="0058458C">
              <w:t>50.00</w:t>
            </w:r>
          </w:p>
        </w:tc>
      </w:tr>
      <w:tr w:rsidR="008261F3" w:rsidRPr="0058458C" w14:paraId="11EF67F2"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2B5EEFA6" w14:textId="77777777" w:rsidR="008261F3" w:rsidRPr="0058458C" w:rsidRDefault="008261F3" w:rsidP="00BA30F7">
            <w:pPr>
              <w:pStyle w:val="TableText"/>
              <w:ind w:left="490"/>
            </w:pPr>
            <w:r w:rsidRPr="008E0190">
              <w:t>65+</w:t>
            </w:r>
          </w:p>
        </w:tc>
        <w:tc>
          <w:tcPr>
            <w:tcW w:w="951" w:type="pct"/>
            <w:tcBorders>
              <w:top w:val="single" w:sz="6" w:space="0" w:color="808080" w:themeColor="background1" w:themeShade="80"/>
              <w:bottom w:val="single" w:sz="6" w:space="0" w:color="808080" w:themeColor="background1" w:themeShade="80"/>
            </w:tcBorders>
          </w:tcPr>
          <w:p w14:paraId="741C7098" w14:textId="77777777" w:rsidR="008261F3" w:rsidRPr="00516DEF" w:rsidRDefault="008261F3" w:rsidP="00BA30F7">
            <w:pPr>
              <w:pStyle w:val="TableText"/>
              <w:jc w:val="center"/>
              <w:rPr>
                <w:i/>
                <w:highlight w:val="yellow"/>
              </w:rPr>
            </w:pPr>
            <w:r w:rsidRPr="006C3EDB">
              <w:t>17.93</w:t>
            </w:r>
          </w:p>
        </w:tc>
        <w:tc>
          <w:tcPr>
            <w:tcW w:w="950" w:type="pct"/>
            <w:tcBorders>
              <w:top w:val="single" w:sz="6" w:space="0" w:color="808080" w:themeColor="background1" w:themeShade="80"/>
              <w:bottom w:val="single" w:sz="6" w:space="0" w:color="808080" w:themeColor="background1" w:themeShade="80"/>
            </w:tcBorders>
          </w:tcPr>
          <w:p w14:paraId="02186764"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6" w:space="0" w:color="808080" w:themeColor="background1" w:themeShade="80"/>
            </w:tcBorders>
          </w:tcPr>
          <w:p w14:paraId="7D4317A7" w14:textId="77777777" w:rsidR="008261F3" w:rsidRPr="0058458C" w:rsidRDefault="008261F3" w:rsidP="00BA30F7">
            <w:pPr>
              <w:pStyle w:val="TableText"/>
              <w:jc w:val="center"/>
            </w:pPr>
            <w:r w:rsidRPr="0058458C">
              <w:t>50.00</w:t>
            </w:r>
          </w:p>
        </w:tc>
      </w:tr>
      <w:tr w:rsidR="008261F3" w:rsidRPr="0058458C" w14:paraId="4A4C7D66" w14:textId="77777777" w:rsidTr="00BA30F7">
        <w:trPr>
          <w:cantSplit/>
        </w:trPr>
        <w:tc>
          <w:tcPr>
            <w:tcW w:w="2150" w:type="pct"/>
            <w:tcBorders>
              <w:top w:val="single" w:sz="6" w:space="0" w:color="808080" w:themeColor="background1" w:themeShade="80"/>
              <w:bottom w:val="single" w:sz="4" w:space="0" w:color="808080" w:themeColor="background1" w:themeShade="80"/>
            </w:tcBorders>
          </w:tcPr>
          <w:p w14:paraId="2873664A" w14:textId="77777777" w:rsidR="008261F3" w:rsidRPr="0058458C" w:rsidRDefault="008261F3" w:rsidP="00BA30F7">
            <w:pPr>
              <w:pStyle w:val="TableText"/>
              <w:ind w:left="274"/>
            </w:pPr>
            <w:r w:rsidRPr="0058458C">
              <w:t>CD4 200–350</w:t>
            </w:r>
          </w:p>
        </w:tc>
        <w:tc>
          <w:tcPr>
            <w:tcW w:w="951" w:type="pct"/>
            <w:tcBorders>
              <w:top w:val="single" w:sz="6" w:space="0" w:color="808080" w:themeColor="background1" w:themeShade="80"/>
              <w:bottom w:val="single" w:sz="4" w:space="0" w:color="808080" w:themeColor="background1" w:themeShade="80"/>
            </w:tcBorders>
          </w:tcPr>
          <w:p w14:paraId="6E27E146" w14:textId="77777777" w:rsidR="008261F3" w:rsidRPr="003C3D46" w:rsidRDefault="008261F3" w:rsidP="00BA30F7">
            <w:pPr>
              <w:pStyle w:val="TableText"/>
              <w:jc w:val="center"/>
              <w:rPr>
                <w:highlight w:val="yellow"/>
              </w:rPr>
            </w:pPr>
          </w:p>
        </w:tc>
        <w:tc>
          <w:tcPr>
            <w:tcW w:w="950" w:type="pct"/>
            <w:tcBorders>
              <w:top w:val="single" w:sz="6" w:space="0" w:color="808080" w:themeColor="background1" w:themeShade="80"/>
              <w:bottom w:val="single" w:sz="4" w:space="0" w:color="808080" w:themeColor="background1" w:themeShade="80"/>
            </w:tcBorders>
          </w:tcPr>
          <w:p w14:paraId="0AFA23B5" w14:textId="77777777" w:rsidR="008261F3" w:rsidRPr="0058458C" w:rsidRDefault="008261F3" w:rsidP="00BA30F7">
            <w:pPr>
              <w:pStyle w:val="TableText"/>
              <w:jc w:val="center"/>
            </w:pPr>
          </w:p>
        </w:tc>
        <w:tc>
          <w:tcPr>
            <w:tcW w:w="949" w:type="pct"/>
            <w:tcBorders>
              <w:top w:val="single" w:sz="6" w:space="0" w:color="808080" w:themeColor="background1" w:themeShade="80"/>
              <w:bottom w:val="single" w:sz="4" w:space="0" w:color="808080" w:themeColor="background1" w:themeShade="80"/>
            </w:tcBorders>
          </w:tcPr>
          <w:p w14:paraId="3938922C" w14:textId="77777777" w:rsidR="008261F3" w:rsidRPr="0058458C" w:rsidRDefault="008261F3" w:rsidP="00BA30F7">
            <w:pPr>
              <w:pStyle w:val="TableText"/>
              <w:jc w:val="center"/>
            </w:pPr>
          </w:p>
        </w:tc>
      </w:tr>
      <w:tr w:rsidR="008261F3" w:rsidRPr="0058458C" w14:paraId="5A73DC29" w14:textId="77777777" w:rsidTr="00BA30F7">
        <w:trPr>
          <w:cantSplit/>
        </w:trPr>
        <w:tc>
          <w:tcPr>
            <w:tcW w:w="2150" w:type="pct"/>
            <w:tcBorders>
              <w:top w:val="single" w:sz="6" w:space="0" w:color="808080" w:themeColor="background1" w:themeShade="80"/>
              <w:bottom w:val="single" w:sz="4" w:space="0" w:color="808080" w:themeColor="background1" w:themeShade="80"/>
            </w:tcBorders>
          </w:tcPr>
          <w:p w14:paraId="73737C9B" w14:textId="77777777" w:rsidR="008261F3" w:rsidRPr="0058458C" w:rsidRDefault="008261F3" w:rsidP="00BA30F7">
            <w:pPr>
              <w:pStyle w:val="TableText"/>
              <w:ind w:left="490"/>
            </w:pPr>
            <w:r w:rsidRPr="00B84BD7">
              <w:t>13-44</w:t>
            </w:r>
          </w:p>
        </w:tc>
        <w:tc>
          <w:tcPr>
            <w:tcW w:w="951" w:type="pct"/>
            <w:tcBorders>
              <w:top w:val="single" w:sz="6" w:space="0" w:color="808080" w:themeColor="background1" w:themeShade="80"/>
              <w:bottom w:val="single" w:sz="4" w:space="0" w:color="808080" w:themeColor="background1" w:themeShade="80"/>
            </w:tcBorders>
          </w:tcPr>
          <w:p w14:paraId="30803C3F" w14:textId="77777777" w:rsidR="008261F3" w:rsidRPr="00516DEF" w:rsidRDefault="008261F3" w:rsidP="00BA30F7">
            <w:pPr>
              <w:pStyle w:val="TableText"/>
              <w:jc w:val="center"/>
              <w:rPr>
                <w:i/>
                <w:highlight w:val="yellow"/>
              </w:rPr>
            </w:pPr>
            <w:r w:rsidRPr="00215785">
              <w:t>36.43</w:t>
            </w:r>
          </w:p>
        </w:tc>
        <w:tc>
          <w:tcPr>
            <w:tcW w:w="950" w:type="pct"/>
            <w:tcBorders>
              <w:top w:val="single" w:sz="6" w:space="0" w:color="808080" w:themeColor="background1" w:themeShade="80"/>
              <w:bottom w:val="single" w:sz="4" w:space="0" w:color="808080" w:themeColor="background1" w:themeShade="80"/>
            </w:tcBorders>
          </w:tcPr>
          <w:p w14:paraId="42941321"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4" w:space="0" w:color="808080" w:themeColor="background1" w:themeShade="80"/>
            </w:tcBorders>
          </w:tcPr>
          <w:p w14:paraId="45AEB573" w14:textId="77777777" w:rsidR="008261F3" w:rsidRPr="0058458C" w:rsidRDefault="008261F3" w:rsidP="00BA30F7">
            <w:pPr>
              <w:pStyle w:val="TableText"/>
              <w:jc w:val="center"/>
            </w:pPr>
            <w:r w:rsidRPr="0058458C">
              <w:t>50.00</w:t>
            </w:r>
          </w:p>
        </w:tc>
      </w:tr>
      <w:tr w:rsidR="008261F3" w:rsidRPr="0058458C" w14:paraId="172EC419" w14:textId="77777777" w:rsidTr="00BA30F7">
        <w:trPr>
          <w:cantSplit/>
        </w:trPr>
        <w:tc>
          <w:tcPr>
            <w:tcW w:w="2150" w:type="pct"/>
            <w:tcBorders>
              <w:top w:val="single" w:sz="6" w:space="0" w:color="808080" w:themeColor="background1" w:themeShade="80"/>
              <w:bottom w:val="single" w:sz="4" w:space="0" w:color="808080" w:themeColor="background1" w:themeShade="80"/>
            </w:tcBorders>
          </w:tcPr>
          <w:p w14:paraId="29D1F380" w14:textId="77777777" w:rsidR="008261F3" w:rsidRPr="0058458C" w:rsidRDefault="008261F3" w:rsidP="00BA30F7">
            <w:pPr>
              <w:pStyle w:val="TableText"/>
              <w:ind w:left="490"/>
            </w:pPr>
            <w:r w:rsidRPr="00B84BD7">
              <w:t>45-64</w:t>
            </w:r>
          </w:p>
        </w:tc>
        <w:tc>
          <w:tcPr>
            <w:tcW w:w="951" w:type="pct"/>
            <w:tcBorders>
              <w:top w:val="single" w:sz="6" w:space="0" w:color="808080" w:themeColor="background1" w:themeShade="80"/>
              <w:bottom w:val="single" w:sz="4" w:space="0" w:color="808080" w:themeColor="background1" w:themeShade="80"/>
            </w:tcBorders>
          </w:tcPr>
          <w:p w14:paraId="767750D6" w14:textId="77777777" w:rsidR="008261F3" w:rsidRPr="00516DEF" w:rsidRDefault="008261F3" w:rsidP="00BA30F7">
            <w:pPr>
              <w:pStyle w:val="TableText"/>
              <w:jc w:val="center"/>
              <w:rPr>
                <w:i/>
                <w:highlight w:val="yellow"/>
              </w:rPr>
            </w:pPr>
            <w:r w:rsidRPr="00215785">
              <w:t>48.36</w:t>
            </w:r>
          </w:p>
        </w:tc>
        <w:tc>
          <w:tcPr>
            <w:tcW w:w="950" w:type="pct"/>
            <w:tcBorders>
              <w:top w:val="single" w:sz="6" w:space="0" w:color="808080" w:themeColor="background1" w:themeShade="80"/>
              <w:bottom w:val="single" w:sz="4" w:space="0" w:color="808080" w:themeColor="background1" w:themeShade="80"/>
            </w:tcBorders>
          </w:tcPr>
          <w:p w14:paraId="5A650BB1"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4" w:space="0" w:color="808080" w:themeColor="background1" w:themeShade="80"/>
            </w:tcBorders>
          </w:tcPr>
          <w:p w14:paraId="717E5925" w14:textId="77777777" w:rsidR="008261F3" w:rsidRPr="0058458C" w:rsidRDefault="008261F3" w:rsidP="00BA30F7">
            <w:pPr>
              <w:pStyle w:val="TableText"/>
              <w:jc w:val="center"/>
            </w:pPr>
            <w:r w:rsidRPr="0058458C">
              <w:t>50.00</w:t>
            </w:r>
          </w:p>
        </w:tc>
      </w:tr>
      <w:tr w:rsidR="008261F3" w:rsidRPr="0058458C" w14:paraId="7F7E08EC" w14:textId="77777777" w:rsidTr="00BA30F7">
        <w:trPr>
          <w:cantSplit/>
        </w:trPr>
        <w:tc>
          <w:tcPr>
            <w:tcW w:w="2150" w:type="pct"/>
            <w:tcBorders>
              <w:top w:val="single" w:sz="6" w:space="0" w:color="808080" w:themeColor="background1" w:themeShade="80"/>
              <w:bottom w:val="single" w:sz="4" w:space="0" w:color="808080" w:themeColor="background1" w:themeShade="80"/>
            </w:tcBorders>
          </w:tcPr>
          <w:p w14:paraId="7825BD08" w14:textId="77777777" w:rsidR="008261F3" w:rsidRPr="0058458C" w:rsidRDefault="008261F3" w:rsidP="00BA30F7">
            <w:pPr>
              <w:pStyle w:val="TableText"/>
              <w:ind w:left="490"/>
            </w:pPr>
            <w:r w:rsidRPr="00B84BD7">
              <w:t>65+</w:t>
            </w:r>
          </w:p>
        </w:tc>
        <w:tc>
          <w:tcPr>
            <w:tcW w:w="951" w:type="pct"/>
            <w:tcBorders>
              <w:top w:val="single" w:sz="6" w:space="0" w:color="808080" w:themeColor="background1" w:themeShade="80"/>
              <w:bottom w:val="single" w:sz="4" w:space="0" w:color="808080" w:themeColor="background1" w:themeShade="80"/>
            </w:tcBorders>
          </w:tcPr>
          <w:p w14:paraId="5AD1E6D2" w14:textId="77777777" w:rsidR="008261F3" w:rsidRPr="00516DEF" w:rsidRDefault="008261F3" w:rsidP="00BA30F7">
            <w:pPr>
              <w:pStyle w:val="TableText"/>
              <w:jc w:val="center"/>
              <w:rPr>
                <w:i/>
                <w:highlight w:val="yellow"/>
              </w:rPr>
            </w:pPr>
            <w:r w:rsidRPr="00215785">
              <w:t>7.32</w:t>
            </w:r>
          </w:p>
        </w:tc>
        <w:tc>
          <w:tcPr>
            <w:tcW w:w="950" w:type="pct"/>
            <w:tcBorders>
              <w:top w:val="single" w:sz="6" w:space="0" w:color="808080" w:themeColor="background1" w:themeShade="80"/>
              <w:bottom w:val="single" w:sz="4" w:space="0" w:color="808080" w:themeColor="background1" w:themeShade="80"/>
            </w:tcBorders>
          </w:tcPr>
          <w:p w14:paraId="4190FD80" w14:textId="77777777" w:rsidR="008261F3" w:rsidRPr="0058458C" w:rsidRDefault="008261F3" w:rsidP="00BA30F7">
            <w:pPr>
              <w:pStyle w:val="TableText"/>
              <w:jc w:val="center"/>
            </w:pPr>
            <w:r w:rsidRPr="0058458C">
              <w:t>5.00</w:t>
            </w:r>
          </w:p>
        </w:tc>
        <w:tc>
          <w:tcPr>
            <w:tcW w:w="949" w:type="pct"/>
            <w:tcBorders>
              <w:top w:val="single" w:sz="6" w:space="0" w:color="808080" w:themeColor="background1" w:themeShade="80"/>
              <w:bottom w:val="single" w:sz="4" w:space="0" w:color="808080" w:themeColor="background1" w:themeShade="80"/>
            </w:tcBorders>
          </w:tcPr>
          <w:p w14:paraId="7259F0F6" w14:textId="77777777" w:rsidR="008261F3" w:rsidRPr="0058458C" w:rsidRDefault="008261F3" w:rsidP="00BA30F7">
            <w:pPr>
              <w:pStyle w:val="TableText"/>
              <w:jc w:val="center"/>
            </w:pPr>
            <w:r w:rsidRPr="0058458C">
              <w:t>50.00</w:t>
            </w:r>
          </w:p>
        </w:tc>
      </w:tr>
      <w:tr w:rsidR="008261F3" w:rsidRPr="0058458C" w14:paraId="436AB09E"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212933CE" w14:textId="77777777" w:rsidR="008261F3" w:rsidRPr="0058458C" w:rsidRDefault="008261F3" w:rsidP="00BA30F7">
            <w:pPr>
              <w:pStyle w:val="TableText"/>
            </w:pPr>
            <w:r w:rsidRPr="0058458C">
              <w:t>Annual rate of declining one disease stage while VLS</w:t>
            </w:r>
          </w:p>
        </w:tc>
        <w:tc>
          <w:tcPr>
            <w:tcW w:w="951" w:type="pct"/>
            <w:tcBorders>
              <w:top w:val="single" w:sz="6" w:space="0" w:color="808080" w:themeColor="background1" w:themeShade="80"/>
              <w:bottom w:val="single" w:sz="6" w:space="0" w:color="808080" w:themeColor="background1" w:themeShade="80"/>
            </w:tcBorders>
          </w:tcPr>
          <w:p w14:paraId="44B5393B" w14:textId="77777777" w:rsidR="008261F3" w:rsidRPr="0058458C" w:rsidRDefault="008261F3" w:rsidP="00BA30F7">
            <w:pPr>
              <w:pStyle w:val="TableText"/>
              <w:jc w:val="center"/>
            </w:pPr>
          </w:p>
        </w:tc>
        <w:tc>
          <w:tcPr>
            <w:tcW w:w="950" w:type="pct"/>
            <w:tcBorders>
              <w:top w:val="single" w:sz="6" w:space="0" w:color="808080" w:themeColor="background1" w:themeShade="80"/>
              <w:bottom w:val="single" w:sz="6" w:space="0" w:color="808080" w:themeColor="background1" w:themeShade="80"/>
            </w:tcBorders>
          </w:tcPr>
          <w:p w14:paraId="77616CA3" w14:textId="77777777" w:rsidR="008261F3" w:rsidRPr="0058458C" w:rsidRDefault="008261F3" w:rsidP="00BA30F7">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6F91B21B" w14:textId="77777777" w:rsidR="008261F3" w:rsidRPr="0058458C" w:rsidRDefault="008261F3" w:rsidP="00BA30F7">
            <w:pPr>
              <w:pStyle w:val="TableText"/>
              <w:jc w:val="center"/>
            </w:pPr>
          </w:p>
        </w:tc>
      </w:tr>
      <w:tr w:rsidR="008261F3" w:rsidRPr="0058458C" w14:paraId="244583AC"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6F066C25" w14:textId="77777777" w:rsidR="008261F3" w:rsidRPr="0058458C" w:rsidRDefault="008261F3" w:rsidP="00BA30F7">
            <w:pPr>
              <w:pStyle w:val="TableText"/>
              <w:ind w:left="274"/>
            </w:pPr>
            <w:r w:rsidRPr="0058458C">
              <w:t>CD4 &gt; 500</w:t>
            </w:r>
          </w:p>
        </w:tc>
        <w:tc>
          <w:tcPr>
            <w:tcW w:w="951" w:type="pct"/>
            <w:tcBorders>
              <w:top w:val="single" w:sz="6" w:space="0" w:color="808080" w:themeColor="background1" w:themeShade="80"/>
              <w:bottom w:val="single" w:sz="6" w:space="0" w:color="808080" w:themeColor="background1" w:themeShade="80"/>
            </w:tcBorders>
          </w:tcPr>
          <w:p w14:paraId="646FC3F8" w14:textId="77777777" w:rsidR="008261F3" w:rsidRPr="0058458C" w:rsidRDefault="008261F3" w:rsidP="00BA30F7">
            <w:pPr>
              <w:pStyle w:val="TableText"/>
              <w:jc w:val="center"/>
            </w:pPr>
            <w:r w:rsidRPr="007934DC">
              <w:t>0.044</w:t>
            </w:r>
          </w:p>
        </w:tc>
        <w:tc>
          <w:tcPr>
            <w:tcW w:w="950" w:type="pct"/>
            <w:tcBorders>
              <w:top w:val="single" w:sz="6" w:space="0" w:color="808080" w:themeColor="background1" w:themeShade="80"/>
              <w:bottom w:val="single" w:sz="6" w:space="0" w:color="808080" w:themeColor="background1" w:themeShade="80"/>
            </w:tcBorders>
          </w:tcPr>
          <w:p w14:paraId="2EBDFD1A" w14:textId="77777777" w:rsidR="008261F3" w:rsidRPr="0058458C" w:rsidRDefault="008261F3" w:rsidP="00BA30F7">
            <w:pPr>
              <w:pStyle w:val="TableText"/>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49A39986" w14:textId="77777777" w:rsidR="008261F3" w:rsidRPr="0058458C" w:rsidRDefault="008261F3" w:rsidP="00BA30F7">
            <w:pPr>
              <w:pStyle w:val="TableText"/>
              <w:jc w:val="center"/>
            </w:pPr>
            <w:r w:rsidRPr="0058458C">
              <w:t>0.080</w:t>
            </w:r>
          </w:p>
        </w:tc>
      </w:tr>
      <w:tr w:rsidR="008261F3" w:rsidRPr="0058458C" w14:paraId="387EE8F2"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19D916BB" w14:textId="77777777" w:rsidR="008261F3" w:rsidRPr="0058458C" w:rsidRDefault="008261F3" w:rsidP="00BA30F7">
            <w:pPr>
              <w:pStyle w:val="TableText"/>
              <w:ind w:left="274"/>
            </w:pPr>
            <w:r w:rsidRPr="0058458C">
              <w:t>CD4 350–500</w:t>
            </w:r>
          </w:p>
        </w:tc>
        <w:tc>
          <w:tcPr>
            <w:tcW w:w="951" w:type="pct"/>
            <w:tcBorders>
              <w:top w:val="single" w:sz="6" w:space="0" w:color="808080" w:themeColor="background1" w:themeShade="80"/>
              <w:bottom w:val="single" w:sz="6" w:space="0" w:color="808080" w:themeColor="background1" w:themeShade="80"/>
            </w:tcBorders>
          </w:tcPr>
          <w:p w14:paraId="3849D515" w14:textId="77777777" w:rsidR="008261F3" w:rsidRPr="0058458C" w:rsidRDefault="008261F3" w:rsidP="00BA30F7">
            <w:pPr>
              <w:pStyle w:val="TableText"/>
              <w:jc w:val="center"/>
            </w:pPr>
            <w:r w:rsidRPr="007934DC">
              <w:t>0.045</w:t>
            </w:r>
          </w:p>
        </w:tc>
        <w:tc>
          <w:tcPr>
            <w:tcW w:w="950" w:type="pct"/>
            <w:tcBorders>
              <w:top w:val="single" w:sz="6" w:space="0" w:color="808080" w:themeColor="background1" w:themeShade="80"/>
              <w:bottom w:val="single" w:sz="6" w:space="0" w:color="808080" w:themeColor="background1" w:themeShade="80"/>
            </w:tcBorders>
          </w:tcPr>
          <w:p w14:paraId="0380559B" w14:textId="77777777" w:rsidR="008261F3" w:rsidRPr="0058458C" w:rsidRDefault="008261F3" w:rsidP="00BA30F7">
            <w:pPr>
              <w:pStyle w:val="TableText"/>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6D60E004" w14:textId="77777777" w:rsidR="008261F3" w:rsidRPr="0058458C" w:rsidRDefault="008261F3" w:rsidP="00BA30F7">
            <w:pPr>
              <w:pStyle w:val="TableText"/>
              <w:jc w:val="center"/>
            </w:pPr>
            <w:r w:rsidRPr="0058458C">
              <w:t>0.080</w:t>
            </w:r>
          </w:p>
        </w:tc>
      </w:tr>
      <w:tr w:rsidR="008261F3" w:rsidRPr="0058458C" w14:paraId="0DEBE10E" w14:textId="77777777" w:rsidTr="00BA30F7">
        <w:trPr>
          <w:cantSplit/>
        </w:trPr>
        <w:tc>
          <w:tcPr>
            <w:tcW w:w="2150" w:type="pct"/>
            <w:tcBorders>
              <w:top w:val="single" w:sz="6" w:space="0" w:color="808080" w:themeColor="background1" w:themeShade="80"/>
              <w:bottom w:val="single" w:sz="6" w:space="0" w:color="808080" w:themeColor="background1" w:themeShade="80"/>
            </w:tcBorders>
          </w:tcPr>
          <w:p w14:paraId="77BB708A" w14:textId="77777777" w:rsidR="008261F3" w:rsidRPr="0058458C" w:rsidRDefault="008261F3" w:rsidP="00BA30F7">
            <w:pPr>
              <w:pStyle w:val="TableText"/>
              <w:ind w:left="274"/>
            </w:pPr>
            <w:r w:rsidRPr="0058458C">
              <w:t>CD4 200–350</w:t>
            </w:r>
          </w:p>
        </w:tc>
        <w:tc>
          <w:tcPr>
            <w:tcW w:w="951" w:type="pct"/>
            <w:tcBorders>
              <w:top w:val="single" w:sz="6" w:space="0" w:color="808080" w:themeColor="background1" w:themeShade="80"/>
              <w:bottom w:val="single" w:sz="6" w:space="0" w:color="808080" w:themeColor="background1" w:themeShade="80"/>
            </w:tcBorders>
          </w:tcPr>
          <w:p w14:paraId="6CD95C29" w14:textId="77777777" w:rsidR="008261F3" w:rsidRPr="0058458C" w:rsidRDefault="008261F3" w:rsidP="00BA30F7">
            <w:pPr>
              <w:pStyle w:val="TableText"/>
              <w:jc w:val="center"/>
            </w:pPr>
            <w:r w:rsidRPr="007934DC">
              <w:t>0.032</w:t>
            </w:r>
          </w:p>
        </w:tc>
        <w:tc>
          <w:tcPr>
            <w:tcW w:w="950" w:type="pct"/>
            <w:tcBorders>
              <w:top w:val="single" w:sz="6" w:space="0" w:color="808080" w:themeColor="background1" w:themeShade="80"/>
              <w:bottom w:val="single" w:sz="6" w:space="0" w:color="808080" w:themeColor="background1" w:themeShade="80"/>
            </w:tcBorders>
          </w:tcPr>
          <w:p w14:paraId="69B17ED0" w14:textId="77777777" w:rsidR="008261F3" w:rsidRPr="0058458C" w:rsidRDefault="008261F3" w:rsidP="00BA30F7">
            <w:pPr>
              <w:pStyle w:val="TableText"/>
              <w:jc w:val="center"/>
            </w:pPr>
            <w:r w:rsidRPr="0058458C">
              <w:t>0.010</w:t>
            </w:r>
          </w:p>
        </w:tc>
        <w:tc>
          <w:tcPr>
            <w:tcW w:w="949" w:type="pct"/>
            <w:tcBorders>
              <w:top w:val="single" w:sz="6" w:space="0" w:color="808080" w:themeColor="background1" w:themeShade="80"/>
              <w:bottom w:val="single" w:sz="6" w:space="0" w:color="808080" w:themeColor="background1" w:themeShade="80"/>
            </w:tcBorders>
          </w:tcPr>
          <w:p w14:paraId="595ADD62" w14:textId="77777777" w:rsidR="008261F3" w:rsidRPr="0058458C" w:rsidRDefault="008261F3" w:rsidP="00BA30F7">
            <w:pPr>
              <w:pStyle w:val="TableText"/>
              <w:jc w:val="center"/>
            </w:pPr>
            <w:r w:rsidRPr="0058458C">
              <w:t>0.080</w:t>
            </w:r>
          </w:p>
        </w:tc>
      </w:tr>
      <w:tr w:rsidR="003C0CE0" w:rsidRPr="0058458C" w14:paraId="202D57E8"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464D4539" w14:textId="15781705" w:rsidR="003C0CE0" w:rsidRPr="0058458C" w:rsidRDefault="003C0CE0" w:rsidP="003C0CE0">
            <w:pPr>
              <w:pStyle w:val="TableText"/>
            </w:pPr>
            <w:r w:rsidRPr="0058458C">
              <w:t>Annual rate of improving one disease stage while VLS</w:t>
            </w:r>
          </w:p>
        </w:tc>
        <w:tc>
          <w:tcPr>
            <w:tcW w:w="951" w:type="pct"/>
            <w:tcBorders>
              <w:top w:val="single" w:sz="6" w:space="0" w:color="808080" w:themeColor="background1" w:themeShade="80"/>
              <w:bottom w:val="single" w:sz="6" w:space="0" w:color="808080" w:themeColor="background1" w:themeShade="80"/>
            </w:tcBorders>
          </w:tcPr>
          <w:p w14:paraId="1D6569EF" w14:textId="77777777" w:rsidR="003C0CE0" w:rsidRPr="0058458C" w:rsidRDefault="003C0CE0" w:rsidP="003C0CE0">
            <w:pPr>
              <w:pStyle w:val="TableText"/>
              <w:jc w:val="center"/>
            </w:pPr>
          </w:p>
        </w:tc>
        <w:tc>
          <w:tcPr>
            <w:tcW w:w="950" w:type="pct"/>
            <w:tcBorders>
              <w:top w:val="single" w:sz="6" w:space="0" w:color="808080" w:themeColor="background1" w:themeShade="80"/>
              <w:bottom w:val="single" w:sz="6" w:space="0" w:color="808080" w:themeColor="background1" w:themeShade="80"/>
            </w:tcBorders>
          </w:tcPr>
          <w:p w14:paraId="569DC193" w14:textId="77777777" w:rsidR="003C0CE0" w:rsidRPr="0058458C" w:rsidRDefault="003C0CE0" w:rsidP="003C0CE0">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7D1816BD" w14:textId="77777777" w:rsidR="003C0CE0" w:rsidRPr="0058458C" w:rsidRDefault="003C0CE0" w:rsidP="003C0CE0">
            <w:pPr>
              <w:pStyle w:val="TableText"/>
              <w:jc w:val="center"/>
            </w:pPr>
          </w:p>
        </w:tc>
      </w:tr>
      <w:tr w:rsidR="003C0CE0" w:rsidRPr="0058458C" w14:paraId="1E15862E"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069233E1" w14:textId="77777777" w:rsidR="003C0CE0" w:rsidRPr="0058458C" w:rsidRDefault="003C0CE0" w:rsidP="003C0CE0">
            <w:pPr>
              <w:pStyle w:val="TableText"/>
              <w:ind w:left="274"/>
            </w:pPr>
            <w:r w:rsidRPr="0058458C">
              <w:t>CD4 350–500</w:t>
            </w:r>
          </w:p>
        </w:tc>
        <w:tc>
          <w:tcPr>
            <w:tcW w:w="951" w:type="pct"/>
            <w:tcBorders>
              <w:top w:val="single" w:sz="6" w:space="0" w:color="808080" w:themeColor="background1" w:themeShade="80"/>
              <w:bottom w:val="single" w:sz="6" w:space="0" w:color="808080" w:themeColor="background1" w:themeShade="80"/>
            </w:tcBorders>
          </w:tcPr>
          <w:p w14:paraId="31DCF4FD" w14:textId="76134994" w:rsidR="003C0CE0" w:rsidRPr="003C3D46" w:rsidRDefault="003C0CE0" w:rsidP="003C0CE0">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04AF54DF" w14:textId="5CFAA149" w:rsidR="003C0CE0" w:rsidRPr="0058458C" w:rsidRDefault="003C0CE0" w:rsidP="003C0CE0">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5557A303" w14:textId="160A445D" w:rsidR="003C0CE0" w:rsidRPr="0058458C" w:rsidRDefault="003C0CE0" w:rsidP="003C0CE0">
            <w:pPr>
              <w:pStyle w:val="TableText"/>
              <w:jc w:val="center"/>
            </w:pPr>
          </w:p>
        </w:tc>
      </w:tr>
      <w:tr w:rsidR="00516DEF" w:rsidRPr="0058458C" w14:paraId="69CBCE71"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64DACEF1" w14:textId="65B84C77" w:rsidR="00516DEF" w:rsidRPr="0058458C" w:rsidRDefault="00516DEF" w:rsidP="003C3D46">
            <w:pPr>
              <w:pStyle w:val="TableText"/>
              <w:ind w:left="490"/>
            </w:pPr>
            <w:r w:rsidRPr="000E6E26">
              <w:t>13-44</w:t>
            </w:r>
          </w:p>
        </w:tc>
        <w:tc>
          <w:tcPr>
            <w:tcW w:w="951" w:type="pct"/>
            <w:tcBorders>
              <w:top w:val="single" w:sz="6" w:space="0" w:color="808080" w:themeColor="background1" w:themeShade="80"/>
              <w:bottom w:val="single" w:sz="6" w:space="0" w:color="808080" w:themeColor="background1" w:themeShade="80"/>
            </w:tcBorders>
          </w:tcPr>
          <w:p w14:paraId="3941EAEA" w14:textId="2AC3AE83" w:rsidR="00516DEF" w:rsidRPr="00516DEF" w:rsidRDefault="00516DEF" w:rsidP="00516DEF">
            <w:pPr>
              <w:pStyle w:val="TableText"/>
              <w:jc w:val="center"/>
              <w:rPr>
                <w:i/>
                <w:highlight w:val="yellow"/>
              </w:rPr>
            </w:pPr>
            <w:r w:rsidRPr="00DA34D3">
              <w:t>0.43</w:t>
            </w:r>
          </w:p>
        </w:tc>
        <w:tc>
          <w:tcPr>
            <w:tcW w:w="950" w:type="pct"/>
            <w:tcBorders>
              <w:top w:val="single" w:sz="6" w:space="0" w:color="808080" w:themeColor="background1" w:themeShade="80"/>
              <w:bottom w:val="single" w:sz="6" w:space="0" w:color="808080" w:themeColor="background1" w:themeShade="80"/>
            </w:tcBorders>
          </w:tcPr>
          <w:p w14:paraId="30DDD40C" w14:textId="5E9CC8AE"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491C9D4F" w14:textId="3FCBA72F" w:rsidR="00516DEF" w:rsidRPr="0058458C" w:rsidRDefault="00516DEF" w:rsidP="00516DEF">
            <w:pPr>
              <w:pStyle w:val="TableText"/>
              <w:jc w:val="center"/>
            </w:pPr>
            <w:r w:rsidRPr="0058458C">
              <w:t>0.65</w:t>
            </w:r>
          </w:p>
        </w:tc>
      </w:tr>
      <w:tr w:rsidR="00516DEF" w:rsidRPr="0058458C" w14:paraId="3BBBB5B3"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7876FCA8" w14:textId="6A5A5003" w:rsidR="00516DEF" w:rsidRPr="0058458C" w:rsidRDefault="00516DEF" w:rsidP="003C3D46">
            <w:pPr>
              <w:pStyle w:val="TableText"/>
              <w:ind w:left="490"/>
            </w:pPr>
            <w:r w:rsidRPr="000E6E26">
              <w:t>45-64</w:t>
            </w:r>
          </w:p>
        </w:tc>
        <w:tc>
          <w:tcPr>
            <w:tcW w:w="951" w:type="pct"/>
            <w:tcBorders>
              <w:top w:val="single" w:sz="6" w:space="0" w:color="808080" w:themeColor="background1" w:themeShade="80"/>
              <w:bottom w:val="single" w:sz="6" w:space="0" w:color="808080" w:themeColor="background1" w:themeShade="80"/>
            </w:tcBorders>
          </w:tcPr>
          <w:p w14:paraId="07C7B1D2" w14:textId="300AA00C" w:rsidR="00516DEF" w:rsidRPr="00516DEF" w:rsidRDefault="00516DEF" w:rsidP="00516DEF">
            <w:pPr>
              <w:pStyle w:val="TableText"/>
              <w:jc w:val="center"/>
              <w:rPr>
                <w:i/>
                <w:highlight w:val="yellow"/>
              </w:rPr>
            </w:pPr>
            <w:r w:rsidRPr="00DA34D3">
              <w:t>0.45</w:t>
            </w:r>
          </w:p>
        </w:tc>
        <w:tc>
          <w:tcPr>
            <w:tcW w:w="950" w:type="pct"/>
            <w:tcBorders>
              <w:top w:val="single" w:sz="6" w:space="0" w:color="808080" w:themeColor="background1" w:themeShade="80"/>
              <w:bottom w:val="single" w:sz="6" w:space="0" w:color="808080" w:themeColor="background1" w:themeShade="80"/>
            </w:tcBorders>
          </w:tcPr>
          <w:p w14:paraId="12FD7146" w14:textId="02D9861A"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1FEF55CF" w14:textId="6DFA469E" w:rsidR="00516DEF" w:rsidRPr="0058458C" w:rsidRDefault="00516DEF" w:rsidP="00516DEF">
            <w:pPr>
              <w:pStyle w:val="TableText"/>
              <w:jc w:val="center"/>
            </w:pPr>
            <w:r w:rsidRPr="0058458C">
              <w:t>0.65</w:t>
            </w:r>
          </w:p>
        </w:tc>
      </w:tr>
      <w:tr w:rsidR="00516DEF" w:rsidRPr="0058458C" w14:paraId="00488FB3"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14E0052D" w14:textId="25BC7AAD" w:rsidR="00516DEF" w:rsidRPr="0058458C" w:rsidRDefault="00516DEF" w:rsidP="003C3D46">
            <w:pPr>
              <w:pStyle w:val="TableText"/>
              <w:ind w:left="490"/>
            </w:pPr>
            <w:r w:rsidRPr="000E6E26">
              <w:t>65+</w:t>
            </w:r>
          </w:p>
        </w:tc>
        <w:tc>
          <w:tcPr>
            <w:tcW w:w="951" w:type="pct"/>
            <w:tcBorders>
              <w:top w:val="single" w:sz="6" w:space="0" w:color="808080" w:themeColor="background1" w:themeShade="80"/>
              <w:bottom w:val="single" w:sz="6" w:space="0" w:color="808080" w:themeColor="background1" w:themeShade="80"/>
            </w:tcBorders>
          </w:tcPr>
          <w:p w14:paraId="713353E8" w14:textId="22AAB8A3" w:rsidR="00516DEF" w:rsidRPr="00516DEF" w:rsidRDefault="00516DEF" w:rsidP="00516DEF">
            <w:pPr>
              <w:pStyle w:val="TableText"/>
              <w:jc w:val="center"/>
              <w:rPr>
                <w:i/>
                <w:highlight w:val="yellow"/>
              </w:rPr>
            </w:pPr>
            <w:r w:rsidRPr="00DA34D3">
              <w:t>0.45</w:t>
            </w:r>
          </w:p>
        </w:tc>
        <w:tc>
          <w:tcPr>
            <w:tcW w:w="950" w:type="pct"/>
            <w:tcBorders>
              <w:top w:val="single" w:sz="6" w:space="0" w:color="808080" w:themeColor="background1" w:themeShade="80"/>
              <w:bottom w:val="single" w:sz="6" w:space="0" w:color="808080" w:themeColor="background1" w:themeShade="80"/>
            </w:tcBorders>
          </w:tcPr>
          <w:p w14:paraId="5926CCD6" w14:textId="35741DED"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408D1AC3" w14:textId="42ACE7B0" w:rsidR="00516DEF" w:rsidRPr="0058458C" w:rsidRDefault="00516DEF" w:rsidP="00516DEF">
            <w:pPr>
              <w:pStyle w:val="TableText"/>
              <w:jc w:val="center"/>
            </w:pPr>
            <w:r w:rsidRPr="0058458C">
              <w:t>0.65</w:t>
            </w:r>
          </w:p>
        </w:tc>
      </w:tr>
      <w:tr w:rsidR="00516DEF" w:rsidRPr="0058458C" w14:paraId="2613AB7B"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17D388A0" w14:textId="77777777" w:rsidR="00516DEF" w:rsidRPr="0058458C" w:rsidRDefault="00516DEF" w:rsidP="00516DEF">
            <w:pPr>
              <w:pStyle w:val="TableText"/>
              <w:ind w:left="274"/>
            </w:pPr>
            <w:r w:rsidRPr="0058458C">
              <w:t>CD4 200–350</w:t>
            </w:r>
          </w:p>
        </w:tc>
        <w:tc>
          <w:tcPr>
            <w:tcW w:w="951" w:type="pct"/>
            <w:tcBorders>
              <w:top w:val="single" w:sz="6" w:space="0" w:color="808080" w:themeColor="background1" w:themeShade="80"/>
              <w:bottom w:val="single" w:sz="6" w:space="0" w:color="808080" w:themeColor="background1" w:themeShade="80"/>
            </w:tcBorders>
          </w:tcPr>
          <w:p w14:paraId="292D1CF2" w14:textId="22ED6B45" w:rsidR="00516DEF" w:rsidRPr="003C3D46" w:rsidRDefault="00516DEF" w:rsidP="00516DEF">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42BC39F2" w14:textId="0938F47C" w:rsidR="00516DEF" w:rsidRPr="0058458C" w:rsidRDefault="00516DEF" w:rsidP="00516DEF">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4A07BE13" w14:textId="6907F849" w:rsidR="00516DEF" w:rsidRPr="0058458C" w:rsidRDefault="00516DEF" w:rsidP="00516DEF">
            <w:pPr>
              <w:pStyle w:val="TableText"/>
              <w:jc w:val="center"/>
            </w:pPr>
          </w:p>
        </w:tc>
      </w:tr>
      <w:tr w:rsidR="00516DEF" w:rsidRPr="0058458C" w14:paraId="3B0EF52E"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05BA6859" w14:textId="7F568732" w:rsidR="00516DEF" w:rsidRPr="0058458C" w:rsidRDefault="00516DEF" w:rsidP="003C3D46">
            <w:pPr>
              <w:pStyle w:val="TableText"/>
              <w:ind w:left="490"/>
            </w:pPr>
            <w:r w:rsidRPr="000E6E26">
              <w:t>13-44</w:t>
            </w:r>
          </w:p>
        </w:tc>
        <w:tc>
          <w:tcPr>
            <w:tcW w:w="951" w:type="pct"/>
            <w:tcBorders>
              <w:top w:val="single" w:sz="6" w:space="0" w:color="808080" w:themeColor="background1" w:themeShade="80"/>
              <w:bottom w:val="single" w:sz="6" w:space="0" w:color="808080" w:themeColor="background1" w:themeShade="80"/>
            </w:tcBorders>
          </w:tcPr>
          <w:p w14:paraId="5B41DADF" w14:textId="488B69E6" w:rsidR="00516DEF" w:rsidRPr="00516DEF" w:rsidRDefault="00516DEF" w:rsidP="00516DEF">
            <w:pPr>
              <w:pStyle w:val="TableText"/>
              <w:jc w:val="center"/>
              <w:rPr>
                <w:i/>
                <w:highlight w:val="yellow"/>
              </w:rPr>
            </w:pPr>
            <w:r w:rsidRPr="009C24DD">
              <w:t>0.39</w:t>
            </w:r>
          </w:p>
        </w:tc>
        <w:tc>
          <w:tcPr>
            <w:tcW w:w="950" w:type="pct"/>
            <w:tcBorders>
              <w:top w:val="single" w:sz="6" w:space="0" w:color="808080" w:themeColor="background1" w:themeShade="80"/>
              <w:bottom w:val="single" w:sz="6" w:space="0" w:color="808080" w:themeColor="background1" w:themeShade="80"/>
            </w:tcBorders>
          </w:tcPr>
          <w:p w14:paraId="0876943A" w14:textId="0225F0CA"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4821282C" w14:textId="04933321" w:rsidR="00516DEF" w:rsidRPr="0058458C" w:rsidRDefault="00516DEF" w:rsidP="00516DEF">
            <w:pPr>
              <w:pStyle w:val="TableText"/>
              <w:jc w:val="center"/>
            </w:pPr>
            <w:r w:rsidRPr="0058458C">
              <w:t>0.65</w:t>
            </w:r>
          </w:p>
        </w:tc>
      </w:tr>
      <w:tr w:rsidR="00516DEF" w:rsidRPr="0058458C" w14:paraId="4ED9133A"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6155FD25" w14:textId="358D78CF" w:rsidR="00516DEF" w:rsidRPr="0058458C" w:rsidRDefault="00516DEF" w:rsidP="003C3D46">
            <w:pPr>
              <w:pStyle w:val="TableText"/>
              <w:ind w:left="490"/>
            </w:pPr>
            <w:r w:rsidRPr="000E6E26">
              <w:t>45-64</w:t>
            </w:r>
          </w:p>
        </w:tc>
        <w:tc>
          <w:tcPr>
            <w:tcW w:w="951" w:type="pct"/>
            <w:tcBorders>
              <w:top w:val="single" w:sz="6" w:space="0" w:color="808080" w:themeColor="background1" w:themeShade="80"/>
              <w:bottom w:val="single" w:sz="6" w:space="0" w:color="808080" w:themeColor="background1" w:themeShade="80"/>
            </w:tcBorders>
          </w:tcPr>
          <w:p w14:paraId="3ADD5446" w14:textId="276A7280" w:rsidR="00516DEF" w:rsidRPr="00516DEF" w:rsidRDefault="00516DEF" w:rsidP="00516DEF">
            <w:pPr>
              <w:pStyle w:val="TableText"/>
              <w:jc w:val="center"/>
              <w:rPr>
                <w:i/>
                <w:highlight w:val="yellow"/>
              </w:rPr>
            </w:pPr>
            <w:r w:rsidRPr="009C24DD">
              <w:t>0.45</w:t>
            </w:r>
          </w:p>
        </w:tc>
        <w:tc>
          <w:tcPr>
            <w:tcW w:w="950" w:type="pct"/>
            <w:tcBorders>
              <w:top w:val="single" w:sz="6" w:space="0" w:color="808080" w:themeColor="background1" w:themeShade="80"/>
              <w:bottom w:val="single" w:sz="6" w:space="0" w:color="808080" w:themeColor="background1" w:themeShade="80"/>
            </w:tcBorders>
          </w:tcPr>
          <w:p w14:paraId="57F6E77B" w14:textId="1E1D1FE1"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361B42A9" w14:textId="5E5CCF9F" w:rsidR="00516DEF" w:rsidRPr="0058458C" w:rsidRDefault="00516DEF" w:rsidP="00516DEF">
            <w:pPr>
              <w:pStyle w:val="TableText"/>
              <w:jc w:val="center"/>
            </w:pPr>
            <w:r w:rsidRPr="0058458C">
              <w:t>0.65</w:t>
            </w:r>
          </w:p>
        </w:tc>
      </w:tr>
      <w:tr w:rsidR="00516DEF" w:rsidRPr="0058458C" w14:paraId="6E579D40" w14:textId="77777777" w:rsidTr="0007322B">
        <w:trPr>
          <w:cantSplit/>
        </w:trPr>
        <w:tc>
          <w:tcPr>
            <w:tcW w:w="2150" w:type="pct"/>
            <w:tcBorders>
              <w:top w:val="single" w:sz="6" w:space="0" w:color="808080" w:themeColor="background1" w:themeShade="80"/>
              <w:bottom w:val="single" w:sz="6" w:space="0" w:color="808080" w:themeColor="background1" w:themeShade="80"/>
            </w:tcBorders>
          </w:tcPr>
          <w:p w14:paraId="15E54330" w14:textId="0F60698E" w:rsidR="00516DEF" w:rsidRPr="0058458C" w:rsidRDefault="00516DEF" w:rsidP="003C3D46">
            <w:pPr>
              <w:pStyle w:val="TableText"/>
              <w:ind w:left="490"/>
            </w:pPr>
            <w:r w:rsidRPr="000E6E26">
              <w:t>65+</w:t>
            </w:r>
          </w:p>
        </w:tc>
        <w:tc>
          <w:tcPr>
            <w:tcW w:w="951" w:type="pct"/>
            <w:tcBorders>
              <w:top w:val="single" w:sz="6" w:space="0" w:color="808080" w:themeColor="background1" w:themeShade="80"/>
              <w:bottom w:val="single" w:sz="6" w:space="0" w:color="808080" w:themeColor="background1" w:themeShade="80"/>
            </w:tcBorders>
          </w:tcPr>
          <w:p w14:paraId="174F3E2A" w14:textId="39B75917" w:rsidR="00516DEF" w:rsidRPr="00516DEF" w:rsidRDefault="00516DEF" w:rsidP="00516DEF">
            <w:pPr>
              <w:pStyle w:val="TableText"/>
              <w:jc w:val="center"/>
              <w:rPr>
                <w:i/>
                <w:highlight w:val="yellow"/>
              </w:rPr>
            </w:pPr>
            <w:r w:rsidRPr="009C24DD">
              <w:t>0.47</w:t>
            </w:r>
          </w:p>
        </w:tc>
        <w:tc>
          <w:tcPr>
            <w:tcW w:w="950" w:type="pct"/>
            <w:tcBorders>
              <w:top w:val="single" w:sz="6" w:space="0" w:color="808080" w:themeColor="background1" w:themeShade="80"/>
              <w:bottom w:val="single" w:sz="6" w:space="0" w:color="808080" w:themeColor="background1" w:themeShade="80"/>
            </w:tcBorders>
          </w:tcPr>
          <w:p w14:paraId="56108DCD" w14:textId="2995F000"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541CC252" w14:textId="7824FB13" w:rsidR="00516DEF" w:rsidRPr="0058458C" w:rsidRDefault="00516DEF" w:rsidP="00516DEF">
            <w:pPr>
              <w:pStyle w:val="TableText"/>
              <w:jc w:val="center"/>
            </w:pPr>
            <w:r w:rsidRPr="0058458C">
              <w:t>0.65</w:t>
            </w:r>
          </w:p>
        </w:tc>
      </w:tr>
      <w:tr w:rsidR="00516DEF" w:rsidRPr="0058458C" w14:paraId="41B04E89" w14:textId="77777777" w:rsidTr="003C3D46">
        <w:trPr>
          <w:cantSplit/>
        </w:trPr>
        <w:tc>
          <w:tcPr>
            <w:tcW w:w="2150" w:type="pct"/>
            <w:tcBorders>
              <w:top w:val="single" w:sz="6" w:space="0" w:color="808080" w:themeColor="background1" w:themeShade="80"/>
              <w:bottom w:val="single" w:sz="6" w:space="0" w:color="808080" w:themeColor="background1" w:themeShade="80"/>
            </w:tcBorders>
          </w:tcPr>
          <w:p w14:paraId="577FF73A" w14:textId="2A595EF0" w:rsidR="00516DEF" w:rsidRPr="0058458C" w:rsidRDefault="00516DEF" w:rsidP="00516DEF">
            <w:pPr>
              <w:pStyle w:val="TableText"/>
              <w:ind w:left="274"/>
            </w:pPr>
            <w:r w:rsidRPr="0058458C">
              <w:t>CD4 &lt; 200</w:t>
            </w:r>
          </w:p>
        </w:tc>
        <w:tc>
          <w:tcPr>
            <w:tcW w:w="951" w:type="pct"/>
            <w:tcBorders>
              <w:top w:val="single" w:sz="6" w:space="0" w:color="808080" w:themeColor="background1" w:themeShade="80"/>
              <w:bottom w:val="single" w:sz="6" w:space="0" w:color="808080" w:themeColor="background1" w:themeShade="80"/>
            </w:tcBorders>
          </w:tcPr>
          <w:p w14:paraId="633C4ADA" w14:textId="71CCEE0B" w:rsidR="00516DEF" w:rsidRPr="003C3D46" w:rsidRDefault="00516DEF" w:rsidP="00516DEF">
            <w:pPr>
              <w:pStyle w:val="TableText"/>
              <w:jc w:val="center"/>
              <w:rPr>
                <w:highlight w:val="yellow"/>
              </w:rPr>
            </w:pPr>
          </w:p>
        </w:tc>
        <w:tc>
          <w:tcPr>
            <w:tcW w:w="950" w:type="pct"/>
            <w:tcBorders>
              <w:top w:val="single" w:sz="6" w:space="0" w:color="808080" w:themeColor="background1" w:themeShade="80"/>
              <w:bottom w:val="single" w:sz="6" w:space="0" w:color="808080" w:themeColor="background1" w:themeShade="80"/>
            </w:tcBorders>
          </w:tcPr>
          <w:p w14:paraId="1B1084C9" w14:textId="5DD520EB" w:rsidR="00516DEF" w:rsidRPr="0058458C" w:rsidRDefault="00516DEF" w:rsidP="00516DEF">
            <w:pPr>
              <w:pStyle w:val="TableText"/>
              <w:jc w:val="center"/>
            </w:pPr>
          </w:p>
        </w:tc>
        <w:tc>
          <w:tcPr>
            <w:tcW w:w="949" w:type="pct"/>
            <w:tcBorders>
              <w:top w:val="single" w:sz="6" w:space="0" w:color="808080" w:themeColor="background1" w:themeShade="80"/>
              <w:bottom w:val="single" w:sz="6" w:space="0" w:color="808080" w:themeColor="background1" w:themeShade="80"/>
            </w:tcBorders>
          </w:tcPr>
          <w:p w14:paraId="63C2C299" w14:textId="545CBA33" w:rsidR="00516DEF" w:rsidRPr="0058458C" w:rsidRDefault="00516DEF" w:rsidP="00516DEF">
            <w:pPr>
              <w:pStyle w:val="TableText"/>
              <w:jc w:val="center"/>
            </w:pPr>
          </w:p>
        </w:tc>
      </w:tr>
      <w:tr w:rsidR="00516DEF" w:rsidRPr="0058458C" w14:paraId="7236DC98" w14:textId="77777777" w:rsidTr="003C3D46">
        <w:trPr>
          <w:cantSplit/>
        </w:trPr>
        <w:tc>
          <w:tcPr>
            <w:tcW w:w="2150" w:type="pct"/>
            <w:tcBorders>
              <w:top w:val="single" w:sz="6" w:space="0" w:color="808080" w:themeColor="background1" w:themeShade="80"/>
              <w:bottom w:val="single" w:sz="6" w:space="0" w:color="808080" w:themeColor="background1" w:themeShade="80"/>
            </w:tcBorders>
          </w:tcPr>
          <w:p w14:paraId="79F620B9" w14:textId="7DB3B249" w:rsidR="00516DEF" w:rsidRPr="0058458C" w:rsidRDefault="00516DEF" w:rsidP="003C3D46">
            <w:pPr>
              <w:pStyle w:val="TableText"/>
              <w:ind w:left="490"/>
            </w:pPr>
            <w:r w:rsidRPr="000E6E26">
              <w:t>13-44</w:t>
            </w:r>
          </w:p>
        </w:tc>
        <w:tc>
          <w:tcPr>
            <w:tcW w:w="951" w:type="pct"/>
            <w:tcBorders>
              <w:top w:val="single" w:sz="6" w:space="0" w:color="808080" w:themeColor="background1" w:themeShade="80"/>
              <w:bottom w:val="single" w:sz="6" w:space="0" w:color="808080" w:themeColor="background1" w:themeShade="80"/>
            </w:tcBorders>
          </w:tcPr>
          <w:p w14:paraId="72525390" w14:textId="23AF3388" w:rsidR="00516DEF" w:rsidRPr="00516DEF" w:rsidRDefault="00516DEF" w:rsidP="00516DEF">
            <w:pPr>
              <w:pStyle w:val="TableText"/>
              <w:jc w:val="center"/>
              <w:rPr>
                <w:i/>
                <w:highlight w:val="yellow"/>
              </w:rPr>
            </w:pPr>
            <w:r w:rsidRPr="003C0DE7">
              <w:t>0.39</w:t>
            </w:r>
          </w:p>
        </w:tc>
        <w:tc>
          <w:tcPr>
            <w:tcW w:w="950" w:type="pct"/>
            <w:tcBorders>
              <w:top w:val="single" w:sz="6" w:space="0" w:color="808080" w:themeColor="background1" w:themeShade="80"/>
              <w:bottom w:val="single" w:sz="6" w:space="0" w:color="808080" w:themeColor="background1" w:themeShade="80"/>
            </w:tcBorders>
          </w:tcPr>
          <w:p w14:paraId="5B5CACFA" w14:textId="3D481E4C"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0D64E1CB" w14:textId="12BF15AA" w:rsidR="00516DEF" w:rsidRPr="0058458C" w:rsidRDefault="00516DEF" w:rsidP="00516DEF">
            <w:pPr>
              <w:pStyle w:val="TableText"/>
              <w:jc w:val="center"/>
            </w:pPr>
            <w:r w:rsidRPr="0058458C">
              <w:t>0.65</w:t>
            </w:r>
          </w:p>
        </w:tc>
      </w:tr>
      <w:tr w:rsidR="00516DEF" w:rsidRPr="0058458C" w14:paraId="447DC9B3" w14:textId="77777777" w:rsidTr="003C3D46">
        <w:trPr>
          <w:cantSplit/>
        </w:trPr>
        <w:tc>
          <w:tcPr>
            <w:tcW w:w="2150" w:type="pct"/>
            <w:tcBorders>
              <w:top w:val="single" w:sz="6" w:space="0" w:color="808080" w:themeColor="background1" w:themeShade="80"/>
              <w:bottom w:val="single" w:sz="6" w:space="0" w:color="808080" w:themeColor="background1" w:themeShade="80"/>
            </w:tcBorders>
          </w:tcPr>
          <w:p w14:paraId="78E95082" w14:textId="71CB9A92" w:rsidR="00516DEF" w:rsidRPr="0058458C" w:rsidRDefault="00516DEF" w:rsidP="003C3D46">
            <w:pPr>
              <w:pStyle w:val="TableText"/>
              <w:ind w:left="490"/>
            </w:pPr>
            <w:r w:rsidRPr="000E6E26">
              <w:t>45-64</w:t>
            </w:r>
          </w:p>
        </w:tc>
        <w:tc>
          <w:tcPr>
            <w:tcW w:w="951" w:type="pct"/>
            <w:tcBorders>
              <w:top w:val="single" w:sz="6" w:space="0" w:color="808080" w:themeColor="background1" w:themeShade="80"/>
              <w:bottom w:val="single" w:sz="6" w:space="0" w:color="808080" w:themeColor="background1" w:themeShade="80"/>
            </w:tcBorders>
          </w:tcPr>
          <w:p w14:paraId="29C271F4" w14:textId="1358B5A9" w:rsidR="00516DEF" w:rsidRPr="00516DEF" w:rsidRDefault="00516DEF" w:rsidP="00516DEF">
            <w:pPr>
              <w:pStyle w:val="TableText"/>
              <w:jc w:val="center"/>
              <w:rPr>
                <w:i/>
                <w:highlight w:val="yellow"/>
              </w:rPr>
            </w:pPr>
            <w:r w:rsidRPr="003C0DE7">
              <w:t>0.57</w:t>
            </w:r>
          </w:p>
        </w:tc>
        <w:tc>
          <w:tcPr>
            <w:tcW w:w="950" w:type="pct"/>
            <w:tcBorders>
              <w:top w:val="single" w:sz="6" w:space="0" w:color="808080" w:themeColor="background1" w:themeShade="80"/>
              <w:bottom w:val="single" w:sz="6" w:space="0" w:color="808080" w:themeColor="background1" w:themeShade="80"/>
            </w:tcBorders>
          </w:tcPr>
          <w:p w14:paraId="239A78AE" w14:textId="47AEDC3F"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6" w:space="0" w:color="808080" w:themeColor="background1" w:themeShade="80"/>
            </w:tcBorders>
          </w:tcPr>
          <w:p w14:paraId="78147948" w14:textId="1A442D4A" w:rsidR="00516DEF" w:rsidRPr="0058458C" w:rsidRDefault="00516DEF" w:rsidP="00516DEF">
            <w:pPr>
              <w:pStyle w:val="TableText"/>
              <w:jc w:val="center"/>
            </w:pPr>
            <w:r w:rsidRPr="0058458C">
              <w:t>0.65</w:t>
            </w:r>
          </w:p>
        </w:tc>
      </w:tr>
      <w:tr w:rsidR="00516DEF" w:rsidRPr="0058458C" w14:paraId="3EEF6751" w14:textId="77777777" w:rsidTr="0007322B">
        <w:trPr>
          <w:cantSplit/>
        </w:trPr>
        <w:tc>
          <w:tcPr>
            <w:tcW w:w="2150" w:type="pct"/>
            <w:tcBorders>
              <w:top w:val="single" w:sz="6" w:space="0" w:color="808080" w:themeColor="background1" w:themeShade="80"/>
              <w:bottom w:val="single" w:sz="12" w:space="0" w:color="auto"/>
            </w:tcBorders>
          </w:tcPr>
          <w:p w14:paraId="18997582" w14:textId="2AF5BD37" w:rsidR="00516DEF" w:rsidRPr="0058458C" w:rsidRDefault="00516DEF" w:rsidP="003C3D46">
            <w:pPr>
              <w:pStyle w:val="TableText"/>
              <w:ind w:left="490"/>
            </w:pPr>
            <w:r w:rsidRPr="000E6E26">
              <w:t>65+</w:t>
            </w:r>
          </w:p>
        </w:tc>
        <w:tc>
          <w:tcPr>
            <w:tcW w:w="951" w:type="pct"/>
            <w:tcBorders>
              <w:top w:val="single" w:sz="6" w:space="0" w:color="808080" w:themeColor="background1" w:themeShade="80"/>
              <w:bottom w:val="single" w:sz="12" w:space="0" w:color="auto"/>
            </w:tcBorders>
          </w:tcPr>
          <w:p w14:paraId="523DBA7E" w14:textId="4D3DD249" w:rsidR="00516DEF" w:rsidRPr="00516DEF" w:rsidRDefault="00516DEF" w:rsidP="00516DEF">
            <w:pPr>
              <w:pStyle w:val="TableText"/>
              <w:jc w:val="center"/>
              <w:rPr>
                <w:i/>
                <w:highlight w:val="yellow"/>
              </w:rPr>
            </w:pPr>
            <w:r w:rsidRPr="003C0DE7">
              <w:t>0.53</w:t>
            </w:r>
          </w:p>
        </w:tc>
        <w:tc>
          <w:tcPr>
            <w:tcW w:w="950" w:type="pct"/>
            <w:tcBorders>
              <w:top w:val="single" w:sz="6" w:space="0" w:color="808080" w:themeColor="background1" w:themeShade="80"/>
              <w:bottom w:val="single" w:sz="12" w:space="0" w:color="auto"/>
            </w:tcBorders>
          </w:tcPr>
          <w:p w14:paraId="25284B71" w14:textId="448A1F8A" w:rsidR="00516DEF" w:rsidRPr="0058458C" w:rsidRDefault="00516DEF" w:rsidP="00516DEF">
            <w:pPr>
              <w:pStyle w:val="TableText"/>
              <w:jc w:val="center"/>
            </w:pPr>
            <w:r w:rsidRPr="0058458C">
              <w:t>0.25</w:t>
            </w:r>
          </w:p>
        </w:tc>
        <w:tc>
          <w:tcPr>
            <w:tcW w:w="949" w:type="pct"/>
            <w:tcBorders>
              <w:top w:val="single" w:sz="6" w:space="0" w:color="808080" w:themeColor="background1" w:themeShade="80"/>
              <w:bottom w:val="single" w:sz="12" w:space="0" w:color="auto"/>
            </w:tcBorders>
          </w:tcPr>
          <w:p w14:paraId="15E2F576" w14:textId="01E8B8B2" w:rsidR="00516DEF" w:rsidRPr="0058458C" w:rsidRDefault="00516DEF" w:rsidP="00516DEF">
            <w:pPr>
              <w:pStyle w:val="TableText"/>
              <w:jc w:val="center"/>
            </w:pPr>
            <w:r w:rsidRPr="0058458C">
              <w:t>0.65</w:t>
            </w:r>
          </w:p>
        </w:tc>
      </w:tr>
    </w:tbl>
    <w:p w14:paraId="041446B8" w14:textId="0B851F90" w:rsidR="00707335" w:rsidRPr="0058458C" w:rsidRDefault="00740DFC" w:rsidP="00F12F29">
      <w:pPr>
        <w:pStyle w:val="Source1"/>
        <w:spacing w:after="0"/>
        <w:ind w:left="180" w:hanging="180"/>
      </w:pPr>
      <w:r w:rsidRPr="0058458C">
        <w:t xml:space="preserve">Note: </w:t>
      </w:r>
      <w:r w:rsidR="00642CDD" w:rsidRPr="0058458C">
        <w:t xml:space="preserve">AI = anal intercourse; </w:t>
      </w:r>
      <w:r w:rsidRPr="0058458C">
        <w:t xml:space="preserve">ART = antiretroviral therapy; HET = heterosexual; </w:t>
      </w:r>
      <w:r w:rsidR="00D568B5" w:rsidRPr="0058458C">
        <w:t xml:space="preserve">PWID = people who inject drugs; </w:t>
      </w:r>
      <w:r w:rsidRPr="0058458C">
        <w:t xml:space="preserve">VLS = </w:t>
      </w:r>
      <w:r w:rsidR="00D568B5" w:rsidRPr="0058458C">
        <w:t>viral load suppressed</w:t>
      </w:r>
    </w:p>
    <w:p w14:paraId="0D6677FF" w14:textId="046026C6" w:rsidR="00740DFC" w:rsidRPr="00C00335" w:rsidRDefault="00383B74" w:rsidP="00642FB4">
      <w:pPr>
        <w:pStyle w:val="Source1"/>
        <w:spacing w:before="60"/>
      </w:pPr>
      <w:r w:rsidRPr="0058458C">
        <w:rPr>
          <w:vertAlign w:val="superscript"/>
        </w:rPr>
        <w:lastRenderedPageBreak/>
        <w:t>a</w:t>
      </w:r>
      <w:r w:rsidRPr="0058458C">
        <w:t xml:space="preserve"> Calibrated values reported in this </w:t>
      </w:r>
      <w:r w:rsidR="00642FB4" w:rsidRPr="0058458C">
        <w:t>version of the t</w:t>
      </w:r>
      <w:r w:rsidR="00642FB4" w:rsidRPr="00C00335">
        <w:t>echnical report</w:t>
      </w:r>
      <w:r w:rsidRPr="00C00335">
        <w:t xml:space="preserve"> are from calibration set </w:t>
      </w:r>
      <w:r w:rsidR="00634B0F" w:rsidRPr="003C3D46">
        <w:rPr>
          <w:iCs/>
        </w:rPr>
        <w:t>LB_916_1</w:t>
      </w:r>
      <w:r w:rsidRPr="00E54903">
        <w:rPr>
          <w:iCs/>
        </w:rPr>
        <w:t>.</w:t>
      </w:r>
    </w:p>
    <w:p w14:paraId="2C212EFF" w14:textId="2A65E847" w:rsidR="001F5372" w:rsidRPr="00E832D1" w:rsidRDefault="00DD62F8" w:rsidP="00024FE5">
      <w:pPr>
        <w:pStyle w:val="Heading3"/>
      </w:pPr>
      <w:bookmarkStart w:id="167" w:name="_Toc89257575"/>
      <w:r w:rsidRPr="00E832D1">
        <w:t>Identif</w:t>
      </w:r>
      <w:r w:rsidR="00024FE5" w:rsidRPr="00E832D1">
        <w:t>ication of</w:t>
      </w:r>
      <w:r w:rsidRPr="00E832D1">
        <w:t xml:space="preserve"> Base and Alternative Input Sets</w:t>
      </w:r>
      <w:r w:rsidR="00024FE5" w:rsidRPr="00E832D1">
        <w:t xml:space="preserve"> Using Optimization Techniques</w:t>
      </w:r>
      <w:bookmarkEnd w:id="167"/>
    </w:p>
    <w:p w14:paraId="1CFAB9F2" w14:textId="733AEE25" w:rsidR="0055215F" w:rsidRPr="00E832D1" w:rsidRDefault="00883FA8" w:rsidP="0055215F">
      <w:pPr>
        <w:pStyle w:val="BodyText"/>
      </w:pPr>
      <w:r w:rsidRPr="00E832D1">
        <w:t>We then used MATLAB’s Optimization Toolbox (</w:t>
      </w:r>
      <w:proofErr w:type="spellStart"/>
      <w:r w:rsidRPr="00E832D1">
        <w:t>Mathworks</w:t>
      </w:r>
      <w:proofErr w:type="spellEnd"/>
      <w:r w:rsidRPr="00E832D1">
        <w:t>; Natick, Massachusetts)</w:t>
      </w:r>
      <w:r w:rsidR="00DD62F8" w:rsidRPr="00E832D1">
        <w:t xml:space="preserve"> to identify local optimal input set</w:t>
      </w:r>
      <w:r w:rsidR="00D57988" w:rsidRPr="00E832D1">
        <w:t>s</w:t>
      </w:r>
      <w:r w:rsidR="00DD62F8" w:rsidRPr="00E832D1">
        <w:t xml:space="preserve"> starting with </w:t>
      </w:r>
      <w:r w:rsidR="00901A25" w:rsidRPr="00E832D1">
        <w:t>sets of randomly sampled values for all calibrated inputs</w:t>
      </w:r>
      <w:r w:rsidR="0055215F" w:rsidRPr="00E832D1">
        <w:t>.</w:t>
      </w:r>
      <w:r w:rsidR="00DD62F8" w:rsidRPr="00E832D1">
        <w:t xml:space="preserve"> </w:t>
      </w:r>
      <w:r w:rsidR="0055215F" w:rsidRPr="00E832D1">
        <w:t xml:space="preserve">We observed for each set of inputs </w:t>
      </w:r>
      <w:r w:rsidR="00DD62F8" w:rsidRPr="00E832D1">
        <w:t>the number of targets that were out of bounds</w:t>
      </w:r>
      <w:r w:rsidR="0055215F" w:rsidRPr="00E832D1">
        <w:t xml:space="preserve"> and the two measures of goodness-of-fit:</w:t>
      </w:r>
      <w:r w:rsidR="00BB52C3" w:rsidRPr="00E832D1">
        <w:t xml:space="preserve"> </w:t>
      </w:r>
      <w:r w:rsidR="0055215F" w:rsidRPr="00E832D1">
        <w:t xml:space="preserve">the “Out-of-bounds penalty measure” (inspired by a similar measure applied in Tian et al. [2016]) and the “target error measure,” as defined in Equations </w:t>
      </w:r>
      <w:r w:rsidR="008867F1" w:rsidRPr="00E832D1">
        <w:t>1</w:t>
      </w:r>
      <w:r w:rsidR="008867F1">
        <w:t>0</w:t>
      </w:r>
      <w:r w:rsidR="0055215F" w:rsidRPr="00E832D1">
        <w:t xml:space="preserve">.1 and </w:t>
      </w:r>
      <w:r w:rsidR="008867F1" w:rsidRPr="00E832D1">
        <w:t>1</w:t>
      </w:r>
      <w:r w:rsidR="008867F1">
        <w:t>0</w:t>
      </w:r>
      <w:r w:rsidR="0055215F" w:rsidRPr="00E832D1">
        <w:t xml:space="preserve">.2. </w:t>
      </w:r>
    </w:p>
    <w:p w14:paraId="4DF7741E" w14:textId="36CEE8C5" w:rsidR="0055215F" w:rsidRPr="00E832D1" w:rsidRDefault="0055215F" w:rsidP="0055215F">
      <w:pPr>
        <w:pStyle w:val="equation"/>
        <w:spacing w:line="240" w:lineRule="auto"/>
        <w:rPr>
          <w:oMath/>
        </w:rPr>
      </w:pPr>
      <w:r w:rsidRPr="00E832D1">
        <w:tab/>
      </w:r>
      <m:oMath>
        <m:r>
          <m:rPr>
            <m:nor/>
          </m:rPr>
          <m:t>Out-of-bounds penalty measure for each input set:</m:t>
        </m:r>
        <m:r>
          <m:rPr>
            <m:nor/>
          </m:rPr>
          <w:br/>
        </m:r>
      </m:oMath>
      <m:oMathPara>
        <m:oMath>
          <m:r>
            <m:rPr>
              <m:nor/>
            </m:rPr>
            <w:br/>
          </m:r>
        </m:oMath>
      </m:oMathPara>
      <w:r w:rsidRPr="00E832D1">
        <w:tab/>
      </w:r>
      <m:oMath>
        <m:r>
          <m:rPr>
            <m:nor/>
          </m:rPr>
          <m:t>=</m:t>
        </m:r>
        <m:nary>
          <m:naryPr>
            <m:chr m:val="∑"/>
            <m:limLoc m:val="undOvr"/>
            <m:ctrlPr>
              <w:rPr>
                <w:i/>
              </w:rPr>
            </m:ctrlPr>
          </m:naryPr>
          <m:sub>
            <m:r>
              <m:t>i=1</m:t>
            </m:r>
          </m:sub>
          <m:sup>
            <m:r>
              <m:t>NumTargets</m:t>
            </m:r>
          </m:sup>
          <m:e>
            <m:d>
              <m:dPr>
                <m:ctrlPr>
                  <w:rPr>
                    <w:i/>
                  </w:rPr>
                </m:ctrlPr>
              </m:dPr>
              <m:e>
                <m:r>
                  <m:t>[</m:t>
                </m:r>
                <m:sSub>
                  <m:sSubPr>
                    <m:ctrlPr>
                      <w:rPr>
                        <w:i/>
                      </w:rPr>
                    </m:ctrlPr>
                  </m:sSubPr>
                  <m:e>
                    <m:r>
                      <m:t>priority weight</m:t>
                    </m:r>
                  </m:e>
                  <m:sub>
                    <m:r>
                      <m:t>i</m:t>
                    </m:r>
                  </m:sub>
                </m:sSub>
                <m:r>
                  <m:t>]</m:t>
                </m:r>
                <m:d>
                  <m:dPr>
                    <m:begChr m:val="["/>
                    <m:endChr m:val="]"/>
                    <m:ctrlPr>
                      <w:rPr>
                        <w:i/>
                      </w:rPr>
                    </m:ctrlPr>
                  </m:dPr>
                  <m:e>
                    <m:sSub>
                      <m:sSubPr>
                        <m:ctrlPr>
                          <w:rPr>
                            <w:i/>
                          </w:rPr>
                        </m:ctrlPr>
                      </m:sSubPr>
                      <m:e>
                        <m:r>
                          <m:t>penalty</m:t>
                        </m:r>
                      </m:e>
                      <m:sub>
                        <m:r>
                          <m:t>i</m:t>
                        </m:r>
                      </m:sub>
                    </m:sSub>
                  </m:e>
                </m:d>
                <m:d>
                  <m:dPr>
                    <m:begChr m:val="["/>
                    <m:endChr m:val="]"/>
                    <m:ctrlPr>
                      <w:rPr>
                        <w:i/>
                      </w:rPr>
                    </m:ctrlPr>
                  </m:dPr>
                  <m:e>
                    <m:f>
                      <m:fPr>
                        <m:ctrlPr>
                          <w:rPr>
                            <w:i/>
                          </w:rPr>
                        </m:ctrlPr>
                      </m:fPr>
                      <m:num>
                        <m:d>
                          <m:dPr>
                            <m:ctrlPr>
                              <w:rPr>
                                <w:i/>
                              </w:rPr>
                            </m:ctrlPr>
                          </m:dPr>
                          <m:e>
                            <m:sSub>
                              <m:sSubPr>
                                <m:ctrlPr>
                                  <w:rPr>
                                    <w:i/>
                                  </w:rPr>
                                </m:ctrlPr>
                              </m:sSubPr>
                              <m:e>
                                <m:r>
                                  <m:t>Model outcome value</m:t>
                                </m:r>
                              </m:e>
                              <m:sub>
                                <m:r>
                                  <m:t>i</m:t>
                                </m:r>
                              </m:sub>
                            </m:sSub>
                            <m:r>
                              <m:t>-</m:t>
                            </m:r>
                            <m:sSub>
                              <m:sSubPr>
                                <m:ctrlPr>
                                  <w:rPr>
                                    <w:i/>
                                  </w:rPr>
                                </m:ctrlPr>
                              </m:sSubPr>
                              <m:e>
                                <m:r>
                                  <m:t>Target value</m:t>
                                </m:r>
                              </m:e>
                              <m:sub>
                                <m:r>
                                  <m:t>i</m:t>
                                </m:r>
                              </m:sub>
                            </m:sSub>
                          </m:e>
                        </m:d>
                      </m:num>
                      <m:den>
                        <m:sSup>
                          <m:sSupPr>
                            <m:ctrlPr>
                              <w:rPr>
                                <w:i/>
                              </w:rPr>
                            </m:ctrlPr>
                          </m:sSupPr>
                          <m:e>
                            <m:d>
                              <m:dPr>
                                <m:ctrlPr>
                                  <w:rPr>
                                    <w:i/>
                                  </w:rPr>
                                </m:ctrlPr>
                              </m:dPr>
                              <m:e>
                                <m:sSub>
                                  <m:sSubPr>
                                    <m:ctrlPr>
                                      <w:rPr>
                                        <w:i/>
                                      </w:rPr>
                                    </m:ctrlPr>
                                  </m:sSubPr>
                                  <m:e>
                                    <m:r>
                                      <m:t>Model outcome value</m:t>
                                    </m:r>
                                  </m:e>
                                  <m:sub>
                                    <m:r>
                                      <m:t>i</m:t>
                                    </m:r>
                                  </m:sub>
                                </m:sSub>
                                <m:r>
                                  <m:t>+</m:t>
                                </m:r>
                                <m:sSub>
                                  <m:sSubPr>
                                    <m:ctrlPr>
                                      <w:rPr>
                                        <w:i/>
                                      </w:rPr>
                                    </m:ctrlPr>
                                  </m:sSubPr>
                                  <m:e>
                                    <m:r>
                                      <m:t>Target value</m:t>
                                    </m:r>
                                  </m:e>
                                  <m:sub>
                                    <m:r>
                                      <m:t>i</m:t>
                                    </m:r>
                                  </m:sub>
                                </m:sSub>
                              </m:e>
                            </m:d>
                          </m:e>
                          <m:sup>
                            <m:r>
                              <m:t>2</m:t>
                            </m:r>
                          </m:sup>
                        </m:sSup>
                      </m:den>
                    </m:f>
                  </m:e>
                </m:d>
              </m:e>
            </m:d>
          </m:e>
        </m:nary>
      </m:oMath>
      <w:r w:rsidRPr="00E832D1">
        <w:tab/>
        <w:t>(</w:t>
      </w:r>
      <w:r w:rsidR="008867F1" w:rsidRPr="00E832D1">
        <w:t>1</w:t>
      </w:r>
      <w:r w:rsidR="008867F1">
        <w:t>0</w:t>
      </w:r>
      <w:r w:rsidRPr="00E832D1">
        <w:t>.1)</w:t>
      </w:r>
    </w:p>
    <w:p w14:paraId="292E72C6" w14:textId="77777777" w:rsidR="0055215F" w:rsidRPr="00E832D1" w:rsidRDefault="0055215F" w:rsidP="0055215F">
      <w:pPr>
        <w:pStyle w:val="BodyText"/>
      </w:pPr>
      <w:r w:rsidRPr="00E832D1">
        <w:t xml:space="preserve">where the penalty was set to 1000 if model outcome </w:t>
      </w:r>
      <w:r w:rsidRPr="00E832D1">
        <w:rPr>
          <w:i/>
          <w:iCs/>
        </w:rPr>
        <w:t xml:space="preserve">i </w:t>
      </w:r>
      <w:r w:rsidRPr="00E832D1">
        <w:t>was outside of the target range and 1 otherwise and the priority weight was set to 1 for all outcomes.</w:t>
      </w:r>
    </w:p>
    <w:p w14:paraId="75F5E188" w14:textId="3AC49F2A" w:rsidR="0055215F" w:rsidRPr="00E832D1" w:rsidRDefault="0055215F" w:rsidP="0055215F">
      <w:pPr>
        <w:pStyle w:val="equation"/>
        <w:spacing w:line="240" w:lineRule="auto"/>
        <w:rPr>
          <w:oMath/>
        </w:rPr>
      </w:pPr>
      <w:r w:rsidRPr="00E832D1">
        <w:tab/>
      </w:r>
      <m:oMath>
        <m:r>
          <m:rPr>
            <m:nor/>
          </m:rPr>
          <m:t>Target error measure for each input set:</m:t>
        </m:r>
        <m:r>
          <m:rPr>
            <m:nor/>
          </m:rPr>
          <w:br/>
        </m:r>
      </m:oMath>
      <m:oMathPara>
        <m:oMath>
          <m:r>
            <m:rPr>
              <m:nor/>
            </m:rPr>
            <w:br/>
          </m:r>
        </m:oMath>
      </m:oMathPara>
      <w:r w:rsidRPr="00E832D1">
        <w:tab/>
      </w:r>
      <m:oMath>
        <m:r>
          <m:rPr>
            <m:nor/>
          </m:rPr>
          <m:t>=</m:t>
        </m:r>
        <m:nary>
          <m:naryPr>
            <m:chr m:val="∑"/>
            <m:limLoc m:val="undOvr"/>
            <m:ctrlPr>
              <w:rPr>
                <w:i/>
              </w:rPr>
            </m:ctrlPr>
          </m:naryPr>
          <m:sub>
            <m:r>
              <m:t>i=1</m:t>
            </m:r>
          </m:sub>
          <m:sup>
            <m:r>
              <m:t>NumTargets</m:t>
            </m:r>
          </m:sup>
          <m:e>
            <m:d>
              <m:dPr>
                <m:ctrlPr>
                  <w:rPr>
                    <w:i/>
                  </w:rPr>
                </m:ctrlPr>
              </m:dPr>
              <m:e>
                <m:r>
                  <m:t>[</m:t>
                </m:r>
                <m:sSub>
                  <m:sSubPr>
                    <m:ctrlPr>
                      <w:rPr>
                        <w:i/>
                      </w:rPr>
                    </m:ctrlPr>
                  </m:sSubPr>
                  <m:e>
                    <m:r>
                      <m:t>priority weight</m:t>
                    </m:r>
                  </m:e>
                  <m:sub>
                    <m:r>
                      <m:t>i</m:t>
                    </m:r>
                  </m:sub>
                </m:sSub>
                <m:r>
                  <m:t>]</m:t>
                </m:r>
                <m:d>
                  <m:dPr>
                    <m:begChr m:val="["/>
                    <m:endChr m:val="]"/>
                    <m:ctrlPr>
                      <w:rPr>
                        <w:i/>
                      </w:rPr>
                    </m:ctrlPr>
                  </m:dPr>
                  <m:e>
                    <m:f>
                      <m:fPr>
                        <m:ctrlPr>
                          <w:rPr>
                            <w:i/>
                          </w:rPr>
                        </m:ctrlPr>
                      </m:fPr>
                      <m:num>
                        <m:d>
                          <m:dPr>
                            <m:begChr m:val="|"/>
                            <m:endChr m:val="|"/>
                            <m:ctrlPr>
                              <w:rPr>
                                <w:i/>
                              </w:rPr>
                            </m:ctrlPr>
                          </m:dPr>
                          <m:e>
                            <m:sSub>
                              <m:sSubPr>
                                <m:ctrlPr>
                                  <w:rPr>
                                    <w:i/>
                                  </w:rPr>
                                </m:ctrlPr>
                              </m:sSubPr>
                              <m:e>
                                <m:r>
                                  <m:t>Model outcome value</m:t>
                                </m:r>
                              </m:e>
                              <m:sub>
                                <m:r>
                                  <m:t>i</m:t>
                                </m:r>
                              </m:sub>
                            </m:sSub>
                            <m:r>
                              <m:t>-</m:t>
                            </m:r>
                            <m:sSub>
                              <m:sSubPr>
                                <m:ctrlPr>
                                  <w:rPr>
                                    <w:i/>
                                  </w:rPr>
                                </m:ctrlPr>
                              </m:sSubPr>
                              <m:e>
                                <m:r>
                                  <m:t>Target value</m:t>
                                </m:r>
                              </m:e>
                              <m:sub>
                                <m:r>
                                  <m:t>i</m:t>
                                </m:r>
                              </m:sub>
                            </m:sSub>
                          </m:e>
                        </m:d>
                      </m:num>
                      <m:den>
                        <m:sSub>
                          <m:sSubPr>
                            <m:ctrlPr>
                              <w:rPr>
                                <w:i/>
                              </w:rPr>
                            </m:ctrlPr>
                          </m:sSubPr>
                          <m:e>
                            <m:r>
                              <m:t>Target value</m:t>
                            </m:r>
                          </m:e>
                          <m:sub>
                            <m:r>
                              <m:t>i</m:t>
                            </m:r>
                          </m:sub>
                        </m:sSub>
                      </m:den>
                    </m:f>
                  </m:e>
                </m:d>
              </m:e>
            </m:d>
          </m:e>
        </m:nary>
      </m:oMath>
      <w:r w:rsidRPr="00E832D1">
        <w:tab/>
        <w:t>(</w:t>
      </w:r>
      <w:r w:rsidR="008867F1" w:rsidRPr="00E832D1">
        <w:t>1</w:t>
      </w:r>
      <w:r w:rsidR="008867F1">
        <w:t>0</w:t>
      </w:r>
      <w:r w:rsidRPr="00E832D1">
        <w:t>.2)</w:t>
      </w:r>
    </w:p>
    <w:p w14:paraId="7632BA98" w14:textId="13BF6F4A" w:rsidR="0055215F" w:rsidRPr="003C3D46" w:rsidRDefault="0055215F" w:rsidP="002B7472">
      <w:pPr>
        <w:pStyle w:val="BodyText"/>
      </w:pPr>
      <w:r w:rsidRPr="00E832D1">
        <w:t xml:space="preserve">The </w:t>
      </w:r>
      <w:r w:rsidRPr="003C3D46">
        <w:t>optimization’s objective was to minimize the out-of-bounds penalty measure. Priority weights = 1 were assigned to all outcomes. Among those optimized sets, we then selected one set to apply in the base analysis and 10 alternative sets</w:t>
      </w:r>
      <w:r w:rsidR="00AC4303" w:rsidRPr="003C3D46">
        <w:t xml:space="preserve"> for supporting uncertainty analyses; base and alternative sets were required to have an out-of-bounds penalty measure </w:t>
      </w:r>
      <w:r w:rsidR="00DE01DB" w:rsidRPr="003C3D46">
        <w:t>and the number of outcomes out of bounds that were both restricted to respective maximum values</w:t>
      </w:r>
      <w:r w:rsidRPr="003C3D46">
        <w:t xml:space="preserve">. </w:t>
      </w:r>
    </w:p>
    <w:p w14:paraId="44373120" w14:textId="228FF63D" w:rsidR="00BB52C3" w:rsidRPr="003C3D46" w:rsidRDefault="00DD62F8" w:rsidP="002B7472">
      <w:pPr>
        <w:pStyle w:val="BodyText"/>
      </w:pPr>
      <w:r w:rsidRPr="003C3D46">
        <w:t xml:space="preserve">The values in </w:t>
      </w:r>
      <w:r w:rsidR="002B7472" w:rsidRPr="003C3D46">
        <w:t xml:space="preserve">the identified base analysis set are </w:t>
      </w:r>
      <w:r w:rsidR="00901A25" w:rsidRPr="003C3D46">
        <w:t>reported</w:t>
      </w:r>
      <w:r w:rsidR="002B7472" w:rsidRPr="003C3D46">
        <w:t xml:space="preserve"> in </w:t>
      </w:r>
      <w:r w:rsidR="00871E69" w:rsidRPr="003C3D46">
        <w:t>Tables </w:t>
      </w:r>
      <w:r w:rsidR="0005114B" w:rsidRPr="003C3D46">
        <w:t>10</w:t>
      </w:r>
      <w:r w:rsidR="00CC1DD7" w:rsidRPr="003C3D46">
        <w:t>.</w:t>
      </w:r>
      <w:r w:rsidR="002B7472" w:rsidRPr="003C3D46">
        <w:t xml:space="preserve">1 and </w:t>
      </w:r>
      <w:r w:rsidR="0005114B" w:rsidRPr="003C3D46">
        <w:t>10</w:t>
      </w:r>
      <w:r w:rsidR="00CC1DD7" w:rsidRPr="003C3D46">
        <w:t>.</w:t>
      </w:r>
      <w:r w:rsidR="002B7472" w:rsidRPr="003C3D46">
        <w:t xml:space="preserve">2. </w:t>
      </w:r>
      <w:r w:rsidR="00BB52C3" w:rsidRPr="003C3D46">
        <w:t xml:space="preserve">The model’s outcomes given the </w:t>
      </w:r>
      <w:r w:rsidRPr="003C3D46">
        <w:t>identified base analysis set</w:t>
      </w:r>
      <w:r w:rsidR="00BB52C3" w:rsidRPr="003C3D46">
        <w:t xml:space="preserve"> are shown in </w:t>
      </w:r>
      <w:r w:rsidR="00CC1DD7" w:rsidRPr="003C3D46">
        <w:t xml:space="preserve">Table </w:t>
      </w:r>
      <w:r w:rsidR="0005114B" w:rsidRPr="003C3D46">
        <w:t>10</w:t>
      </w:r>
      <w:r w:rsidR="00CC1DD7" w:rsidRPr="003C3D46">
        <w:t>.</w:t>
      </w:r>
      <w:r w:rsidR="00BB52C3" w:rsidRPr="003C3D46">
        <w:t>3</w:t>
      </w:r>
      <w:r w:rsidR="00AC4303" w:rsidRPr="003C3D46">
        <w:t>.</w:t>
      </w:r>
      <w:r w:rsidR="00B20EDC" w:rsidRPr="003C3D46">
        <w:t xml:space="preserve"> </w:t>
      </w:r>
    </w:p>
    <w:p w14:paraId="042D8E76" w14:textId="7B55D87F" w:rsidR="00D4556C" w:rsidRPr="008261F3" w:rsidRDefault="00D4556C" w:rsidP="008261F3">
      <w:pPr>
        <w:pStyle w:val="TableTitle"/>
        <w:pageBreakBefore/>
      </w:pPr>
      <w:bookmarkStart w:id="168" w:name="_Toc20385852"/>
      <w:bookmarkStart w:id="169" w:name="_Toc89257620"/>
      <w:r w:rsidRPr="008261F3">
        <w:lastRenderedPageBreak/>
        <w:t>Table 10.3.</w:t>
      </w:r>
      <w:r w:rsidRPr="008261F3">
        <w:tab/>
        <w:t>Values Generated by the Model using the Base Analysis Set vs. Target Values and Bounds Considered for Outcomes Targeted in Calibration</w:t>
      </w:r>
      <w:bookmarkEnd w:id="168"/>
      <w:bookmarkEnd w:id="169"/>
    </w:p>
    <w:tbl>
      <w:tblPr>
        <w:tblW w:w="9360" w:type="dxa"/>
        <w:tblBorders>
          <w:top w:val="single" w:sz="12" w:space="0" w:color="auto"/>
          <w:bottom w:val="single" w:sz="12" w:space="0" w:color="auto"/>
        </w:tblBorders>
        <w:tblLayout w:type="fixed"/>
        <w:tblCellMar>
          <w:left w:w="58" w:type="dxa"/>
          <w:right w:w="58" w:type="dxa"/>
        </w:tblCellMar>
        <w:tblLook w:val="04A0" w:firstRow="1" w:lastRow="0" w:firstColumn="1" w:lastColumn="0" w:noHBand="0" w:noVBand="1"/>
      </w:tblPr>
      <w:tblGrid>
        <w:gridCol w:w="2371"/>
        <w:gridCol w:w="1336"/>
        <w:gridCol w:w="1410"/>
        <w:gridCol w:w="103"/>
        <w:gridCol w:w="1208"/>
        <w:gridCol w:w="52"/>
        <w:gridCol w:w="1440"/>
        <w:gridCol w:w="90"/>
        <w:gridCol w:w="1350"/>
      </w:tblGrid>
      <w:tr w:rsidR="00D4556C" w:rsidRPr="008261F3" w14:paraId="5A5AAEE4" w14:textId="77777777" w:rsidTr="000E11F2">
        <w:trPr>
          <w:cantSplit/>
          <w:tblHeader/>
        </w:trPr>
        <w:tc>
          <w:tcPr>
            <w:tcW w:w="2371" w:type="dxa"/>
            <w:tcBorders>
              <w:top w:val="single" w:sz="12" w:space="0" w:color="auto"/>
              <w:bottom w:val="single" w:sz="6" w:space="0" w:color="auto"/>
            </w:tcBorders>
            <w:vAlign w:val="bottom"/>
          </w:tcPr>
          <w:p w14:paraId="62BEEBC1" w14:textId="77777777" w:rsidR="00D4556C" w:rsidRPr="008261F3" w:rsidRDefault="00D4556C" w:rsidP="000E11F2">
            <w:pPr>
              <w:pStyle w:val="TableHeaders"/>
              <w:keepNext/>
              <w:spacing w:before="40" w:after="40"/>
            </w:pPr>
            <w:r w:rsidRPr="008261F3">
              <w:t xml:space="preserve">Outcome </w:t>
            </w:r>
            <w:proofErr w:type="spellStart"/>
            <w:r w:rsidRPr="008261F3">
              <w:t>Name</w:t>
            </w:r>
            <w:r w:rsidRPr="008261F3">
              <w:rPr>
                <w:vertAlign w:val="superscript"/>
              </w:rPr>
              <w:t>a</w:t>
            </w:r>
            <w:proofErr w:type="spellEnd"/>
          </w:p>
        </w:tc>
        <w:tc>
          <w:tcPr>
            <w:tcW w:w="1336" w:type="dxa"/>
            <w:tcBorders>
              <w:top w:val="single" w:sz="12" w:space="0" w:color="auto"/>
              <w:bottom w:val="single" w:sz="6" w:space="0" w:color="auto"/>
            </w:tcBorders>
            <w:vAlign w:val="bottom"/>
          </w:tcPr>
          <w:p w14:paraId="51672F5E" w14:textId="77777777" w:rsidR="00D4556C" w:rsidRPr="008261F3" w:rsidRDefault="00D4556C" w:rsidP="000E11F2">
            <w:pPr>
              <w:pStyle w:val="TableHeaders"/>
              <w:keepNext/>
              <w:spacing w:before="40" w:after="40"/>
            </w:pPr>
            <w:r w:rsidRPr="008261F3">
              <w:t>Model Values</w:t>
            </w:r>
          </w:p>
        </w:tc>
        <w:tc>
          <w:tcPr>
            <w:tcW w:w="1410" w:type="dxa"/>
            <w:tcBorders>
              <w:top w:val="single" w:sz="12" w:space="0" w:color="auto"/>
              <w:bottom w:val="single" w:sz="6" w:space="0" w:color="auto"/>
            </w:tcBorders>
            <w:vAlign w:val="bottom"/>
          </w:tcPr>
          <w:p w14:paraId="7E910455" w14:textId="77777777" w:rsidR="00D4556C" w:rsidRPr="008261F3" w:rsidRDefault="00D4556C" w:rsidP="000E11F2">
            <w:pPr>
              <w:pStyle w:val="TableHeaders"/>
              <w:keepNext/>
              <w:spacing w:before="40" w:after="40"/>
            </w:pPr>
            <w:r w:rsidRPr="008261F3">
              <w:t>Target Value</w:t>
            </w:r>
          </w:p>
        </w:tc>
        <w:tc>
          <w:tcPr>
            <w:tcW w:w="1311" w:type="dxa"/>
            <w:gridSpan w:val="2"/>
            <w:tcBorders>
              <w:top w:val="single" w:sz="12" w:space="0" w:color="auto"/>
              <w:bottom w:val="single" w:sz="6" w:space="0" w:color="auto"/>
            </w:tcBorders>
            <w:vAlign w:val="bottom"/>
          </w:tcPr>
          <w:p w14:paraId="1C603342" w14:textId="77777777" w:rsidR="00D4556C" w:rsidRPr="008261F3" w:rsidRDefault="00D4556C" w:rsidP="000E11F2">
            <w:pPr>
              <w:pStyle w:val="TableHeaders"/>
              <w:keepNext/>
              <w:spacing w:before="40" w:after="40"/>
            </w:pPr>
            <w:r w:rsidRPr="008261F3">
              <w:t>Lower Bound</w:t>
            </w:r>
          </w:p>
        </w:tc>
        <w:tc>
          <w:tcPr>
            <w:tcW w:w="1582" w:type="dxa"/>
            <w:gridSpan w:val="3"/>
            <w:tcBorders>
              <w:top w:val="single" w:sz="12" w:space="0" w:color="auto"/>
              <w:bottom w:val="single" w:sz="6" w:space="0" w:color="auto"/>
            </w:tcBorders>
            <w:vAlign w:val="bottom"/>
          </w:tcPr>
          <w:p w14:paraId="319B208D" w14:textId="77777777" w:rsidR="00D4556C" w:rsidRPr="008261F3" w:rsidRDefault="00D4556C" w:rsidP="000E11F2">
            <w:pPr>
              <w:pStyle w:val="TableHeaders"/>
              <w:keepNext/>
              <w:spacing w:before="40" w:after="40"/>
            </w:pPr>
            <w:r w:rsidRPr="008261F3">
              <w:t>Upper Bound</w:t>
            </w:r>
          </w:p>
        </w:tc>
        <w:tc>
          <w:tcPr>
            <w:tcW w:w="1350" w:type="dxa"/>
            <w:tcBorders>
              <w:top w:val="single" w:sz="12" w:space="0" w:color="auto"/>
              <w:bottom w:val="single" w:sz="6" w:space="0" w:color="auto"/>
            </w:tcBorders>
            <w:vAlign w:val="bottom"/>
          </w:tcPr>
          <w:p w14:paraId="273C9631" w14:textId="77777777" w:rsidR="00D4556C" w:rsidRPr="008261F3" w:rsidRDefault="00D4556C" w:rsidP="000E11F2">
            <w:pPr>
              <w:pStyle w:val="TableHeaders"/>
              <w:keepNext/>
              <w:spacing w:before="40" w:after="40"/>
            </w:pPr>
            <w:r w:rsidRPr="008261F3">
              <w:t>Source for Target Values and Bounds</w:t>
            </w:r>
          </w:p>
        </w:tc>
      </w:tr>
      <w:tr w:rsidR="00D4556C" w:rsidRPr="008261F3" w14:paraId="465BA7C7" w14:textId="77777777" w:rsidTr="000E11F2">
        <w:trPr>
          <w:cantSplit/>
        </w:trPr>
        <w:tc>
          <w:tcPr>
            <w:tcW w:w="8010" w:type="dxa"/>
            <w:gridSpan w:val="8"/>
            <w:tcBorders>
              <w:top w:val="single" w:sz="6" w:space="0" w:color="auto"/>
              <w:bottom w:val="single" w:sz="4" w:space="0" w:color="808080" w:themeColor="background1" w:themeShade="80"/>
            </w:tcBorders>
          </w:tcPr>
          <w:p w14:paraId="63F4398B" w14:textId="77777777" w:rsidR="00D4556C" w:rsidRPr="008261F3" w:rsidRDefault="00D4556C" w:rsidP="000E11F2">
            <w:pPr>
              <w:pStyle w:val="TableText"/>
              <w:spacing w:before="40" w:after="40"/>
              <w:ind w:right="150"/>
            </w:pPr>
            <w:r w:rsidRPr="008261F3">
              <w:t>Estimated number of new infections in the United States in 2016</w:t>
            </w:r>
          </w:p>
        </w:tc>
        <w:tc>
          <w:tcPr>
            <w:tcW w:w="1350" w:type="dxa"/>
            <w:vMerge w:val="restart"/>
            <w:tcBorders>
              <w:top w:val="single" w:sz="6" w:space="0" w:color="auto"/>
            </w:tcBorders>
          </w:tcPr>
          <w:p w14:paraId="2B5065BC" w14:textId="77777777" w:rsidR="00D4556C" w:rsidRPr="008261F3" w:rsidRDefault="00D4556C" w:rsidP="000E11F2">
            <w:pPr>
              <w:pStyle w:val="TableText"/>
              <w:spacing w:before="40" w:after="40"/>
            </w:pPr>
            <w:r w:rsidRPr="008261F3">
              <w:t>CDC (2019)</w:t>
            </w:r>
          </w:p>
        </w:tc>
      </w:tr>
      <w:tr w:rsidR="00D4556C" w:rsidRPr="008261F3" w14:paraId="7DEC870A"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454045E6" w14:textId="77777777" w:rsidR="00D4556C" w:rsidRPr="008261F3" w:rsidRDefault="00D4556C" w:rsidP="000E11F2">
            <w:pPr>
              <w:pStyle w:val="TableTextIndent1"/>
              <w:spacing w:before="40" w:after="40"/>
            </w:pPr>
            <w:r w:rsidRPr="008261F3">
              <w:t>Total</w:t>
            </w:r>
          </w:p>
        </w:tc>
        <w:tc>
          <w:tcPr>
            <w:tcW w:w="1336" w:type="dxa"/>
            <w:tcBorders>
              <w:top w:val="single" w:sz="4" w:space="0" w:color="808080" w:themeColor="background1" w:themeShade="80"/>
              <w:bottom w:val="single" w:sz="4" w:space="0" w:color="808080" w:themeColor="background1" w:themeShade="80"/>
            </w:tcBorders>
          </w:tcPr>
          <w:p w14:paraId="4DC662C5" w14:textId="3E496317" w:rsidR="00D4556C" w:rsidRPr="008261F3" w:rsidRDefault="00B649E9" w:rsidP="000E11F2">
            <w:pPr>
              <w:pStyle w:val="TableText"/>
              <w:spacing w:before="40" w:after="40"/>
              <w:ind w:right="150"/>
              <w:jc w:val="right"/>
            </w:pPr>
            <w:r w:rsidRPr="008261F3">
              <w:rPr>
                <w:i/>
              </w:rPr>
              <w:t>38,148</w:t>
            </w:r>
          </w:p>
        </w:tc>
        <w:tc>
          <w:tcPr>
            <w:tcW w:w="1410" w:type="dxa"/>
            <w:tcBorders>
              <w:top w:val="single" w:sz="4" w:space="0" w:color="808080" w:themeColor="background1" w:themeShade="80"/>
              <w:bottom w:val="single" w:sz="4" w:space="0" w:color="808080" w:themeColor="background1" w:themeShade="80"/>
            </w:tcBorders>
          </w:tcPr>
          <w:p w14:paraId="4EC7EDB7" w14:textId="77777777" w:rsidR="00D4556C" w:rsidRPr="008261F3" w:rsidRDefault="00D4556C" w:rsidP="000E11F2">
            <w:pPr>
              <w:pStyle w:val="TableText"/>
              <w:spacing w:before="40" w:after="40"/>
              <w:ind w:right="150"/>
              <w:jc w:val="right"/>
            </w:pPr>
            <w:r w:rsidRPr="008261F3">
              <w:t>38,700</w:t>
            </w:r>
          </w:p>
        </w:tc>
        <w:tc>
          <w:tcPr>
            <w:tcW w:w="1311" w:type="dxa"/>
            <w:gridSpan w:val="2"/>
            <w:tcBorders>
              <w:top w:val="single" w:sz="4" w:space="0" w:color="808080" w:themeColor="background1" w:themeShade="80"/>
              <w:bottom w:val="single" w:sz="4" w:space="0" w:color="808080" w:themeColor="background1" w:themeShade="80"/>
            </w:tcBorders>
          </w:tcPr>
          <w:p w14:paraId="66F770A0" w14:textId="77777777" w:rsidR="00D4556C" w:rsidRPr="008261F3" w:rsidRDefault="00D4556C" w:rsidP="000E11F2">
            <w:pPr>
              <w:pStyle w:val="TableText"/>
              <w:spacing w:before="40" w:after="40"/>
              <w:ind w:right="150"/>
              <w:jc w:val="right"/>
            </w:pPr>
            <w:r w:rsidRPr="008261F3">
              <w:t>36,400</w:t>
            </w:r>
          </w:p>
        </w:tc>
        <w:tc>
          <w:tcPr>
            <w:tcW w:w="1582" w:type="dxa"/>
            <w:gridSpan w:val="3"/>
            <w:tcBorders>
              <w:top w:val="single" w:sz="4" w:space="0" w:color="808080" w:themeColor="background1" w:themeShade="80"/>
              <w:bottom w:val="single" w:sz="4" w:space="0" w:color="808080" w:themeColor="background1" w:themeShade="80"/>
            </w:tcBorders>
          </w:tcPr>
          <w:p w14:paraId="3DA8A096" w14:textId="77777777" w:rsidR="00D4556C" w:rsidRPr="008261F3" w:rsidRDefault="00D4556C" w:rsidP="000E11F2">
            <w:pPr>
              <w:pStyle w:val="TableText"/>
              <w:spacing w:before="40" w:after="40"/>
              <w:ind w:right="150"/>
              <w:jc w:val="right"/>
            </w:pPr>
            <w:r w:rsidRPr="008261F3">
              <w:t>40,900</w:t>
            </w:r>
          </w:p>
        </w:tc>
        <w:tc>
          <w:tcPr>
            <w:tcW w:w="1350" w:type="dxa"/>
            <w:vMerge/>
          </w:tcPr>
          <w:p w14:paraId="09257B01" w14:textId="77777777" w:rsidR="00D4556C" w:rsidRPr="008261F3" w:rsidRDefault="00D4556C" w:rsidP="000E11F2">
            <w:pPr>
              <w:pStyle w:val="TableText"/>
              <w:spacing w:before="40" w:after="40"/>
            </w:pPr>
          </w:p>
        </w:tc>
      </w:tr>
      <w:tr w:rsidR="00B649E9" w:rsidRPr="008261F3" w14:paraId="1506E713"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760574E1" w14:textId="77777777" w:rsidR="00B649E9" w:rsidRPr="008261F3" w:rsidRDefault="00B649E9" w:rsidP="00B649E9">
            <w:pPr>
              <w:pStyle w:val="TableTextIndent1"/>
              <w:spacing w:before="40" w:after="40"/>
            </w:pPr>
            <w:r w:rsidRPr="008261F3">
              <w:t>Aged 13-24, Black MSM</w:t>
            </w:r>
          </w:p>
        </w:tc>
        <w:tc>
          <w:tcPr>
            <w:tcW w:w="1336" w:type="dxa"/>
            <w:tcBorders>
              <w:top w:val="single" w:sz="4" w:space="0" w:color="808080" w:themeColor="background1" w:themeShade="80"/>
              <w:bottom w:val="single" w:sz="4" w:space="0" w:color="808080" w:themeColor="background1" w:themeShade="80"/>
            </w:tcBorders>
          </w:tcPr>
          <w:p w14:paraId="4A61CB75" w14:textId="7BAA4935" w:rsidR="00B649E9" w:rsidRPr="008261F3" w:rsidRDefault="00B649E9" w:rsidP="00B649E9">
            <w:pPr>
              <w:pStyle w:val="TableText"/>
              <w:spacing w:before="40" w:after="40"/>
              <w:ind w:right="150"/>
              <w:jc w:val="right"/>
            </w:pPr>
            <w:r w:rsidRPr="008261F3">
              <w:t>3,540</w:t>
            </w:r>
          </w:p>
        </w:tc>
        <w:tc>
          <w:tcPr>
            <w:tcW w:w="1410" w:type="dxa"/>
            <w:tcBorders>
              <w:top w:val="single" w:sz="4" w:space="0" w:color="808080" w:themeColor="background1" w:themeShade="80"/>
              <w:bottom w:val="single" w:sz="4" w:space="0" w:color="808080" w:themeColor="background1" w:themeShade="80"/>
            </w:tcBorders>
          </w:tcPr>
          <w:p w14:paraId="24C71AC0" w14:textId="77777777" w:rsidR="00B649E9" w:rsidRPr="008261F3" w:rsidRDefault="00B649E9" w:rsidP="00B649E9">
            <w:pPr>
              <w:pStyle w:val="TableText"/>
              <w:spacing w:before="40" w:after="40"/>
              <w:ind w:right="150"/>
              <w:jc w:val="right"/>
            </w:pPr>
            <w:r w:rsidRPr="008261F3">
              <w:t>3,400</w:t>
            </w:r>
          </w:p>
        </w:tc>
        <w:tc>
          <w:tcPr>
            <w:tcW w:w="1311" w:type="dxa"/>
            <w:gridSpan w:val="2"/>
            <w:tcBorders>
              <w:top w:val="single" w:sz="4" w:space="0" w:color="808080" w:themeColor="background1" w:themeShade="80"/>
              <w:bottom w:val="single" w:sz="4" w:space="0" w:color="808080" w:themeColor="background1" w:themeShade="80"/>
            </w:tcBorders>
          </w:tcPr>
          <w:p w14:paraId="055A0A06" w14:textId="77777777" w:rsidR="00B649E9" w:rsidRPr="008261F3" w:rsidRDefault="00B649E9" w:rsidP="00B649E9">
            <w:pPr>
              <w:pStyle w:val="TableText"/>
              <w:spacing w:before="40" w:after="40"/>
              <w:ind w:right="150"/>
              <w:jc w:val="right"/>
            </w:pPr>
            <w:r w:rsidRPr="008261F3">
              <w:t>2,700</w:t>
            </w:r>
          </w:p>
        </w:tc>
        <w:tc>
          <w:tcPr>
            <w:tcW w:w="1582" w:type="dxa"/>
            <w:gridSpan w:val="3"/>
            <w:tcBorders>
              <w:top w:val="single" w:sz="4" w:space="0" w:color="808080" w:themeColor="background1" w:themeShade="80"/>
              <w:bottom w:val="single" w:sz="4" w:space="0" w:color="808080" w:themeColor="background1" w:themeShade="80"/>
            </w:tcBorders>
          </w:tcPr>
          <w:p w14:paraId="6A3F4C96" w14:textId="77777777" w:rsidR="00B649E9" w:rsidRPr="008261F3" w:rsidRDefault="00B649E9" w:rsidP="00B649E9">
            <w:pPr>
              <w:pStyle w:val="TableText"/>
              <w:spacing w:before="40" w:after="40"/>
              <w:ind w:right="150"/>
              <w:jc w:val="right"/>
            </w:pPr>
            <w:r w:rsidRPr="008261F3">
              <w:t>4,100</w:t>
            </w:r>
          </w:p>
        </w:tc>
        <w:tc>
          <w:tcPr>
            <w:tcW w:w="1350" w:type="dxa"/>
            <w:vMerge/>
          </w:tcPr>
          <w:p w14:paraId="196A107A" w14:textId="77777777" w:rsidR="00B649E9" w:rsidRPr="008261F3" w:rsidRDefault="00B649E9" w:rsidP="00B649E9">
            <w:pPr>
              <w:pStyle w:val="TableText"/>
              <w:spacing w:before="40" w:after="40"/>
            </w:pPr>
          </w:p>
        </w:tc>
      </w:tr>
      <w:tr w:rsidR="00B649E9" w:rsidRPr="008261F3" w14:paraId="78B278E3"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44DB73B5" w14:textId="77777777" w:rsidR="00B649E9" w:rsidRPr="008261F3" w:rsidRDefault="00B649E9" w:rsidP="00B649E9">
            <w:pPr>
              <w:pStyle w:val="TableTextIndent1"/>
              <w:spacing w:before="40" w:after="40"/>
            </w:pPr>
            <w:r w:rsidRPr="008261F3">
              <w:t>Aged 13-24, Hispanic MSM</w:t>
            </w:r>
          </w:p>
        </w:tc>
        <w:tc>
          <w:tcPr>
            <w:tcW w:w="1336" w:type="dxa"/>
            <w:tcBorders>
              <w:top w:val="single" w:sz="4" w:space="0" w:color="808080" w:themeColor="background1" w:themeShade="80"/>
              <w:bottom w:val="single" w:sz="4" w:space="0" w:color="808080" w:themeColor="background1" w:themeShade="80"/>
            </w:tcBorders>
          </w:tcPr>
          <w:p w14:paraId="31F2BC40" w14:textId="5174E227" w:rsidR="00B649E9" w:rsidRPr="008261F3" w:rsidRDefault="00B649E9" w:rsidP="00B649E9">
            <w:pPr>
              <w:pStyle w:val="TableText"/>
              <w:spacing w:before="40" w:after="40"/>
              <w:ind w:right="150"/>
              <w:jc w:val="right"/>
            </w:pPr>
            <w:r w:rsidRPr="008261F3">
              <w:t>1,665</w:t>
            </w:r>
          </w:p>
        </w:tc>
        <w:tc>
          <w:tcPr>
            <w:tcW w:w="1410" w:type="dxa"/>
            <w:tcBorders>
              <w:top w:val="single" w:sz="4" w:space="0" w:color="808080" w:themeColor="background1" w:themeShade="80"/>
              <w:bottom w:val="single" w:sz="4" w:space="0" w:color="808080" w:themeColor="background1" w:themeShade="80"/>
            </w:tcBorders>
          </w:tcPr>
          <w:p w14:paraId="482CA064" w14:textId="77777777" w:rsidR="00B649E9" w:rsidRPr="008261F3" w:rsidRDefault="00B649E9" w:rsidP="00B649E9">
            <w:pPr>
              <w:pStyle w:val="TableText"/>
              <w:spacing w:before="40" w:after="40"/>
              <w:ind w:right="150"/>
              <w:jc w:val="right"/>
            </w:pPr>
            <w:r w:rsidRPr="008261F3">
              <w:t>1,900</w:t>
            </w:r>
          </w:p>
        </w:tc>
        <w:tc>
          <w:tcPr>
            <w:tcW w:w="1311" w:type="dxa"/>
            <w:gridSpan w:val="2"/>
            <w:tcBorders>
              <w:top w:val="single" w:sz="4" w:space="0" w:color="808080" w:themeColor="background1" w:themeShade="80"/>
              <w:bottom w:val="single" w:sz="4" w:space="0" w:color="808080" w:themeColor="background1" w:themeShade="80"/>
            </w:tcBorders>
          </w:tcPr>
          <w:p w14:paraId="7311FE8E" w14:textId="77777777" w:rsidR="00B649E9" w:rsidRPr="008261F3" w:rsidRDefault="00B649E9" w:rsidP="00B649E9">
            <w:pPr>
              <w:pStyle w:val="TableText"/>
              <w:spacing w:before="40" w:after="40"/>
              <w:ind w:right="150"/>
              <w:jc w:val="right"/>
            </w:pPr>
            <w:r w:rsidRPr="008261F3">
              <w:t>1,300</w:t>
            </w:r>
          </w:p>
        </w:tc>
        <w:tc>
          <w:tcPr>
            <w:tcW w:w="1582" w:type="dxa"/>
            <w:gridSpan w:val="3"/>
            <w:tcBorders>
              <w:top w:val="single" w:sz="4" w:space="0" w:color="808080" w:themeColor="background1" w:themeShade="80"/>
              <w:bottom w:val="single" w:sz="4" w:space="0" w:color="808080" w:themeColor="background1" w:themeShade="80"/>
            </w:tcBorders>
          </w:tcPr>
          <w:p w14:paraId="145F92D0" w14:textId="77777777" w:rsidR="00B649E9" w:rsidRPr="008261F3" w:rsidRDefault="00B649E9" w:rsidP="00B649E9">
            <w:pPr>
              <w:pStyle w:val="TableText"/>
              <w:spacing w:before="40" w:after="40"/>
              <w:ind w:right="150"/>
              <w:jc w:val="right"/>
            </w:pPr>
            <w:r w:rsidRPr="008261F3">
              <w:t>2,400</w:t>
            </w:r>
          </w:p>
        </w:tc>
        <w:tc>
          <w:tcPr>
            <w:tcW w:w="1350" w:type="dxa"/>
            <w:vMerge/>
          </w:tcPr>
          <w:p w14:paraId="318FE78A" w14:textId="77777777" w:rsidR="00B649E9" w:rsidRPr="008261F3" w:rsidRDefault="00B649E9" w:rsidP="00B649E9">
            <w:pPr>
              <w:pStyle w:val="TableText"/>
              <w:spacing w:before="40" w:after="40"/>
            </w:pPr>
          </w:p>
        </w:tc>
      </w:tr>
      <w:tr w:rsidR="00B649E9" w:rsidRPr="008261F3" w14:paraId="286BEA09"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71D4A1E9" w14:textId="77777777" w:rsidR="00B649E9" w:rsidRPr="008261F3" w:rsidRDefault="00B649E9" w:rsidP="00B649E9">
            <w:pPr>
              <w:pStyle w:val="TableTextIndent1"/>
              <w:spacing w:before="40" w:after="40"/>
            </w:pPr>
            <w:r w:rsidRPr="008261F3">
              <w:t>Aged 13-24, Other MSM</w:t>
            </w:r>
          </w:p>
        </w:tc>
        <w:tc>
          <w:tcPr>
            <w:tcW w:w="1336" w:type="dxa"/>
            <w:tcBorders>
              <w:top w:val="single" w:sz="4" w:space="0" w:color="808080" w:themeColor="background1" w:themeShade="80"/>
              <w:bottom w:val="single" w:sz="4" w:space="0" w:color="808080" w:themeColor="background1" w:themeShade="80"/>
            </w:tcBorders>
          </w:tcPr>
          <w:p w14:paraId="055454D2" w14:textId="14BDDC15" w:rsidR="00B649E9" w:rsidRPr="008261F3" w:rsidRDefault="00B649E9" w:rsidP="00B649E9">
            <w:pPr>
              <w:pStyle w:val="TableText"/>
              <w:spacing w:before="40" w:after="40"/>
              <w:ind w:right="150"/>
              <w:jc w:val="right"/>
              <w:rPr>
                <w:i/>
              </w:rPr>
            </w:pPr>
            <w:r w:rsidRPr="008261F3">
              <w:t>1,158</w:t>
            </w:r>
          </w:p>
        </w:tc>
        <w:tc>
          <w:tcPr>
            <w:tcW w:w="1410" w:type="dxa"/>
            <w:tcBorders>
              <w:top w:val="single" w:sz="4" w:space="0" w:color="808080" w:themeColor="background1" w:themeShade="80"/>
              <w:bottom w:val="single" w:sz="4" w:space="0" w:color="808080" w:themeColor="background1" w:themeShade="80"/>
            </w:tcBorders>
          </w:tcPr>
          <w:p w14:paraId="0F46A26E" w14:textId="77777777" w:rsidR="00B649E9" w:rsidRPr="008261F3" w:rsidRDefault="00B649E9" w:rsidP="00B649E9">
            <w:pPr>
              <w:pStyle w:val="TableText"/>
              <w:spacing w:before="40" w:after="40"/>
              <w:ind w:right="150"/>
              <w:jc w:val="right"/>
            </w:pPr>
            <w:r w:rsidRPr="008261F3">
              <w:t>1,300</w:t>
            </w:r>
          </w:p>
        </w:tc>
        <w:tc>
          <w:tcPr>
            <w:tcW w:w="1311" w:type="dxa"/>
            <w:gridSpan w:val="2"/>
            <w:tcBorders>
              <w:top w:val="single" w:sz="4" w:space="0" w:color="808080" w:themeColor="background1" w:themeShade="80"/>
              <w:bottom w:val="single" w:sz="4" w:space="0" w:color="808080" w:themeColor="background1" w:themeShade="80"/>
            </w:tcBorders>
          </w:tcPr>
          <w:p w14:paraId="23D21AE6" w14:textId="77777777" w:rsidR="00B649E9" w:rsidRPr="008261F3" w:rsidRDefault="00B649E9" w:rsidP="00B649E9">
            <w:pPr>
              <w:pStyle w:val="TableText"/>
              <w:spacing w:before="40" w:after="40"/>
              <w:ind w:right="150"/>
              <w:jc w:val="right"/>
            </w:pPr>
            <w:r w:rsidRPr="008261F3">
              <w:t>1,040</w:t>
            </w:r>
          </w:p>
        </w:tc>
        <w:tc>
          <w:tcPr>
            <w:tcW w:w="1582" w:type="dxa"/>
            <w:gridSpan w:val="3"/>
            <w:tcBorders>
              <w:top w:val="single" w:sz="4" w:space="0" w:color="808080" w:themeColor="background1" w:themeShade="80"/>
              <w:bottom w:val="single" w:sz="4" w:space="0" w:color="808080" w:themeColor="background1" w:themeShade="80"/>
            </w:tcBorders>
          </w:tcPr>
          <w:p w14:paraId="4E5EA13A" w14:textId="77777777" w:rsidR="00B649E9" w:rsidRPr="008261F3" w:rsidRDefault="00B649E9" w:rsidP="00B649E9">
            <w:pPr>
              <w:pStyle w:val="TableText"/>
              <w:spacing w:before="40" w:after="40"/>
              <w:ind w:right="150"/>
              <w:jc w:val="right"/>
            </w:pPr>
            <w:r w:rsidRPr="008261F3">
              <w:t>1,560</w:t>
            </w:r>
          </w:p>
        </w:tc>
        <w:tc>
          <w:tcPr>
            <w:tcW w:w="1350" w:type="dxa"/>
            <w:vMerge/>
            <w:tcBorders>
              <w:bottom w:val="single" w:sz="4" w:space="0" w:color="808080" w:themeColor="background1" w:themeShade="80"/>
            </w:tcBorders>
          </w:tcPr>
          <w:p w14:paraId="1F5C0657" w14:textId="77777777" w:rsidR="00B649E9" w:rsidRPr="008261F3" w:rsidRDefault="00B649E9" w:rsidP="00B649E9">
            <w:pPr>
              <w:pStyle w:val="TableText"/>
              <w:spacing w:before="40" w:after="40"/>
            </w:pPr>
          </w:p>
        </w:tc>
      </w:tr>
      <w:tr w:rsidR="00B649E9" w:rsidRPr="008261F3" w14:paraId="47065C9E"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4EFE181C" w14:textId="77777777" w:rsidR="00B649E9" w:rsidRPr="008261F3" w:rsidRDefault="00B649E9" w:rsidP="00B649E9">
            <w:pPr>
              <w:pStyle w:val="TableTextIndent1"/>
              <w:spacing w:before="40" w:after="40"/>
            </w:pPr>
            <w:r w:rsidRPr="008261F3">
              <w:t>Aged 25-34, Black MSM</w:t>
            </w:r>
          </w:p>
        </w:tc>
        <w:tc>
          <w:tcPr>
            <w:tcW w:w="1336" w:type="dxa"/>
            <w:tcBorders>
              <w:top w:val="single" w:sz="4" w:space="0" w:color="808080" w:themeColor="background1" w:themeShade="80"/>
              <w:bottom w:val="single" w:sz="4" w:space="0" w:color="808080" w:themeColor="background1" w:themeShade="80"/>
            </w:tcBorders>
          </w:tcPr>
          <w:p w14:paraId="04EFD6E6" w14:textId="4D13E6A5" w:rsidR="00B649E9" w:rsidRPr="008261F3" w:rsidRDefault="00B649E9" w:rsidP="00B649E9">
            <w:pPr>
              <w:pStyle w:val="TableText"/>
              <w:spacing w:before="40" w:after="40"/>
              <w:ind w:right="150"/>
              <w:jc w:val="right"/>
              <w:rPr>
                <w:i/>
              </w:rPr>
            </w:pPr>
            <w:r w:rsidRPr="008261F3">
              <w:t>4,108</w:t>
            </w:r>
          </w:p>
        </w:tc>
        <w:tc>
          <w:tcPr>
            <w:tcW w:w="1410" w:type="dxa"/>
            <w:tcBorders>
              <w:top w:val="single" w:sz="4" w:space="0" w:color="808080" w:themeColor="background1" w:themeShade="80"/>
              <w:bottom w:val="single" w:sz="4" w:space="0" w:color="808080" w:themeColor="background1" w:themeShade="80"/>
            </w:tcBorders>
          </w:tcPr>
          <w:p w14:paraId="0013D82D" w14:textId="77777777" w:rsidR="00B649E9" w:rsidRPr="008261F3" w:rsidRDefault="00B649E9" w:rsidP="00B649E9">
            <w:pPr>
              <w:pStyle w:val="TableText"/>
              <w:spacing w:before="40" w:after="40"/>
              <w:ind w:right="150"/>
              <w:jc w:val="right"/>
            </w:pPr>
            <w:r w:rsidRPr="008261F3">
              <w:t>4,300</w:t>
            </w:r>
          </w:p>
        </w:tc>
        <w:tc>
          <w:tcPr>
            <w:tcW w:w="1311" w:type="dxa"/>
            <w:gridSpan w:val="2"/>
            <w:tcBorders>
              <w:top w:val="single" w:sz="4" w:space="0" w:color="808080" w:themeColor="background1" w:themeShade="80"/>
              <w:bottom w:val="single" w:sz="4" w:space="0" w:color="808080" w:themeColor="background1" w:themeShade="80"/>
            </w:tcBorders>
          </w:tcPr>
          <w:p w14:paraId="1458E6AE" w14:textId="77777777" w:rsidR="00B649E9" w:rsidRPr="008261F3" w:rsidRDefault="00B649E9" w:rsidP="00B649E9">
            <w:pPr>
              <w:pStyle w:val="TableText"/>
              <w:spacing w:before="40" w:after="40"/>
              <w:ind w:right="150"/>
              <w:jc w:val="right"/>
            </w:pPr>
            <w:r w:rsidRPr="008261F3">
              <w:t>3,500</w:t>
            </w:r>
          </w:p>
        </w:tc>
        <w:tc>
          <w:tcPr>
            <w:tcW w:w="1582" w:type="dxa"/>
            <w:gridSpan w:val="3"/>
            <w:tcBorders>
              <w:top w:val="single" w:sz="4" w:space="0" w:color="808080" w:themeColor="background1" w:themeShade="80"/>
              <w:bottom w:val="single" w:sz="4" w:space="0" w:color="808080" w:themeColor="background1" w:themeShade="80"/>
            </w:tcBorders>
          </w:tcPr>
          <w:p w14:paraId="31965AC2" w14:textId="77777777" w:rsidR="00B649E9" w:rsidRPr="008261F3" w:rsidRDefault="00B649E9" w:rsidP="00B649E9">
            <w:pPr>
              <w:pStyle w:val="TableText"/>
              <w:spacing w:before="40" w:after="40"/>
              <w:ind w:right="150"/>
              <w:jc w:val="right"/>
            </w:pPr>
            <w:r w:rsidRPr="008261F3">
              <w:t>5,100</w:t>
            </w:r>
          </w:p>
        </w:tc>
        <w:tc>
          <w:tcPr>
            <w:tcW w:w="1350" w:type="dxa"/>
            <w:vMerge/>
            <w:tcBorders>
              <w:bottom w:val="single" w:sz="4" w:space="0" w:color="808080" w:themeColor="background1" w:themeShade="80"/>
            </w:tcBorders>
          </w:tcPr>
          <w:p w14:paraId="702498C9" w14:textId="77777777" w:rsidR="00B649E9" w:rsidRPr="008261F3" w:rsidRDefault="00B649E9" w:rsidP="00B649E9">
            <w:pPr>
              <w:pStyle w:val="TableText"/>
              <w:spacing w:before="40" w:after="40"/>
            </w:pPr>
          </w:p>
        </w:tc>
      </w:tr>
      <w:tr w:rsidR="00B649E9" w:rsidRPr="008261F3" w14:paraId="7AA99EF9"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5A1BEE24" w14:textId="77777777" w:rsidR="00B649E9" w:rsidRPr="008261F3" w:rsidRDefault="00B649E9" w:rsidP="00B649E9">
            <w:pPr>
              <w:pStyle w:val="TableTextIndent1"/>
              <w:spacing w:before="40" w:after="40"/>
            </w:pPr>
            <w:r w:rsidRPr="008261F3">
              <w:t>Aged 25-34, Hispanic MSM</w:t>
            </w:r>
          </w:p>
        </w:tc>
        <w:tc>
          <w:tcPr>
            <w:tcW w:w="1336" w:type="dxa"/>
            <w:tcBorders>
              <w:top w:val="single" w:sz="4" w:space="0" w:color="808080" w:themeColor="background1" w:themeShade="80"/>
              <w:bottom w:val="single" w:sz="4" w:space="0" w:color="808080" w:themeColor="background1" w:themeShade="80"/>
            </w:tcBorders>
          </w:tcPr>
          <w:p w14:paraId="7C8BC59F" w14:textId="5BE57DC2" w:rsidR="00B649E9" w:rsidRPr="008261F3" w:rsidRDefault="00B649E9" w:rsidP="00B649E9">
            <w:pPr>
              <w:pStyle w:val="TableText"/>
              <w:spacing w:before="40" w:after="40"/>
              <w:ind w:right="150"/>
              <w:jc w:val="right"/>
              <w:rPr>
                <w:i/>
              </w:rPr>
            </w:pPr>
            <w:r w:rsidRPr="008261F3">
              <w:t>3,509</w:t>
            </w:r>
          </w:p>
        </w:tc>
        <w:tc>
          <w:tcPr>
            <w:tcW w:w="1410" w:type="dxa"/>
            <w:tcBorders>
              <w:top w:val="single" w:sz="4" w:space="0" w:color="808080" w:themeColor="background1" w:themeShade="80"/>
              <w:bottom w:val="single" w:sz="4" w:space="0" w:color="808080" w:themeColor="background1" w:themeShade="80"/>
            </w:tcBorders>
          </w:tcPr>
          <w:p w14:paraId="19297035" w14:textId="77777777" w:rsidR="00B649E9" w:rsidRPr="008261F3" w:rsidRDefault="00B649E9" w:rsidP="00B649E9">
            <w:pPr>
              <w:pStyle w:val="TableText"/>
              <w:spacing w:before="40" w:after="40"/>
              <w:ind w:right="150"/>
              <w:jc w:val="right"/>
            </w:pPr>
            <w:r w:rsidRPr="008261F3">
              <w:t>3,700</w:t>
            </w:r>
          </w:p>
        </w:tc>
        <w:tc>
          <w:tcPr>
            <w:tcW w:w="1311" w:type="dxa"/>
            <w:gridSpan w:val="2"/>
            <w:tcBorders>
              <w:top w:val="single" w:sz="4" w:space="0" w:color="808080" w:themeColor="background1" w:themeShade="80"/>
              <w:bottom w:val="single" w:sz="4" w:space="0" w:color="808080" w:themeColor="background1" w:themeShade="80"/>
            </w:tcBorders>
          </w:tcPr>
          <w:p w14:paraId="65C25614" w14:textId="77777777" w:rsidR="00B649E9" w:rsidRPr="008261F3" w:rsidRDefault="00B649E9" w:rsidP="00B649E9">
            <w:pPr>
              <w:pStyle w:val="TableText"/>
              <w:spacing w:before="40" w:after="40"/>
              <w:ind w:right="150"/>
              <w:jc w:val="right"/>
            </w:pPr>
            <w:r w:rsidRPr="008261F3">
              <w:t>3,000</w:t>
            </w:r>
          </w:p>
        </w:tc>
        <w:tc>
          <w:tcPr>
            <w:tcW w:w="1582" w:type="dxa"/>
            <w:gridSpan w:val="3"/>
            <w:tcBorders>
              <w:top w:val="single" w:sz="4" w:space="0" w:color="808080" w:themeColor="background1" w:themeShade="80"/>
              <w:bottom w:val="single" w:sz="4" w:space="0" w:color="808080" w:themeColor="background1" w:themeShade="80"/>
            </w:tcBorders>
          </w:tcPr>
          <w:p w14:paraId="6B6D1946" w14:textId="77777777" w:rsidR="00B649E9" w:rsidRPr="008261F3" w:rsidRDefault="00B649E9" w:rsidP="00B649E9">
            <w:pPr>
              <w:pStyle w:val="TableText"/>
              <w:spacing w:before="40" w:after="40"/>
              <w:ind w:right="150"/>
              <w:jc w:val="right"/>
            </w:pPr>
            <w:r w:rsidRPr="008261F3">
              <w:t>4,500</w:t>
            </w:r>
          </w:p>
        </w:tc>
        <w:tc>
          <w:tcPr>
            <w:tcW w:w="1350" w:type="dxa"/>
            <w:vMerge/>
            <w:tcBorders>
              <w:bottom w:val="single" w:sz="4" w:space="0" w:color="808080" w:themeColor="background1" w:themeShade="80"/>
            </w:tcBorders>
          </w:tcPr>
          <w:p w14:paraId="536F94BB" w14:textId="77777777" w:rsidR="00B649E9" w:rsidRPr="008261F3" w:rsidRDefault="00B649E9" w:rsidP="00B649E9">
            <w:pPr>
              <w:pStyle w:val="TableText"/>
              <w:spacing w:before="40" w:after="40"/>
            </w:pPr>
          </w:p>
        </w:tc>
      </w:tr>
      <w:tr w:rsidR="00B649E9" w:rsidRPr="008261F3" w14:paraId="29460162"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5844BCE1" w14:textId="77777777" w:rsidR="00B649E9" w:rsidRPr="008261F3" w:rsidRDefault="00B649E9" w:rsidP="00B649E9">
            <w:pPr>
              <w:pStyle w:val="TableTextIndent1"/>
              <w:spacing w:before="40" w:after="40"/>
            </w:pPr>
            <w:r w:rsidRPr="008261F3">
              <w:t>Aged 25-34, Other MSM</w:t>
            </w:r>
          </w:p>
        </w:tc>
        <w:tc>
          <w:tcPr>
            <w:tcW w:w="1336" w:type="dxa"/>
            <w:tcBorders>
              <w:top w:val="single" w:sz="4" w:space="0" w:color="808080" w:themeColor="background1" w:themeShade="80"/>
              <w:bottom w:val="single" w:sz="4" w:space="0" w:color="808080" w:themeColor="background1" w:themeShade="80"/>
            </w:tcBorders>
          </w:tcPr>
          <w:p w14:paraId="600ED87B" w14:textId="0A0D5384" w:rsidR="00B649E9" w:rsidRPr="008261F3" w:rsidRDefault="00B649E9" w:rsidP="00B649E9">
            <w:pPr>
              <w:pStyle w:val="TableText"/>
              <w:spacing w:before="40" w:after="40"/>
              <w:ind w:right="150"/>
              <w:jc w:val="right"/>
            </w:pPr>
            <w:r w:rsidRPr="008261F3">
              <w:t>3,823</w:t>
            </w:r>
          </w:p>
        </w:tc>
        <w:tc>
          <w:tcPr>
            <w:tcW w:w="1410" w:type="dxa"/>
            <w:tcBorders>
              <w:top w:val="single" w:sz="4" w:space="0" w:color="808080" w:themeColor="background1" w:themeShade="80"/>
              <w:bottom w:val="single" w:sz="4" w:space="0" w:color="808080" w:themeColor="background1" w:themeShade="80"/>
            </w:tcBorders>
          </w:tcPr>
          <w:p w14:paraId="3493D13C" w14:textId="77777777" w:rsidR="00B649E9" w:rsidRPr="008261F3" w:rsidRDefault="00B649E9" w:rsidP="00B649E9">
            <w:pPr>
              <w:pStyle w:val="TableText"/>
              <w:spacing w:before="40" w:after="40"/>
              <w:ind w:right="150"/>
              <w:jc w:val="right"/>
            </w:pPr>
            <w:r w:rsidRPr="008261F3">
              <w:t>3,200</w:t>
            </w:r>
          </w:p>
        </w:tc>
        <w:tc>
          <w:tcPr>
            <w:tcW w:w="1311" w:type="dxa"/>
            <w:gridSpan w:val="2"/>
            <w:tcBorders>
              <w:top w:val="single" w:sz="4" w:space="0" w:color="808080" w:themeColor="background1" w:themeShade="80"/>
              <w:bottom w:val="single" w:sz="4" w:space="0" w:color="808080" w:themeColor="background1" w:themeShade="80"/>
            </w:tcBorders>
          </w:tcPr>
          <w:p w14:paraId="25CEA984" w14:textId="77777777" w:rsidR="00B649E9" w:rsidRPr="008261F3" w:rsidRDefault="00B649E9" w:rsidP="00B649E9">
            <w:pPr>
              <w:pStyle w:val="TableText"/>
              <w:spacing w:before="40" w:after="40"/>
              <w:ind w:right="150"/>
              <w:jc w:val="right"/>
            </w:pPr>
            <w:r w:rsidRPr="008261F3">
              <w:t>2,560</w:t>
            </w:r>
          </w:p>
        </w:tc>
        <w:tc>
          <w:tcPr>
            <w:tcW w:w="1582" w:type="dxa"/>
            <w:gridSpan w:val="3"/>
            <w:tcBorders>
              <w:top w:val="single" w:sz="4" w:space="0" w:color="808080" w:themeColor="background1" w:themeShade="80"/>
              <w:bottom w:val="single" w:sz="4" w:space="0" w:color="808080" w:themeColor="background1" w:themeShade="80"/>
            </w:tcBorders>
          </w:tcPr>
          <w:p w14:paraId="0449E1B5" w14:textId="77777777" w:rsidR="00B649E9" w:rsidRPr="008261F3" w:rsidRDefault="00B649E9" w:rsidP="00B649E9">
            <w:pPr>
              <w:pStyle w:val="TableText"/>
              <w:spacing w:before="40" w:after="40"/>
              <w:ind w:right="150"/>
              <w:jc w:val="right"/>
            </w:pPr>
            <w:r w:rsidRPr="008261F3">
              <w:t>3,840</w:t>
            </w:r>
          </w:p>
        </w:tc>
        <w:tc>
          <w:tcPr>
            <w:tcW w:w="1350" w:type="dxa"/>
            <w:vMerge/>
            <w:tcBorders>
              <w:bottom w:val="single" w:sz="4" w:space="0" w:color="808080" w:themeColor="background1" w:themeShade="80"/>
            </w:tcBorders>
          </w:tcPr>
          <w:p w14:paraId="21648B70" w14:textId="77777777" w:rsidR="00B649E9" w:rsidRPr="008261F3" w:rsidRDefault="00B649E9" w:rsidP="00B649E9">
            <w:pPr>
              <w:pStyle w:val="TableText"/>
              <w:spacing w:before="40" w:after="40"/>
            </w:pPr>
          </w:p>
        </w:tc>
      </w:tr>
      <w:tr w:rsidR="00D4556C" w:rsidRPr="008261F3" w14:paraId="5E1FF440" w14:textId="77777777" w:rsidTr="000E11F2">
        <w:trPr>
          <w:cantSplit/>
        </w:trPr>
        <w:tc>
          <w:tcPr>
            <w:tcW w:w="8010" w:type="dxa"/>
            <w:gridSpan w:val="8"/>
            <w:tcBorders>
              <w:top w:val="single" w:sz="4" w:space="0" w:color="808080" w:themeColor="background1" w:themeShade="80"/>
              <w:bottom w:val="single" w:sz="4" w:space="0" w:color="808080" w:themeColor="background1" w:themeShade="80"/>
            </w:tcBorders>
          </w:tcPr>
          <w:p w14:paraId="7DAFE131" w14:textId="77777777" w:rsidR="00D4556C" w:rsidRPr="008261F3" w:rsidRDefault="00D4556C" w:rsidP="000E11F2">
            <w:pPr>
              <w:pStyle w:val="TableText"/>
              <w:spacing w:before="40" w:after="40"/>
              <w:ind w:right="150"/>
            </w:pPr>
            <w:r w:rsidRPr="008261F3">
              <w:t>Number of aware PWH deaths</w:t>
            </w:r>
          </w:p>
        </w:tc>
        <w:tc>
          <w:tcPr>
            <w:tcW w:w="1350" w:type="dxa"/>
            <w:vMerge w:val="restart"/>
            <w:tcBorders>
              <w:top w:val="single" w:sz="4" w:space="0" w:color="808080" w:themeColor="background1" w:themeShade="80"/>
            </w:tcBorders>
          </w:tcPr>
          <w:p w14:paraId="5F5F17C6" w14:textId="77777777" w:rsidR="00D4556C" w:rsidRPr="008261F3" w:rsidRDefault="00D4556C" w:rsidP="000E11F2">
            <w:pPr>
              <w:pStyle w:val="TableText"/>
              <w:spacing w:before="40" w:after="40"/>
            </w:pPr>
            <w:r w:rsidRPr="008261F3">
              <w:t>CDC (2018c)</w:t>
            </w:r>
          </w:p>
        </w:tc>
      </w:tr>
      <w:tr w:rsidR="00D4556C" w:rsidRPr="008261F3" w14:paraId="029F5257" w14:textId="77777777" w:rsidTr="008261F3">
        <w:trPr>
          <w:cantSplit/>
        </w:trPr>
        <w:tc>
          <w:tcPr>
            <w:tcW w:w="2371" w:type="dxa"/>
            <w:tcBorders>
              <w:top w:val="single" w:sz="4" w:space="0" w:color="808080" w:themeColor="background1" w:themeShade="80"/>
              <w:bottom w:val="single" w:sz="4" w:space="0" w:color="808080" w:themeColor="background1" w:themeShade="80"/>
            </w:tcBorders>
          </w:tcPr>
          <w:p w14:paraId="0AEA159E" w14:textId="77777777" w:rsidR="00D4556C" w:rsidRPr="008261F3" w:rsidRDefault="00D4556C" w:rsidP="000E11F2">
            <w:pPr>
              <w:pStyle w:val="TableTextIndent1"/>
              <w:spacing w:before="40" w:after="40"/>
            </w:pPr>
            <w:r w:rsidRPr="008261F3">
              <w:t>2016</w:t>
            </w:r>
          </w:p>
        </w:tc>
        <w:tc>
          <w:tcPr>
            <w:tcW w:w="1336" w:type="dxa"/>
            <w:tcBorders>
              <w:top w:val="single" w:sz="4" w:space="0" w:color="808080" w:themeColor="background1" w:themeShade="80"/>
              <w:bottom w:val="single" w:sz="4" w:space="0" w:color="808080" w:themeColor="background1" w:themeShade="80"/>
            </w:tcBorders>
          </w:tcPr>
          <w:p w14:paraId="514C041F" w14:textId="6A88D7AA" w:rsidR="00D4556C" w:rsidRPr="008261F3" w:rsidDel="00E7211C" w:rsidRDefault="00B649E9" w:rsidP="000E11F2">
            <w:pPr>
              <w:pStyle w:val="TableText"/>
              <w:spacing w:before="40" w:after="40"/>
              <w:ind w:right="150"/>
              <w:jc w:val="right"/>
            </w:pPr>
            <w:r w:rsidRPr="008261F3">
              <w:rPr>
                <w:i/>
              </w:rPr>
              <w:t>18,512</w:t>
            </w:r>
          </w:p>
        </w:tc>
        <w:tc>
          <w:tcPr>
            <w:tcW w:w="1410" w:type="dxa"/>
            <w:tcBorders>
              <w:top w:val="single" w:sz="4" w:space="0" w:color="808080" w:themeColor="background1" w:themeShade="80"/>
              <w:bottom w:val="single" w:sz="4" w:space="0" w:color="808080" w:themeColor="background1" w:themeShade="80"/>
            </w:tcBorders>
          </w:tcPr>
          <w:p w14:paraId="6C46FC2A" w14:textId="77777777" w:rsidR="00D4556C" w:rsidRPr="008261F3" w:rsidDel="00E7211C" w:rsidRDefault="00D4556C" w:rsidP="000E11F2">
            <w:pPr>
              <w:pStyle w:val="TableText"/>
              <w:spacing w:before="40" w:after="40"/>
              <w:ind w:right="150"/>
              <w:jc w:val="right"/>
            </w:pPr>
            <w:r w:rsidRPr="008261F3">
              <w:t>15,427</w:t>
            </w:r>
          </w:p>
        </w:tc>
        <w:tc>
          <w:tcPr>
            <w:tcW w:w="1311" w:type="dxa"/>
            <w:gridSpan w:val="2"/>
            <w:tcBorders>
              <w:top w:val="single" w:sz="4" w:space="0" w:color="808080" w:themeColor="background1" w:themeShade="80"/>
              <w:bottom w:val="single" w:sz="4" w:space="0" w:color="808080" w:themeColor="background1" w:themeShade="80"/>
            </w:tcBorders>
          </w:tcPr>
          <w:p w14:paraId="7A44CE77" w14:textId="77777777" w:rsidR="00D4556C" w:rsidRPr="008261F3" w:rsidRDefault="00D4556C" w:rsidP="000E11F2">
            <w:pPr>
              <w:pStyle w:val="TableText"/>
              <w:spacing w:before="40" w:after="40"/>
              <w:ind w:right="150"/>
              <w:jc w:val="right"/>
            </w:pPr>
            <w:r w:rsidRPr="008261F3">
              <w:t>12,342</w:t>
            </w:r>
          </w:p>
        </w:tc>
        <w:tc>
          <w:tcPr>
            <w:tcW w:w="1582" w:type="dxa"/>
            <w:gridSpan w:val="3"/>
            <w:tcBorders>
              <w:top w:val="single" w:sz="4" w:space="0" w:color="808080" w:themeColor="background1" w:themeShade="80"/>
              <w:bottom w:val="single" w:sz="4" w:space="0" w:color="808080" w:themeColor="background1" w:themeShade="80"/>
            </w:tcBorders>
          </w:tcPr>
          <w:p w14:paraId="3CB1AB22" w14:textId="77777777" w:rsidR="00D4556C" w:rsidRPr="008261F3" w:rsidRDefault="00D4556C" w:rsidP="000E11F2">
            <w:pPr>
              <w:pStyle w:val="TableText"/>
              <w:spacing w:before="40" w:after="40"/>
              <w:ind w:right="150"/>
              <w:jc w:val="right"/>
            </w:pPr>
            <w:r w:rsidRPr="008261F3">
              <w:t>18,512</w:t>
            </w:r>
          </w:p>
        </w:tc>
        <w:tc>
          <w:tcPr>
            <w:tcW w:w="1350" w:type="dxa"/>
            <w:vMerge/>
          </w:tcPr>
          <w:p w14:paraId="06FF1398" w14:textId="77777777" w:rsidR="00D4556C" w:rsidRPr="008261F3" w:rsidRDefault="00D4556C" w:rsidP="000E11F2">
            <w:pPr>
              <w:pStyle w:val="TableText"/>
              <w:spacing w:before="40" w:after="40"/>
            </w:pPr>
          </w:p>
        </w:tc>
      </w:tr>
      <w:tr w:rsidR="008261F3" w:rsidRPr="008261F3" w14:paraId="0873BE89" w14:textId="77777777" w:rsidTr="00BA30F7">
        <w:trPr>
          <w:cantSplit/>
        </w:trPr>
        <w:tc>
          <w:tcPr>
            <w:tcW w:w="2371" w:type="dxa"/>
            <w:tcBorders>
              <w:top w:val="single" w:sz="4" w:space="0" w:color="808080" w:themeColor="background1" w:themeShade="80"/>
              <w:bottom w:val="single" w:sz="4" w:space="0" w:color="808080" w:themeColor="background1" w:themeShade="80"/>
            </w:tcBorders>
          </w:tcPr>
          <w:p w14:paraId="7E4D4FBD" w14:textId="77777777" w:rsidR="008261F3" w:rsidRPr="008261F3" w:rsidRDefault="008261F3" w:rsidP="00BA30F7">
            <w:pPr>
              <w:pStyle w:val="TableTextIndent1"/>
              <w:ind w:left="0"/>
            </w:pPr>
            <w:r w:rsidRPr="008261F3">
              <w:t>HIV prevalence in 2016</w:t>
            </w:r>
          </w:p>
        </w:tc>
        <w:tc>
          <w:tcPr>
            <w:tcW w:w="1336" w:type="dxa"/>
            <w:tcBorders>
              <w:top w:val="single" w:sz="4" w:space="0" w:color="808080" w:themeColor="background1" w:themeShade="80"/>
              <w:bottom w:val="single" w:sz="4" w:space="0" w:color="808080" w:themeColor="background1" w:themeShade="80"/>
            </w:tcBorders>
          </w:tcPr>
          <w:p w14:paraId="76F91273" w14:textId="77777777" w:rsidR="008261F3" w:rsidRPr="008261F3" w:rsidRDefault="008261F3" w:rsidP="00BA30F7">
            <w:pPr>
              <w:pStyle w:val="TableText"/>
              <w:ind w:right="150"/>
              <w:jc w:val="right"/>
            </w:pPr>
          </w:p>
        </w:tc>
        <w:tc>
          <w:tcPr>
            <w:tcW w:w="1513" w:type="dxa"/>
            <w:gridSpan w:val="2"/>
            <w:tcBorders>
              <w:top w:val="single" w:sz="4" w:space="0" w:color="808080" w:themeColor="background1" w:themeShade="80"/>
              <w:bottom w:val="single" w:sz="4" w:space="0" w:color="808080" w:themeColor="background1" w:themeShade="80"/>
            </w:tcBorders>
          </w:tcPr>
          <w:p w14:paraId="4C45AB4E" w14:textId="77777777" w:rsidR="008261F3" w:rsidRPr="008261F3" w:rsidRDefault="008261F3" w:rsidP="00BA30F7">
            <w:pPr>
              <w:pStyle w:val="TableText"/>
              <w:ind w:right="150"/>
              <w:jc w:val="right"/>
            </w:pPr>
          </w:p>
        </w:tc>
        <w:tc>
          <w:tcPr>
            <w:tcW w:w="1260" w:type="dxa"/>
            <w:gridSpan w:val="2"/>
            <w:tcBorders>
              <w:top w:val="single" w:sz="4" w:space="0" w:color="808080" w:themeColor="background1" w:themeShade="80"/>
              <w:bottom w:val="single" w:sz="4" w:space="0" w:color="808080" w:themeColor="background1" w:themeShade="80"/>
            </w:tcBorders>
          </w:tcPr>
          <w:p w14:paraId="27C9ADF9" w14:textId="77777777" w:rsidR="008261F3" w:rsidRPr="008261F3" w:rsidRDefault="008261F3" w:rsidP="00BA30F7">
            <w:pPr>
              <w:pStyle w:val="TableText"/>
              <w:ind w:right="150"/>
              <w:jc w:val="right"/>
            </w:pPr>
          </w:p>
        </w:tc>
        <w:tc>
          <w:tcPr>
            <w:tcW w:w="1440" w:type="dxa"/>
            <w:tcBorders>
              <w:top w:val="single" w:sz="4" w:space="0" w:color="808080" w:themeColor="background1" w:themeShade="80"/>
              <w:bottom w:val="single" w:sz="4" w:space="0" w:color="808080" w:themeColor="background1" w:themeShade="80"/>
            </w:tcBorders>
          </w:tcPr>
          <w:p w14:paraId="7F23ECBD" w14:textId="77777777" w:rsidR="008261F3" w:rsidRPr="008261F3" w:rsidRDefault="008261F3" w:rsidP="00BA30F7">
            <w:pPr>
              <w:pStyle w:val="TableText"/>
              <w:ind w:right="150"/>
              <w:jc w:val="right"/>
            </w:pPr>
          </w:p>
        </w:tc>
        <w:tc>
          <w:tcPr>
            <w:tcW w:w="1440" w:type="dxa"/>
            <w:gridSpan w:val="2"/>
            <w:vMerge w:val="restart"/>
            <w:tcBorders>
              <w:top w:val="single" w:sz="4" w:space="0" w:color="808080" w:themeColor="background1" w:themeShade="80"/>
            </w:tcBorders>
          </w:tcPr>
          <w:p w14:paraId="203E1336" w14:textId="77777777" w:rsidR="008261F3" w:rsidRPr="008261F3" w:rsidRDefault="008261F3" w:rsidP="00BA30F7">
            <w:pPr>
              <w:pStyle w:val="TableText"/>
            </w:pPr>
            <w:r w:rsidRPr="008261F3">
              <w:t>CDC (2019)</w:t>
            </w:r>
          </w:p>
        </w:tc>
      </w:tr>
      <w:tr w:rsidR="008261F3" w:rsidRPr="008261F3" w14:paraId="3DD69C5F" w14:textId="77777777" w:rsidTr="00BA30F7">
        <w:trPr>
          <w:cantSplit/>
        </w:trPr>
        <w:tc>
          <w:tcPr>
            <w:tcW w:w="2371" w:type="dxa"/>
            <w:tcBorders>
              <w:top w:val="single" w:sz="4" w:space="0" w:color="808080" w:themeColor="background1" w:themeShade="80"/>
              <w:bottom w:val="single" w:sz="4" w:space="0" w:color="808080" w:themeColor="background1" w:themeShade="80"/>
            </w:tcBorders>
          </w:tcPr>
          <w:p w14:paraId="5B613EEC" w14:textId="77777777" w:rsidR="008261F3" w:rsidRPr="008261F3" w:rsidRDefault="008261F3" w:rsidP="00BA30F7">
            <w:pPr>
              <w:pStyle w:val="TableTextIndent1"/>
            </w:pPr>
            <w:r w:rsidRPr="008261F3">
              <w:t>Total</w:t>
            </w:r>
          </w:p>
        </w:tc>
        <w:tc>
          <w:tcPr>
            <w:tcW w:w="1336" w:type="dxa"/>
            <w:tcBorders>
              <w:top w:val="single" w:sz="4" w:space="0" w:color="808080" w:themeColor="background1" w:themeShade="80"/>
              <w:bottom w:val="single" w:sz="4" w:space="0" w:color="808080" w:themeColor="background1" w:themeShade="80"/>
            </w:tcBorders>
          </w:tcPr>
          <w:p w14:paraId="3CB7C391" w14:textId="77777777" w:rsidR="008261F3" w:rsidRPr="008261F3" w:rsidRDefault="008261F3" w:rsidP="00BA30F7">
            <w:pPr>
              <w:pStyle w:val="TableText"/>
              <w:ind w:right="150"/>
              <w:jc w:val="right"/>
            </w:pPr>
            <w:r w:rsidRPr="008261F3">
              <w:rPr>
                <w:i/>
              </w:rPr>
              <w:t>1,083,585</w:t>
            </w:r>
          </w:p>
        </w:tc>
        <w:tc>
          <w:tcPr>
            <w:tcW w:w="1513" w:type="dxa"/>
            <w:gridSpan w:val="2"/>
            <w:tcBorders>
              <w:top w:val="single" w:sz="4" w:space="0" w:color="808080" w:themeColor="background1" w:themeShade="80"/>
              <w:bottom w:val="single" w:sz="4" w:space="0" w:color="808080" w:themeColor="background1" w:themeShade="80"/>
            </w:tcBorders>
          </w:tcPr>
          <w:p w14:paraId="70D677BA" w14:textId="77777777" w:rsidR="008261F3" w:rsidRPr="008261F3" w:rsidRDefault="008261F3" w:rsidP="00BA30F7">
            <w:pPr>
              <w:pStyle w:val="TableText"/>
              <w:ind w:right="150"/>
              <w:jc w:val="right"/>
            </w:pPr>
            <w:r w:rsidRPr="008261F3">
              <w:t>1,140,400</w:t>
            </w:r>
          </w:p>
        </w:tc>
        <w:tc>
          <w:tcPr>
            <w:tcW w:w="1260" w:type="dxa"/>
            <w:gridSpan w:val="2"/>
            <w:tcBorders>
              <w:top w:val="single" w:sz="4" w:space="0" w:color="808080" w:themeColor="background1" w:themeShade="80"/>
              <w:bottom w:val="single" w:sz="4" w:space="0" w:color="808080" w:themeColor="background1" w:themeShade="80"/>
            </w:tcBorders>
          </w:tcPr>
          <w:p w14:paraId="6EBC038B" w14:textId="77777777" w:rsidR="008261F3" w:rsidRPr="008261F3" w:rsidRDefault="008261F3" w:rsidP="00BA30F7">
            <w:pPr>
              <w:pStyle w:val="TableText"/>
              <w:ind w:right="150"/>
              <w:jc w:val="right"/>
            </w:pPr>
            <w:r w:rsidRPr="008261F3">
              <w:t>1,120,500</w:t>
            </w:r>
          </w:p>
        </w:tc>
        <w:tc>
          <w:tcPr>
            <w:tcW w:w="1440" w:type="dxa"/>
            <w:tcBorders>
              <w:top w:val="single" w:sz="4" w:space="0" w:color="808080" w:themeColor="background1" w:themeShade="80"/>
              <w:bottom w:val="single" w:sz="4" w:space="0" w:color="808080" w:themeColor="background1" w:themeShade="80"/>
            </w:tcBorders>
          </w:tcPr>
          <w:p w14:paraId="3DE0D7C5" w14:textId="77777777" w:rsidR="008261F3" w:rsidRPr="008261F3" w:rsidRDefault="008261F3" w:rsidP="00BA30F7">
            <w:pPr>
              <w:pStyle w:val="TableText"/>
              <w:ind w:right="150"/>
              <w:jc w:val="right"/>
            </w:pPr>
            <w:r w:rsidRPr="008261F3">
              <w:t>1,160,300</w:t>
            </w:r>
          </w:p>
        </w:tc>
        <w:tc>
          <w:tcPr>
            <w:tcW w:w="1440" w:type="dxa"/>
            <w:gridSpan w:val="2"/>
            <w:vMerge/>
          </w:tcPr>
          <w:p w14:paraId="75C2662C" w14:textId="77777777" w:rsidR="008261F3" w:rsidRPr="008261F3" w:rsidRDefault="008261F3" w:rsidP="00BA30F7">
            <w:pPr>
              <w:pStyle w:val="TableText"/>
            </w:pPr>
          </w:p>
        </w:tc>
      </w:tr>
      <w:tr w:rsidR="008261F3" w:rsidRPr="008261F3" w14:paraId="1613B107" w14:textId="77777777" w:rsidTr="00BA30F7">
        <w:trPr>
          <w:cantSplit/>
        </w:trPr>
        <w:tc>
          <w:tcPr>
            <w:tcW w:w="2371" w:type="dxa"/>
            <w:tcBorders>
              <w:top w:val="single" w:sz="4" w:space="0" w:color="808080" w:themeColor="background1" w:themeShade="80"/>
              <w:bottom w:val="single" w:sz="4" w:space="0" w:color="808080" w:themeColor="background1" w:themeShade="80"/>
            </w:tcBorders>
          </w:tcPr>
          <w:p w14:paraId="6D39C20C" w14:textId="77777777" w:rsidR="008261F3" w:rsidRPr="008261F3" w:rsidDel="00053F18" w:rsidRDefault="008261F3" w:rsidP="00BA30F7">
            <w:pPr>
              <w:pStyle w:val="TableTextIndent1"/>
            </w:pPr>
            <w:r w:rsidRPr="008261F3">
              <w:t>Aged 13-24, Black</w:t>
            </w:r>
          </w:p>
        </w:tc>
        <w:tc>
          <w:tcPr>
            <w:tcW w:w="1336" w:type="dxa"/>
            <w:tcBorders>
              <w:top w:val="single" w:sz="4" w:space="0" w:color="808080" w:themeColor="background1" w:themeShade="80"/>
              <w:bottom w:val="single" w:sz="4" w:space="0" w:color="808080" w:themeColor="background1" w:themeShade="80"/>
            </w:tcBorders>
          </w:tcPr>
          <w:p w14:paraId="5BD648E2" w14:textId="77777777" w:rsidR="008261F3" w:rsidRPr="008261F3" w:rsidRDefault="008261F3" w:rsidP="00BA30F7">
            <w:pPr>
              <w:pStyle w:val="TableText"/>
              <w:ind w:right="150"/>
              <w:jc w:val="right"/>
            </w:pPr>
            <w:r w:rsidRPr="008261F3">
              <w:t>27,296</w:t>
            </w:r>
          </w:p>
        </w:tc>
        <w:tc>
          <w:tcPr>
            <w:tcW w:w="1513" w:type="dxa"/>
            <w:gridSpan w:val="2"/>
            <w:tcBorders>
              <w:top w:val="single" w:sz="4" w:space="0" w:color="808080" w:themeColor="background1" w:themeShade="80"/>
              <w:bottom w:val="single" w:sz="4" w:space="0" w:color="808080" w:themeColor="background1" w:themeShade="80"/>
            </w:tcBorders>
          </w:tcPr>
          <w:p w14:paraId="46B6F020" w14:textId="77777777" w:rsidR="008261F3" w:rsidRPr="008261F3" w:rsidRDefault="008261F3" w:rsidP="00BA30F7">
            <w:pPr>
              <w:pStyle w:val="TableText"/>
              <w:ind w:right="150"/>
              <w:jc w:val="right"/>
            </w:pPr>
            <w:r w:rsidRPr="008261F3">
              <w:t>28,800</w:t>
            </w:r>
          </w:p>
        </w:tc>
        <w:tc>
          <w:tcPr>
            <w:tcW w:w="1260" w:type="dxa"/>
            <w:gridSpan w:val="2"/>
            <w:tcBorders>
              <w:top w:val="single" w:sz="4" w:space="0" w:color="808080" w:themeColor="background1" w:themeShade="80"/>
              <w:bottom w:val="single" w:sz="4" w:space="0" w:color="808080" w:themeColor="background1" w:themeShade="80"/>
            </w:tcBorders>
          </w:tcPr>
          <w:p w14:paraId="7326D649" w14:textId="77777777" w:rsidR="008261F3" w:rsidRPr="008261F3" w:rsidRDefault="008261F3" w:rsidP="00BA30F7">
            <w:pPr>
              <w:pStyle w:val="TableText"/>
              <w:ind w:right="150"/>
              <w:jc w:val="right"/>
            </w:pPr>
            <w:r w:rsidRPr="008261F3">
              <w:t>23,040</w:t>
            </w:r>
          </w:p>
        </w:tc>
        <w:tc>
          <w:tcPr>
            <w:tcW w:w="1440" w:type="dxa"/>
            <w:tcBorders>
              <w:top w:val="single" w:sz="4" w:space="0" w:color="808080" w:themeColor="background1" w:themeShade="80"/>
              <w:bottom w:val="single" w:sz="4" w:space="0" w:color="808080" w:themeColor="background1" w:themeShade="80"/>
            </w:tcBorders>
          </w:tcPr>
          <w:p w14:paraId="33F7A67B" w14:textId="77777777" w:rsidR="008261F3" w:rsidRPr="008261F3" w:rsidRDefault="008261F3" w:rsidP="00BA30F7">
            <w:pPr>
              <w:pStyle w:val="TableText"/>
              <w:ind w:right="150"/>
              <w:jc w:val="right"/>
            </w:pPr>
            <w:r w:rsidRPr="008261F3">
              <w:t>34,560</w:t>
            </w:r>
          </w:p>
        </w:tc>
        <w:tc>
          <w:tcPr>
            <w:tcW w:w="1440" w:type="dxa"/>
            <w:gridSpan w:val="2"/>
            <w:vMerge/>
          </w:tcPr>
          <w:p w14:paraId="3EBA8F2E" w14:textId="77777777" w:rsidR="008261F3" w:rsidRPr="008261F3" w:rsidRDefault="008261F3" w:rsidP="00BA30F7">
            <w:pPr>
              <w:pStyle w:val="TableText"/>
            </w:pPr>
          </w:p>
        </w:tc>
      </w:tr>
      <w:tr w:rsidR="008261F3" w:rsidRPr="008261F3" w14:paraId="0B6A8684" w14:textId="77777777" w:rsidTr="00BA30F7">
        <w:trPr>
          <w:cantSplit/>
        </w:trPr>
        <w:tc>
          <w:tcPr>
            <w:tcW w:w="2371" w:type="dxa"/>
            <w:tcBorders>
              <w:top w:val="single" w:sz="4" w:space="0" w:color="808080" w:themeColor="background1" w:themeShade="80"/>
              <w:bottom w:val="single" w:sz="4" w:space="0" w:color="808080" w:themeColor="background1" w:themeShade="80"/>
            </w:tcBorders>
          </w:tcPr>
          <w:p w14:paraId="0C7B20CE" w14:textId="77777777" w:rsidR="008261F3" w:rsidRPr="008261F3" w:rsidDel="00053F18" w:rsidRDefault="008261F3" w:rsidP="00BA30F7">
            <w:pPr>
              <w:pStyle w:val="TableTextIndent1"/>
            </w:pPr>
            <w:r w:rsidRPr="008261F3">
              <w:t>Aged 13-24, Hispanic</w:t>
            </w:r>
          </w:p>
        </w:tc>
        <w:tc>
          <w:tcPr>
            <w:tcW w:w="1336" w:type="dxa"/>
            <w:tcBorders>
              <w:top w:val="single" w:sz="4" w:space="0" w:color="808080" w:themeColor="background1" w:themeShade="80"/>
              <w:bottom w:val="single" w:sz="4" w:space="0" w:color="808080" w:themeColor="background1" w:themeShade="80"/>
            </w:tcBorders>
          </w:tcPr>
          <w:p w14:paraId="6AA62858" w14:textId="77777777" w:rsidR="008261F3" w:rsidRPr="008261F3" w:rsidRDefault="008261F3" w:rsidP="00BA30F7">
            <w:pPr>
              <w:pStyle w:val="TableText"/>
              <w:ind w:right="150"/>
              <w:jc w:val="right"/>
            </w:pPr>
            <w:r w:rsidRPr="008261F3">
              <w:t>12,748</w:t>
            </w:r>
          </w:p>
        </w:tc>
        <w:tc>
          <w:tcPr>
            <w:tcW w:w="1513" w:type="dxa"/>
            <w:gridSpan w:val="2"/>
            <w:tcBorders>
              <w:top w:val="single" w:sz="4" w:space="0" w:color="808080" w:themeColor="background1" w:themeShade="80"/>
              <w:bottom w:val="single" w:sz="4" w:space="0" w:color="808080" w:themeColor="background1" w:themeShade="80"/>
            </w:tcBorders>
          </w:tcPr>
          <w:p w14:paraId="0366A9F0" w14:textId="77777777" w:rsidR="008261F3" w:rsidRPr="008261F3" w:rsidRDefault="008261F3" w:rsidP="00BA30F7">
            <w:pPr>
              <w:pStyle w:val="TableText"/>
              <w:ind w:right="150"/>
              <w:jc w:val="right"/>
            </w:pPr>
            <w:r w:rsidRPr="008261F3">
              <w:t>12,000</w:t>
            </w:r>
          </w:p>
        </w:tc>
        <w:tc>
          <w:tcPr>
            <w:tcW w:w="1260" w:type="dxa"/>
            <w:gridSpan w:val="2"/>
            <w:tcBorders>
              <w:top w:val="single" w:sz="4" w:space="0" w:color="808080" w:themeColor="background1" w:themeShade="80"/>
              <w:bottom w:val="single" w:sz="4" w:space="0" w:color="808080" w:themeColor="background1" w:themeShade="80"/>
            </w:tcBorders>
          </w:tcPr>
          <w:p w14:paraId="14921A3B" w14:textId="77777777" w:rsidR="008261F3" w:rsidRPr="008261F3" w:rsidRDefault="008261F3" w:rsidP="00BA30F7">
            <w:pPr>
              <w:pStyle w:val="TableText"/>
              <w:ind w:right="150"/>
              <w:jc w:val="right"/>
            </w:pPr>
            <w:r w:rsidRPr="008261F3">
              <w:t>9,600</w:t>
            </w:r>
          </w:p>
        </w:tc>
        <w:tc>
          <w:tcPr>
            <w:tcW w:w="1440" w:type="dxa"/>
            <w:tcBorders>
              <w:top w:val="single" w:sz="4" w:space="0" w:color="808080" w:themeColor="background1" w:themeShade="80"/>
              <w:bottom w:val="single" w:sz="4" w:space="0" w:color="808080" w:themeColor="background1" w:themeShade="80"/>
            </w:tcBorders>
          </w:tcPr>
          <w:p w14:paraId="44050C32" w14:textId="77777777" w:rsidR="008261F3" w:rsidRPr="008261F3" w:rsidRDefault="008261F3" w:rsidP="00BA30F7">
            <w:pPr>
              <w:pStyle w:val="TableText"/>
              <w:ind w:right="150"/>
              <w:jc w:val="right"/>
            </w:pPr>
            <w:r w:rsidRPr="008261F3">
              <w:t>14,400</w:t>
            </w:r>
          </w:p>
        </w:tc>
        <w:tc>
          <w:tcPr>
            <w:tcW w:w="1440" w:type="dxa"/>
            <w:gridSpan w:val="2"/>
            <w:vMerge/>
          </w:tcPr>
          <w:p w14:paraId="10B1ADF0" w14:textId="77777777" w:rsidR="008261F3" w:rsidRPr="008261F3" w:rsidRDefault="008261F3" w:rsidP="00BA30F7">
            <w:pPr>
              <w:pStyle w:val="TableText"/>
            </w:pPr>
          </w:p>
        </w:tc>
      </w:tr>
      <w:tr w:rsidR="008261F3" w:rsidRPr="008261F3" w14:paraId="5BA21B6D" w14:textId="77777777" w:rsidTr="00BA30F7">
        <w:trPr>
          <w:cantSplit/>
        </w:trPr>
        <w:tc>
          <w:tcPr>
            <w:tcW w:w="2371" w:type="dxa"/>
            <w:tcBorders>
              <w:top w:val="single" w:sz="4" w:space="0" w:color="808080" w:themeColor="background1" w:themeShade="80"/>
              <w:bottom w:val="single" w:sz="4" w:space="0" w:color="808080" w:themeColor="background1" w:themeShade="80"/>
            </w:tcBorders>
          </w:tcPr>
          <w:p w14:paraId="10B71D85" w14:textId="77777777" w:rsidR="008261F3" w:rsidRPr="008261F3" w:rsidDel="00053F18" w:rsidRDefault="008261F3" w:rsidP="00BA30F7">
            <w:pPr>
              <w:pStyle w:val="TableTextIndent1"/>
            </w:pPr>
            <w:r w:rsidRPr="008261F3">
              <w:t>Aged 13-24, Other</w:t>
            </w:r>
          </w:p>
        </w:tc>
        <w:tc>
          <w:tcPr>
            <w:tcW w:w="1336" w:type="dxa"/>
            <w:tcBorders>
              <w:top w:val="single" w:sz="4" w:space="0" w:color="808080" w:themeColor="background1" w:themeShade="80"/>
              <w:bottom w:val="single" w:sz="4" w:space="0" w:color="808080" w:themeColor="background1" w:themeShade="80"/>
            </w:tcBorders>
          </w:tcPr>
          <w:p w14:paraId="5BF42732" w14:textId="77777777" w:rsidR="008261F3" w:rsidRPr="008261F3" w:rsidRDefault="008261F3" w:rsidP="00BA30F7">
            <w:pPr>
              <w:pStyle w:val="TableText"/>
              <w:ind w:right="150"/>
              <w:jc w:val="right"/>
            </w:pPr>
            <w:r w:rsidRPr="008261F3">
              <w:t>11,312</w:t>
            </w:r>
          </w:p>
        </w:tc>
        <w:tc>
          <w:tcPr>
            <w:tcW w:w="1513" w:type="dxa"/>
            <w:gridSpan w:val="2"/>
            <w:tcBorders>
              <w:top w:val="single" w:sz="4" w:space="0" w:color="808080" w:themeColor="background1" w:themeShade="80"/>
              <w:bottom w:val="single" w:sz="4" w:space="0" w:color="808080" w:themeColor="background1" w:themeShade="80"/>
            </w:tcBorders>
          </w:tcPr>
          <w:p w14:paraId="409085A0" w14:textId="77777777" w:rsidR="008261F3" w:rsidRPr="008261F3" w:rsidRDefault="008261F3" w:rsidP="00BA30F7">
            <w:pPr>
              <w:pStyle w:val="TableText"/>
              <w:ind w:right="150"/>
              <w:jc w:val="right"/>
            </w:pPr>
            <w:r w:rsidRPr="008261F3">
              <w:t>10,100</w:t>
            </w:r>
          </w:p>
        </w:tc>
        <w:tc>
          <w:tcPr>
            <w:tcW w:w="1260" w:type="dxa"/>
            <w:gridSpan w:val="2"/>
            <w:tcBorders>
              <w:top w:val="single" w:sz="4" w:space="0" w:color="808080" w:themeColor="background1" w:themeShade="80"/>
              <w:bottom w:val="single" w:sz="4" w:space="0" w:color="808080" w:themeColor="background1" w:themeShade="80"/>
            </w:tcBorders>
          </w:tcPr>
          <w:p w14:paraId="03632A83" w14:textId="77777777" w:rsidR="008261F3" w:rsidRPr="008261F3" w:rsidRDefault="008261F3" w:rsidP="00BA30F7">
            <w:pPr>
              <w:pStyle w:val="TableText"/>
              <w:ind w:right="150"/>
              <w:jc w:val="right"/>
            </w:pPr>
            <w:r w:rsidRPr="008261F3">
              <w:t>8,080</w:t>
            </w:r>
          </w:p>
        </w:tc>
        <w:tc>
          <w:tcPr>
            <w:tcW w:w="1440" w:type="dxa"/>
            <w:tcBorders>
              <w:top w:val="single" w:sz="4" w:space="0" w:color="808080" w:themeColor="background1" w:themeShade="80"/>
              <w:bottom w:val="single" w:sz="4" w:space="0" w:color="808080" w:themeColor="background1" w:themeShade="80"/>
            </w:tcBorders>
          </w:tcPr>
          <w:p w14:paraId="0E629FD6" w14:textId="77777777" w:rsidR="008261F3" w:rsidRPr="008261F3" w:rsidRDefault="008261F3" w:rsidP="00BA30F7">
            <w:pPr>
              <w:pStyle w:val="TableText"/>
              <w:ind w:right="150"/>
              <w:jc w:val="right"/>
            </w:pPr>
            <w:r w:rsidRPr="008261F3">
              <w:t>12,120</w:t>
            </w:r>
          </w:p>
        </w:tc>
        <w:tc>
          <w:tcPr>
            <w:tcW w:w="1440" w:type="dxa"/>
            <w:gridSpan w:val="2"/>
            <w:vMerge/>
          </w:tcPr>
          <w:p w14:paraId="789A89B7" w14:textId="77777777" w:rsidR="008261F3" w:rsidRPr="008261F3" w:rsidRDefault="008261F3" w:rsidP="00BA30F7">
            <w:pPr>
              <w:pStyle w:val="TableText"/>
            </w:pPr>
          </w:p>
        </w:tc>
      </w:tr>
      <w:tr w:rsidR="008261F3" w:rsidRPr="008261F3" w14:paraId="3851B298" w14:textId="77777777" w:rsidTr="00BA30F7">
        <w:trPr>
          <w:cantSplit/>
        </w:trPr>
        <w:tc>
          <w:tcPr>
            <w:tcW w:w="2371" w:type="dxa"/>
            <w:tcBorders>
              <w:top w:val="single" w:sz="4" w:space="0" w:color="808080" w:themeColor="background1" w:themeShade="80"/>
              <w:bottom w:val="single" w:sz="4" w:space="0" w:color="808080" w:themeColor="background1" w:themeShade="80"/>
            </w:tcBorders>
          </w:tcPr>
          <w:p w14:paraId="75031ECE" w14:textId="77777777" w:rsidR="008261F3" w:rsidRPr="008261F3" w:rsidRDefault="008261F3" w:rsidP="00BA30F7">
            <w:pPr>
              <w:pStyle w:val="TableTextIndent1"/>
            </w:pPr>
            <w:r w:rsidRPr="008261F3">
              <w:t>Aged 25-34, Black</w:t>
            </w:r>
          </w:p>
        </w:tc>
        <w:tc>
          <w:tcPr>
            <w:tcW w:w="1336" w:type="dxa"/>
            <w:tcBorders>
              <w:top w:val="single" w:sz="4" w:space="0" w:color="808080" w:themeColor="background1" w:themeShade="80"/>
              <w:bottom w:val="single" w:sz="4" w:space="0" w:color="808080" w:themeColor="background1" w:themeShade="80"/>
            </w:tcBorders>
          </w:tcPr>
          <w:p w14:paraId="13C1A87E" w14:textId="77777777" w:rsidR="008261F3" w:rsidRPr="008261F3" w:rsidRDefault="008261F3" w:rsidP="00BA30F7">
            <w:pPr>
              <w:pStyle w:val="TableText"/>
              <w:ind w:right="150"/>
              <w:jc w:val="right"/>
              <w:rPr>
                <w:i/>
              </w:rPr>
            </w:pPr>
            <w:r w:rsidRPr="008261F3">
              <w:t>102,968</w:t>
            </w:r>
          </w:p>
        </w:tc>
        <w:tc>
          <w:tcPr>
            <w:tcW w:w="1513" w:type="dxa"/>
            <w:gridSpan w:val="2"/>
            <w:tcBorders>
              <w:top w:val="single" w:sz="4" w:space="0" w:color="808080" w:themeColor="background1" w:themeShade="80"/>
              <w:bottom w:val="single" w:sz="4" w:space="0" w:color="808080" w:themeColor="background1" w:themeShade="80"/>
            </w:tcBorders>
          </w:tcPr>
          <w:p w14:paraId="0769B3BB" w14:textId="77777777" w:rsidR="008261F3" w:rsidRPr="008261F3" w:rsidRDefault="008261F3" w:rsidP="00BA30F7">
            <w:pPr>
              <w:pStyle w:val="TableText"/>
              <w:ind w:right="150"/>
              <w:jc w:val="right"/>
            </w:pPr>
            <w:r w:rsidRPr="008261F3">
              <w:t>97,600</w:t>
            </w:r>
          </w:p>
        </w:tc>
        <w:tc>
          <w:tcPr>
            <w:tcW w:w="1260" w:type="dxa"/>
            <w:gridSpan w:val="2"/>
            <w:tcBorders>
              <w:top w:val="single" w:sz="4" w:space="0" w:color="808080" w:themeColor="background1" w:themeShade="80"/>
              <w:bottom w:val="single" w:sz="4" w:space="0" w:color="808080" w:themeColor="background1" w:themeShade="80"/>
            </w:tcBorders>
          </w:tcPr>
          <w:p w14:paraId="7D20CB1F" w14:textId="77777777" w:rsidR="008261F3" w:rsidRPr="008261F3" w:rsidRDefault="008261F3" w:rsidP="00BA30F7">
            <w:pPr>
              <w:pStyle w:val="TableText"/>
              <w:ind w:right="150"/>
              <w:jc w:val="right"/>
            </w:pPr>
            <w:r w:rsidRPr="008261F3">
              <w:t>78,080</w:t>
            </w:r>
          </w:p>
        </w:tc>
        <w:tc>
          <w:tcPr>
            <w:tcW w:w="1440" w:type="dxa"/>
            <w:tcBorders>
              <w:top w:val="single" w:sz="4" w:space="0" w:color="808080" w:themeColor="background1" w:themeShade="80"/>
              <w:bottom w:val="single" w:sz="4" w:space="0" w:color="808080" w:themeColor="background1" w:themeShade="80"/>
            </w:tcBorders>
          </w:tcPr>
          <w:p w14:paraId="6E1D5B52" w14:textId="77777777" w:rsidR="008261F3" w:rsidRPr="008261F3" w:rsidRDefault="008261F3" w:rsidP="00BA30F7">
            <w:pPr>
              <w:pStyle w:val="TableText"/>
              <w:ind w:right="150"/>
              <w:jc w:val="right"/>
            </w:pPr>
            <w:r w:rsidRPr="008261F3">
              <w:t>117,120</w:t>
            </w:r>
          </w:p>
        </w:tc>
        <w:tc>
          <w:tcPr>
            <w:tcW w:w="1440" w:type="dxa"/>
            <w:gridSpan w:val="2"/>
            <w:vMerge/>
          </w:tcPr>
          <w:p w14:paraId="77454AC0" w14:textId="77777777" w:rsidR="008261F3" w:rsidRPr="008261F3" w:rsidRDefault="008261F3" w:rsidP="00BA30F7">
            <w:pPr>
              <w:pStyle w:val="TableText"/>
            </w:pPr>
          </w:p>
        </w:tc>
      </w:tr>
      <w:tr w:rsidR="008261F3" w:rsidRPr="008261F3" w14:paraId="5740CB87" w14:textId="77777777" w:rsidTr="00BA30F7">
        <w:trPr>
          <w:cantSplit/>
        </w:trPr>
        <w:tc>
          <w:tcPr>
            <w:tcW w:w="2371" w:type="dxa"/>
            <w:tcBorders>
              <w:top w:val="single" w:sz="4" w:space="0" w:color="808080" w:themeColor="background1" w:themeShade="80"/>
              <w:bottom w:val="single" w:sz="4" w:space="0" w:color="808080" w:themeColor="background1" w:themeShade="80"/>
            </w:tcBorders>
          </w:tcPr>
          <w:p w14:paraId="313D3B06" w14:textId="77777777" w:rsidR="008261F3" w:rsidRPr="008261F3" w:rsidRDefault="008261F3" w:rsidP="00BA30F7">
            <w:pPr>
              <w:pStyle w:val="TableTextIndent1"/>
            </w:pPr>
            <w:r w:rsidRPr="008261F3">
              <w:t>Aged 25-34, Hispanic</w:t>
            </w:r>
          </w:p>
        </w:tc>
        <w:tc>
          <w:tcPr>
            <w:tcW w:w="1336" w:type="dxa"/>
            <w:tcBorders>
              <w:top w:val="single" w:sz="4" w:space="0" w:color="808080" w:themeColor="background1" w:themeShade="80"/>
              <w:bottom w:val="single" w:sz="4" w:space="0" w:color="808080" w:themeColor="background1" w:themeShade="80"/>
            </w:tcBorders>
          </w:tcPr>
          <w:p w14:paraId="150E2BCD" w14:textId="77777777" w:rsidR="008261F3" w:rsidRPr="008261F3" w:rsidRDefault="008261F3" w:rsidP="00BA30F7">
            <w:pPr>
              <w:pStyle w:val="TableText"/>
              <w:ind w:right="150"/>
              <w:jc w:val="right"/>
              <w:rPr>
                <w:i/>
              </w:rPr>
            </w:pPr>
            <w:r w:rsidRPr="008261F3">
              <w:t>59,767</w:t>
            </w:r>
          </w:p>
        </w:tc>
        <w:tc>
          <w:tcPr>
            <w:tcW w:w="1513" w:type="dxa"/>
            <w:gridSpan w:val="2"/>
            <w:tcBorders>
              <w:top w:val="single" w:sz="4" w:space="0" w:color="808080" w:themeColor="background1" w:themeShade="80"/>
              <w:bottom w:val="single" w:sz="4" w:space="0" w:color="808080" w:themeColor="background1" w:themeShade="80"/>
            </w:tcBorders>
          </w:tcPr>
          <w:p w14:paraId="5BB30A0C" w14:textId="77777777" w:rsidR="008261F3" w:rsidRPr="008261F3" w:rsidRDefault="008261F3" w:rsidP="00BA30F7">
            <w:pPr>
              <w:pStyle w:val="TableText"/>
              <w:ind w:right="150"/>
              <w:jc w:val="right"/>
            </w:pPr>
            <w:r w:rsidRPr="008261F3">
              <w:t>50,800</w:t>
            </w:r>
          </w:p>
        </w:tc>
        <w:tc>
          <w:tcPr>
            <w:tcW w:w="1260" w:type="dxa"/>
            <w:gridSpan w:val="2"/>
            <w:tcBorders>
              <w:top w:val="single" w:sz="4" w:space="0" w:color="808080" w:themeColor="background1" w:themeShade="80"/>
              <w:bottom w:val="single" w:sz="4" w:space="0" w:color="808080" w:themeColor="background1" w:themeShade="80"/>
            </w:tcBorders>
          </w:tcPr>
          <w:p w14:paraId="7E955F7F" w14:textId="77777777" w:rsidR="008261F3" w:rsidRPr="008261F3" w:rsidRDefault="008261F3" w:rsidP="00BA30F7">
            <w:pPr>
              <w:pStyle w:val="TableText"/>
              <w:ind w:right="150"/>
              <w:jc w:val="right"/>
            </w:pPr>
            <w:r w:rsidRPr="008261F3">
              <w:t>40,640</w:t>
            </w:r>
          </w:p>
        </w:tc>
        <w:tc>
          <w:tcPr>
            <w:tcW w:w="1440" w:type="dxa"/>
            <w:tcBorders>
              <w:top w:val="single" w:sz="4" w:space="0" w:color="808080" w:themeColor="background1" w:themeShade="80"/>
              <w:bottom w:val="single" w:sz="4" w:space="0" w:color="808080" w:themeColor="background1" w:themeShade="80"/>
            </w:tcBorders>
          </w:tcPr>
          <w:p w14:paraId="437D95FB" w14:textId="77777777" w:rsidR="008261F3" w:rsidRPr="008261F3" w:rsidRDefault="008261F3" w:rsidP="00BA30F7">
            <w:pPr>
              <w:pStyle w:val="TableText"/>
              <w:ind w:right="150"/>
              <w:jc w:val="right"/>
            </w:pPr>
            <w:r w:rsidRPr="008261F3">
              <w:t>60,960</w:t>
            </w:r>
          </w:p>
        </w:tc>
        <w:tc>
          <w:tcPr>
            <w:tcW w:w="1440" w:type="dxa"/>
            <w:gridSpan w:val="2"/>
            <w:vMerge/>
          </w:tcPr>
          <w:p w14:paraId="43EF87FD" w14:textId="77777777" w:rsidR="008261F3" w:rsidRPr="008261F3" w:rsidRDefault="008261F3" w:rsidP="00BA30F7">
            <w:pPr>
              <w:pStyle w:val="TableText"/>
            </w:pPr>
          </w:p>
        </w:tc>
      </w:tr>
      <w:tr w:rsidR="008261F3" w:rsidRPr="008261F3" w14:paraId="13AE0634" w14:textId="77777777" w:rsidTr="00BA30F7">
        <w:trPr>
          <w:cantSplit/>
        </w:trPr>
        <w:tc>
          <w:tcPr>
            <w:tcW w:w="2371" w:type="dxa"/>
            <w:tcBorders>
              <w:top w:val="single" w:sz="4" w:space="0" w:color="808080" w:themeColor="background1" w:themeShade="80"/>
              <w:bottom w:val="single" w:sz="4" w:space="0" w:color="808080" w:themeColor="background1" w:themeShade="80"/>
            </w:tcBorders>
          </w:tcPr>
          <w:p w14:paraId="6BCCD2FB" w14:textId="77777777" w:rsidR="008261F3" w:rsidRPr="008261F3" w:rsidRDefault="008261F3" w:rsidP="00BA30F7">
            <w:pPr>
              <w:pStyle w:val="TableTextIndent1"/>
            </w:pPr>
            <w:r w:rsidRPr="008261F3">
              <w:t>Aged 25-34, Other</w:t>
            </w:r>
          </w:p>
        </w:tc>
        <w:tc>
          <w:tcPr>
            <w:tcW w:w="1336" w:type="dxa"/>
            <w:tcBorders>
              <w:top w:val="single" w:sz="4" w:space="0" w:color="808080" w:themeColor="background1" w:themeShade="80"/>
              <w:bottom w:val="single" w:sz="4" w:space="0" w:color="808080" w:themeColor="background1" w:themeShade="80"/>
            </w:tcBorders>
          </w:tcPr>
          <w:p w14:paraId="2BC6D854" w14:textId="77777777" w:rsidR="008261F3" w:rsidRPr="008261F3" w:rsidRDefault="008261F3" w:rsidP="00BA30F7">
            <w:pPr>
              <w:pStyle w:val="TableText"/>
              <w:ind w:right="150"/>
              <w:jc w:val="right"/>
              <w:rPr>
                <w:i/>
              </w:rPr>
            </w:pPr>
            <w:r w:rsidRPr="008261F3">
              <w:t>61,465</w:t>
            </w:r>
          </w:p>
        </w:tc>
        <w:tc>
          <w:tcPr>
            <w:tcW w:w="1513" w:type="dxa"/>
            <w:gridSpan w:val="2"/>
            <w:tcBorders>
              <w:top w:val="single" w:sz="4" w:space="0" w:color="808080" w:themeColor="background1" w:themeShade="80"/>
              <w:bottom w:val="single" w:sz="4" w:space="0" w:color="808080" w:themeColor="background1" w:themeShade="80"/>
            </w:tcBorders>
          </w:tcPr>
          <w:p w14:paraId="0665CCC9" w14:textId="77777777" w:rsidR="008261F3" w:rsidRPr="008261F3" w:rsidRDefault="008261F3" w:rsidP="00BA30F7">
            <w:pPr>
              <w:pStyle w:val="TableText"/>
              <w:ind w:right="150"/>
              <w:jc w:val="right"/>
            </w:pPr>
            <w:r w:rsidRPr="008261F3">
              <w:t>54,900</w:t>
            </w:r>
          </w:p>
        </w:tc>
        <w:tc>
          <w:tcPr>
            <w:tcW w:w="1260" w:type="dxa"/>
            <w:gridSpan w:val="2"/>
            <w:tcBorders>
              <w:top w:val="single" w:sz="4" w:space="0" w:color="808080" w:themeColor="background1" w:themeShade="80"/>
              <w:bottom w:val="single" w:sz="4" w:space="0" w:color="808080" w:themeColor="background1" w:themeShade="80"/>
            </w:tcBorders>
          </w:tcPr>
          <w:p w14:paraId="0A6DEC53" w14:textId="77777777" w:rsidR="008261F3" w:rsidRPr="008261F3" w:rsidRDefault="008261F3" w:rsidP="00BA30F7">
            <w:pPr>
              <w:pStyle w:val="TableText"/>
              <w:ind w:right="150"/>
              <w:jc w:val="right"/>
            </w:pPr>
            <w:r w:rsidRPr="008261F3">
              <w:t>43,920</w:t>
            </w:r>
          </w:p>
        </w:tc>
        <w:tc>
          <w:tcPr>
            <w:tcW w:w="1440" w:type="dxa"/>
            <w:tcBorders>
              <w:top w:val="single" w:sz="4" w:space="0" w:color="808080" w:themeColor="background1" w:themeShade="80"/>
              <w:bottom w:val="single" w:sz="4" w:space="0" w:color="808080" w:themeColor="background1" w:themeShade="80"/>
            </w:tcBorders>
          </w:tcPr>
          <w:p w14:paraId="360FF38F" w14:textId="77777777" w:rsidR="008261F3" w:rsidRPr="008261F3" w:rsidRDefault="008261F3" w:rsidP="00BA30F7">
            <w:pPr>
              <w:pStyle w:val="TableText"/>
              <w:ind w:right="150"/>
              <w:jc w:val="right"/>
            </w:pPr>
            <w:r w:rsidRPr="008261F3">
              <w:t>65,880</w:t>
            </w:r>
          </w:p>
        </w:tc>
        <w:tc>
          <w:tcPr>
            <w:tcW w:w="1440" w:type="dxa"/>
            <w:gridSpan w:val="2"/>
            <w:vMerge/>
            <w:tcBorders>
              <w:bottom w:val="single" w:sz="4" w:space="0" w:color="808080" w:themeColor="background1" w:themeShade="80"/>
            </w:tcBorders>
          </w:tcPr>
          <w:p w14:paraId="1CFF92C3" w14:textId="77777777" w:rsidR="008261F3" w:rsidRPr="008261F3" w:rsidRDefault="008261F3" w:rsidP="00BA30F7">
            <w:pPr>
              <w:pStyle w:val="TableText"/>
            </w:pPr>
          </w:p>
        </w:tc>
      </w:tr>
    </w:tbl>
    <w:p w14:paraId="352675D9" w14:textId="77777777" w:rsidR="00D4556C" w:rsidRPr="008261F3" w:rsidRDefault="00D4556C" w:rsidP="00D4556C">
      <w:pPr>
        <w:pStyle w:val="table-continued"/>
      </w:pPr>
      <w:r w:rsidRPr="008261F3">
        <w:t>(continued)</w:t>
      </w:r>
      <w:r w:rsidRPr="008261F3">
        <w:rPr>
          <w:sz w:val="20"/>
        </w:rPr>
        <w:br w:type="page"/>
      </w:r>
    </w:p>
    <w:p w14:paraId="1F83E00D" w14:textId="1718CC5A" w:rsidR="00D4556C" w:rsidRPr="008261F3" w:rsidRDefault="00D4556C" w:rsidP="00D4556C">
      <w:pPr>
        <w:pStyle w:val="TableTitlecont"/>
      </w:pPr>
      <w:r w:rsidRPr="008261F3">
        <w:lastRenderedPageBreak/>
        <w:t>Table 10.3.</w:t>
      </w:r>
      <w:r w:rsidRPr="008261F3">
        <w:tab/>
        <w:t>Values Generated by the Model using the Base Analysis Set vs. Target Values and Bounds Considered for Outcomes Targeted in Calibration (continued)</w:t>
      </w:r>
    </w:p>
    <w:tbl>
      <w:tblPr>
        <w:tblW w:w="9360" w:type="dxa"/>
        <w:tblBorders>
          <w:top w:val="single" w:sz="12" w:space="0" w:color="auto"/>
          <w:bottom w:val="single" w:sz="12" w:space="0" w:color="auto"/>
        </w:tblBorders>
        <w:tblLayout w:type="fixed"/>
        <w:tblCellMar>
          <w:left w:w="58" w:type="dxa"/>
          <w:right w:w="58" w:type="dxa"/>
        </w:tblCellMar>
        <w:tblLook w:val="04A0" w:firstRow="1" w:lastRow="0" w:firstColumn="1" w:lastColumn="0" w:noHBand="0" w:noVBand="1"/>
      </w:tblPr>
      <w:tblGrid>
        <w:gridCol w:w="2371"/>
        <w:gridCol w:w="1336"/>
        <w:gridCol w:w="1513"/>
        <w:gridCol w:w="1260"/>
        <w:gridCol w:w="1440"/>
        <w:gridCol w:w="1440"/>
      </w:tblGrid>
      <w:tr w:rsidR="00D4556C" w:rsidRPr="008261F3" w14:paraId="14FE2A5E" w14:textId="77777777" w:rsidTr="000E11F2">
        <w:trPr>
          <w:cantSplit/>
          <w:tblHeader/>
        </w:trPr>
        <w:tc>
          <w:tcPr>
            <w:tcW w:w="2371" w:type="dxa"/>
            <w:tcBorders>
              <w:top w:val="single" w:sz="12" w:space="0" w:color="auto"/>
              <w:bottom w:val="single" w:sz="6" w:space="0" w:color="auto"/>
            </w:tcBorders>
            <w:vAlign w:val="bottom"/>
          </w:tcPr>
          <w:p w14:paraId="21371184" w14:textId="77777777" w:rsidR="00D4556C" w:rsidRPr="008261F3" w:rsidRDefault="00D4556C" w:rsidP="000E11F2">
            <w:pPr>
              <w:pStyle w:val="TableHeaders"/>
              <w:keepNext/>
              <w:spacing w:before="40" w:after="40"/>
            </w:pPr>
            <w:r w:rsidRPr="008261F3">
              <w:t xml:space="preserve">Outcome </w:t>
            </w:r>
            <w:proofErr w:type="spellStart"/>
            <w:r w:rsidRPr="008261F3">
              <w:t>Name</w:t>
            </w:r>
            <w:r w:rsidRPr="008261F3">
              <w:rPr>
                <w:vertAlign w:val="superscript"/>
              </w:rPr>
              <w:t>a</w:t>
            </w:r>
            <w:proofErr w:type="spellEnd"/>
          </w:p>
        </w:tc>
        <w:tc>
          <w:tcPr>
            <w:tcW w:w="1336" w:type="dxa"/>
            <w:tcBorders>
              <w:top w:val="single" w:sz="12" w:space="0" w:color="auto"/>
              <w:bottom w:val="single" w:sz="6" w:space="0" w:color="auto"/>
            </w:tcBorders>
            <w:vAlign w:val="bottom"/>
          </w:tcPr>
          <w:p w14:paraId="58A7B0AB" w14:textId="77777777" w:rsidR="00D4556C" w:rsidRPr="008261F3" w:rsidRDefault="00D4556C" w:rsidP="000E11F2">
            <w:pPr>
              <w:pStyle w:val="TableHeaders"/>
              <w:keepNext/>
              <w:spacing w:before="40" w:after="40"/>
            </w:pPr>
            <w:r w:rsidRPr="008261F3">
              <w:t>Model Values</w:t>
            </w:r>
          </w:p>
        </w:tc>
        <w:tc>
          <w:tcPr>
            <w:tcW w:w="1513" w:type="dxa"/>
            <w:tcBorders>
              <w:top w:val="single" w:sz="12" w:space="0" w:color="auto"/>
              <w:bottom w:val="single" w:sz="6" w:space="0" w:color="auto"/>
            </w:tcBorders>
            <w:vAlign w:val="bottom"/>
          </w:tcPr>
          <w:p w14:paraId="34318768" w14:textId="77777777" w:rsidR="00D4556C" w:rsidRPr="008261F3" w:rsidRDefault="00D4556C" w:rsidP="000E11F2">
            <w:pPr>
              <w:pStyle w:val="TableHeaders"/>
              <w:keepNext/>
              <w:spacing w:before="40" w:after="40"/>
            </w:pPr>
            <w:r w:rsidRPr="008261F3">
              <w:t>Target Value</w:t>
            </w:r>
          </w:p>
        </w:tc>
        <w:tc>
          <w:tcPr>
            <w:tcW w:w="1260" w:type="dxa"/>
            <w:tcBorders>
              <w:top w:val="single" w:sz="12" w:space="0" w:color="auto"/>
              <w:bottom w:val="single" w:sz="6" w:space="0" w:color="auto"/>
            </w:tcBorders>
            <w:vAlign w:val="bottom"/>
          </w:tcPr>
          <w:p w14:paraId="6B248136" w14:textId="77777777" w:rsidR="00D4556C" w:rsidRPr="008261F3" w:rsidRDefault="00D4556C" w:rsidP="000E11F2">
            <w:pPr>
              <w:pStyle w:val="TableHeaders"/>
              <w:keepNext/>
              <w:spacing w:before="40" w:after="40"/>
            </w:pPr>
            <w:r w:rsidRPr="008261F3">
              <w:t>Lower Bound</w:t>
            </w:r>
          </w:p>
        </w:tc>
        <w:tc>
          <w:tcPr>
            <w:tcW w:w="1440" w:type="dxa"/>
            <w:tcBorders>
              <w:top w:val="single" w:sz="12" w:space="0" w:color="auto"/>
              <w:bottom w:val="single" w:sz="6" w:space="0" w:color="auto"/>
            </w:tcBorders>
            <w:vAlign w:val="bottom"/>
          </w:tcPr>
          <w:p w14:paraId="727DEC0D" w14:textId="77777777" w:rsidR="00D4556C" w:rsidRPr="008261F3" w:rsidRDefault="00D4556C" w:rsidP="000E11F2">
            <w:pPr>
              <w:pStyle w:val="TableHeaders"/>
              <w:keepNext/>
              <w:spacing w:before="40" w:after="40"/>
            </w:pPr>
            <w:r w:rsidRPr="008261F3">
              <w:t>Upper Bound</w:t>
            </w:r>
          </w:p>
        </w:tc>
        <w:tc>
          <w:tcPr>
            <w:tcW w:w="1440" w:type="dxa"/>
            <w:tcBorders>
              <w:top w:val="single" w:sz="12" w:space="0" w:color="auto"/>
              <w:bottom w:val="single" w:sz="6" w:space="0" w:color="auto"/>
            </w:tcBorders>
            <w:vAlign w:val="bottom"/>
          </w:tcPr>
          <w:p w14:paraId="63D59D3D" w14:textId="77777777" w:rsidR="00D4556C" w:rsidRPr="008261F3" w:rsidRDefault="00D4556C" w:rsidP="000E11F2">
            <w:pPr>
              <w:pStyle w:val="TableHeaders"/>
              <w:keepNext/>
              <w:spacing w:before="40" w:after="40"/>
            </w:pPr>
            <w:r w:rsidRPr="008261F3">
              <w:t>Source for Target Values and Bounds</w:t>
            </w:r>
          </w:p>
        </w:tc>
      </w:tr>
      <w:tr w:rsidR="00D4556C" w:rsidRPr="008261F3" w14:paraId="589FD163" w14:textId="77777777" w:rsidTr="000E11F2">
        <w:trPr>
          <w:cantSplit/>
        </w:trPr>
        <w:tc>
          <w:tcPr>
            <w:tcW w:w="7920" w:type="dxa"/>
            <w:gridSpan w:val="5"/>
            <w:tcBorders>
              <w:top w:val="single" w:sz="4" w:space="0" w:color="808080" w:themeColor="background1" w:themeShade="80"/>
              <w:bottom w:val="single" w:sz="4" w:space="0" w:color="808080" w:themeColor="background1" w:themeShade="80"/>
            </w:tcBorders>
          </w:tcPr>
          <w:p w14:paraId="4127BD57" w14:textId="77777777" w:rsidR="00D4556C" w:rsidRPr="008261F3" w:rsidRDefault="00D4556C" w:rsidP="000E11F2">
            <w:pPr>
              <w:pStyle w:val="TableText"/>
            </w:pPr>
            <w:r w:rsidRPr="008261F3">
              <w:t>Distribution of HIV-infected population across continuum-of-care in 2016</w:t>
            </w:r>
          </w:p>
        </w:tc>
        <w:tc>
          <w:tcPr>
            <w:tcW w:w="1440" w:type="dxa"/>
            <w:vMerge w:val="restart"/>
            <w:tcBorders>
              <w:top w:val="single" w:sz="4" w:space="0" w:color="808080" w:themeColor="background1" w:themeShade="80"/>
            </w:tcBorders>
          </w:tcPr>
          <w:p w14:paraId="2C9779F0" w14:textId="77777777" w:rsidR="00D4556C" w:rsidRPr="008261F3" w:rsidRDefault="00D4556C" w:rsidP="000E11F2">
            <w:pPr>
              <w:pStyle w:val="TableText"/>
            </w:pPr>
          </w:p>
          <w:p w14:paraId="4A2DC307" w14:textId="77777777" w:rsidR="00D4556C" w:rsidRPr="008261F3" w:rsidRDefault="00D4556C" w:rsidP="000E11F2">
            <w:pPr>
              <w:pStyle w:val="TableText"/>
            </w:pPr>
            <w:r w:rsidRPr="008261F3">
              <w:t>CDC (2019)</w:t>
            </w:r>
          </w:p>
        </w:tc>
      </w:tr>
      <w:tr w:rsidR="00D4556C" w:rsidRPr="008261F3" w14:paraId="736222B1"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0630A7BF" w14:textId="77777777" w:rsidR="00D4556C" w:rsidRPr="008261F3" w:rsidRDefault="00D4556C" w:rsidP="000E11F2">
            <w:pPr>
              <w:pStyle w:val="TableTextIndent1"/>
            </w:pPr>
            <w:r w:rsidRPr="008261F3">
              <w:t>Diagnosed</w:t>
            </w:r>
          </w:p>
        </w:tc>
        <w:tc>
          <w:tcPr>
            <w:tcW w:w="1336" w:type="dxa"/>
            <w:tcBorders>
              <w:top w:val="single" w:sz="4" w:space="0" w:color="808080" w:themeColor="background1" w:themeShade="80"/>
              <w:bottom w:val="single" w:sz="4" w:space="0" w:color="808080" w:themeColor="background1" w:themeShade="80"/>
            </w:tcBorders>
          </w:tcPr>
          <w:p w14:paraId="13A009A1" w14:textId="77777777" w:rsidR="00D4556C" w:rsidRPr="008261F3" w:rsidRDefault="00D4556C" w:rsidP="000E11F2">
            <w:pPr>
              <w:pStyle w:val="TableText"/>
              <w:ind w:right="150"/>
              <w:jc w:val="right"/>
            </w:pPr>
          </w:p>
        </w:tc>
        <w:tc>
          <w:tcPr>
            <w:tcW w:w="1513" w:type="dxa"/>
            <w:tcBorders>
              <w:top w:val="single" w:sz="4" w:space="0" w:color="808080" w:themeColor="background1" w:themeShade="80"/>
              <w:bottom w:val="single" w:sz="4" w:space="0" w:color="808080" w:themeColor="background1" w:themeShade="80"/>
            </w:tcBorders>
          </w:tcPr>
          <w:p w14:paraId="7D9E24A6" w14:textId="77777777" w:rsidR="00D4556C" w:rsidRPr="008261F3" w:rsidRDefault="00D4556C" w:rsidP="000E11F2">
            <w:pPr>
              <w:pStyle w:val="TableText"/>
              <w:ind w:right="150"/>
              <w:jc w:val="right"/>
            </w:pPr>
          </w:p>
        </w:tc>
        <w:tc>
          <w:tcPr>
            <w:tcW w:w="1260" w:type="dxa"/>
            <w:tcBorders>
              <w:top w:val="single" w:sz="4" w:space="0" w:color="808080" w:themeColor="background1" w:themeShade="80"/>
              <w:bottom w:val="single" w:sz="4" w:space="0" w:color="808080" w:themeColor="background1" w:themeShade="80"/>
            </w:tcBorders>
          </w:tcPr>
          <w:p w14:paraId="36F0F93A" w14:textId="77777777" w:rsidR="00D4556C" w:rsidRPr="008261F3" w:rsidRDefault="00D4556C" w:rsidP="000E11F2">
            <w:pPr>
              <w:pStyle w:val="TableText"/>
              <w:ind w:right="150"/>
              <w:jc w:val="right"/>
            </w:pPr>
          </w:p>
        </w:tc>
        <w:tc>
          <w:tcPr>
            <w:tcW w:w="1440" w:type="dxa"/>
            <w:tcBorders>
              <w:top w:val="single" w:sz="4" w:space="0" w:color="808080" w:themeColor="background1" w:themeShade="80"/>
              <w:bottom w:val="single" w:sz="4" w:space="0" w:color="808080" w:themeColor="background1" w:themeShade="80"/>
            </w:tcBorders>
          </w:tcPr>
          <w:p w14:paraId="559608E6" w14:textId="77777777" w:rsidR="00D4556C" w:rsidRPr="008261F3" w:rsidRDefault="00D4556C" w:rsidP="000E11F2">
            <w:pPr>
              <w:pStyle w:val="TableText"/>
              <w:ind w:right="150"/>
              <w:jc w:val="right"/>
            </w:pPr>
          </w:p>
        </w:tc>
        <w:tc>
          <w:tcPr>
            <w:tcW w:w="1440" w:type="dxa"/>
            <w:vMerge/>
          </w:tcPr>
          <w:p w14:paraId="77E04FCB" w14:textId="77777777" w:rsidR="00D4556C" w:rsidRPr="008261F3" w:rsidRDefault="00D4556C" w:rsidP="000E11F2">
            <w:pPr>
              <w:pStyle w:val="TableText"/>
            </w:pPr>
          </w:p>
        </w:tc>
      </w:tr>
      <w:tr w:rsidR="00B649E9" w:rsidRPr="008261F3" w14:paraId="69947D8E"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16D9DB90" w14:textId="77777777" w:rsidR="00B649E9" w:rsidRPr="008261F3" w:rsidRDefault="00B649E9" w:rsidP="00B649E9">
            <w:pPr>
              <w:pStyle w:val="TableTextIndent1"/>
              <w:ind w:left="490"/>
            </w:pPr>
            <w:r w:rsidRPr="008261F3">
              <w:t>HET</w:t>
            </w:r>
          </w:p>
        </w:tc>
        <w:tc>
          <w:tcPr>
            <w:tcW w:w="1336" w:type="dxa"/>
            <w:tcBorders>
              <w:top w:val="single" w:sz="4" w:space="0" w:color="808080" w:themeColor="background1" w:themeShade="80"/>
              <w:bottom w:val="single" w:sz="4" w:space="0" w:color="808080" w:themeColor="background1" w:themeShade="80"/>
            </w:tcBorders>
          </w:tcPr>
          <w:p w14:paraId="3EC8CF25" w14:textId="27ED0B7E" w:rsidR="00B649E9" w:rsidRPr="008261F3" w:rsidRDefault="00B649E9" w:rsidP="00B649E9">
            <w:pPr>
              <w:pStyle w:val="TableText"/>
              <w:ind w:right="150"/>
              <w:jc w:val="right"/>
              <w:rPr>
                <w:i/>
              </w:rPr>
            </w:pPr>
            <w:r w:rsidRPr="008261F3">
              <w:t>86%</w:t>
            </w:r>
          </w:p>
        </w:tc>
        <w:tc>
          <w:tcPr>
            <w:tcW w:w="1513" w:type="dxa"/>
            <w:tcBorders>
              <w:top w:val="single" w:sz="4" w:space="0" w:color="808080" w:themeColor="background1" w:themeShade="80"/>
              <w:bottom w:val="single" w:sz="4" w:space="0" w:color="808080" w:themeColor="background1" w:themeShade="80"/>
            </w:tcBorders>
          </w:tcPr>
          <w:p w14:paraId="38BFA23F" w14:textId="77777777" w:rsidR="00B649E9" w:rsidRPr="008261F3" w:rsidRDefault="00B649E9" w:rsidP="00B649E9">
            <w:pPr>
              <w:pStyle w:val="TableText"/>
              <w:ind w:right="150"/>
              <w:jc w:val="right"/>
            </w:pPr>
            <w:r w:rsidRPr="008261F3">
              <w:t>86%</w:t>
            </w:r>
          </w:p>
        </w:tc>
        <w:tc>
          <w:tcPr>
            <w:tcW w:w="1260" w:type="dxa"/>
            <w:tcBorders>
              <w:top w:val="single" w:sz="4" w:space="0" w:color="808080" w:themeColor="background1" w:themeShade="80"/>
              <w:bottom w:val="single" w:sz="4" w:space="0" w:color="808080" w:themeColor="background1" w:themeShade="80"/>
            </w:tcBorders>
          </w:tcPr>
          <w:p w14:paraId="2AC022A1" w14:textId="77777777" w:rsidR="00B649E9" w:rsidRPr="008261F3" w:rsidRDefault="00B649E9" w:rsidP="00B649E9">
            <w:pPr>
              <w:pStyle w:val="TableText"/>
              <w:ind w:right="150"/>
              <w:jc w:val="right"/>
            </w:pPr>
            <w:r w:rsidRPr="008261F3">
              <w:t>83%</w:t>
            </w:r>
          </w:p>
        </w:tc>
        <w:tc>
          <w:tcPr>
            <w:tcW w:w="1440" w:type="dxa"/>
            <w:tcBorders>
              <w:top w:val="single" w:sz="4" w:space="0" w:color="808080" w:themeColor="background1" w:themeShade="80"/>
              <w:bottom w:val="single" w:sz="4" w:space="0" w:color="808080" w:themeColor="background1" w:themeShade="80"/>
            </w:tcBorders>
          </w:tcPr>
          <w:p w14:paraId="27FD48DD" w14:textId="77777777" w:rsidR="00B649E9" w:rsidRPr="008261F3" w:rsidRDefault="00B649E9" w:rsidP="00B649E9">
            <w:pPr>
              <w:pStyle w:val="TableText"/>
              <w:ind w:right="150"/>
              <w:jc w:val="right"/>
            </w:pPr>
            <w:r w:rsidRPr="008261F3">
              <w:t>88%</w:t>
            </w:r>
          </w:p>
        </w:tc>
        <w:tc>
          <w:tcPr>
            <w:tcW w:w="1440" w:type="dxa"/>
            <w:vMerge/>
          </w:tcPr>
          <w:p w14:paraId="3AE11FFA" w14:textId="77777777" w:rsidR="00B649E9" w:rsidRPr="008261F3" w:rsidRDefault="00B649E9" w:rsidP="00B649E9">
            <w:pPr>
              <w:pStyle w:val="TableText"/>
            </w:pPr>
          </w:p>
        </w:tc>
      </w:tr>
      <w:tr w:rsidR="00B649E9" w:rsidRPr="008261F3" w14:paraId="3BBD1BFA"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00A19239" w14:textId="77777777" w:rsidR="00B649E9" w:rsidRPr="008261F3" w:rsidRDefault="00B649E9" w:rsidP="00B649E9">
            <w:pPr>
              <w:pStyle w:val="TableTextIndent1"/>
              <w:ind w:left="490"/>
            </w:pPr>
            <w:r w:rsidRPr="008261F3">
              <w:t>MSM</w:t>
            </w:r>
          </w:p>
        </w:tc>
        <w:tc>
          <w:tcPr>
            <w:tcW w:w="1336" w:type="dxa"/>
            <w:tcBorders>
              <w:top w:val="single" w:sz="4" w:space="0" w:color="808080" w:themeColor="background1" w:themeShade="80"/>
              <w:bottom w:val="single" w:sz="4" w:space="0" w:color="808080" w:themeColor="background1" w:themeShade="80"/>
            </w:tcBorders>
          </w:tcPr>
          <w:p w14:paraId="51733BD2" w14:textId="382BC76B" w:rsidR="00B649E9" w:rsidRPr="008261F3" w:rsidRDefault="00B649E9" w:rsidP="00B649E9">
            <w:pPr>
              <w:pStyle w:val="TableText"/>
              <w:ind w:right="150"/>
              <w:jc w:val="right"/>
              <w:rPr>
                <w:i/>
              </w:rPr>
            </w:pPr>
            <w:r w:rsidRPr="008261F3">
              <w:t>83%</w:t>
            </w:r>
          </w:p>
        </w:tc>
        <w:tc>
          <w:tcPr>
            <w:tcW w:w="1513" w:type="dxa"/>
            <w:tcBorders>
              <w:top w:val="single" w:sz="4" w:space="0" w:color="808080" w:themeColor="background1" w:themeShade="80"/>
              <w:bottom w:val="single" w:sz="4" w:space="0" w:color="808080" w:themeColor="background1" w:themeShade="80"/>
            </w:tcBorders>
          </w:tcPr>
          <w:p w14:paraId="4CCABA16" w14:textId="77777777" w:rsidR="00B649E9" w:rsidRPr="008261F3" w:rsidRDefault="00B649E9" w:rsidP="00B649E9">
            <w:pPr>
              <w:pStyle w:val="TableText"/>
              <w:ind w:right="150"/>
              <w:jc w:val="right"/>
            </w:pPr>
            <w:r w:rsidRPr="008261F3">
              <w:t>84%</w:t>
            </w:r>
          </w:p>
        </w:tc>
        <w:tc>
          <w:tcPr>
            <w:tcW w:w="1260" w:type="dxa"/>
            <w:tcBorders>
              <w:top w:val="single" w:sz="4" w:space="0" w:color="808080" w:themeColor="background1" w:themeShade="80"/>
              <w:bottom w:val="single" w:sz="4" w:space="0" w:color="808080" w:themeColor="background1" w:themeShade="80"/>
            </w:tcBorders>
          </w:tcPr>
          <w:p w14:paraId="1851B849" w14:textId="77777777" w:rsidR="00B649E9" w:rsidRPr="008261F3" w:rsidRDefault="00B649E9" w:rsidP="00B649E9">
            <w:pPr>
              <w:pStyle w:val="TableText"/>
              <w:ind w:right="150"/>
              <w:jc w:val="right"/>
            </w:pPr>
            <w:r w:rsidRPr="008261F3">
              <w:t>67%</w:t>
            </w:r>
          </w:p>
        </w:tc>
        <w:tc>
          <w:tcPr>
            <w:tcW w:w="1440" w:type="dxa"/>
            <w:tcBorders>
              <w:top w:val="single" w:sz="4" w:space="0" w:color="808080" w:themeColor="background1" w:themeShade="80"/>
              <w:bottom w:val="single" w:sz="4" w:space="0" w:color="808080" w:themeColor="background1" w:themeShade="80"/>
            </w:tcBorders>
          </w:tcPr>
          <w:p w14:paraId="12177747" w14:textId="77777777" w:rsidR="00B649E9" w:rsidRPr="008261F3" w:rsidRDefault="00B649E9" w:rsidP="00B649E9">
            <w:pPr>
              <w:pStyle w:val="TableText"/>
              <w:ind w:right="150"/>
              <w:jc w:val="right"/>
            </w:pPr>
            <w:r w:rsidRPr="008261F3">
              <w:t>100%</w:t>
            </w:r>
          </w:p>
        </w:tc>
        <w:tc>
          <w:tcPr>
            <w:tcW w:w="1440" w:type="dxa"/>
            <w:vMerge/>
          </w:tcPr>
          <w:p w14:paraId="29479F75" w14:textId="77777777" w:rsidR="00B649E9" w:rsidRPr="008261F3" w:rsidRDefault="00B649E9" w:rsidP="00B649E9">
            <w:pPr>
              <w:pStyle w:val="TableText"/>
            </w:pPr>
          </w:p>
        </w:tc>
      </w:tr>
      <w:tr w:rsidR="00B649E9" w:rsidRPr="008261F3" w14:paraId="3C52F63D"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60E722CE" w14:textId="77777777" w:rsidR="00B649E9" w:rsidRPr="008261F3" w:rsidRDefault="00B649E9" w:rsidP="00B649E9">
            <w:pPr>
              <w:pStyle w:val="TableTextIndent1"/>
              <w:ind w:left="490"/>
            </w:pPr>
            <w:r w:rsidRPr="008261F3">
              <w:t>PWID</w:t>
            </w:r>
          </w:p>
        </w:tc>
        <w:tc>
          <w:tcPr>
            <w:tcW w:w="1336" w:type="dxa"/>
            <w:tcBorders>
              <w:top w:val="single" w:sz="4" w:space="0" w:color="808080" w:themeColor="background1" w:themeShade="80"/>
              <w:bottom w:val="single" w:sz="4" w:space="0" w:color="808080" w:themeColor="background1" w:themeShade="80"/>
            </w:tcBorders>
          </w:tcPr>
          <w:p w14:paraId="1E2F22A3" w14:textId="228AFBA8" w:rsidR="00B649E9" w:rsidRPr="008261F3" w:rsidRDefault="00B649E9" w:rsidP="00B649E9">
            <w:pPr>
              <w:pStyle w:val="TableText"/>
              <w:ind w:right="150"/>
              <w:jc w:val="right"/>
              <w:rPr>
                <w:i/>
              </w:rPr>
            </w:pPr>
            <w:r w:rsidRPr="008261F3">
              <w:t>98%</w:t>
            </w:r>
          </w:p>
        </w:tc>
        <w:tc>
          <w:tcPr>
            <w:tcW w:w="1513" w:type="dxa"/>
            <w:tcBorders>
              <w:top w:val="single" w:sz="4" w:space="0" w:color="808080" w:themeColor="background1" w:themeShade="80"/>
              <w:bottom w:val="single" w:sz="4" w:space="0" w:color="808080" w:themeColor="background1" w:themeShade="80"/>
            </w:tcBorders>
          </w:tcPr>
          <w:p w14:paraId="11508CFA" w14:textId="77777777" w:rsidR="00B649E9" w:rsidRPr="008261F3" w:rsidRDefault="00B649E9" w:rsidP="00B649E9">
            <w:pPr>
              <w:pStyle w:val="TableText"/>
              <w:ind w:right="150"/>
              <w:jc w:val="right"/>
            </w:pPr>
            <w:r w:rsidRPr="008261F3">
              <w:t>94%</w:t>
            </w:r>
          </w:p>
        </w:tc>
        <w:tc>
          <w:tcPr>
            <w:tcW w:w="1260" w:type="dxa"/>
            <w:tcBorders>
              <w:top w:val="single" w:sz="4" w:space="0" w:color="808080" w:themeColor="background1" w:themeShade="80"/>
              <w:bottom w:val="single" w:sz="4" w:space="0" w:color="808080" w:themeColor="background1" w:themeShade="80"/>
            </w:tcBorders>
          </w:tcPr>
          <w:p w14:paraId="5A3D0A6A" w14:textId="77777777" w:rsidR="00B649E9" w:rsidRPr="008261F3" w:rsidRDefault="00B649E9" w:rsidP="00B649E9">
            <w:pPr>
              <w:pStyle w:val="TableText"/>
              <w:ind w:right="150"/>
              <w:jc w:val="right"/>
            </w:pPr>
            <w:r w:rsidRPr="008261F3">
              <w:t>76%</w:t>
            </w:r>
          </w:p>
        </w:tc>
        <w:tc>
          <w:tcPr>
            <w:tcW w:w="1440" w:type="dxa"/>
            <w:tcBorders>
              <w:top w:val="single" w:sz="4" w:space="0" w:color="808080" w:themeColor="background1" w:themeShade="80"/>
              <w:bottom w:val="single" w:sz="4" w:space="0" w:color="808080" w:themeColor="background1" w:themeShade="80"/>
            </w:tcBorders>
          </w:tcPr>
          <w:p w14:paraId="72C57C2A" w14:textId="77777777" w:rsidR="00B649E9" w:rsidRPr="008261F3" w:rsidRDefault="00B649E9" w:rsidP="00B649E9">
            <w:pPr>
              <w:pStyle w:val="TableText"/>
              <w:ind w:right="150"/>
              <w:jc w:val="right"/>
            </w:pPr>
            <w:r w:rsidRPr="008261F3">
              <w:t>100%</w:t>
            </w:r>
          </w:p>
        </w:tc>
        <w:tc>
          <w:tcPr>
            <w:tcW w:w="1440" w:type="dxa"/>
            <w:vMerge/>
          </w:tcPr>
          <w:p w14:paraId="1D395A89" w14:textId="77777777" w:rsidR="00B649E9" w:rsidRPr="008261F3" w:rsidRDefault="00B649E9" w:rsidP="00B649E9">
            <w:pPr>
              <w:pStyle w:val="TableText"/>
            </w:pPr>
          </w:p>
        </w:tc>
      </w:tr>
      <w:tr w:rsidR="00B649E9" w:rsidRPr="008261F3" w14:paraId="49CD2359"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55BD4C0A" w14:textId="77777777" w:rsidR="00B649E9" w:rsidRPr="008261F3" w:rsidRDefault="00B649E9" w:rsidP="00B649E9">
            <w:pPr>
              <w:pStyle w:val="TableTextIndent1"/>
              <w:ind w:left="490"/>
            </w:pPr>
            <w:r w:rsidRPr="008261F3">
              <w:t>Aged 13-24, Black MSM</w:t>
            </w:r>
          </w:p>
        </w:tc>
        <w:tc>
          <w:tcPr>
            <w:tcW w:w="1336" w:type="dxa"/>
            <w:tcBorders>
              <w:top w:val="single" w:sz="4" w:space="0" w:color="808080" w:themeColor="background1" w:themeShade="80"/>
              <w:bottom w:val="single" w:sz="4" w:space="0" w:color="808080" w:themeColor="background1" w:themeShade="80"/>
            </w:tcBorders>
          </w:tcPr>
          <w:p w14:paraId="5A1AF938" w14:textId="2D858B34" w:rsidR="00B649E9" w:rsidRPr="008261F3" w:rsidRDefault="00B649E9" w:rsidP="00B649E9">
            <w:pPr>
              <w:pStyle w:val="TableText"/>
              <w:ind w:right="150"/>
              <w:jc w:val="right"/>
              <w:rPr>
                <w:i/>
              </w:rPr>
            </w:pPr>
            <w:r w:rsidRPr="008261F3">
              <w:t>59%</w:t>
            </w:r>
          </w:p>
        </w:tc>
        <w:tc>
          <w:tcPr>
            <w:tcW w:w="1513" w:type="dxa"/>
            <w:tcBorders>
              <w:top w:val="single" w:sz="4" w:space="0" w:color="808080" w:themeColor="background1" w:themeShade="80"/>
              <w:bottom w:val="single" w:sz="4" w:space="0" w:color="808080" w:themeColor="background1" w:themeShade="80"/>
            </w:tcBorders>
          </w:tcPr>
          <w:p w14:paraId="57D7AE29" w14:textId="77777777" w:rsidR="00B649E9" w:rsidRPr="008261F3" w:rsidRDefault="00B649E9" w:rsidP="00B649E9">
            <w:pPr>
              <w:pStyle w:val="TableText"/>
              <w:ind w:right="150"/>
              <w:jc w:val="right"/>
            </w:pPr>
            <w:r w:rsidRPr="008261F3">
              <w:t>56%</w:t>
            </w:r>
          </w:p>
        </w:tc>
        <w:tc>
          <w:tcPr>
            <w:tcW w:w="1260" w:type="dxa"/>
            <w:tcBorders>
              <w:top w:val="single" w:sz="4" w:space="0" w:color="808080" w:themeColor="background1" w:themeShade="80"/>
              <w:bottom w:val="single" w:sz="4" w:space="0" w:color="808080" w:themeColor="background1" w:themeShade="80"/>
            </w:tcBorders>
          </w:tcPr>
          <w:p w14:paraId="08414C6A" w14:textId="77777777" w:rsidR="00B649E9" w:rsidRPr="008261F3" w:rsidRDefault="00B649E9" w:rsidP="00B649E9">
            <w:pPr>
              <w:pStyle w:val="TableText"/>
              <w:ind w:right="150"/>
              <w:jc w:val="right"/>
            </w:pPr>
            <w:r w:rsidRPr="008261F3">
              <w:t>53%</w:t>
            </w:r>
          </w:p>
        </w:tc>
        <w:tc>
          <w:tcPr>
            <w:tcW w:w="1440" w:type="dxa"/>
            <w:tcBorders>
              <w:top w:val="single" w:sz="4" w:space="0" w:color="808080" w:themeColor="background1" w:themeShade="80"/>
              <w:bottom w:val="single" w:sz="4" w:space="0" w:color="808080" w:themeColor="background1" w:themeShade="80"/>
            </w:tcBorders>
          </w:tcPr>
          <w:p w14:paraId="4C1D391A" w14:textId="77777777" w:rsidR="00B649E9" w:rsidRPr="008261F3" w:rsidRDefault="00B649E9" w:rsidP="00B649E9">
            <w:pPr>
              <w:pStyle w:val="TableText"/>
              <w:ind w:right="150"/>
              <w:jc w:val="right"/>
            </w:pPr>
            <w:r w:rsidRPr="008261F3">
              <w:t>59%</w:t>
            </w:r>
          </w:p>
        </w:tc>
        <w:tc>
          <w:tcPr>
            <w:tcW w:w="1440" w:type="dxa"/>
            <w:vMerge/>
          </w:tcPr>
          <w:p w14:paraId="182475EF" w14:textId="77777777" w:rsidR="00B649E9" w:rsidRPr="008261F3" w:rsidRDefault="00B649E9" w:rsidP="00B649E9">
            <w:pPr>
              <w:pStyle w:val="TableText"/>
            </w:pPr>
          </w:p>
        </w:tc>
      </w:tr>
      <w:tr w:rsidR="00B649E9" w:rsidRPr="008261F3" w14:paraId="3B723DE3"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5DD1D8C9" w14:textId="77777777" w:rsidR="00B649E9" w:rsidRPr="008261F3" w:rsidRDefault="00B649E9" w:rsidP="00B649E9">
            <w:pPr>
              <w:pStyle w:val="TableTextIndent1"/>
              <w:ind w:left="490"/>
            </w:pPr>
            <w:r w:rsidRPr="008261F3">
              <w:t>Aged 13-24, Hispanic MSM</w:t>
            </w:r>
          </w:p>
        </w:tc>
        <w:tc>
          <w:tcPr>
            <w:tcW w:w="1336" w:type="dxa"/>
            <w:tcBorders>
              <w:top w:val="single" w:sz="4" w:space="0" w:color="808080" w:themeColor="background1" w:themeShade="80"/>
              <w:bottom w:val="single" w:sz="4" w:space="0" w:color="808080" w:themeColor="background1" w:themeShade="80"/>
            </w:tcBorders>
          </w:tcPr>
          <w:p w14:paraId="56766D7C" w14:textId="0A57672E" w:rsidR="00B649E9" w:rsidRPr="008261F3" w:rsidRDefault="00B649E9" w:rsidP="00B649E9">
            <w:pPr>
              <w:pStyle w:val="TableText"/>
              <w:ind w:right="150"/>
              <w:jc w:val="right"/>
              <w:rPr>
                <w:i/>
              </w:rPr>
            </w:pPr>
            <w:r w:rsidRPr="008261F3">
              <w:t>51%</w:t>
            </w:r>
          </w:p>
        </w:tc>
        <w:tc>
          <w:tcPr>
            <w:tcW w:w="1513" w:type="dxa"/>
            <w:tcBorders>
              <w:top w:val="single" w:sz="4" w:space="0" w:color="808080" w:themeColor="background1" w:themeShade="80"/>
              <w:bottom w:val="single" w:sz="4" w:space="0" w:color="808080" w:themeColor="background1" w:themeShade="80"/>
            </w:tcBorders>
          </w:tcPr>
          <w:p w14:paraId="18531F6B" w14:textId="77777777" w:rsidR="00B649E9" w:rsidRPr="008261F3" w:rsidRDefault="00B649E9" w:rsidP="00B649E9">
            <w:pPr>
              <w:pStyle w:val="TableText"/>
              <w:ind w:right="150"/>
              <w:jc w:val="right"/>
            </w:pPr>
            <w:r w:rsidRPr="008261F3">
              <w:t>51%</w:t>
            </w:r>
          </w:p>
        </w:tc>
        <w:tc>
          <w:tcPr>
            <w:tcW w:w="1260" w:type="dxa"/>
            <w:tcBorders>
              <w:top w:val="single" w:sz="4" w:space="0" w:color="808080" w:themeColor="background1" w:themeShade="80"/>
              <w:bottom w:val="single" w:sz="4" w:space="0" w:color="808080" w:themeColor="background1" w:themeShade="80"/>
            </w:tcBorders>
          </w:tcPr>
          <w:p w14:paraId="47E8F887" w14:textId="77777777" w:rsidR="00B649E9" w:rsidRPr="008261F3" w:rsidRDefault="00B649E9" w:rsidP="00B649E9">
            <w:pPr>
              <w:pStyle w:val="TableText"/>
              <w:ind w:right="150"/>
              <w:jc w:val="right"/>
            </w:pPr>
            <w:r w:rsidRPr="008261F3">
              <w:t>47%</w:t>
            </w:r>
          </w:p>
        </w:tc>
        <w:tc>
          <w:tcPr>
            <w:tcW w:w="1440" w:type="dxa"/>
            <w:tcBorders>
              <w:top w:val="single" w:sz="4" w:space="0" w:color="808080" w:themeColor="background1" w:themeShade="80"/>
              <w:bottom w:val="single" w:sz="4" w:space="0" w:color="808080" w:themeColor="background1" w:themeShade="80"/>
            </w:tcBorders>
          </w:tcPr>
          <w:p w14:paraId="4F9336C6" w14:textId="77777777" w:rsidR="00B649E9" w:rsidRPr="008261F3" w:rsidRDefault="00B649E9" w:rsidP="00B649E9">
            <w:pPr>
              <w:pStyle w:val="TableText"/>
              <w:ind w:right="150"/>
              <w:jc w:val="right"/>
            </w:pPr>
            <w:r w:rsidRPr="008261F3">
              <w:t>56%</w:t>
            </w:r>
          </w:p>
        </w:tc>
        <w:tc>
          <w:tcPr>
            <w:tcW w:w="1440" w:type="dxa"/>
            <w:vMerge/>
          </w:tcPr>
          <w:p w14:paraId="5DA91AB3" w14:textId="77777777" w:rsidR="00B649E9" w:rsidRPr="008261F3" w:rsidRDefault="00B649E9" w:rsidP="00B649E9">
            <w:pPr>
              <w:pStyle w:val="TableText"/>
            </w:pPr>
          </w:p>
        </w:tc>
      </w:tr>
      <w:tr w:rsidR="00B649E9" w:rsidRPr="008261F3" w14:paraId="58C57E30"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28BD06C8" w14:textId="77777777" w:rsidR="00B649E9" w:rsidRPr="008261F3" w:rsidRDefault="00B649E9" w:rsidP="00B649E9">
            <w:pPr>
              <w:pStyle w:val="TableTextIndent1"/>
              <w:ind w:left="490"/>
            </w:pPr>
            <w:r w:rsidRPr="008261F3">
              <w:t>Aged 13-24, Other MSM</w:t>
            </w:r>
            <w:r w:rsidRPr="008261F3" w:rsidDel="00AB59EB">
              <w:t xml:space="preserve"> </w:t>
            </w:r>
          </w:p>
        </w:tc>
        <w:tc>
          <w:tcPr>
            <w:tcW w:w="1336" w:type="dxa"/>
            <w:tcBorders>
              <w:top w:val="single" w:sz="4" w:space="0" w:color="808080" w:themeColor="background1" w:themeShade="80"/>
              <w:bottom w:val="single" w:sz="4" w:space="0" w:color="808080" w:themeColor="background1" w:themeShade="80"/>
            </w:tcBorders>
          </w:tcPr>
          <w:p w14:paraId="76B9EDE9" w14:textId="5AB77FBA" w:rsidR="00B649E9" w:rsidRPr="008261F3" w:rsidRDefault="00B649E9" w:rsidP="00B649E9">
            <w:pPr>
              <w:pStyle w:val="TableText"/>
              <w:ind w:right="150"/>
              <w:jc w:val="right"/>
            </w:pPr>
            <w:r w:rsidRPr="008261F3">
              <w:t>51%</w:t>
            </w:r>
          </w:p>
        </w:tc>
        <w:tc>
          <w:tcPr>
            <w:tcW w:w="1513" w:type="dxa"/>
            <w:tcBorders>
              <w:top w:val="single" w:sz="4" w:space="0" w:color="808080" w:themeColor="background1" w:themeShade="80"/>
              <w:bottom w:val="single" w:sz="4" w:space="0" w:color="808080" w:themeColor="background1" w:themeShade="80"/>
            </w:tcBorders>
          </w:tcPr>
          <w:p w14:paraId="55E8F9E1" w14:textId="77777777" w:rsidR="00B649E9" w:rsidRPr="008261F3" w:rsidRDefault="00B649E9" w:rsidP="00B649E9">
            <w:pPr>
              <w:pStyle w:val="TableText"/>
              <w:ind w:right="150"/>
              <w:jc w:val="right"/>
            </w:pPr>
            <w:r w:rsidRPr="008261F3">
              <w:t>58%</w:t>
            </w:r>
          </w:p>
        </w:tc>
        <w:tc>
          <w:tcPr>
            <w:tcW w:w="1260" w:type="dxa"/>
            <w:tcBorders>
              <w:top w:val="single" w:sz="4" w:space="0" w:color="808080" w:themeColor="background1" w:themeShade="80"/>
              <w:bottom w:val="single" w:sz="4" w:space="0" w:color="808080" w:themeColor="background1" w:themeShade="80"/>
            </w:tcBorders>
          </w:tcPr>
          <w:p w14:paraId="65C71EDA" w14:textId="77777777" w:rsidR="00B649E9" w:rsidRPr="008261F3" w:rsidRDefault="00B649E9" w:rsidP="00B649E9">
            <w:pPr>
              <w:pStyle w:val="TableText"/>
              <w:ind w:right="150"/>
              <w:jc w:val="right"/>
            </w:pPr>
            <w:r w:rsidRPr="008261F3">
              <w:t>46%</w:t>
            </w:r>
          </w:p>
        </w:tc>
        <w:tc>
          <w:tcPr>
            <w:tcW w:w="1440" w:type="dxa"/>
            <w:tcBorders>
              <w:top w:val="single" w:sz="4" w:space="0" w:color="808080" w:themeColor="background1" w:themeShade="80"/>
              <w:bottom w:val="single" w:sz="4" w:space="0" w:color="808080" w:themeColor="background1" w:themeShade="80"/>
            </w:tcBorders>
          </w:tcPr>
          <w:p w14:paraId="22F7838A" w14:textId="77777777" w:rsidR="00B649E9" w:rsidRPr="008261F3" w:rsidRDefault="00B649E9" w:rsidP="00B649E9">
            <w:pPr>
              <w:pStyle w:val="TableText"/>
              <w:ind w:right="150"/>
              <w:jc w:val="right"/>
            </w:pPr>
            <w:r w:rsidRPr="008261F3">
              <w:t>70%</w:t>
            </w:r>
          </w:p>
        </w:tc>
        <w:tc>
          <w:tcPr>
            <w:tcW w:w="1440" w:type="dxa"/>
            <w:vMerge/>
          </w:tcPr>
          <w:p w14:paraId="0C7DFFA8" w14:textId="77777777" w:rsidR="00B649E9" w:rsidRPr="008261F3" w:rsidRDefault="00B649E9" w:rsidP="00B649E9">
            <w:pPr>
              <w:pStyle w:val="TableText"/>
            </w:pPr>
          </w:p>
        </w:tc>
      </w:tr>
      <w:tr w:rsidR="00B649E9" w:rsidRPr="008261F3" w14:paraId="48F2D99F"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2B86CD15" w14:textId="77777777" w:rsidR="00B649E9" w:rsidRPr="008261F3" w:rsidRDefault="00B649E9" w:rsidP="00B649E9">
            <w:pPr>
              <w:pStyle w:val="TableTextIndent1"/>
              <w:ind w:left="490"/>
            </w:pPr>
            <w:r w:rsidRPr="008261F3">
              <w:t>Aged 25-34, Black MSM</w:t>
            </w:r>
            <w:r w:rsidRPr="008261F3" w:rsidDel="00AB59EB">
              <w:t xml:space="preserve"> </w:t>
            </w:r>
          </w:p>
        </w:tc>
        <w:tc>
          <w:tcPr>
            <w:tcW w:w="1336" w:type="dxa"/>
            <w:tcBorders>
              <w:top w:val="single" w:sz="4" w:space="0" w:color="808080" w:themeColor="background1" w:themeShade="80"/>
              <w:bottom w:val="single" w:sz="4" w:space="0" w:color="808080" w:themeColor="background1" w:themeShade="80"/>
            </w:tcBorders>
          </w:tcPr>
          <w:p w14:paraId="6D7669B4" w14:textId="78A0B4E6" w:rsidR="00B649E9" w:rsidRPr="008261F3" w:rsidRDefault="00B649E9" w:rsidP="00B649E9">
            <w:pPr>
              <w:pStyle w:val="TableText"/>
              <w:ind w:right="150"/>
              <w:jc w:val="right"/>
            </w:pPr>
            <w:r w:rsidRPr="008261F3">
              <w:t>73%</w:t>
            </w:r>
          </w:p>
        </w:tc>
        <w:tc>
          <w:tcPr>
            <w:tcW w:w="1513" w:type="dxa"/>
            <w:tcBorders>
              <w:top w:val="single" w:sz="4" w:space="0" w:color="808080" w:themeColor="background1" w:themeShade="80"/>
              <w:bottom w:val="single" w:sz="4" w:space="0" w:color="808080" w:themeColor="background1" w:themeShade="80"/>
            </w:tcBorders>
          </w:tcPr>
          <w:p w14:paraId="72C21EBD" w14:textId="77777777" w:rsidR="00B649E9" w:rsidRPr="008261F3" w:rsidRDefault="00B649E9" w:rsidP="00B649E9">
            <w:pPr>
              <w:pStyle w:val="TableText"/>
              <w:ind w:right="150"/>
              <w:jc w:val="right"/>
            </w:pPr>
            <w:r w:rsidRPr="008261F3">
              <w:t>72%</w:t>
            </w:r>
          </w:p>
        </w:tc>
        <w:tc>
          <w:tcPr>
            <w:tcW w:w="1260" w:type="dxa"/>
            <w:tcBorders>
              <w:top w:val="single" w:sz="4" w:space="0" w:color="808080" w:themeColor="background1" w:themeShade="80"/>
              <w:bottom w:val="single" w:sz="4" w:space="0" w:color="808080" w:themeColor="background1" w:themeShade="80"/>
            </w:tcBorders>
          </w:tcPr>
          <w:p w14:paraId="1C223EB6" w14:textId="77777777" w:rsidR="00B649E9" w:rsidRPr="008261F3" w:rsidRDefault="00B649E9" w:rsidP="00B649E9">
            <w:pPr>
              <w:pStyle w:val="TableText"/>
              <w:ind w:right="150"/>
              <w:jc w:val="right"/>
            </w:pPr>
            <w:r w:rsidRPr="008261F3">
              <w:t>70%</w:t>
            </w:r>
          </w:p>
        </w:tc>
        <w:tc>
          <w:tcPr>
            <w:tcW w:w="1440" w:type="dxa"/>
            <w:tcBorders>
              <w:top w:val="single" w:sz="4" w:space="0" w:color="808080" w:themeColor="background1" w:themeShade="80"/>
              <w:bottom w:val="single" w:sz="4" w:space="0" w:color="808080" w:themeColor="background1" w:themeShade="80"/>
            </w:tcBorders>
          </w:tcPr>
          <w:p w14:paraId="68CC7DF1" w14:textId="77777777" w:rsidR="00B649E9" w:rsidRPr="008261F3" w:rsidRDefault="00B649E9" w:rsidP="00B649E9">
            <w:pPr>
              <w:pStyle w:val="TableText"/>
              <w:ind w:right="150"/>
              <w:jc w:val="right"/>
            </w:pPr>
            <w:r w:rsidRPr="008261F3">
              <w:t>74%</w:t>
            </w:r>
          </w:p>
        </w:tc>
        <w:tc>
          <w:tcPr>
            <w:tcW w:w="1440" w:type="dxa"/>
            <w:vMerge/>
          </w:tcPr>
          <w:p w14:paraId="08087EBD" w14:textId="77777777" w:rsidR="00B649E9" w:rsidRPr="008261F3" w:rsidRDefault="00B649E9" w:rsidP="00B649E9">
            <w:pPr>
              <w:pStyle w:val="TableText"/>
            </w:pPr>
          </w:p>
        </w:tc>
      </w:tr>
      <w:tr w:rsidR="00B649E9" w:rsidRPr="008261F3" w14:paraId="365F4F70"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2793951C" w14:textId="77777777" w:rsidR="00B649E9" w:rsidRPr="008261F3" w:rsidRDefault="00B649E9" w:rsidP="00B649E9">
            <w:pPr>
              <w:pStyle w:val="TableTextIndent1"/>
              <w:ind w:left="490"/>
            </w:pPr>
            <w:r w:rsidRPr="008261F3">
              <w:t>Aged 25-34, Hispanic MSM</w:t>
            </w:r>
            <w:r w:rsidRPr="008261F3" w:rsidDel="00AB59EB">
              <w:t xml:space="preserve"> </w:t>
            </w:r>
          </w:p>
        </w:tc>
        <w:tc>
          <w:tcPr>
            <w:tcW w:w="1336" w:type="dxa"/>
            <w:tcBorders>
              <w:top w:val="single" w:sz="4" w:space="0" w:color="808080" w:themeColor="background1" w:themeShade="80"/>
              <w:bottom w:val="single" w:sz="4" w:space="0" w:color="808080" w:themeColor="background1" w:themeShade="80"/>
            </w:tcBorders>
          </w:tcPr>
          <w:p w14:paraId="63CC1FAC" w14:textId="2D99796F" w:rsidR="00B649E9" w:rsidRPr="008261F3" w:rsidRDefault="00B649E9" w:rsidP="00B649E9">
            <w:pPr>
              <w:pStyle w:val="TableText"/>
              <w:ind w:right="150"/>
              <w:jc w:val="right"/>
            </w:pPr>
            <w:r w:rsidRPr="008261F3">
              <w:t>66%</w:t>
            </w:r>
          </w:p>
        </w:tc>
        <w:tc>
          <w:tcPr>
            <w:tcW w:w="1513" w:type="dxa"/>
            <w:tcBorders>
              <w:top w:val="single" w:sz="4" w:space="0" w:color="808080" w:themeColor="background1" w:themeShade="80"/>
              <w:bottom w:val="single" w:sz="4" w:space="0" w:color="808080" w:themeColor="background1" w:themeShade="80"/>
            </w:tcBorders>
          </w:tcPr>
          <w:p w14:paraId="28E7F4C9" w14:textId="77777777" w:rsidR="00B649E9" w:rsidRPr="008261F3" w:rsidRDefault="00B649E9" w:rsidP="00B649E9">
            <w:pPr>
              <w:pStyle w:val="TableText"/>
              <w:ind w:right="150"/>
              <w:jc w:val="right"/>
            </w:pPr>
            <w:r w:rsidRPr="008261F3">
              <w:t>66%</w:t>
            </w:r>
          </w:p>
        </w:tc>
        <w:tc>
          <w:tcPr>
            <w:tcW w:w="1260" w:type="dxa"/>
            <w:tcBorders>
              <w:top w:val="single" w:sz="4" w:space="0" w:color="808080" w:themeColor="background1" w:themeShade="80"/>
              <w:bottom w:val="single" w:sz="4" w:space="0" w:color="808080" w:themeColor="background1" w:themeShade="80"/>
            </w:tcBorders>
          </w:tcPr>
          <w:p w14:paraId="65A67AB0" w14:textId="77777777" w:rsidR="00B649E9" w:rsidRPr="008261F3" w:rsidRDefault="00B649E9" w:rsidP="00B649E9">
            <w:pPr>
              <w:pStyle w:val="TableText"/>
              <w:ind w:right="150"/>
              <w:jc w:val="right"/>
            </w:pPr>
            <w:r w:rsidRPr="008261F3">
              <w:t>63%</w:t>
            </w:r>
          </w:p>
        </w:tc>
        <w:tc>
          <w:tcPr>
            <w:tcW w:w="1440" w:type="dxa"/>
            <w:tcBorders>
              <w:top w:val="single" w:sz="4" w:space="0" w:color="808080" w:themeColor="background1" w:themeShade="80"/>
              <w:bottom w:val="single" w:sz="4" w:space="0" w:color="808080" w:themeColor="background1" w:themeShade="80"/>
            </w:tcBorders>
          </w:tcPr>
          <w:p w14:paraId="3EBDB091" w14:textId="77777777" w:rsidR="00B649E9" w:rsidRPr="008261F3" w:rsidRDefault="00B649E9" w:rsidP="00B649E9">
            <w:pPr>
              <w:pStyle w:val="TableText"/>
              <w:ind w:right="150"/>
              <w:jc w:val="right"/>
            </w:pPr>
            <w:r w:rsidRPr="008261F3">
              <w:t>68%</w:t>
            </w:r>
          </w:p>
        </w:tc>
        <w:tc>
          <w:tcPr>
            <w:tcW w:w="1440" w:type="dxa"/>
            <w:vMerge/>
          </w:tcPr>
          <w:p w14:paraId="0E2B8378" w14:textId="77777777" w:rsidR="00B649E9" w:rsidRPr="008261F3" w:rsidRDefault="00B649E9" w:rsidP="00B649E9">
            <w:pPr>
              <w:pStyle w:val="TableText"/>
            </w:pPr>
          </w:p>
        </w:tc>
      </w:tr>
      <w:tr w:rsidR="00B649E9" w:rsidRPr="008261F3" w14:paraId="40A3D94B"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0177420D" w14:textId="77777777" w:rsidR="00B649E9" w:rsidRPr="008261F3" w:rsidRDefault="00B649E9" w:rsidP="00B649E9">
            <w:pPr>
              <w:pStyle w:val="TableTextIndent1"/>
              <w:ind w:left="490"/>
            </w:pPr>
            <w:r w:rsidRPr="008261F3">
              <w:t>Aged 25-34, Other MSM</w:t>
            </w:r>
            <w:r w:rsidRPr="008261F3" w:rsidDel="00AB59EB">
              <w:t xml:space="preserve"> </w:t>
            </w:r>
          </w:p>
        </w:tc>
        <w:tc>
          <w:tcPr>
            <w:tcW w:w="1336" w:type="dxa"/>
            <w:tcBorders>
              <w:top w:val="single" w:sz="4" w:space="0" w:color="808080" w:themeColor="background1" w:themeShade="80"/>
              <w:bottom w:val="single" w:sz="4" w:space="0" w:color="808080" w:themeColor="background1" w:themeShade="80"/>
            </w:tcBorders>
          </w:tcPr>
          <w:p w14:paraId="572D8F57" w14:textId="3426768C" w:rsidR="00B649E9" w:rsidRPr="008261F3" w:rsidRDefault="00B649E9" w:rsidP="00B649E9">
            <w:pPr>
              <w:pStyle w:val="TableText"/>
              <w:ind w:right="150"/>
              <w:jc w:val="right"/>
            </w:pPr>
            <w:r w:rsidRPr="008261F3">
              <w:t>67%</w:t>
            </w:r>
          </w:p>
        </w:tc>
        <w:tc>
          <w:tcPr>
            <w:tcW w:w="1513" w:type="dxa"/>
            <w:tcBorders>
              <w:top w:val="single" w:sz="4" w:space="0" w:color="808080" w:themeColor="background1" w:themeShade="80"/>
              <w:bottom w:val="single" w:sz="4" w:space="0" w:color="808080" w:themeColor="background1" w:themeShade="80"/>
            </w:tcBorders>
          </w:tcPr>
          <w:p w14:paraId="09E0D34D" w14:textId="77777777" w:rsidR="00B649E9" w:rsidRPr="008261F3" w:rsidRDefault="00B649E9" w:rsidP="00B649E9">
            <w:pPr>
              <w:pStyle w:val="TableText"/>
              <w:ind w:right="150"/>
              <w:jc w:val="right"/>
            </w:pPr>
            <w:r w:rsidRPr="008261F3">
              <w:t>70%</w:t>
            </w:r>
          </w:p>
        </w:tc>
        <w:tc>
          <w:tcPr>
            <w:tcW w:w="1260" w:type="dxa"/>
            <w:tcBorders>
              <w:top w:val="single" w:sz="4" w:space="0" w:color="808080" w:themeColor="background1" w:themeShade="80"/>
              <w:bottom w:val="single" w:sz="4" w:space="0" w:color="808080" w:themeColor="background1" w:themeShade="80"/>
            </w:tcBorders>
          </w:tcPr>
          <w:p w14:paraId="1116F5FC" w14:textId="77777777" w:rsidR="00B649E9" w:rsidRPr="008261F3" w:rsidRDefault="00B649E9" w:rsidP="00B649E9">
            <w:pPr>
              <w:pStyle w:val="TableText"/>
              <w:ind w:right="150"/>
              <w:jc w:val="right"/>
            </w:pPr>
            <w:r w:rsidRPr="008261F3">
              <w:t>56%</w:t>
            </w:r>
          </w:p>
        </w:tc>
        <w:tc>
          <w:tcPr>
            <w:tcW w:w="1440" w:type="dxa"/>
            <w:tcBorders>
              <w:top w:val="single" w:sz="4" w:space="0" w:color="808080" w:themeColor="background1" w:themeShade="80"/>
              <w:bottom w:val="single" w:sz="4" w:space="0" w:color="808080" w:themeColor="background1" w:themeShade="80"/>
            </w:tcBorders>
          </w:tcPr>
          <w:p w14:paraId="38E78330" w14:textId="77777777" w:rsidR="00B649E9" w:rsidRPr="008261F3" w:rsidRDefault="00B649E9" w:rsidP="00B649E9">
            <w:pPr>
              <w:pStyle w:val="TableText"/>
              <w:ind w:right="150"/>
              <w:jc w:val="right"/>
            </w:pPr>
            <w:r w:rsidRPr="008261F3">
              <w:t>84%</w:t>
            </w:r>
          </w:p>
        </w:tc>
        <w:tc>
          <w:tcPr>
            <w:tcW w:w="1440" w:type="dxa"/>
            <w:vMerge/>
          </w:tcPr>
          <w:p w14:paraId="24A09C95" w14:textId="77777777" w:rsidR="00B649E9" w:rsidRPr="008261F3" w:rsidRDefault="00B649E9" w:rsidP="00B649E9">
            <w:pPr>
              <w:pStyle w:val="TableText"/>
            </w:pPr>
          </w:p>
        </w:tc>
      </w:tr>
      <w:tr w:rsidR="00D4556C" w:rsidRPr="008261F3" w14:paraId="48178271"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68D3F1ED" w14:textId="77777777" w:rsidR="00D4556C" w:rsidRPr="008261F3" w:rsidRDefault="00D4556C" w:rsidP="000E11F2">
            <w:pPr>
              <w:pStyle w:val="TableTextIndent1"/>
            </w:pPr>
            <w:r w:rsidRPr="008261F3">
              <w:t>Viral load suppressed (among diagnosed)</w:t>
            </w:r>
          </w:p>
        </w:tc>
        <w:tc>
          <w:tcPr>
            <w:tcW w:w="1336" w:type="dxa"/>
            <w:tcBorders>
              <w:top w:val="single" w:sz="4" w:space="0" w:color="808080" w:themeColor="background1" w:themeShade="80"/>
              <w:bottom w:val="single" w:sz="4" w:space="0" w:color="808080" w:themeColor="background1" w:themeShade="80"/>
            </w:tcBorders>
          </w:tcPr>
          <w:p w14:paraId="25F50F94" w14:textId="77777777" w:rsidR="00D4556C" w:rsidRPr="008261F3" w:rsidRDefault="00D4556C" w:rsidP="000E11F2">
            <w:pPr>
              <w:pStyle w:val="TableText"/>
              <w:ind w:right="150"/>
              <w:jc w:val="right"/>
            </w:pPr>
          </w:p>
        </w:tc>
        <w:tc>
          <w:tcPr>
            <w:tcW w:w="1513" w:type="dxa"/>
            <w:tcBorders>
              <w:top w:val="single" w:sz="4" w:space="0" w:color="808080" w:themeColor="background1" w:themeShade="80"/>
              <w:bottom w:val="single" w:sz="4" w:space="0" w:color="808080" w:themeColor="background1" w:themeShade="80"/>
            </w:tcBorders>
          </w:tcPr>
          <w:p w14:paraId="45636B9E" w14:textId="77777777" w:rsidR="00D4556C" w:rsidRPr="008261F3" w:rsidRDefault="00D4556C" w:rsidP="000E11F2">
            <w:pPr>
              <w:pStyle w:val="TableText"/>
              <w:ind w:right="150"/>
              <w:jc w:val="right"/>
            </w:pPr>
          </w:p>
        </w:tc>
        <w:tc>
          <w:tcPr>
            <w:tcW w:w="1260" w:type="dxa"/>
            <w:tcBorders>
              <w:top w:val="single" w:sz="4" w:space="0" w:color="808080" w:themeColor="background1" w:themeShade="80"/>
              <w:bottom w:val="single" w:sz="4" w:space="0" w:color="808080" w:themeColor="background1" w:themeShade="80"/>
            </w:tcBorders>
          </w:tcPr>
          <w:p w14:paraId="122477D9" w14:textId="77777777" w:rsidR="00D4556C" w:rsidRPr="008261F3" w:rsidRDefault="00D4556C" w:rsidP="000E11F2">
            <w:pPr>
              <w:pStyle w:val="TableText"/>
              <w:ind w:right="150"/>
              <w:jc w:val="right"/>
            </w:pPr>
          </w:p>
        </w:tc>
        <w:tc>
          <w:tcPr>
            <w:tcW w:w="1440" w:type="dxa"/>
            <w:tcBorders>
              <w:top w:val="single" w:sz="4" w:space="0" w:color="808080" w:themeColor="background1" w:themeShade="80"/>
              <w:bottom w:val="single" w:sz="4" w:space="0" w:color="808080" w:themeColor="background1" w:themeShade="80"/>
            </w:tcBorders>
          </w:tcPr>
          <w:p w14:paraId="1C168571" w14:textId="77777777" w:rsidR="00D4556C" w:rsidRPr="008261F3" w:rsidRDefault="00D4556C" w:rsidP="000E11F2">
            <w:pPr>
              <w:pStyle w:val="TableText"/>
              <w:ind w:right="150"/>
              <w:jc w:val="right"/>
            </w:pPr>
          </w:p>
        </w:tc>
        <w:tc>
          <w:tcPr>
            <w:tcW w:w="1440" w:type="dxa"/>
            <w:vMerge w:val="restart"/>
          </w:tcPr>
          <w:p w14:paraId="270A1013" w14:textId="77777777" w:rsidR="00D4556C" w:rsidRPr="008261F3" w:rsidRDefault="00D4556C" w:rsidP="000E11F2">
            <w:pPr>
              <w:pStyle w:val="TableText"/>
            </w:pPr>
            <w:r w:rsidRPr="008261F3">
              <w:t>CDC (2018a)</w:t>
            </w:r>
          </w:p>
        </w:tc>
      </w:tr>
      <w:tr w:rsidR="00D4556C" w:rsidRPr="008261F3" w14:paraId="25F7D54D"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48F40536" w14:textId="77777777" w:rsidR="00D4556C" w:rsidRPr="008261F3" w:rsidRDefault="00D4556C" w:rsidP="000E11F2">
            <w:pPr>
              <w:pStyle w:val="TableTextIndent1"/>
              <w:ind w:left="490"/>
            </w:pPr>
            <w:r w:rsidRPr="008261F3">
              <w:t>Total</w:t>
            </w:r>
          </w:p>
        </w:tc>
        <w:tc>
          <w:tcPr>
            <w:tcW w:w="1336" w:type="dxa"/>
            <w:tcBorders>
              <w:top w:val="single" w:sz="4" w:space="0" w:color="808080" w:themeColor="background1" w:themeShade="80"/>
              <w:bottom w:val="single" w:sz="4" w:space="0" w:color="808080" w:themeColor="background1" w:themeShade="80"/>
            </w:tcBorders>
          </w:tcPr>
          <w:p w14:paraId="5478D27D" w14:textId="04BCFE0B" w:rsidR="00D4556C" w:rsidRPr="008261F3" w:rsidRDefault="00B649E9" w:rsidP="000E11F2">
            <w:pPr>
              <w:pStyle w:val="TableText"/>
              <w:ind w:right="150"/>
              <w:jc w:val="right"/>
              <w:rPr>
                <w:i/>
              </w:rPr>
            </w:pPr>
            <w:r w:rsidRPr="008261F3">
              <w:rPr>
                <w:i/>
              </w:rPr>
              <w:t>61%</w:t>
            </w:r>
          </w:p>
        </w:tc>
        <w:tc>
          <w:tcPr>
            <w:tcW w:w="1513" w:type="dxa"/>
            <w:tcBorders>
              <w:top w:val="single" w:sz="4" w:space="0" w:color="808080" w:themeColor="background1" w:themeShade="80"/>
              <w:bottom w:val="single" w:sz="4" w:space="0" w:color="808080" w:themeColor="background1" w:themeShade="80"/>
            </w:tcBorders>
          </w:tcPr>
          <w:p w14:paraId="3A2FF880" w14:textId="77777777" w:rsidR="00D4556C" w:rsidRPr="008261F3" w:rsidRDefault="00D4556C" w:rsidP="000E11F2">
            <w:pPr>
              <w:pStyle w:val="TableText"/>
              <w:ind w:right="150"/>
              <w:jc w:val="right"/>
            </w:pPr>
            <w:r w:rsidRPr="008261F3">
              <w:t>60%</w:t>
            </w:r>
          </w:p>
        </w:tc>
        <w:tc>
          <w:tcPr>
            <w:tcW w:w="1260" w:type="dxa"/>
            <w:tcBorders>
              <w:top w:val="single" w:sz="4" w:space="0" w:color="808080" w:themeColor="background1" w:themeShade="80"/>
              <w:bottom w:val="single" w:sz="4" w:space="0" w:color="808080" w:themeColor="background1" w:themeShade="80"/>
            </w:tcBorders>
          </w:tcPr>
          <w:p w14:paraId="5D5D2056" w14:textId="77777777" w:rsidR="00D4556C" w:rsidRPr="008261F3" w:rsidRDefault="00D4556C" w:rsidP="000E11F2">
            <w:pPr>
              <w:pStyle w:val="TableText"/>
              <w:ind w:right="150"/>
              <w:jc w:val="right"/>
            </w:pPr>
            <w:r w:rsidRPr="008261F3">
              <w:t>58%</w:t>
            </w:r>
          </w:p>
        </w:tc>
        <w:tc>
          <w:tcPr>
            <w:tcW w:w="1440" w:type="dxa"/>
            <w:tcBorders>
              <w:top w:val="single" w:sz="4" w:space="0" w:color="808080" w:themeColor="background1" w:themeShade="80"/>
              <w:bottom w:val="single" w:sz="4" w:space="0" w:color="808080" w:themeColor="background1" w:themeShade="80"/>
            </w:tcBorders>
          </w:tcPr>
          <w:p w14:paraId="58AE7B47" w14:textId="77777777" w:rsidR="00D4556C" w:rsidRPr="008261F3" w:rsidRDefault="00D4556C" w:rsidP="000E11F2">
            <w:pPr>
              <w:pStyle w:val="TableText"/>
              <w:ind w:right="150"/>
              <w:jc w:val="right"/>
            </w:pPr>
            <w:r w:rsidRPr="008261F3">
              <w:t>62%</w:t>
            </w:r>
          </w:p>
        </w:tc>
        <w:tc>
          <w:tcPr>
            <w:tcW w:w="1440" w:type="dxa"/>
            <w:vMerge/>
          </w:tcPr>
          <w:p w14:paraId="38BC2C2F" w14:textId="77777777" w:rsidR="00D4556C" w:rsidRPr="008261F3" w:rsidRDefault="00D4556C" w:rsidP="000E11F2">
            <w:pPr>
              <w:pStyle w:val="TableText"/>
            </w:pPr>
          </w:p>
        </w:tc>
      </w:tr>
      <w:tr w:rsidR="00B649E9" w:rsidRPr="008261F3" w14:paraId="72302385"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2FBEB6BA" w14:textId="77777777" w:rsidR="00B649E9" w:rsidRPr="008261F3" w:rsidRDefault="00B649E9" w:rsidP="00B649E9">
            <w:pPr>
              <w:pStyle w:val="TableTextIndent1"/>
              <w:ind w:left="490"/>
            </w:pPr>
            <w:r w:rsidRPr="008261F3">
              <w:t>Aged 13-24, Black MSM</w:t>
            </w:r>
          </w:p>
        </w:tc>
        <w:tc>
          <w:tcPr>
            <w:tcW w:w="1336" w:type="dxa"/>
            <w:tcBorders>
              <w:top w:val="single" w:sz="4" w:space="0" w:color="808080" w:themeColor="background1" w:themeShade="80"/>
              <w:bottom w:val="single" w:sz="4" w:space="0" w:color="808080" w:themeColor="background1" w:themeShade="80"/>
            </w:tcBorders>
          </w:tcPr>
          <w:p w14:paraId="4274C98C" w14:textId="4FF79B83" w:rsidR="00B649E9" w:rsidRPr="008261F3" w:rsidRDefault="00B649E9" w:rsidP="00B649E9">
            <w:pPr>
              <w:pStyle w:val="TableText"/>
              <w:ind w:right="150"/>
              <w:jc w:val="right"/>
              <w:rPr>
                <w:i/>
              </w:rPr>
            </w:pPr>
            <w:r w:rsidRPr="008261F3">
              <w:t>43%</w:t>
            </w:r>
          </w:p>
        </w:tc>
        <w:tc>
          <w:tcPr>
            <w:tcW w:w="1513" w:type="dxa"/>
            <w:tcBorders>
              <w:top w:val="single" w:sz="4" w:space="0" w:color="808080" w:themeColor="background1" w:themeShade="80"/>
              <w:bottom w:val="single" w:sz="4" w:space="0" w:color="808080" w:themeColor="background1" w:themeShade="80"/>
            </w:tcBorders>
          </w:tcPr>
          <w:p w14:paraId="1564E0BF" w14:textId="77777777" w:rsidR="00B649E9" w:rsidRPr="008261F3" w:rsidRDefault="00B649E9" w:rsidP="00B649E9">
            <w:pPr>
              <w:pStyle w:val="TableText"/>
              <w:ind w:right="150"/>
              <w:jc w:val="right"/>
            </w:pPr>
            <w:r w:rsidRPr="008261F3">
              <w:t>42%</w:t>
            </w:r>
          </w:p>
        </w:tc>
        <w:tc>
          <w:tcPr>
            <w:tcW w:w="1260" w:type="dxa"/>
            <w:tcBorders>
              <w:top w:val="single" w:sz="4" w:space="0" w:color="808080" w:themeColor="background1" w:themeShade="80"/>
              <w:bottom w:val="single" w:sz="4" w:space="0" w:color="808080" w:themeColor="background1" w:themeShade="80"/>
            </w:tcBorders>
          </w:tcPr>
          <w:p w14:paraId="5A0EAD8B" w14:textId="77777777" w:rsidR="00B649E9" w:rsidRPr="008261F3" w:rsidRDefault="00B649E9" w:rsidP="00B649E9">
            <w:pPr>
              <w:pStyle w:val="TableText"/>
              <w:ind w:right="150"/>
              <w:jc w:val="right"/>
            </w:pPr>
            <w:r w:rsidRPr="008261F3">
              <w:t>64%</w:t>
            </w:r>
          </w:p>
        </w:tc>
        <w:tc>
          <w:tcPr>
            <w:tcW w:w="1440" w:type="dxa"/>
            <w:tcBorders>
              <w:top w:val="single" w:sz="4" w:space="0" w:color="808080" w:themeColor="background1" w:themeShade="80"/>
              <w:bottom w:val="single" w:sz="4" w:space="0" w:color="808080" w:themeColor="background1" w:themeShade="80"/>
            </w:tcBorders>
          </w:tcPr>
          <w:p w14:paraId="00248325" w14:textId="77777777" w:rsidR="00B649E9" w:rsidRPr="008261F3" w:rsidRDefault="00B649E9" w:rsidP="00B649E9">
            <w:pPr>
              <w:pStyle w:val="TableText"/>
              <w:ind w:right="150"/>
              <w:jc w:val="right"/>
            </w:pPr>
            <w:r w:rsidRPr="008261F3">
              <w:t>42%</w:t>
            </w:r>
          </w:p>
        </w:tc>
        <w:tc>
          <w:tcPr>
            <w:tcW w:w="1440" w:type="dxa"/>
            <w:vMerge w:val="restart"/>
          </w:tcPr>
          <w:p w14:paraId="13C7C729" w14:textId="77777777" w:rsidR="00B649E9" w:rsidRPr="008261F3" w:rsidRDefault="00B649E9" w:rsidP="00B649E9">
            <w:pPr>
              <w:pStyle w:val="TableText"/>
              <w:rPr>
                <w:vertAlign w:val="superscript"/>
              </w:rPr>
            </w:pPr>
            <w:r w:rsidRPr="008261F3">
              <w:t xml:space="preserve">Surveillance </w:t>
            </w:r>
            <w:proofErr w:type="spellStart"/>
            <w:r w:rsidRPr="008261F3">
              <w:t>Data</w:t>
            </w:r>
            <w:r w:rsidRPr="008261F3">
              <w:rPr>
                <w:vertAlign w:val="superscript"/>
              </w:rPr>
              <w:t>b</w:t>
            </w:r>
            <w:proofErr w:type="spellEnd"/>
          </w:p>
        </w:tc>
      </w:tr>
      <w:tr w:rsidR="00B649E9" w:rsidRPr="008261F3" w14:paraId="5AB7804B"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3BCF934B" w14:textId="77777777" w:rsidR="00B649E9" w:rsidRPr="008261F3" w:rsidRDefault="00B649E9" w:rsidP="00B649E9">
            <w:pPr>
              <w:pStyle w:val="TableTextIndent1"/>
              <w:ind w:left="490"/>
            </w:pPr>
            <w:r w:rsidRPr="008261F3">
              <w:t>Aged 13-24, Hispanic MSM</w:t>
            </w:r>
          </w:p>
        </w:tc>
        <w:tc>
          <w:tcPr>
            <w:tcW w:w="1336" w:type="dxa"/>
            <w:tcBorders>
              <w:top w:val="single" w:sz="4" w:space="0" w:color="808080" w:themeColor="background1" w:themeShade="80"/>
              <w:bottom w:val="single" w:sz="4" w:space="0" w:color="808080" w:themeColor="background1" w:themeShade="80"/>
            </w:tcBorders>
          </w:tcPr>
          <w:p w14:paraId="2552788B" w14:textId="04376D4F" w:rsidR="00B649E9" w:rsidRPr="008261F3" w:rsidRDefault="00B649E9" w:rsidP="00B649E9">
            <w:pPr>
              <w:pStyle w:val="TableText"/>
              <w:ind w:right="150"/>
              <w:jc w:val="right"/>
              <w:rPr>
                <w:i/>
              </w:rPr>
            </w:pPr>
            <w:r w:rsidRPr="008261F3">
              <w:t>51%</w:t>
            </w:r>
          </w:p>
        </w:tc>
        <w:tc>
          <w:tcPr>
            <w:tcW w:w="1513" w:type="dxa"/>
            <w:tcBorders>
              <w:top w:val="single" w:sz="4" w:space="0" w:color="808080" w:themeColor="background1" w:themeShade="80"/>
              <w:bottom w:val="single" w:sz="4" w:space="0" w:color="808080" w:themeColor="background1" w:themeShade="80"/>
            </w:tcBorders>
          </w:tcPr>
          <w:p w14:paraId="67E72D3B" w14:textId="77777777" w:rsidR="00B649E9" w:rsidRPr="008261F3" w:rsidRDefault="00B649E9" w:rsidP="00B649E9">
            <w:pPr>
              <w:pStyle w:val="TableText"/>
              <w:ind w:right="150"/>
              <w:jc w:val="right"/>
            </w:pPr>
            <w:r w:rsidRPr="008261F3">
              <w:t>50%</w:t>
            </w:r>
          </w:p>
        </w:tc>
        <w:tc>
          <w:tcPr>
            <w:tcW w:w="1260" w:type="dxa"/>
            <w:tcBorders>
              <w:top w:val="single" w:sz="4" w:space="0" w:color="808080" w:themeColor="background1" w:themeShade="80"/>
              <w:bottom w:val="single" w:sz="4" w:space="0" w:color="808080" w:themeColor="background1" w:themeShade="80"/>
            </w:tcBorders>
          </w:tcPr>
          <w:p w14:paraId="2ABF2E3D" w14:textId="77777777" w:rsidR="00B649E9" w:rsidRPr="008261F3" w:rsidRDefault="00B649E9" w:rsidP="00B649E9">
            <w:pPr>
              <w:pStyle w:val="TableText"/>
              <w:ind w:right="150"/>
              <w:jc w:val="right"/>
            </w:pPr>
            <w:r w:rsidRPr="008261F3">
              <w:t>75%</w:t>
            </w:r>
          </w:p>
        </w:tc>
        <w:tc>
          <w:tcPr>
            <w:tcW w:w="1440" w:type="dxa"/>
            <w:tcBorders>
              <w:top w:val="single" w:sz="4" w:space="0" w:color="808080" w:themeColor="background1" w:themeShade="80"/>
              <w:bottom w:val="single" w:sz="4" w:space="0" w:color="808080" w:themeColor="background1" w:themeShade="80"/>
            </w:tcBorders>
          </w:tcPr>
          <w:p w14:paraId="035DB307" w14:textId="77777777" w:rsidR="00B649E9" w:rsidRPr="008261F3" w:rsidRDefault="00B649E9" w:rsidP="00B649E9">
            <w:pPr>
              <w:pStyle w:val="TableText"/>
              <w:ind w:right="150"/>
              <w:jc w:val="right"/>
            </w:pPr>
            <w:r w:rsidRPr="008261F3">
              <w:t>50%</w:t>
            </w:r>
          </w:p>
        </w:tc>
        <w:tc>
          <w:tcPr>
            <w:tcW w:w="1440" w:type="dxa"/>
            <w:vMerge/>
          </w:tcPr>
          <w:p w14:paraId="3CA9D75B" w14:textId="77777777" w:rsidR="00B649E9" w:rsidRPr="008261F3" w:rsidRDefault="00B649E9" w:rsidP="00B649E9">
            <w:pPr>
              <w:pStyle w:val="TableText"/>
            </w:pPr>
          </w:p>
        </w:tc>
      </w:tr>
      <w:tr w:rsidR="00B649E9" w:rsidRPr="008261F3" w14:paraId="5F95D67E"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4CC1ACF7" w14:textId="77777777" w:rsidR="00B649E9" w:rsidRPr="008261F3" w:rsidRDefault="00B649E9" w:rsidP="00B649E9">
            <w:pPr>
              <w:pStyle w:val="TableTextIndent1"/>
              <w:ind w:left="490"/>
            </w:pPr>
            <w:r w:rsidRPr="008261F3">
              <w:t>Aged 13-24, Other MSM</w:t>
            </w:r>
            <w:r w:rsidRPr="008261F3" w:rsidDel="00AB59EB">
              <w:t xml:space="preserve"> </w:t>
            </w:r>
          </w:p>
        </w:tc>
        <w:tc>
          <w:tcPr>
            <w:tcW w:w="1336" w:type="dxa"/>
            <w:tcBorders>
              <w:top w:val="single" w:sz="4" w:space="0" w:color="808080" w:themeColor="background1" w:themeShade="80"/>
              <w:bottom w:val="single" w:sz="4" w:space="0" w:color="808080" w:themeColor="background1" w:themeShade="80"/>
            </w:tcBorders>
          </w:tcPr>
          <w:p w14:paraId="3D1552E7" w14:textId="25C7C366" w:rsidR="00B649E9" w:rsidRPr="008261F3" w:rsidRDefault="00B649E9" w:rsidP="00B649E9">
            <w:pPr>
              <w:pStyle w:val="TableText"/>
              <w:ind w:right="150"/>
              <w:jc w:val="right"/>
            </w:pPr>
            <w:r w:rsidRPr="008261F3">
              <w:t>63%</w:t>
            </w:r>
          </w:p>
        </w:tc>
        <w:tc>
          <w:tcPr>
            <w:tcW w:w="1513" w:type="dxa"/>
            <w:tcBorders>
              <w:top w:val="single" w:sz="4" w:space="0" w:color="808080" w:themeColor="background1" w:themeShade="80"/>
              <w:bottom w:val="single" w:sz="4" w:space="0" w:color="808080" w:themeColor="background1" w:themeShade="80"/>
            </w:tcBorders>
          </w:tcPr>
          <w:p w14:paraId="761A3338" w14:textId="77777777" w:rsidR="00B649E9" w:rsidRPr="008261F3" w:rsidRDefault="00B649E9" w:rsidP="00B649E9">
            <w:pPr>
              <w:pStyle w:val="TableText"/>
              <w:ind w:right="150"/>
              <w:jc w:val="right"/>
            </w:pPr>
            <w:r w:rsidRPr="008261F3">
              <w:t>56%</w:t>
            </w:r>
          </w:p>
        </w:tc>
        <w:tc>
          <w:tcPr>
            <w:tcW w:w="1260" w:type="dxa"/>
            <w:tcBorders>
              <w:top w:val="single" w:sz="4" w:space="0" w:color="808080" w:themeColor="background1" w:themeShade="80"/>
              <w:bottom w:val="single" w:sz="4" w:space="0" w:color="808080" w:themeColor="background1" w:themeShade="80"/>
            </w:tcBorders>
          </w:tcPr>
          <w:p w14:paraId="662BDA3C" w14:textId="77777777" w:rsidR="00B649E9" w:rsidRPr="008261F3" w:rsidRDefault="00B649E9" w:rsidP="00B649E9">
            <w:pPr>
              <w:pStyle w:val="TableText"/>
              <w:ind w:right="150"/>
              <w:jc w:val="right"/>
            </w:pPr>
            <w:r w:rsidRPr="008261F3">
              <w:t>84%</w:t>
            </w:r>
          </w:p>
        </w:tc>
        <w:tc>
          <w:tcPr>
            <w:tcW w:w="1440" w:type="dxa"/>
            <w:tcBorders>
              <w:top w:val="single" w:sz="4" w:space="0" w:color="808080" w:themeColor="background1" w:themeShade="80"/>
              <w:bottom w:val="single" w:sz="4" w:space="0" w:color="808080" w:themeColor="background1" w:themeShade="80"/>
            </w:tcBorders>
          </w:tcPr>
          <w:p w14:paraId="3B602968" w14:textId="77777777" w:rsidR="00B649E9" w:rsidRPr="008261F3" w:rsidRDefault="00B649E9" w:rsidP="00B649E9">
            <w:pPr>
              <w:pStyle w:val="TableText"/>
              <w:ind w:right="150"/>
              <w:jc w:val="right"/>
            </w:pPr>
            <w:r w:rsidRPr="008261F3">
              <w:t>56%</w:t>
            </w:r>
          </w:p>
        </w:tc>
        <w:tc>
          <w:tcPr>
            <w:tcW w:w="1440" w:type="dxa"/>
            <w:vMerge/>
          </w:tcPr>
          <w:p w14:paraId="73214D0D" w14:textId="77777777" w:rsidR="00B649E9" w:rsidRPr="008261F3" w:rsidRDefault="00B649E9" w:rsidP="00B649E9">
            <w:pPr>
              <w:pStyle w:val="TableText"/>
            </w:pPr>
          </w:p>
        </w:tc>
      </w:tr>
      <w:tr w:rsidR="00B649E9" w:rsidRPr="008261F3" w14:paraId="001C3B00"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125299D6" w14:textId="77777777" w:rsidR="00B649E9" w:rsidRPr="008261F3" w:rsidRDefault="00B649E9" w:rsidP="00B649E9">
            <w:pPr>
              <w:pStyle w:val="TableTextIndent1"/>
              <w:ind w:left="490"/>
            </w:pPr>
            <w:r w:rsidRPr="008261F3">
              <w:t>Aged 25-34, Black MSM</w:t>
            </w:r>
            <w:r w:rsidRPr="008261F3" w:rsidDel="00AB59EB">
              <w:t xml:space="preserve"> </w:t>
            </w:r>
          </w:p>
        </w:tc>
        <w:tc>
          <w:tcPr>
            <w:tcW w:w="1336" w:type="dxa"/>
            <w:tcBorders>
              <w:top w:val="single" w:sz="4" w:space="0" w:color="808080" w:themeColor="background1" w:themeShade="80"/>
              <w:bottom w:val="single" w:sz="4" w:space="0" w:color="808080" w:themeColor="background1" w:themeShade="80"/>
            </w:tcBorders>
          </w:tcPr>
          <w:p w14:paraId="05E4561A" w14:textId="4325D928" w:rsidR="00B649E9" w:rsidRPr="008261F3" w:rsidRDefault="00B649E9" w:rsidP="00B649E9">
            <w:pPr>
              <w:pStyle w:val="TableText"/>
              <w:ind w:right="150"/>
              <w:jc w:val="right"/>
            </w:pPr>
            <w:r w:rsidRPr="008261F3">
              <w:t>48%</w:t>
            </w:r>
          </w:p>
        </w:tc>
        <w:tc>
          <w:tcPr>
            <w:tcW w:w="1513" w:type="dxa"/>
            <w:tcBorders>
              <w:top w:val="single" w:sz="4" w:space="0" w:color="808080" w:themeColor="background1" w:themeShade="80"/>
              <w:bottom w:val="single" w:sz="4" w:space="0" w:color="808080" w:themeColor="background1" w:themeShade="80"/>
            </w:tcBorders>
          </w:tcPr>
          <w:p w14:paraId="23C7CF21" w14:textId="77777777" w:rsidR="00B649E9" w:rsidRPr="008261F3" w:rsidRDefault="00B649E9" w:rsidP="00B649E9">
            <w:pPr>
              <w:pStyle w:val="TableText"/>
              <w:ind w:right="150"/>
              <w:jc w:val="right"/>
            </w:pPr>
            <w:r w:rsidRPr="008261F3">
              <w:t>44%</w:t>
            </w:r>
          </w:p>
        </w:tc>
        <w:tc>
          <w:tcPr>
            <w:tcW w:w="1260" w:type="dxa"/>
            <w:tcBorders>
              <w:top w:val="single" w:sz="4" w:space="0" w:color="808080" w:themeColor="background1" w:themeShade="80"/>
              <w:bottom w:val="single" w:sz="4" w:space="0" w:color="808080" w:themeColor="background1" w:themeShade="80"/>
            </w:tcBorders>
          </w:tcPr>
          <w:p w14:paraId="4361FADB" w14:textId="77777777" w:rsidR="00B649E9" w:rsidRPr="008261F3" w:rsidRDefault="00B649E9" w:rsidP="00B649E9">
            <w:pPr>
              <w:pStyle w:val="TableText"/>
              <w:ind w:right="150"/>
              <w:jc w:val="right"/>
            </w:pPr>
            <w:r w:rsidRPr="008261F3">
              <w:t>66%</w:t>
            </w:r>
          </w:p>
        </w:tc>
        <w:tc>
          <w:tcPr>
            <w:tcW w:w="1440" w:type="dxa"/>
            <w:tcBorders>
              <w:top w:val="single" w:sz="4" w:space="0" w:color="808080" w:themeColor="background1" w:themeShade="80"/>
              <w:bottom w:val="single" w:sz="4" w:space="0" w:color="808080" w:themeColor="background1" w:themeShade="80"/>
            </w:tcBorders>
          </w:tcPr>
          <w:p w14:paraId="20E1838B" w14:textId="77777777" w:rsidR="00B649E9" w:rsidRPr="008261F3" w:rsidRDefault="00B649E9" w:rsidP="00B649E9">
            <w:pPr>
              <w:pStyle w:val="TableText"/>
              <w:ind w:right="150"/>
              <w:jc w:val="right"/>
            </w:pPr>
            <w:r w:rsidRPr="008261F3">
              <w:t>44%</w:t>
            </w:r>
          </w:p>
        </w:tc>
        <w:tc>
          <w:tcPr>
            <w:tcW w:w="1440" w:type="dxa"/>
            <w:vMerge/>
          </w:tcPr>
          <w:p w14:paraId="06803920" w14:textId="77777777" w:rsidR="00B649E9" w:rsidRPr="008261F3" w:rsidRDefault="00B649E9" w:rsidP="00B649E9">
            <w:pPr>
              <w:pStyle w:val="TableText"/>
            </w:pPr>
          </w:p>
        </w:tc>
      </w:tr>
      <w:tr w:rsidR="00B649E9" w:rsidRPr="008261F3" w14:paraId="399DE521"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56100F38" w14:textId="77777777" w:rsidR="00B649E9" w:rsidRPr="008261F3" w:rsidRDefault="00B649E9" w:rsidP="00B649E9">
            <w:pPr>
              <w:pStyle w:val="TableTextIndent1"/>
              <w:ind w:left="490"/>
            </w:pPr>
            <w:r w:rsidRPr="008261F3">
              <w:t>Aged 25-34, Hispanic MSM</w:t>
            </w:r>
            <w:r w:rsidRPr="008261F3" w:rsidDel="00AB59EB">
              <w:t xml:space="preserve"> </w:t>
            </w:r>
          </w:p>
        </w:tc>
        <w:tc>
          <w:tcPr>
            <w:tcW w:w="1336" w:type="dxa"/>
            <w:tcBorders>
              <w:top w:val="single" w:sz="4" w:space="0" w:color="808080" w:themeColor="background1" w:themeShade="80"/>
              <w:bottom w:val="single" w:sz="4" w:space="0" w:color="808080" w:themeColor="background1" w:themeShade="80"/>
            </w:tcBorders>
          </w:tcPr>
          <w:p w14:paraId="4124B53B" w14:textId="4E4BE30B" w:rsidR="00B649E9" w:rsidRPr="008261F3" w:rsidRDefault="00B649E9" w:rsidP="00B649E9">
            <w:pPr>
              <w:pStyle w:val="TableText"/>
              <w:ind w:right="150"/>
              <w:jc w:val="right"/>
            </w:pPr>
            <w:r w:rsidRPr="008261F3">
              <w:t>58%</w:t>
            </w:r>
          </w:p>
        </w:tc>
        <w:tc>
          <w:tcPr>
            <w:tcW w:w="1513" w:type="dxa"/>
            <w:tcBorders>
              <w:top w:val="single" w:sz="4" w:space="0" w:color="808080" w:themeColor="background1" w:themeShade="80"/>
              <w:bottom w:val="single" w:sz="4" w:space="0" w:color="808080" w:themeColor="background1" w:themeShade="80"/>
            </w:tcBorders>
          </w:tcPr>
          <w:p w14:paraId="38497126" w14:textId="77777777" w:rsidR="00B649E9" w:rsidRPr="008261F3" w:rsidRDefault="00B649E9" w:rsidP="00B649E9">
            <w:pPr>
              <w:pStyle w:val="TableText"/>
              <w:ind w:right="150"/>
              <w:jc w:val="right"/>
            </w:pPr>
            <w:r w:rsidRPr="008261F3">
              <w:t>51%</w:t>
            </w:r>
          </w:p>
        </w:tc>
        <w:tc>
          <w:tcPr>
            <w:tcW w:w="1260" w:type="dxa"/>
            <w:tcBorders>
              <w:top w:val="single" w:sz="4" w:space="0" w:color="808080" w:themeColor="background1" w:themeShade="80"/>
              <w:bottom w:val="single" w:sz="4" w:space="0" w:color="808080" w:themeColor="background1" w:themeShade="80"/>
            </w:tcBorders>
          </w:tcPr>
          <w:p w14:paraId="74869B0A" w14:textId="77777777" w:rsidR="00B649E9" w:rsidRPr="008261F3" w:rsidRDefault="00B649E9" w:rsidP="00B649E9">
            <w:pPr>
              <w:pStyle w:val="TableText"/>
              <w:ind w:right="150"/>
              <w:jc w:val="right"/>
            </w:pPr>
            <w:r w:rsidRPr="008261F3">
              <w:t>77%</w:t>
            </w:r>
          </w:p>
        </w:tc>
        <w:tc>
          <w:tcPr>
            <w:tcW w:w="1440" w:type="dxa"/>
            <w:tcBorders>
              <w:top w:val="single" w:sz="4" w:space="0" w:color="808080" w:themeColor="background1" w:themeShade="80"/>
              <w:bottom w:val="single" w:sz="4" w:space="0" w:color="808080" w:themeColor="background1" w:themeShade="80"/>
            </w:tcBorders>
          </w:tcPr>
          <w:p w14:paraId="6AF6BF79" w14:textId="77777777" w:rsidR="00B649E9" w:rsidRPr="008261F3" w:rsidRDefault="00B649E9" w:rsidP="00B649E9">
            <w:pPr>
              <w:pStyle w:val="TableText"/>
              <w:ind w:right="150"/>
              <w:jc w:val="right"/>
            </w:pPr>
            <w:r w:rsidRPr="008261F3">
              <w:t>51%</w:t>
            </w:r>
          </w:p>
        </w:tc>
        <w:tc>
          <w:tcPr>
            <w:tcW w:w="1440" w:type="dxa"/>
            <w:vMerge/>
          </w:tcPr>
          <w:p w14:paraId="171C7414" w14:textId="77777777" w:rsidR="00B649E9" w:rsidRPr="008261F3" w:rsidRDefault="00B649E9" w:rsidP="00B649E9">
            <w:pPr>
              <w:pStyle w:val="TableText"/>
            </w:pPr>
          </w:p>
        </w:tc>
      </w:tr>
      <w:tr w:rsidR="00B649E9" w:rsidRPr="008261F3" w14:paraId="6889F598"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796BEFDD" w14:textId="77777777" w:rsidR="00B649E9" w:rsidRPr="008261F3" w:rsidRDefault="00B649E9" w:rsidP="00B649E9">
            <w:pPr>
              <w:pStyle w:val="TableTextIndent1"/>
              <w:ind w:left="490"/>
            </w:pPr>
            <w:r w:rsidRPr="008261F3">
              <w:t>Aged 25-34, Other MSM</w:t>
            </w:r>
            <w:r w:rsidRPr="008261F3" w:rsidDel="00AB59EB">
              <w:t xml:space="preserve"> </w:t>
            </w:r>
          </w:p>
        </w:tc>
        <w:tc>
          <w:tcPr>
            <w:tcW w:w="1336" w:type="dxa"/>
            <w:tcBorders>
              <w:top w:val="single" w:sz="4" w:space="0" w:color="808080" w:themeColor="background1" w:themeShade="80"/>
              <w:bottom w:val="single" w:sz="4" w:space="0" w:color="808080" w:themeColor="background1" w:themeShade="80"/>
            </w:tcBorders>
          </w:tcPr>
          <w:p w14:paraId="3CDDD910" w14:textId="76A1DCF1" w:rsidR="00B649E9" w:rsidRPr="008261F3" w:rsidRDefault="00B649E9" w:rsidP="00B649E9">
            <w:pPr>
              <w:pStyle w:val="TableText"/>
              <w:ind w:right="150"/>
              <w:jc w:val="right"/>
            </w:pPr>
            <w:r w:rsidRPr="008261F3">
              <w:t>70%</w:t>
            </w:r>
          </w:p>
        </w:tc>
        <w:tc>
          <w:tcPr>
            <w:tcW w:w="1513" w:type="dxa"/>
            <w:tcBorders>
              <w:top w:val="single" w:sz="4" w:space="0" w:color="808080" w:themeColor="background1" w:themeShade="80"/>
              <w:bottom w:val="single" w:sz="4" w:space="0" w:color="808080" w:themeColor="background1" w:themeShade="80"/>
            </w:tcBorders>
          </w:tcPr>
          <w:p w14:paraId="25DD0452" w14:textId="77777777" w:rsidR="00B649E9" w:rsidRPr="008261F3" w:rsidRDefault="00B649E9" w:rsidP="00B649E9">
            <w:pPr>
              <w:pStyle w:val="TableText"/>
              <w:ind w:right="150"/>
              <w:jc w:val="right"/>
            </w:pPr>
            <w:r w:rsidRPr="008261F3">
              <w:t>55%</w:t>
            </w:r>
          </w:p>
        </w:tc>
        <w:tc>
          <w:tcPr>
            <w:tcW w:w="1260" w:type="dxa"/>
            <w:tcBorders>
              <w:top w:val="single" w:sz="4" w:space="0" w:color="808080" w:themeColor="background1" w:themeShade="80"/>
              <w:bottom w:val="single" w:sz="4" w:space="0" w:color="808080" w:themeColor="background1" w:themeShade="80"/>
            </w:tcBorders>
          </w:tcPr>
          <w:p w14:paraId="2AFB7889" w14:textId="77777777" w:rsidR="00B649E9" w:rsidRPr="008261F3" w:rsidRDefault="00B649E9" w:rsidP="00B649E9">
            <w:pPr>
              <w:pStyle w:val="TableText"/>
              <w:ind w:right="150"/>
              <w:jc w:val="right"/>
            </w:pPr>
            <w:r w:rsidRPr="008261F3">
              <w:t>83%</w:t>
            </w:r>
          </w:p>
        </w:tc>
        <w:tc>
          <w:tcPr>
            <w:tcW w:w="1440" w:type="dxa"/>
            <w:tcBorders>
              <w:top w:val="single" w:sz="4" w:space="0" w:color="808080" w:themeColor="background1" w:themeShade="80"/>
              <w:bottom w:val="single" w:sz="4" w:space="0" w:color="808080" w:themeColor="background1" w:themeShade="80"/>
            </w:tcBorders>
          </w:tcPr>
          <w:p w14:paraId="0C4BE2D5" w14:textId="77777777" w:rsidR="00B649E9" w:rsidRPr="008261F3" w:rsidRDefault="00B649E9" w:rsidP="00B649E9">
            <w:pPr>
              <w:pStyle w:val="TableText"/>
              <w:ind w:right="150"/>
              <w:jc w:val="right"/>
            </w:pPr>
            <w:r w:rsidRPr="008261F3">
              <w:t>55%</w:t>
            </w:r>
          </w:p>
        </w:tc>
        <w:tc>
          <w:tcPr>
            <w:tcW w:w="1440" w:type="dxa"/>
            <w:vMerge/>
            <w:tcBorders>
              <w:bottom w:val="single" w:sz="4" w:space="0" w:color="808080" w:themeColor="background1" w:themeShade="80"/>
            </w:tcBorders>
          </w:tcPr>
          <w:p w14:paraId="5649CEA8" w14:textId="77777777" w:rsidR="00B649E9" w:rsidRPr="008261F3" w:rsidRDefault="00B649E9" w:rsidP="00B649E9">
            <w:pPr>
              <w:pStyle w:val="TableText"/>
            </w:pPr>
          </w:p>
        </w:tc>
      </w:tr>
      <w:tr w:rsidR="00D4556C" w:rsidRPr="00E832D1" w14:paraId="559926DE" w14:textId="77777777" w:rsidTr="000E11F2">
        <w:trPr>
          <w:cantSplit/>
        </w:trPr>
        <w:tc>
          <w:tcPr>
            <w:tcW w:w="7920" w:type="dxa"/>
            <w:gridSpan w:val="5"/>
            <w:tcBorders>
              <w:top w:val="single" w:sz="4" w:space="0" w:color="808080" w:themeColor="background1" w:themeShade="80"/>
              <w:bottom w:val="single" w:sz="4" w:space="0" w:color="808080" w:themeColor="background1" w:themeShade="80"/>
            </w:tcBorders>
          </w:tcPr>
          <w:p w14:paraId="0F9FBE02" w14:textId="77777777" w:rsidR="00D4556C" w:rsidRPr="008261F3" w:rsidDel="00190ED3" w:rsidRDefault="00D4556C" w:rsidP="000E11F2">
            <w:pPr>
              <w:pStyle w:val="TableText"/>
              <w:ind w:right="150"/>
            </w:pPr>
            <w:r w:rsidRPr="008261F3">
              <w:t>Population in 2016</w:t>
            </w:r>
          </w:p>
        </w:tc>
        <w:tc>
          <w:tcPr>
            <w:tcW w:w="1440" w:type="dxa"/>
            <w:vMerge w:val="restart"/>
            <w:tcBorders>
              <w:top w:val="single" w:sz="4" w:space="0" w:color="808080" w:themeColor="background1" w:themeShade="80"/>
            </w:tcBorders>
          </w:tcPr>
          <w:p w14:paraId="7E491AE1" w14:textId="77777777" w:rsidR="00D4556C" w:rsidRPr="00E832D1" w:rsidRDefault="00D4556C" w:rsidP="000E11F2">
            <w:pPr>
              <w:pStyle w:val="TableText"/>
            </w:pPr>
            <w:r w:rsidRPr="008261F3">
              <w:t>U.S. Census Bureau (2016)</w:t>
            </w:r>
          </w:p>
        </w:tc>
      </w:tr>
      <w:tr w:rsidR="00B649E9" w:rsidRPr="00E832D1" w14:paraId="3626CA94"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6F74F9AC" w14:textId="77777777" w:rsidR="00B649E9" w:rsidRPr="00E832D1" w:rsidRDefault="00B649E9" w:rsidP="00B649E9">
            <w:pPr>
              <w:pStyle w:val="TableTextIndent1"/>
            </w:pPr>
            <w:r w:rsidRPr="00E832D1">
              <w:t>Aged 13–34</w:t>
            </w:r>
          </w:p>
        </w:tc>
        <w:tc>
          <w:tcPr>
            <w:tcW w:w="1336" w:type="dxa"/>
            <w:tcBorders>
              <w:top w:val="single" w:sz="4" w:space="0" w:color="808080" w:themeColor="background1" w:themeShade="80"/>
              <w:bottom w:val="single" w:sz="4" w:space="0" w:color="808080" w:themeColor="background1" w:themeShade="80"/>
            </w:tcBorders>
          </w:tcPr>
          <w:p w14:paraId="759B3251" w14:textId="46F5D7C9" w:rsidR="00B649E9" w:rsidRPr="00E832D1" w:rsidRDefault="00B649E9" w:rsidP="00B649E9">
            <w:pPr>
              <w:pStyle w:val="TableText"/>
              <w:ind w:right="150"/>
              <w:jc w:val="right"/>
            </w:pPr>
            <w:r w:rsidRPr="003C40FB">
              <w:t>84,782,517</w:t>
            </w:r>
          </w:p>
        </w:tc>
        <w:tc>
          <w:tcPr>
            <w:tcW w:w="1513" w:type="dxa"/>
            <w:tcBorders>
              <w:top w:val="single" w:sz="4" w:space="0" w:color="808080" w:themeColor="background1" w:themeShade="80"/>
              <w:bottom w:val="single" w:sz="4" w:space="0" w:color="808080" w:themeColor="background1" w:themeShade="80"/>
            </w:tcBorders>
          </w:tcPr>
          <w:p w14:paraId="5DE650EC" w14:textId="77777777" w:rsidR="00B649E9" w:rsidRPr="00E832D1" w:rsidRDefault="00B649E9" w:rsidP="00B649E9">
            <w:pPr>
              <w:pStyle w:val="TableText"/>
              <w:ind w:right="150"/>
              <w:jc w:val="right"/>
              <w:rPr>
                <w:szCs w:val="18"/>
              </w:rPr>
            </w:pPr>
            <w:r w:rsidRPr="00E832D1">
              <w:rPr>
                <w:szCs w:val="18"/>
              </w:rPr>
              <w:t>81,604,934</w:t>
            </w:r>
          </w:p>
        </w:tc>
        <w:tc>
          <w:tcPr>
            <w:tcW w:w="1260" w:type="dxa"/>
            <w:tcBorders>
              <w:top w:val="single" w:sz="4" w:space="0" w:color="808080" w:themeColor="background1" w:themeShade="80"/>
              <w:bottom w:val="single" w:sz="4" w:space="0" w:color="808080" w:themeColor="background1" w:themeShade="80"/>
            </w:tcBorders>
          </w:tcPr>
          <w:p w14:paraId="67BB658B" w14:textId="77777777" w:rsidR="00B649E9" w:rsidRPr="00E832D1" w:rsidRDefault="00B649E9" w:rsidP="00B649E9">
            <w:pPr>
              <w:pStyle w:val="TableText"/>
              <w:ind w:right="150"/>
              <w:jc w:val="right"/>
              <w:rPr>
                <w:szCs w:val="18"/>
              </w:rPr>
            </w:pPr>
            <w:r w:rsidRPr="00E832D1">
              <w:rPr>
                <w:szCs w:val="18"/>
              </w:rPr>
              <w:t>73,444,441</w:t>
            </w:r>
          </w:p>
        </w:tc>
        <w:tc>
          <w:tcPr>
            <w:tcW w:w="1440" w:type="dxa"/>
            <w:tcBorders>
              <w:top w:val="single" w:sz="4" w:space="0" w:color="808080" w:themeColor="background1" w:themeShade="80"/>
              <w:bottom w:val="single" w:sz="4" w:space="0" w:color="808080" w:themeColor="background1" w:themeShade="80"/>
            </w:tcBorders>
          </w:tcPr>
          <w:p w14:paraId="1B337059" w14:textId="77777777" w:rsidR="00B649E9" w:rsidRPr="00E832D1" w:rsidRDefault="00B649E9" w:rsidP="00B649E9">
            <w:pPr>
              <w:pStyle w:val="TableText"/>
              <w:ind w:right="150"/>
              <w:jc w:val="right"/>
              <w:rPr>
                <w:szCs w:val="18"/>
              </w:rPr>
            </w:pPr>
            <w:r w:rsidRPr="00E832D1">
              <w:rPr>
                <w:szCs w:val="18"/>
              </w:rPr>
              <w:t>89,765,428</w:t>
            </w:r>
          </w:p>
        </w:tc>
        <w:tc>
          <w:tcPr>
            <w:tcW w:w="1440" w:type="dxa"/>
            <w:vMerge/>
          </w:tcPr>
          <w:p w14:paraId="1F69BA8F" w14:textId="77777777" w:rsidR="00B649E9" w:rsidRPr="00E832D1" w:rsidRDefault="00B649E9" w:rsidP="00B649E9">
            <w:pPr>
              <w:pStyle w:val="TableText"/>
            </w:pPr>
          </w:p>
        </w:tc>
      </w:tr>
      <w:tr w:rsidR="00B649E9" w:rsidRPr="00E832D1" w14:paraId="01E741BD"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09366650" w14:textId="77777777" w:rsidR="00B649E9" w:rsidRPr="00E832D1" w:rsidRDefault="00B649E9" w:rsidP="00B649E9">
            <w:pPr>
              <w:pStyle w:val="TableTextIndent1"/>
            </w:pPr>
            <w:r w:rsidRPr="00E832D1">
              <w:t>Aged 35–64</w:t>
            </w:r>
          </w:p>
        </w:tc>
        <w:tc>
          <w:tcPr>
            <w:tcW w:w="1336" w:type="dxa"/>
            <w:tcBorders>
              <w:top w:val="single" w:sz="4" w:space="0" w:color="808080" w:themeColor="background1" w:themeShade="80"/>
              <w:bottom w:val="single" w:sz="4" w:space="0" w:color="808080" w:themeColor="background1" w:themeShade="80"/>
            </w:tcBorders>
          </w:tcPr>
          <w:p w14:paraId="06FFB6AD" w14:textId="79499CE0" w:rsidR="00B649E9" w:rsidRPr="00E832D1" w:rsidRDefault="00B649E9" w:rsidP="00B649E9">
            <w:pPr>
              <w:pStyle w:val="TableText"/>
              <w:ind w:right="150"/>
              <w:jc w:val="right"/>
            </w:pPr>
            <w:r w:rsidRPr="003C40FB">
              <w:t>105,396,891</w:t>
            </w:r>
          </w:p>
        </w:tc>
        <w:tc>
          <w:tcPr>
            <w:tcW w:w="1513" w:type="dxa"/>
            <w:tcBorders>
              <w:top w:val="single" w:sz="4" w:space="0" w:color="808080" w:themeColor="background1" w:themeShade="80"/>
              <w:bottom w:val="single" w:sz="4" w:space="0" w:color="808080" w:themeColor="background1" w:themeShade="80"/>
            </w:tcBorders>
          </w:tcPr>
          <w:p w14:paraId="1B0FB363" w14:textId="77777777" w:rsidR="00B649E9" w:rsidRPr="00E832D1" w:rsidRDefault="00B649E9" w:rsidP="00B649E9">
            <w:pPr>
              <w:pStyle w:val="TableText"/>
              <w:ind w:right="150"/>
              <w:jc w:val="right"/>
              <w:rPr>
                <w:szCs w:val="18"/>
              </w:rPr>
            </w:pPr>
            <w:r w:rsidRPr="00E832D1">
              <w:rPr>
                <w:szCs w:val="18"/>
              </w:rPr>
              <w:t>105,546,135</w:t>
            </w:r>
          </w:p>
        </w:tc>
        <w:tc>
          <w:tcPr>
            <w:tcW w:w="1260" w:type="dxa"/>
            <w:tcBorders>
              <w:top w:val="single" w:sz="4" w:space="0" w:color="808080" w:themeColor="background1" w:themeShade="80"/>
              <w:bottom w:val="single" w:sz="4" w:space="0" w:color="808080" w:themeColor="background1" w:themeShade="80"/>
            </w:tcBorders>
          </w:tcPr>
          <w:p w14:paraId="44619AB5" w14:textId="77777777" w:rsidR="00B649E9" w:rsidRPr="00E832D1" w:rsidRDefault="00B649E9" w:rsidP="00B649E9">
            <w:pPr>
              <w:pStyle w:val="TableText"/>
              <w:ind w:right="150"/>
              <w:jc w:val="right"/>
              <w:rPr>
                <w:szCs w:val="18"/>
              </w:rPr>
            </w:pPr>
            <w:r w:rsidRPr="00E832D1">
              <w:rPr>
                <w:szCs w:val="18"/>
              </w:rPr>
              <w:t>94,991,522</w:t>
            </w:r>
          </w:p>
        </w:tc>
        <w:tc>
          <w:tcPr>
            <w:tcW w:w="1440" w:type="dxa"/>
            <w:tcBorders>
              <w:top w:val="single" w:sz="4" w:space="0" w:color="808080" w:themeColor="background1" w:themeShade="80"/>
              <w:bottom w:val="single" w:sz="4" w:space="0" w:color="808080" w:themeColor="background1" w:themeShade="80"/>
            </w:tcBorders>
          </w:tcPr>
          <w:p w14:paraId="6F78DF01" w14:textId="77777777" w:rsidR="00B649E9" w:rsidRPr="00E832D1" w:rsidRDefault="00B649E9" w:rsidP="00B649E9">
            <w:pPr>
              <w:pStyle w:val="TableText"/>
              <w:ind w:right="150"/>
              <w:jc w:val="right"/>
              <w:rPr>
                <w:szCs w:val="18"/>
              </w:rPr>
            </w:pPr>
            <w:r w:rsidRPr="00E832D1">
              <w:rPr>
                <w:szCs w:val="18"/>
              </w:rPr>
              <w:t>116,100,749</w:t>
            </w:r>
          </w:p>
        </w:tc>
        <w:tc>
          <w:tcPr>
            <w:tcW w:w="1440" w:type="dxa"/>
            <w:vMerge/>
          </w:tcPr>
          <w:p w14:paraId="0B100D9F" w14:textId="77777777" w:rsidR="00B649E9" w:rsidRPr="00E832D1" w:rsidRDefault="00B649E9" w:rsidP="00B649E9">
            <w:pPr>
              <w:pStyle w:val="TableText"/>
            </w:pPr>
          </w:p>
        </w:tc>
      </w:tr>
      <w:tr w:rsidR="00B649E9" w:rsidRPr="00E832D1" w14:paraId="12570E28" w14:textId="77777777" w:rsidTr="000E11F2">
        <w:trPr>
          <w:cantSplit/>
        </w:trPr>
        <w:tc>
          <w:tcPr>
            <w:tcW w:w="2371" w:type="dxa"/>
            <w:tcBorders>
              <w:top w:val="single" w:sz="4" w:space="0" w:color="808080" w:themeColor="background1" w:themeShade="80"/>
              <w:bottom w:val="single" w:sz="4" w:space="0" w:color="808080" w:themeColor="background1" w:themeShade="80"/>
            </w:tcBorders>
          </w:tcPr>
          <w:p w14:paraId="1FD1B33F" w14:textId="77777777" w:rsidR="00B649E9" w:rsidRPr="00E832D1" w:rsidRDefault="00B649E9" w:rsidP="00B649E9">
            <w:pPr>
              <w:pStyle w:val="TableTextIndent1"/>
            </w:pPr>
            <w:r w:rsidRPr="00E832D1">
              <w:lastRenderedPageBreak/>
              <w:t>Aged 65+</w:t>
            </w:r>
          </w:p>
        </w:tc>
        <w:tc>
          <w:tcPr>
            <w:tcW w:w="1336" w:type="dxa"/>
            <w:tcBorders>
              <w:top w:val="single" w:sz="4" w:space="0" w:color="808080" w:themeColor="background1" w:themeShade="80"/>
              <w:bottom w:val="single" w:sz="4" w:space="0" w:color="808080" w:themeColor="background1" w:themeShade="80"/>
            </w:tcBorders>
          </w:tcPr>
          <w:p w14:paraId="4AD64B95" w14:textId="5CA7BBC8" w:rsidR="00B649E9" w:rsidRPr="00E832D1" w:rsidRDefault="00B649E9" w:rsidP="00B649E9">
            <w:pPr>
              <w:pStyle w:val="TableText"/>
              <w:ind w:right="150"/>
              <w:jc w:val="right"/>
            </w:pPr>
            <w:r w:rsidRPr="003C40FB">
              <w:t>38,546,772</w:t>
            </w:r>
          </w:p>
        </w:tc>
        <w:tc>
          <w:tcPr>
            <w:tcW w:w="1513" w:type="dxa"/>
            <w:tcBorders>
              <w:top w:val="single" w:sz="4" w:space="0" w:color="808080" w:themeColor="background1" w:themeShade="80"/>
              <w:bottom w:val="single" w:sz="4" w:space="0" w:color="808080" w:themeColor="background1" w:themeShade="80"/>
            </w:tcBorders>
          </w:tcPr>
          <w:p w14:paraId="1A1E7FDA" w14:textId="77777777" w:rsidR="00B649E9" w:rsidRPr="00E832D1" w:rsidRDefault="00B649E9" w:rsidP="00B649E9">
            <w:pPr>
              <w:pStyle w:val="TableText"/>
              <w:ind w:right="150"/>
              <w:jc w:val="right"/>
              <w:rPr>
                <w:szCs w:val="18"/>
              </w:rPr>
            </w:pPr>
            <w:r w:rsidRPr="00E832D1">
              <w:rPr>
                <w:szCs w:val="18"/>
              </w:rPr>
              <w:t>41,640,106</w:t>
            </w:r>
          </w:p>
        </w:tc>
        <w:tc>
          <w:tcPr>
            <w:tcW w:w="1260" w:type="dxa"/>
            <w:tcBorders>
              <w:top w:val="single" w:sz="4" w:space="0" w:color="808080" w:themeColor="background1" w:themeShade="80"/>
              <w:bottom w:val="single" w:sz="4" w:space="0" w:color="808080" w:themeColor="background1" w:themeShade="80"/>
            </w:tcBorders>
          </w:tcPr>
          <w:p w14:paraId="1F1B972E" w14:textId="77777777" w:rsidR="00B649E9" w:rsidRPr="00E832D1" w:rsidRDefault="00B649E9" w:rsidP="00B649E9">
            <w:pPr>
              <w:pStyle w:val="TableText"/>
              <w:ind w:right="150"/>
              <w:jc w:val="right"/>
              <w:rPr>
                <w:szCs w:val="18"/>
              </w:rPr>
            </w:pPr>
            <w:r w:rsidRPr="00E832D1">
              <w:rPr>
                <w:szCs w:val="18"/>
              </w:rPr>
              <w:t>37,476,095</w:t>
            </w:r>
          </w:p>
        </w:tc>
        <w:tc>
          <w:tcPr>
            <w:tcW w:w="1440" w:type="dxa"/>
            <w:tcBorders>
              <w:top w:val="single" w:sz="4" w:space="0" w:color="808080" w:themeColor="background1" w:themeShade="80"/>
              <w:bottom w:val="single" w:sz="4" w:space="0" w:color="808080" w:themeColor="background1" w:themeShade="80"/>
            </w:tcBorders>
          </w:tcPr>
          <w:p w14:paraId="0083700B" w14:textId="77777777" w:rsidR="00B649E9" w:rsidRPr="00E832D1" w:rsidRDefault="00B649E9" w:rsidP="00B649E9">
            <w:pPr>
              <w:pStyle w:val="TableText"/>
              <w:ind w:right="150"/>
              <w:jc w:val="right"/>
              <w:rPr>
                <w:szCs w:val="18"/>
              </w:rPr>
            </w:pPr>
            <w:r w:rsidRPr="00E832D1">
              <w:rPr>
                <w:szCs w:val="18"/>
              </w:rPr>
              <w:t>45,804,116</w:t>
            </w:r>
          </w:p>
        </w:tc>
        <w:tc>
          <w:tcPr>
            <w:tcW w:w="1440" w:type="dxa"/>
            <w:vMerge/>
          </w:tcPr>
          <w:p w14:paraId="4D6E0F8A" w14:textId="77777777" w:rsidR="00B649E9" w:rsidRPr="00E832D1" w:rsidRDefault="00B649E9" w:rsidP="00B649E9">
            <w:pPr>
              <w:pStyle w:val="TableText"/>
            </w:pPr>
          </w:p>
        </w:tc>
      </w:tr>
    </w:tbl>
    <w:p w14:paraId="30C6DE7D" w14:textId="77777777" w:rsidR="00D4556C" w:rsidRPr="00E832D1" w:rsidRDefault="00D4556C" w:rsidP="00D4556C">
      <w:pPr>
        <w:pStyle w:val="Source1"/>
        <w:spacing w:after="0"/>
      </w:pPr>
      <w:r w:rsidRPr="00E832D1">
        <w:t>Note: ART = antiretroviral therapy; HET = heterosexual; PWID = people who inject drugs; VLS = viral load suppressed</w:t>
      </w:r>
    </w:p>
    <w:p w14:paraId="58521F99" w14:textId="77777777" w:rsidR="00D4556C" w:rsidRPr="00E832D1" w:rsidRDefault="00D4556C" w:rsidP="00D4556C">
      <w:pPr>
        <w:pStyle w:val="Source1"/>
        <w:spacing w:after="0"/>
      </w:pPr>
      <w:r w:rsidRPr="00E832D1">
        <w:rPr>
          <w:vertAlign w:val="superscript"/>
        </w:rPr>
        <w:t xml:space="preserve">a </w:t>
      </w:r>
      <w:r w:rsidRPr="00E832D1">
        <w:t>Priority weights = 1 were assigned to all outcomes.</w:t>
      </w:r>
    </w:p>
    <w:p w14:paraId="619327A4" w14:textId="77777777" w:rsidR="00D4556C" w:rsidRPr="00C00335" w:rsidRDefault="00D4556C" w:rsidP="00D4556C">
      <w:pPr>
        <w:pStyle w:val="Source1"/>
        <w:spacing w:after="0"/>
      </w:pPr>
      <w:r w:rsidRPr="00E832D1">
        <w:rPr>
          <w:vertAlign w:val="superscript"/>
        </w:rPr>
        <w:t>b</w:t>
      </w:r>
      <w:r w:rsidRPr="00E832D1">
        <w:rPr>
          <w:sz w:val="20"/>
        </w:rPr>
        <w:t xml:space="preserve"> Percent VLS calculated from internal analyses by the Quantitative Sciences and Data Management Branch using surveillance data. Based on HIV viral suppression at most recent viral load test 2010-2016, among males aged </w:t>
      </w:r>
      <w:r w:rsidRPr="00E832D1">
        <w:rPr>
          <w:rFonts w:ascii="Arial" w:hAnsi="Arial" w:cs="Arial"/>
          <w:sz w:val="20"/>
        </w:rPr>
        <w:t>≥</w:t>
      </w:r>
      <w:r w:rsidRPr="00E832D1">
        <w:rPr>
          <w:sz w:val="20"/>
        </w:rPr>
        <w:t>13 years with HIV infection attributed to male-to-male sexual contact, from 19 jurisdictions.</w:t>
      </w:r>
    </w:p>
    <w:p w14:paraId="366CBA23" w14:textId="77777777" w:rsidR="00D4556C" w:rsidRPr="00C00335" w:rsidRDefault="00D4556C" w:rsidP="00DE01DB">
      <w:pPr>
        <w:pStyle w:val="Source1"/>
        <w:spacing w:after="0"/>
      </w:pPr>
    </w:p>
    <w:p w14:paraId="38031AFA" w14:textId="77777777" w:rsidR="00740DFC" w:rsidRPr="00C00335" w:rsidRDefault="00740DFC" w:rsidP="00740DFC">
      <w:pPr>
        <w:pStyle w:val="Heading2"/>
      </w:pPr>
      <w:bookmarkStart w:id="170" w:name="_Toc89257576"/>
      <w:r w:rsidRPr="00C00335">
        <w:t>Internal and External Validation of the Model</w:t>
      </w:r>
      <w:bookmarkEnd w:id="170"/>
    </w:p>
    <w:p w14:paraId="6A2EB984" w14:textId="40B6B891" w:rsidR="00740DFC" w:rsidRPr="00C00335" w:rsidRDefault="00740DFC" w:rsidP="00DD62F8">
      <w:pPr>
        <w:pStyle w:val="BodyText"/>
      </w:pPr>
      <w:r w:rsidRPr="00C00335">
        <w:t xml:space="preserve">We conducted a thorough quality check of the model’s inputs, calculations, and differential equations. </w:t>
      </w:r>
      <w:r w:rsidR="00DD62F8" w:rsidRPr="00C00335">
        <w:t xml:space="preserve">An earlier version of this </w:t>
      </w:r>
      <w:r w:rsidRPr="00C00335">
        <w:t xml:space="preserve">model was also reviewed by experts in differential equation modeling of HIV, Drs. Michael Pickles and Marie-Claude </w:t>
      </w:r>
      <w:proofErr w:type="spellStart"/>
      <w:r w:rsidRPr="00C00335">
        <w:t>Boily</w:t>
      </w:r>
      <w:proofErr w:type="spellEnd"/>
      <w:r w:rsidRPr="00C00335">
        <w:t>, both of the Imperial College of London.</w:t>
      </w:r>
    </w:p>
    <w:p w14:paraId="114981CF" w14:textId="4DFECC0A" w:rsidR="00EA28C8" w:rsidRPr="00E832D1" w:rsidRDefault="00740DFC" w:rsidP="00E22356">
      <w:pPr>
        <w:pStyle w:val="BodyText"/>
      </w:pPr>
      <w:r w:rsidRPr="00C00335">
        <w:t xml:space="preserve">We compared our model’s outcomes to CDC surveillance data as listed in </w:t>
      </w:r>
      <w:r w:rsidR="00CC1DD7" w:rsidRPr="00C00335">
        <w:t xml:space="preserve">Table </w:t>
      </w:r>
      <w:r w:rsidR="0005114B" w:rsidRPr="00C00335">
        <w:t>1</w:t>
      </w:r>
      <w:r w:rsidR="0005114B">
        <w:t>0</w:t>
      </w:r>
      <w:r w:rsidR="00CC1DD7" w:rsidRPr="00C00335">
        <w:t>.</w:t>
      </w:r>
      <w:r w:rsidRPr="00C00335">
        <w:t xml:space="preserve">3. Estimated new infections by transmission group and distributions of the HIV-infected population across the continuum-of-care stages were used for calibration as described in </w:t>
      </w:r>
      <w:r w:rsidR="00CA2896" w:rsidRPr="00C00335">
        <w:t>Section </w:t>
      </w:r>
      <w:r w:rsidR="00176A62" w:rsidRPr="00C00335">
        <w:t>1</w:t>
      </w:r>
      <w:r w:rsidR="00176A62">
        <w:t>0</w:t>
      </w:r>
      <w:r w:rsidRPr="00C00335">
        <w:t xml:space="preserve">.1. </w:t>
      </w:r>
    </w:p>
    <w:p w14:paraId="2E88975E" w14:textId="5DDA0B3F" w:rsidR="00BA30F7" w:rsidRPr="00C00335" w:rsidRDefault="00BD6B17" w:rsidP="00BA30F7">
      <w:pPr>
        <w:pStyle w:val="Heading1"/>
        <w:pageBreakBefore/>
      </w:pPr>
      <w:bookmarkStart w:id="171" w:name="_Toc89257577"/>
      <w:r>
        <w:lastRenderedPageBreak/>
        <w:t>Uncertainty Analysis Methods and Results</w:t>
      </w:r>
      <w:bookmarkEnd w:id="171"/>
    </w:p>
    <w:p w14:paraId="4923BD93" w14:textId="14F24654" w:rsidR="00BA30F7" w:rsidRPr="000135E6" w:rsidRDefault="00BA30F7" w:rsidP="00BA30F7">
      <w:pPr>
        <w:pStyle w:val="Heading2"/>
      </w:pPr>
      <w:bookmarkStart w:id="172" w:name="_Toc89257578"/>
      <w:r w:rsidRPr="000135E6">
        <w:t>Methods</w:t>
      </w:r>
      <w:bookmarkEnd w:id="172"/>
    </w:p>
    <w:p w14:paraId="7B2C94BA" w14:textId="77777777" w:rsidR="00BA30F7" w:rsidRDefault="00BA30F7" w:rsidP="00BA30F7">
      <w:pPr>
        <w:spacing w:after="160" w:line="320" w:lineRule="exact"/>
      </w:pPr>
      <w:r>
        <w:t>Uncertainty analysis is used to evaluate a model outcome’s variability that is due to the collective uncertainty of the estimated input values that are estimated. For this analysis, we considered the uncertainty of the model’s key outcomes due to the selected values of the 280 calibrated inputs</w:t>
      </w:r>
      <w:r w:rsidRPr="00890900">
        <w:t xml:space="preserve"> </w:t>
      </w:r>
      <w:r>
        <w:t xml:space="preserve">that resulted in model outcomes that approximated the targeted surveillance measures. The same process and selection criteria for the 10 alternate calibration sets were applied as for the set used in the base-case analysis, as outlined in Section 10.1.3. </w:t>
      </w:r>
    </w:p>
    <w:p w14:paraId="7852AC16" w14:textId="77777777" w:rsidR="00BA30F7" w:rsidRDefault="00BA30F7" w:rsidP="00BA30F7">
      <w:pPr>
        <w:spacing w:after="160" w:line="320" w:lineRule="exact"/>
      </w:pPr>
      <w:r>
        <w:t>To conduct the uncertainty analysis for this study, we examined how using 10 sets of alternate values for the model’s calibrated inputs changed the optimal allocation of the two allocation periods for Scenario 1c, in which public and private funds were optimized starting in 2023. Each optimal allocation was identified by using the same process as was used the identify the optimal allocation of funds, as outlined in Section 8.2. The available budget in each allocation period was the same as in the base analysis.</w:t>
      </w:r>
    </w:p>
    <w:p w14:paraId="16A0C666" w14:textId="77777777" w:rsidR="00BA30F7" w:rsidRDefault="00BA30F7" w:rsidP="00BA30F7">
      <w:pPr>
        <w:spacing w:after="160" w:line="320" w:lineRule="exact"/>
      </w:pPr>
      <w:r>
        <w:t>We used the model to estimate the expected incidence in 2025 and 2030 under each of the 10 sets and the identified optimal allocation of funds corresponding to each. We then observed the minimum and maximum optimized allocation to each intervention across the 10 sets in each optimized allocation period (2023-2025, 2026-2030)</w:t>
      </w:r>
      <w:r w:rsidRPr="00BF34B3">
        <w:t xml:space="preserve">, as well as the </w:t>
      </w:r>
      <w:r>
        <w:t xml:space="preserve">minimum and maximum </w:t>
      </w:r>
      <w:r w:rsidRPr="00BF34B3">
        <w:t xml:space="preserve">HIV incidence </w:t>
      </w:r>
      <w:r>
        <w:t>outcomes for 2025 and for 2030</w:t>
      </w:r>
      <w:r w:rsidRPr="00BF34B3">
        <w:t>.</w:t>
      </w:r>
    </w:p>
    <w:p w14:paraId="30E7FB04" w14:textId="55BD632C" w:rsidR="00BA30F7" w:rsidRPr="000135E6" w:rsidRDefault="00BA30F7" w:rsidP="00BA30F7">
      <w:pPr>
        <w:pStyle w:val="Heading2"/>
      </w:pPr>
      <w:bookmarkStart w:id="173" w:name="_Toc89257579"/>
      <w:r w:rsidRPr="000135E6">
        <w:t>Results</w:t>
      </w:r>
      <w:bookmarkEnd w:id="173"/>
    </w:p>
    <w:p w14:paraId="4E9598A0" w14:textId="77777777" w:rsidR="00BA30F7" w:rsidRDefault="00BA30F7" w:rsidP="00BA30F7">
      <w:pPr>
        <w:spacing w:after="120" w:line="320" w:lineRule="exact"/>
      </w:pPr>
      <w:r>
        <w:t xml:space="preserve">The uncertainty analyses using 10 alternate sets of input values for the model’s 280 calibrated inputs produced minimum and maximum allocations for each intervention that varied from the allocations under the base case (Table 11.1) but in most cases identified optimal allocation strategies that were very similar to the base case. Across all calibration sets, the majority of funds were distributed to </w:t>
      </w:r>
      <w:proofErr w:type="spellStart"/>
      <w:r>
        <w:t>PrEP</w:t>
      </w:r>
      <w:proofErr w:type="spellEnd"/>
      <w:r>
        <w:t xml:space="preserve"> (35-50% of overall spending), adherence-related interventions (20-31%), and screening (17-24%) from 2023-2025. In general, the model exhibited some indifference between funding </w:t>
      </w:r>
      <w:proofErr w:type="spellStart"/>
      <w:r>
        <w:t>PrEP</w:t>
      </w:r>
      <w:proofErr w:type="spellEnd"/>
      <w:r>
        <w:t xml:space="preserve"> for MSM and HIV testing for low-risk HETS, indicating that the infections averted from each additional dollar spent on these 2 interventions (given the allocations to the other interventions) is similar</w:t>
      </w:r>
      <w:r w:rsidRPr="00E3647B">
        <w:t xml:space="preserve">. </w:t>
      </w:r>
      <w:r>
        <w:t xml:space="preserve">Similar trends were observed in 2025-2030, although allocations to adherence-related interventions were more variable (13-38% of overall spending). One of the 10 input sets resulted in shifts of funds away from </w:t>
      </w:r>
      <w:proofErr w:type="spellStart"/>
      <w:r>
        <w:t>PrEP</w:t>
      </w:r>
      <w:proofErr w:type="spellEnd"/>
      <w:r>
        <w:t xml:space="preserve"> to ART adherence and screening of $1.1 billion and $0.6 billion for the first and second allocation periods, respectively. </w:t>
      </w:r>
    </w:p>
    <w:p w14:paraId="5C0D1999" w14:textId="77777777" w:rsidR="00BA30F7" w:rsidRDefault="00BA30F7" w:rsidP="00BA30F7">
      <w:pPr>
        <w:spacing w:after="120" w:line="320" w:lineRule="exact"/>
        <w:rPr>
          <w:rFonts w:cstheme="minorHAnsi"/>
          <w:color w:val="222222"/>
          <w:shd w:val="clear" w:color="auto" w:fill="FFFFFF"/>
        </w:rPr>
      </w:pPr>
      <w:r>
        <w:rPr>
          <w:rFonts w:cstheme="minorHAnsi"/>
          <w:color w:val="222222"/>
          <w:shd w:val="clear" w:color="auto" w:fill="FFFFFF"/>
        </w:rPr>
        <w:t xml:space="preserve">As reported in Table 11.1, </w:t>
      </w:r>
      <w:r w:rsidRPr="003B3106">
        <w:rPr>
          <w:rFonts w:cstheme="minorHAnsi"/>
          <w:color w:val="222222"/>
          <w:shd w:val="clear" w:color="auto" w:fill="FFFFFF"/>
        </w:rPr>
        <w:t>HIV incidence</w:t>
      </w:r>
      <w:r>
        <w:rPr>
          <w:rFonts w:cstheme="minorHAnsi"/>
          <w:color w:val="222222"/>
          <w:shd w:val="clear" w:color="auto" w:fill="FFFFFF"/>
        </w:rPr>
        <w:t xml:space="preserve"> in 2025</w:t>
      </w:r>
      <w:r w:rsidRPr="003B3106">
        <w:rPr>
          <w:rFonts w:cstheme="minorHAnsi"/>
          <w:color w:val="222222"/>
          <w:shd w:val="clear" w:color="auto" w:fill="FFFFFF"/>
        </w:rPr>
        <w:t xml:space="preserve"> </w:t>
      </w:r>
      <w:r>
        <w:rPr>
          <w:rFonts w:cstheme="minorHAnsi"/>
          <w:color w:val="222222"/>
          <w:shd w:val="clear" w:color="auto" w:fill="FFFFFF"/>
        </w:rPr>
        <w:t>varied from 6,932 to 9,991</w:t>
      </w:r>
      <w:r w:rsidRPr="003B3106">
        <w:rPr>
          <w:rFonts w:cstheme="minorHAnsi"/>
          <w:color w:val="222222"/>
          <w:shd w:val="clear" w:color="auto" w:fill="FFFFFF"/>
        </w:rPr>
        <w:t xml:space="preserve"> across the ten </w:t>
      </w:r>
      <w:r>
        <w:rPr>
          <w:rFonts w:cstheme="minorHAnsi"/>
          <w:color w:val="222222"/>
          <w:shd w:val="clear" w:color="auto" w:fill="FFFFFF"/>
        </w:rPr>
        <w:t>alternate</w:t>
      </w:r>
      <w:r w:rsidRPr="003B3106">
        <w:rPr>
          <w:rFonts w:cstheme="minorHAnsi"/>
          <w:color w:val="222222"/>
          <w:shd w:val="clear" w:color="auto" w:fill="FFFFFF"/>
        </w:rPr>
        <w:t xml:space="preserve"> sets</w:t>
      </w:r>
      <w:r>
        <w:rPr>
          <w:rFonts w:cstheme="minorHAnsi"/>
          <w:color w:val="222222"/>
          <w:shd w:val="clear" w:color="auto" w:fill="FFFFFF"/>
        </w:rPr>
        <w:t xml:space="preserve"> (7,980 </w:t>
      </w:r>
      <w:r w:rsidRPr="003B3106">
        <w:rPr>
          <w:rFonts w:cstheme="minorHAnsi"/>
          <w:color w:val="222222"/>
          <w:shd w:val="clear" w:color="auto" w:fill="FFFFFF"/>
        </w:rPr>
        <w:t>in the base case</w:t>
      </w:r>
      <w:r>
        <w:rPr>
          <w:rFonts w:cstheme="minorHAnsi"/>
          <w:color w:val="222222"/>
          <w:shd w:val="clear" w:color="auto" w:fill="FFFFFF"/>
        </w:rPr>
        <w:t>)</w:t>
      </w:r>
      <w:r w:rsidRPr="003B3106">
        <w:rPr>
          <w:rFonts w:cstheme="minorHAnsi"/>
          <w:color w:val="222222"/>
          <w:shd w:val="clear" w:color="auto" w:fill="FFFFFF"/>
        </w:rPr>
        <w:t>. HIV incidence</w:t>
      </w:r>
      <w:r>
        <w:rPr>
          <w:rFonts w:cstheme="minorHAnsi"/>
          <w:color w:val="222222"/>
          <w:shd w:val="clear" w:color="auto" w:fill="FFFFFF"/>
        </w:rPr>
        <w:t xml:space="preserve"> in 2030</w:t>
      </w:r>
      <w:r w:rsidRPr="003B3106">
        <w:rPr>
          <w:rFonts w:cstheme="minorHAnsi"/>
          <w:color w:val="222222"/>
          <w:shd w:val="clear" w:color="auto" w:fill="FFFFFF"/>
        </w:rPr>
        <w:t xml:space="preserve"> </w:t>
      </w:r>
      <w:r>
        <w:rPr>
          <w:rFonts w:cstheme="minorHAnsi"/>
          <w:color w:val="222222"/>
          <w:shd w:val="clear" w:color="auto" w:fill="FFFFFF"/>
        </w:rPr>
        <w:t xml:space="preserve">varied from 2,034 to 3,065 across the alternate sets (2,223 </w:t>
      </w:r>
      <w:r w:rsidRPr="003B3106">
        <w:rPr>
          <w:rFonts w:cstheme="minorHAnsi"/>
          <w:color w:val="222222"/>
          <w:shd w:val="clear" w:color="auto" w:fill="FFFFFF"/>
        </w:rPr>
        <w:t>in the base case</w:t>
      </w:r>
      <w:r>
        <w:rPr>
          <w:rFonts w:cstheme="minorHAnsi"/>
          <w:color w:val="222222"/>
          <w:shd w:val="clear" w:color="auto" w:fill="FFFFFF"/>
        </w:rPr>
        <w:t xml:space="preserve">). Optimal allocations for three calibration </w:t>
      </w:r>
      <w:r>
        <w:rPr>
          <w:rFonts w:cstheme="minorHAnsi"/>
          <w:color w:val="222222"/>
          <w:shd w:val="clear" w:color="auto" w:fill="FFFFFF"/>
        </w:rPr>
        <w:lastRenderedPageBreak/>
        <w:t>sets resulted in HIV incidence in 2030 that was marginally higher than the EHE target of 3,000 infections (not shown)</w:t>
      </w:r>
      <w:r w:rsidRPr="003B3106">
        <w:rPr>
          <w:rFonts w:cstheme="minorHAnsi"/>
          <w:color w:val="222222"/>
          <w:shd w:val="clear" w:color="auto" w:fill="FFFFFF"/>
        </w:rPr>
        <w:t xml:space="preserve">. </w:t>
      </w:r>
    </w:p>
    <w:p w14:paraId="7D9BFCDD" w14:textId="77777777" w:rsidR="00BA30F7" w:rsidRDefault="00BA30F7" w:rsidP="00BA30F7">
      <w:pPr>
        <w:rPr>
          <w:rFonts w:cstheme="minorHAnsi"/>
          <w:color w:val="222222"/>
          <w:shd w:val="clear" w:color="auto" w:fill="FFFFFF"/>
        </w:rPr>
      </w:pPr>
    </w:p>
    <w:p w14:paraId="644094E8" w14:textId="77777777" w:rsidR="00BA30F7" w:rsidRPr="00527727" w:rsidRDefault="00BA30F7" w:rsidP="00BA30F7">
      <w:pPr>
        <w:pStyle w:val="TableTitle"/>
        <w:pageBreakBefore/>
      </w:pPr>
      <w:bookmarkStart w:id="174" w:name="_Toc89257621"/>
      <w:r>
        <w:lastRenderedPageBreak/>
        <w:t>Table 11.1</w:t>
      </w:r>
      <w:r w:rsidRPr="00527727">
        <w:tab/>
        <w:t xml:space="preserve">Uncertainty Analysis Results for </w:t>
      </w:r>
      <w:r>
        <w:t xml:space="preserve">Optimal </w:t>
      </w:r>
      <w:r w:rsidRPr="00527727">
        <w:t>HIV Prevention-related Allocation: Minimum and Maximum Values of Key Outcomes</w:t>
      </w:r>
      <w:bookmarkEnd w:id="174"/>
      <w:r w:rsidRPr="00527727">
        <w:t xml:space="preserve"> </w:t>
      </w:r>
    </w:p>
    <w:tbl>
      <w:tblPr>
        <w:tblStyle w:val="TableFormat4"/>
        <w:tblW w:w="5000" w:type="pct"/>
        <w:tblInd w:w="0" w:type="dxa"/>
        <w:tblLayout w:type="fixed"/>
        <w:tblLook w:val="0620" w:firstRow="1" w:lastRow="0" w:firstColumn="0" w:lastColumn="0" w:noHBand="1" w:noVBand="1"/>
      </w:tblPr>
      <w:tblGrid>
        <w:gridCol w:w="4037"/>
        <w:gridCol w:w="1980"/>
        <w:gridCol w:w="1711"/>
        <w:gridCol w:w="1632"/>
      </w:tblGrid>
      <w:tr w:rsidR="00BA30F7" w:rsidRPr="00527727" w14:paraId="5BF9290A" w14:textId="77777777" w:rsidTr="00BA30F7">
        <w:trPr>
          <w:cnfStyle w:val="100000000000" w:firstRow="1" w:lastRow="0" w:firstColumn="0" w:lastColumn="0" w:oddVBand="0" w:evenVBand="0" w:oddHBand="0" w:evenHBand="0" w:firstRowFirstColumn="0" w:firstRowLastColumn="0" w:lastRowFirstColumn="0" w:lastRowLastColumn="0"/>
          <w:tblHeader/>
        </w:trPr>
        <w:tc>
          <w:tcPr>
            <w:tcW w:w="4037" w:type="dxa"/>
            <w:noWrap/>
            <w:hideMark/>
          </w:tcPr>
          <w:p w14:paraId="1C9D7468" w14:textId="77777777" w:rsidR="00BA30F7" w:rsidRPr="00527727" w:rsidRDefault="00BA30F7" w:rsidP="00BA30F7">
            <w:pPr>
              <w:pStyle w:val="TableHeaders"/>
            </w:pPr>
            <w:r w:rsidRPr="00527727">
              <w:t>Outcome</w:t>
            </w:r>
          </w:p>
        </w:tc>
        <w:tc>
          <w:tcPr>
            <w:tcW w:w="1980" w:type="dxa"/>
            <w:noWrap/>
            <w:hideMark/>
          </w:tcPr>
          <w:p w14:paraId="5F877160" w14:textId="77777777" w:rsidR="00BA30F7" w:rsidRPr="00527727" w:rsidRDefault="00BA30F7" w:rsidP="00BA30F7">
            <w:pPr>
              <w:pStyle w:val="TableHeaders"/>
              <w:jc w:val="right"/>
            </w:pPr>
            <w:r w:rsidRPr="00527727">
              <w:t>Base Case</w:t>
            </w:r>
          </w:p>
        </w:tc>
        <w:tc>
          <w:tcPr>
            <w:tcW w:w="1711" w:type="dxa"/>
            <w:noWrap/>
            <w:hideMark/>
          </w:tcPr>
          <w:p w14:paraId="6A156789" w14:textId="77777777" w:rsidR="00BA30F7" w:rsidRPr="00527727" w:rsidRDefault="00BA30F7" w:rsidP="00BA30F7">
            <w:pPr>
              <w:pStyle w:val="TableHeaders"/>
              <w:jc w:val="right"/>
            </w:pPr>
            <w:proofErr w:type="spellStart"/>
            <w:r w:rsidRPr="00527727">
              <w:t>Minimum</w:t>
            </w:r>
            <w:r w:rsidRPr="007939AF">
              <w:rPr>
                <w:vertAlign w:val="superscript"/>
              </w:rPr>
              <w:t>a</w:t>
            </w:r>
            <w:proofErr w:type="spellEnd"/>
          </w:p>
        </w:tc>
        <w:tc>
          <w:tcPr>
            <w:tcW w:w="1632" w:type="dxa"/>
            <w:noWrap/>
            <w:hideMark/>
          </w:tcPr>
          <w:p w14:paraId="5231CFAE" w14:textId="77777777" w:rsidR="00BA30F7" w:rsidRPr="00527727" w:rsidRDefault="00BA30F7" w:rsidP="00BA30F7">
            <w:pPr>
              <w:pStyle w:val="TableHeaders"/>
              <w:jc w:val="right"/>
            </w:pPr>
            <w:proofErr w:type="spellStart"/>
            <w:r w:rsidRPr="00527727">
              <w:t>Maximum</w:t>
            </w:r>
            <w:r w:rsidRPr="007939AF">
              <w:rPr>
                <w:vertAlign w:val="superscript"/>
              </w:rPr>
              <w:t>a</w:t>
            </w:r>
            <w:proofErr w:type="spellEnd"/>
          </w:p>
        </w:tc>
      </w:tr>
      <w:tr w:rsidR="00BA30F7" w:rsidRPr="00527727" w14:paraId="7E055606" w14:textId="77777777" w:rsidTr="00BA30F7">
        <w:tc>
          <w:tcPr>
            <w:tcW w:w="4037" w:type="dxa"/>
            <w:tcBorders>
              <w:top w:val="single" w:sz="4" w:space="0" w:color="808080" w:themeColor="background1" w:themeShade="80"/>
              <w:bottom w:val="single" w:sz="4" w:space="0" w:color="808080" w:themeColor="background1" w:themeShade="80"/>
            </w:tcBorders>
            <w:noWrap/>
          </w:tcPr>
          <w:p w14:paraId="00A854E1" w14:textId="77777777" w:rsidR="00BA30F7" w:rsidRPr="00527727" w:rsidRDefault="00BA30F7" w:rsidP="00BA30F7">
            <w:pPr>
              <w:pStyle w:val="TableTextIndent1"/>
              <w:spacing w:before="40"/>
              <w:ind w:left="0"/>
            </w:pPr>
            <w:r>
              <w:t>Optimized allocation to intervention ($M)</w:t>
            </w:r>
            <w:r>
              <w:rPr>
                <w:vertAlign w:val="superscript"/>
              </w:rPr>
              <w:t>b</w:t>
            </w:r>
          </w:p>
        </w:tc>
        <w:tc>
          <w:tcPr>
            <w:tcW w:w="1980" w:type="dxa"/>
            <w:tcBorders>
              <w:top w:val="single" w:sz="4" w:space="0" w:color="808080" w:themeColor="background1" w:themeShade="80"/>
              <w:bottom w:val="single" w:sz="4" w:space="0" w:color="808080" w:themeColor="background1" w:themeShade="80"/>
            </w:tcBorders>
            <w:noWrap/>
          </w:tcPr>
          <w:p w14:paraId="54CCF2F6" w14:textId="77777777" w:rsidR="00BA30F7" w:rsidRPr="00527727" w:rsidRDefault="00BA30F7" w:rsidP="00BA30F7">
            <w:pPr>
              <w:pStyle w:val="TableText"/>
              <w:tabs>
                <w:tab w:val="decimal" w:pos="920"/>
              </w:tabs>
              <w:spacing w:before="40"/>
              <w:jc w:val="right"/>
            </w:pPr>
          </w:p>
        </w:tc>
        <w:tc>
          <w:tcPr>
            <w:tcW w:w="1711" w:type="dxa"/>
            <w:tcBorders>
              <w:top w:val="single" w:sz="4" w:space="0" w:color="808080" w:themeColor="background1" w:themeShade="80"/>
              <w:bottom w:val="single" w:sz="4" w:space="0" w:color="808080" w:themeColor="background1" w:themeShade="80"/>
            </w:tcBorders>
            <w:noWrap/>
          </w:tcPr>
          <w:p w14:paraId="55919C30" w14:textId="77777777" w:rsidR="00BA30F7" w:rsidRPr="00527727" w:rsidRDefault="00BA30F7" w:rsidP="00BA30F7">
            <w:pPr>
              <w:pStyle w:val="TableText"/>
              <w:tabs>
                <w:tab w:val="decimal" w:pos="920"/>
              </w:tabs>
              <w:spacing w:before="40"/>
              <w:jc w:val="right"/>
            </w:pPr>
          </w:p>
        </w:tc>
        <w:tc>
          <w:tcPr>
            <w:tcW w:w="1632" w:type="dxa"/>
            <w:tcBorders>
              <w:top w:val="single" w:sz="4" w:space="0" w:color="808080" w:themeColor="background1" w:themeShade="80"/>
              <w:bottom w:val="single" w:sz="4" w:space="0" w:color="808080" w:themeColor="background1" w:themeShade="80"/>
            </w:tcBorders>
            <w:noWrap/>
          </w:tcPr>
          <w:p w14:paraId="4E21B40E" w14:textId="77777777" w:rsidR="00BA30F7" w:rsidRPr="00527727" w:rsidRDefault="00BA30F7" w:rsidP="00BA30F7">
            <w:pPr>
              <w:pStyle w:val="TableText"/>
              <w:tabs>
                <w:tab w:val="decimal" w:pos="920"/>
              </w:tabs>
              <w:spacing w:before="40"/>
              <w:jc w:val="right"/>
            </w:pPr>
          </w:p>
        </w:tc>
      </w:tr>
      <w:tr w:rsidR="00BA30F7" w:rsidRPr="00527727" w14:paraId="5806F7F1" w14:textId="77777777" w:rsidTr="00BA30F7">
        <w:tc>
          <w:tcPr>
            <w:tcW w:w="4037" w:type="dxa"/>
            <w:tcBorders>
              <w:top w:val="single" w:sz="4" w:space="0" w:color="808080" w:themeColor="background1" w:themeShade="80"/>
              <w:bottom w:val="single" w:sz="4" w:space="0" w:color="808080" w:themeColor="background1" w:themeShade="80"/>
            </w:tcBorders>
            <w:noWrap/>
          </w:tcPr>
          <w:p w14:paraId="2DC21553" w14:textId="77777777" w:rsidR="00BA30F7" w:rsidRDefault="00BA30F7" w:rsidP="00BA30F7">
            <w:pPr>
              <w:pStyle w:val="TableTextIndent1"/>
              <w:spacing w:before="40"/>
              <w:ind w:left="144"/>
            </w:pPr>
            <w:r>
              <w:t>2023-2025</w:t>
            </w:r>
          </w:p>
        </w:tc>
        <w:tc>
          <w:tcPr>
            <w:tcW w:w="1980" w:type="dxa"/>
            <w:tcBorders>
              <w:top w:val="single" w:sz="4" w:space="0" w:color="808080" w:themeColor="background1" w:themeShade="80"/>
              <w:bottom w:val="single" w:sz="4" w:space="0" w:color="808080" w:themeColor="background1" w:themeShade="80"/>
            </w:tcBorders>
            <w:noWrap/>
          </w:tcPr>
          <w:p w14:paraId="09B8CF6C" w14:textId="77777777" w:rsidR="00BA30F7" w:rsidRPr="00527727" w:rsidRDefault="00BA30F7" w:rsidP="00BA30F7">
            <w:pPr>
              <w:pStyle w:val="TableText"/>
              <w:tabs>
                <w:tab w:val="decimal" w:pos="920"/>
              </w:tabs>
              <w:spacing w:before="40"/>
              <w:jc w:val="right"/>
            </w:pPr>
          </w:p>
        </w:tc>
        <w:tc>
          <w:tcPr>
            <w:tcW w:w="1711" w:type="dxa"/>
            <w:tcBorders>
              <w:top w:val="single" w:sz="4" w:space="0" w:color="808080" w:themeColor="background1" w:themeShade="80"/>
              <w:bottom w:val="single" w:sz="4" w:space="0" w:color="808080" w:themeColor="background1" w:themeShade="80"/>
            </w:tcBorders>
            <w:noWrap/>
          </w:tcPr>
          <w:p w14:paraId="11FA138A" w14:textId="77777777" w:rsidR="00BA30F7" w:rsidRPr="00527727" w:rsidRDefault="00BA30F7" w:rsidP="00BA30F7">
            <w:pPr>
              <w:pStyle w:val="TableText"/>
              <w:tabs>
                <w:tab w:val="decimal" w:pos="920"/>
              </w:tabs>
              <w:spacing w:before="40"/>
              <w:jc w:val="right"/>
            </w:pPr>
          </w:p>
        </w:tc>
        <w:tc>
          <w:tcPr>
            <w:tcW w:w="1632" w:type="dxa"/>
            <w:tcBorders>
              <w:top w:val="single" w:sz="4" w:space="0" w:color="808080" w:themeColor="background1" w:themeShade="80"/>
              <w:bottom w:val="single" w:sz="4" w:space="0" w:color="808080" w:themeColor="background1" w:themeShade="80"/>
            </w:tcBorders>
            <w:noWrap/>
          </w:tcPr>
          <w:p w14:paraId="41CC5C8A" w14:textId="77777777" w:rsidR="00BA30F7" w:rsidRPr="00527727" w:rsidRDefault="00BA30F7" w:rsidP="00BA30F7">
            <w:pPr>
              <w:pStyle w:val="TableText"/>
              <w:tabs>
                <w:tab w:val="decimal" w:pos="920"/>
              </w:tabs>
              <w:spacing w:before="40"/>
              <w:jc w:val="right"/>
            </w:pPr>
          </w:p>
        </w:tc>
      </w:tr>
      <w:tr w:rsidR="00BA30F7" w:rsidRPr="00527727" w14:paraId="00608892"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1E62C247" w14:textId="77777777" w:rsidR="00BA30F7" w:rsidRPr="00841A48" w:rsidRDefault="00BA30F7" w:rsidP="00BA30F7">
            <w:pPr>
              <w:ind w:left="274"/>
            </w:pPr>
            <w:r>
              <w:t>Screening</w:t>
            </w:r>
            <w:r w:rsidRPr="00841A48">
              <w:t xml:space="preserve"> high-risk HETs</w:t>
            </w:r>
          </w:p>
        </w:tc>
        <w:tc>
          <w:tcPr>
            <w:tcW w:w="1980" w:type="dxa"/>
            <w:tcBorders>
              <w:top w:val="single" w:sz="4" w:space="0" w:color="808080" w:themeColor="background1" w:themeShade="80"/>
              <w:bottom w:val="single" w:sz="4" w:space="0" w:color="808080" w:themeColor="background1" w:themeShade="80"/>
            </w:tcBorders>
            <w:noWrap/>
          </w:tcPr>
          <w:p w14:paraId="4DC3DC95" w14:textId="77777777" w:rsidR="00BA30F7" w:rsidRPr="00D5174F" w:rsidRDefault="00BA30F7" w:rsidP="00BA30F7">
            <w:pPr>
              <w:jc w:val="right"/>
            </w:pPr>
            <w:r w:rsidRPr="00330D1B">
              <w:t>$339.1</w:t>
            </w:r>
          </w:p>
        </w:tc>
        <w:tc>
          <w:tcPr>
            <w:tcW w:w="1711" w:type="dxa"/>
            <w:tcBorders>
              <w:top w:val="single" w:sz="4" w:space="0" w:color="808080" w:themeColor="background1" w:themeShade="80"/>
              <w:bottom w:val="single" w:sz="4" w:space="0" w:color="808080" w:themeColor="background1" w:themeShade="80"/>
            </w:tcBorders>
            <w:noWrap/>
          </w:tcPr>
          <w:p w14:paraId="6DF22235" w14:textId="77777777" w:rsidR="00BA30F7" w:rsidRPr="000D30C5" w:rsidRDefault="00BA30F7" w:rsidP="00BA30F7">
            <w:pPr>
              <w:jc w:val="right"/>
            </w:pPr>
            <w:r w:rsidRPr="00C41635">
              <w:t>$300.8</w:t>
            </w:r>
          </w:p>
        </w:tc>
        <w:tc>
          <w:tcPr>
            <w:tcW w:w="1632" w:type="dxa"/>
            <w:tcBorders>
              <w:top w:val="single" w:sz="4" w:space="0" w:color="808080" w:themeColor="background1" w:themeShade="80"/>
              <w:bottom w:val="single" w:sz="4" w:space="0" w:color="808080" w:themeColor="background1" w:themeShade="80"/>
            </w:tcBorders>
            <w:noWrap/>
          </w:tcPr>
          <w:p w14:paraId="7D174289" w14:textId="77777777" w:rsidR="00BA30F7" w:rsidRPr="000D30C5" w:rsidRDefault="00BA30F7" w:rsidP="00BA30F7">
            <w:pPr>
              <w:jc w:val="right"/>
            </w:pPr>
            <w:r w:rsidRPr="006F21DC">
              <w:t>$603.4</w:t>
            </w:r>
          </w:p>
        </w:tc>
      </w:tr>
      <w:tr w:rsidR="00BA30F7" w:rsidRPr="00527727" w14:paraId="296B842A"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1263F3D4" w14:textId="77777777" w:rsidR="00BA30F7" w:rsidRPr="00841A48" w:rsidRDefault="00BA30F7" w:rsidP="00BA30F7">
            <w:pPr>
              <w:ind w:left="274"/>
            </w:pPr>
            <w:r>
              <w:t>Screening</w:t>
            </w:r>
            <w:r w:rsidRPr="00841A48">
              <w:t xml:space="preserve"> low-risk HETs</w:t>
            </w:r>
          </w:p>
        </w:tc>
        <w:tc>
          <w:tcPr>
            <w:tcW w:w="1980" w:type="dxa"/>
            <w:tcBorders>
              <w:top w:val="single" w:sz="4" w:space="0" w:color="808080" w:themeColor="background1" w:themeShade="80"/>
              <w:bottom w:val="single" w:sz="4" w:space="0" w:color="808080" w:themeColor="background1" w:themeShade="80"/>
            </w:tcBorders>
            <w:noWrap/>
          </w:tcPr>
          <w:p w14:paraId="1F8DB4A1" w14:textId="77777777" w:rsidR="00BA30F7" w:rsidRPr="00D5174F" w:rsidRDefault="00BA30F7" w:rsidP="00BA30F7">
            <w:pPr>
              <w:jc w:val="right"/>
            </w:pPr>
            <w:r w:rsidRPr="00330D1B">
              <w:t>$275.3</w:t>
            </w:r>
          </w:p>
        </w:tc>
        <w:tc>
          <w:tcPr>
            <w:tcW w:w="1711" w:type="dxa"/>
            <w:tcBorders>
              <w:top w:val="single" w:sz="4" w:space="0" w:color="808080" w:themeColor="background1" w:themeShade="80"/>
              <w:bottom w:val="single" w:sz="4" w:space="0" w:color="808080" w:themeColor="background1" w:themeShade="80"/>
            </w:tcBorders>
            <w:noWrap/>
          </w:tcPr>
          <w:p w14:paraId="1A575791" w14:textId="77777777" w:rsidR="00BA30F7" w:rsidRPr="000D30C5" w:rsidRDefault="00BA30F7" w:rsidP="00BA30F7">
            <w:pPr>
              <w:jc w:val="right"/>
            </w:pPr>
            <w:r w:rsidRPr="00C41635">
              <w:t>$0.1</w:t>
            </w:r>
          </w:p>
        </w:tc>
        <w:tc>
          <w:tcPr>
            <w:tcW w:w="1632" w:type="dxa"/>
            <w:tcBorders>
              <w:top w:val="single" w:sz="4" w:space="0" w:color="808080" w:themeColor="background1" w:themeShade="80"/>
              <w:bottom w:val="single" w:sz="4" w:space="0" w:color="808080" w:themeColor="background1" w:themeShade="80"/>
            </w:tcBorders>
            <w:noWrap/>
          </w:tcPr>
          <w:p w14:paraId="23C721E1" w14:textId="77777777" w:rsidR="00BA30F7" w:rsidRPr="000D30C5" w:rsidRDefault="00BA30F7" w:rsidP="00BA30F7">
            <w:pPr>
              <w:jc w:val="right"/>
            </w:pPr>
            <w:r w:rsidRPr="006F21DC">
              <w:t>$334.8</w:t>
            </w:r>
          </w:p>
        </w:tc>
      </w:tr>
      <w:tr w:rsidR="00BA30F7" w:rsidRPr="00527727" w14:paraId="5FB55006"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1CBA076B" w14:textId="77777777" w:rsidR="00BA30F7" w:rsidRPr="00841A48" w:rsidRDefault="00BA30F7" w:rsidP="00BA30F7">
            <w:pPr>
              <w:ind w:left="274"/>
            </w:pPr>
            <w:r>
              <w:t>Screening</w:t>
            </w:r>
            <w:r w:rsidRPr="00841A48">
              <w:t xml:space="preserve"> high-risk MSM</w:t>
            </w:r>
          </w:p>
        </w:tc>
        <w:tc>
          <w:tcPr>
            <w:tcW w:w="1980" w:type="dxa"/>
            <w:tcBorders>
              <w:top w:val="single" w:sz="4" w:space="0" w:color="808080" w:themeColor="background1" w:themeShade="80"/>
              <w:bottom w:val="single" w:sz="4" w:space="0" w:color="808080" w:themeColor="background1" w:themeShade="80"/>
            </w:tcBorders>
            <w:noWrap/>
          </w:tcPr>
          <w:p w14:paraId="27BB4447" w14:textId="77777777" w:rsidR="00BA30F7" w:rsidRPr="00D5174F" w:rsidRDefault="00BA30F7" w:rsidP="00BA30F7">
            <w:pPr>
              <w:jc w:val="right"/>
            </w:pPr>
            <w:r w:rsidRPr="00330D1B">
              <w:t>$92.9</w:t>
            </w:r>
          </w:p>
        </w:tc>
        <w:tc>
          <w:tcPr>
            <w:tcW w:w="1711" w:type="dxa"/>
            <w:tcBorders>
              <w:top w:val="single" w:sz="4" w:space="0" w:color="808080" w:themeColor="background1" w:themeShade="80"/>
              <w:bottom w:val="single" w:sz="4" w:space="0" w:color="808080" w:themeColor="background1" w:themeShade="80"/>
            </w:tcBorders>
            <w:noWrap/>
          </w:tcPr>
          <w:p w14:paraId="5637184E" w14:textId="77777777" w:rsidR="00BA30F7" w:rsidRPr="000D30C5" w:rsidRDefault="00BA30F7" w:rsidP="00BA30F7">
            <w:pPr>
              <w:jc w:val="right"/>
            </w:pPr>
            <w:r w:rsidRPr="00C41635">
              <w:t>$58.9</w:t>
            </w:r>
          </w:p>
        </w:tc>
        <w:tc>
          <w:tcPr>
            <w:tcW w:w="1632" w:type="dxa"/>
            <w:tcBorders>
              <w:top w:val="single" w:sz="4" w:space="0" w:color="808080" w:themeColor="background1" w:themeShade="80"/>
              <w:bottom w:val="single" w:sz="4" w:space="0" w:color="808080" w:themeColor="background1" w:themeShade="80"/>
            </w:tcBorders>
            <w:noWrap/>
          </w:tcPr>
          <w:p w14:paraId="1AAC513D" w14:textId="77777777" w:rsidR="00BA30F7" w:rsidRPr="000D30C5" w:rsidRDefault="00BA30F7" w:rsidP="00BA30F7">
            <w:pPr>
              <w:jc w:val="right"/>
            </w:pPr>
            <w:r w:rsidRPr="006F21DC">
              <w:t>$97.9</w:t>
            </w:r>
          </w:p>
        </w:tc>
      </w:tr>
      <w:tr w:rsidR="00BA30F7" w:rsidRPr="00527727" w14:paraId="1D15EDC3"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49CBDF3B" w14:textId="77777777" w:rsidR="00BA30F7" w:rsidRPr="00841A48" w:rsidRDefault="00BA30F7" w:rsidP="00BA30F7">
            <w:pPr>
              <w:ind w:left="274"/>
            </w:pPr>
            <w:r>
              <w:t>Screening</w:t>
            </w:r>
            <w:r w:rsidRPr="00841A48">
              <w:t xml:space="preserve"> low-risk MSM</w:t>
            </w:r>
          </w:p>
        </w:tc>
        <w:tc>
          <w:tcPr>
            <w:tcW w:w="1980" w:type="dxa"/>
            <w:tcBorders>
              <w:top w:val="single" w:sz="4" w:space="0" w:color="808080" w:themeColor="background1" w:themeShade="80"/>
              <w:bottom w:val="single" w:sz="4" w:space="0" w:color="808080" w:themeColor="background1" w:themeShade="80"/>
            </w:tcBorders>
            <w:noWrap/>
          </w:tcPr>
          <w:p w14:paraId="2D3FA73D" w14:textId="77777777" w:rsidR="00BA30F7" w:rsidRPr="00D5174F" w:rsidRDefault="00BA30F7" w:rsidP="00BA30F7">
            <w:pPr>
              <w:jc w:val="right"/>
            </w:pPr>
            <w:r w:rsidRPr="00330D1B">
              <w:t>$34.5</w:t>
            </w:r>
          </w:p>
        </w:tc>
        <w:tc>
          <w:tcPr>
            <w:tcW w:w="1711" w:type="dxa"/>
            <w:tcBorders>
              <w:top w:val="single" w:sz="4" w:space="0" w:color="808080" w:themeColor="background1" w:themeShade="80"/>
              <w:bottom w:val="single" w:sz="4" w:space="0" w:color="808080" w:themeColor="background1" w:themeShade="80"/>
            </w:tcBorders>
            <w:noWrap/>
          </w:tcPr>
          <w:p w14:paraId="7DFF899A" w14:textId="77777777" w:rsidR="00BA30F7" w:rsidRPr="000D30C5" w:rsidRDefault="00BA30F7" w:rsidP="00BA30F7">
            <w:pPr>
              <w:jc w:val="right"/>
            </w:pPr>
            <w:r w:rsidRPr="00C41635">
              <w:t>$34.5</w:t>
            </w:r>
          </w:p>
        </w:tc>
        <w:tc>
          <w:tcPr>
            <w:tcW w:w="1632" w:type="dxa"/>
            <w:tcBorders>
              <w:top w:val="single" w:sz="4" w:space="0" w:color="808080" w:themeColor="background1" w:themeShade="80"/>
              <w:bottom w:val="single" w:sz="4" w:space="0" w:color="808080" w:themeColor="background1" w:themeShade="80"/>
            </w:tcBorders>
            <w:noWrap/>
          </w:tcPr>
          <w:p w14:paraId="4F4ECCDC" w14:textId="77777777" w:rsidR="00BA30F7" w:rsidRPr="000D30C5" w:rsidRDefault="00BA30F7" w:rsidP="00BA30F7">
            <w:pPr>
              <w:jc w:val="right"/>
            </w:pPr>
            <w:r w:rsidRPr="006F21DC">
              <w:t>$211.5</w:t>
            </w:r>
          </w:p>
        </w:tc>
      </w:tr>
      <w:tr w:rsidR="00BA30F7" w:rsidRPr="00527727" w14:paraId="7114B06C"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6D4F2382" w14:textId="77777777" w:rsidR="00BA30F7" w:rsidRPr="00841A48" w:rsidRDefault="00BA30F7" w:rsidP="00BA30F7">
            <w:pPr>
              <w:ind w:left="274"/>
            </w:pPr>
            <w:r>
              <w:t>Screening</w:t>
            </w:r>
            <w:r w:rsidRPr="00841A48">
              <w:t xml:space="preserve"> PWID</w:t>
            </w:r>
          </w:p>
        </w:tc>
        <w:tc>
          <w:tcPr>
            <w:tcW w:w="1980" w:type="dxa"/>
            <w:tcBorders>
              <w:top w:val="single" w:sz="4" w:space="0" w:color="808080" w:themeColor="background1" w:themeShade="80"/>
              <w:bottom w:val="single" w:sz="4" w:space="0" w:color="808080" w:themeColor="background1" w:themeShade="80"/>
            </w:tcBorders>
            <w:noWrap/>
          </w:tcPr>
          <w:p w14:paraId="101231FC" w14:textId="77777777" w:rsidR="00BA30F7" w:rsidRPr="00D5174F" w:rsidRDefault="00BA30F7" w:rsidP="00BA30F7">
            <w:pPr>
              <w:jc w:val="right"/>
            </w:pPr>
            <w:r w:rsidRPr="00330D1B">
              <w:t>$32.6</w:t>
            </w:r>
          </w:p>
        </w:tc>
        <w:tc>
          <w:tcPr>
            <w:tcW w:w="1711" w:type="dxa"/>
            <w:tcBorders>
              <w:top w:val="single" w:sz="4" w:space="0" w:color="808080" w:themeColor="background1" w:themeShade="80"/>
              <w:bottom w:val="single" w:sz="4" w:space="0" w:color="808080" w:themeColor="background1" w:themeShade="80"/>
            </w:tcBorders>
            <w:noWrap/>
          </w:tcPr>
          <w:p w14:paraId="2514387C" w14:textId="77777777" w:rsidR="00BA30F7" w:rsidRPr="000D30C5" w:rsidRDefault="00BA30F7" w:rsidP="00BA30F7">
            <w:pPr>
              <w:jc w:val="right"/>
            </w:pPr>
            <w:r w:rsidRPr="00C41635">
              <w:t>$21.4</w:t>
            </w:r>
          </w:p>
        </w:tc>
        <w:tc>
          <w:tcPr>
            <w:tcW w:w="1632" w:type="dxa"/>
            <w:tcBorders>
              <w:top w:val="single" w:sz="4" w:space="0" w:color="808080" w:themeColor="background1" w:themeShade="80"/>
              <w:bottom w:val="single" w:sz="4" w:space="0" w:color="808080" w:themeColor="background1" w:themeShade="80"/>
            </w:tcBorders>
            <w:noWrap/>
          </w:tcPr>
          <w:p w14:paraId="13C7BFC5" w14:textId="77777777" w:rsidR="00BA30F7" w:rsidRPr="000D30C5" w:rsidRDefault="00BA30F7" w:rsidP="00BA30F7">
            <w:pPr>
              <w:jc w:val="right"/>
            </w:pPr>
            <w:r w:rsidRPr="006F21DC">
              <w:t>$220.0</w:t>
            </w:r>
          </w:p>
        </w:tc>
      </w:tr>
      <w:tr w:rsidR="00BA30F7" w:rsidRPr="00527727" w14:paraId="7DC23624"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41C1007E" w14:textId="77777777" w:rsidR="00BA30F7" w:rsidRPr="00841A48" w:rsidRDefault="00BA30F7" w:rsidP="00BA30F7">
            <w:pPr>
              <w:ind w:left="274"/>
            </w:pPr>
            <w:r w:rsidRPr="00841A48">
              <w:t>Linkage-to-care at diagnosis</w:t>
            </w:r>
          </w:p>
        </w:tc>
        <w:tc>
          <w:tcPr>
            <w:tcW w:w="1980" w:type="dxa"/>
            <w:tcBorders>
              <w:top w:val="single" w:sz="4" w:space="0" w:color="808080" w:themeColor="background1" w:themeShade="80"/>
              <w:bottom w:val="single" w:sz="4" w:space="0" w:color="808080" w:themeColor="background1" w:themeShade="80"/>
            </w:tcBorders>
            <w:noWrap/>
          </w:tcPr>
          <w:p w14:paraId="243CB2EC" w14:textId="77777777" w:rsidR="00BA30F7" w:rsidRPr="00D5174F" w:rsidRDefault="00BA30F7" w:rsidP="00BA30F7">
            <w:pPr>
              <w:jc w:val="right"/>
            </w:pPr>
            <w:r w:rsidRPr="00330D1B">
              <w:t>$102.1</w:t>
            </w:r>
          </w:p>
        </w:tc>
        <w:tc>
          <w:tcPr>
            <w:tcW w:w="1711" w:type="dxa"/>
            <w:tcBorders>
              <w:top w:val="single" w:sz="4" w:space="0" w:color="808080" w:themeColor="background1" w:themeShade="80"/>
              <w:bottom w:val="single" w:sz="4" w:space="0" w:color="808080" w:themeColor="background1" w:themeShade="80"/>
            </w:tcBorders>
            <w:noWrap/>
          </w:tcPr>
          <w:p w14:paraId="47A8D6B5" w14:textId="77777777" w:rsidR="00BA30F7" w:rsidRPr="000D30C5" w:rsidRDefault="00BA30F7" w:rsidP="00BA30F7">
            <w:pPr>
              <w:jc w:val="right"/>
            </w:pPr>
            <w:r w:rsidRPr="00C41635">
              <w:t>$55.3</w:t>
            </w:r>
          </w:p>
        </w:tc>
        <w:tc>
          <w:tcPr>
            <w:tcW w:w="1632" w:type="dxa"/>
            <w:tcBorders>
              <w:top w:val="single" w:sz="4" w:space="0" w:color="808080" w:themeColor="background1" w:themeShade="80"/>
              <w:bottom w:val="single" w:sz="4" w:space="0" w:color="808080" w:themeColor="background1" w:themeShade="80"/>
            </w:tcBorders>
            <w:noWrap/>
          </w:tcPr>
          <w:p w14:paraId="3341C8D4" w14:textId="77777777" w:rsidR="00BA30F7" w:rsidRPr="000D30C5" w:rsidRDefault="00BA30F7" w:rsidP="00BA30F7">
            <w:pPr>
              <w:jc w:val="right"/>
            </w:pPr>
            <w:r w:rsidRPr="006F21DC">
              <w:t>$273.2</w:t>
            </w:r>
          </w:p>
        </w:tc>
      </w:tr>
      <w:tr w:rsidR="00BA30F7" w:rsidRPr="00527727" w14:paraId="2C5269D2"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1EA40E13" w14:textId="77777777" w:rsidR="00BA30F7" w:rsidRPr="00841A48" w:rsidRDefault="00BA30F7" w:rsidP="00BA30F7">
            <w:pPr>
              <w:ind w:left="274"/>
            </w:pPr>
            <w:r w:rsidRPr="00841A48">
              <w:t>Linkage-to-care after diagnosis</w:t>
            </w:r>
          </w:p>
        </w:tc>
        <w:tc>
          <w:tcPr>
            <w:tcW w:w="1980" w:type="dxa"/>
            <w:tcBorders>
              <w:top w:val="single" w:sz="4" w:space="0" w:color="808080" w:themeColor="background1" w:themeShade="80"/>
              <w:bottom w:val="single" w:sz="4" w:space="0" w:color="808080" w:themeColor="background1" w:themeShade="80"/>
            </w:tcBorders>
            <w:noWrap/>
          </w:tcPr>
          <w:p w14:paraId="16BCA048" w14:textId="77777777" w:rsidR="00BA30F7" w:rsidRPr="00D5174F" w:rsidRDefault="00BA30F7" w:rsidP="00BA30F7">
            <w:pPr>
              <w:jc w:val="right"/>
            </w:pPr>
            <w:r w:rsidRPr="00330D1B">
              <w:t>$97.5</w:t>
            </w:r>
          </w:p>
        </w:tc>
        <w:tc>
          <w:tcPr>
            <w:tcW w:w="1711" w:type="dxa"/>
            <w:tcBorders>
              <w:top w:val="single" w:sz="4" w:space="0" w:color="808080" w:themeColor="background1" w:themeShade="80"/>
              <w:bottom w:val="single" w:sz="4" w:space="0" w:color="808080" w:themeColor="background1" w:themeShade="80"/>
            </w:tcBorders>
            <w:noWrap/>
          </w:tcPr>
          <w:p w14:paraId="5D5DB888" w14:textId="77777777" w:rsidR="00BA30F7" w:rsidRPr="000D30C5" w:rsidRDefault="00BA30F7" w:rsidP="00BA30F7">
            <w:pPr>
              <w:jc w:val="right"/>
            </w:pPr>
            <w:r w:rsidRPr="00C41635">
              <w:t>$44.0</w:t>
            </w:r>
          </w:p>
        </w:tc>
        <w:tc>
          <w:tcPr>
            <w:tcW w:w="1632" w:type="dxa"/>
            <w:tcBorders>
              <w:top w:val="single" w:sz="4" w:space="0" w:color="808080" w:themeColor="background1" w:themeShade="80"/>
              <w:bottom w:val="single" w:sz="4" w:space="0" w:color="808080" w:themeColor="background1" w:themeShade="80"/>
            </w:tcBorders>
            <w:noWrap/>
          </w:tcPr>
          <w:p w14:paraId="6F7D1318" w14:textId="77777777" w:rsidR="00BA30F7" w:rsidRPr="000D30C5" w:rsidRDefault="00BA30F7" w:rsidP="00BA30F7">
            <w:pPr>
              <w:jc w:val="right"/>
            </w:pPr>
            <w:r w:rsidRPr="006F21DC">
              <w:t>$186.1</w:t>
            </w:r>
          </w:p>
        </w:tc>
      </w:tr>
      <w:tr w:rsidR="00BA30F7" w:rsidRPr="00527727" w14:paraId="48CB6CDF"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70B2588E" w14:textId="77777777" w:rsidR="00BA30F7" w:rsidRPr="00841A48" w:rsidRDefault="00BA30F7" w:rsidP="00BA30F7">
            <w:pPr>
              <w:ind w:left="274"/>
            </w:pPr>
            <w:r w:rsidRPr="00841A48">
              <w:t>ART prescription</w:t>
            </w:r>
          </w:p>
        </w:tc>
        <w:tc>
          <w:tcPr>
            <w:tcW w:w="1980" w:type="dxa"/>
            <w:tcBorders>
              <w:top w:val="single" w:sz="4" w:space="0" w:color="808080" w:themeColor="background1" w:themeShade="80"/>
              <w:bottom w:val="single" w:sz="4" w:space="0" w:color="808080" w:themeColor="background1" w:themeShade="80"/>
            </w:tcBorders>
            <w:noWrap/>
          </w:tcPr>
          <w:p w14:paraId="04FC336E" w14:textId="77777777" w:rsidR="00BA30F7" w:rsidRPr="00D5174F" w:rsidRDefault="00BA30F7" w:rsidP="00BA30F7">
            <w:pPr>
              <w:jc w:val="right"/>
            </w:pPr>
            <w:r w:rsidRPr="00330D1B">
              <w:t>$55.0</w:t>
            </w:r>
          </w:p>
        </w:tc>
        <w:tc>
          <w:tcPr>
            <w:tcW w:w="1711" w:type="dxa"/>
            <w:tcBorders>
              <w:top w:val="single" w:sz="4" w:space="0" w:color="808080" w:themeColor="background1" w:themeShade="80"/>
              <w:bottom w:val="single" w:sz="4" w:space="0" w:color="808080" w:themeColor="background1" w:themeShade="80"/>
            </w:tcBorders>
            <w:noWrap/>
          </w:tcPr>
          <w:p w14:paraId="5A4DAF8B" w14:textId="77777777" w:rsidR="00BA30F7" w:rsidRPr="000D30C5" w:rsidRDefault="00BA30F7" w:rsidP="00BA30F7">
            <w:pPr>
              <w:jc w:val="right"/>
            </w:pPr>
            <w:r w:rsidRPr="00C41635">
              <w:t>$5.0</w:t>
            </w:r>
          </w:p>
        </w:tc>
        <w:tc>
          <w:tcPr>
            <w:tcW w:w="1632" w:type="dxa"/>
            <w:tcBorders>
              <w:top w:val="single" w:sz="4" w:space="0" w:color="808080" w:themeColor="background1" w:themeShade="80"/>
              <w:bottom w:val="single" w:sz="4" w:space="0" w:color="808080" w:themeColor="background1" w:themeShade="80"/>
            </w:tcBorders>
            <w:noWrap/>
          </w:tcPr>
          <w:p w14:paraId="71544441" w14:textId="77777777" w:rsidR="00BA30F7" w:rsidRPr="000D30C5" w:rsidRDefault="00BA30F7" w:rsidP="00BA30F7">
            <w:pPr>
              <w:jc w:val="right"/>
            </w:pPr>
            <w:r w:rsidRPr="006F21DC">
              <w:t>$55.0</w:t>
            </w:r>
          </w:p>
        </w:tc>
      </w:tr>
      <w:tr w:rsidR="00BA30F7" w:rsidRPr="00527727" w14:paraId="729B6709"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hideMark/>
          </w:tcPr>
          <w:p w14:paraId="3F1C7935" w14:textId="77777777" w:rsidR="00BA30F7" w:rsidRPr="00841A48" w:rsidRDefault="00BA30F7" w:rsidP="00BA30F7">
            <w:pPr>
              <w:ind w:left="274"/>
            </w:pPr>
            <w:r w:rsidRPr="00841A48">
              <w:t>ART adherence for remaining VLS</w:t>
            </w:r>
          </w:p>
        </w:tc>
        <w:tc>
          <w:tcPr>
            <w:tcW w:w="1980" w:type="dxa"/>
            <w:tcBorders>
              <w:top w:val="single" w:sz="4" w:space="0" w:color="808080" w:themeColor="background1" w:themeShade="80"/>
              <w:bottom w:val="single" w:sz="4" w:space="0" w:color="808080" w:themeColor="background1" w:themeShade="80"/>
            </w:tcBorders>
            <w:noWrap/>
          </w:tcPr>
          <w:p w14:paraId="4262CA0F" w14:textId="77777777" w:rsidR="00BA30F7" w:rsidRPr="00D5174F" w:rsidRDefault="00BA30F7" w:rsidP="00BA30F7">
            <w:pPr>
              <w:jc w:val="right"/>
            </w:pPr>
            <w:r w:rsidRPr="00330D1B">
              <w:t>$575.8</w:t>
            </w:r>
          </w:p>
        </w:tc>
        <w:tc>
          <w:tcPr>
            <w:tcW w:w="1711" w:type="dxa"/>
            <w:tcBorders>
              <w:top w:val="single" w:sz="4" w:space="0" w:color="808080" w:themeColor="background1" w:themeShade="80"/>
              <w:bottom w:val="single" w:sz="4" w:space="0" w:color="808080" w:themeColor="background1" w:themeShade="80"/>
            </w:tcBorders>
            <w:noWrap/>
          </w:tcPr>
          <w:p w14:paraId="62EE7930" w14:textId="77777777" w:rsidR="00BA30F7" w:rsidRPr="000D30C5" w:rsidRDefault="00BA30F7" w:rsidP="00BA30F7">
            <w:pPr>
              <w:jc w:val="right"/>
            </w:pPr>
            <w:r w:rsidRPr="00C41635">
              <w:t>$548.4</w:t>
            </w:r>
          </w:p>
        </w:tc>
        <w:tc>
          <w:tcPr>
            <w:tcW w:w="1632" w:type="dxa"/>
            <w:tcBorders>
              <w:top w:val="single" w:sz="4" w:space="0" w:color="808080" w:themeColor="background1" w:themeShade="80"/>
              <w:bottom w:val="single" w:sz="4" w:space="0" w:color="808080" w:themeColor="background1" w:themeShade="80"/>
            </w:tcBorders>
            <w:noWrap/>
          </w:tcPr>
          <w:p w14:paraId="71AC1B2C" w14:textId="77777777" w:rsidR="00BA30F7" w:rsidRPr="000D30C5" w:rsidRDefault="00BA30F7" w:rsidP="00BA30F7">
            <w:pPr>
              <w:jc w:val="right"/>
            </w:pPr>
            <w:r w:rsidRPr="006F21DC">
              <w:t>$935.3</w:t>
            </w:r>
          </w:p>
        </w:tc>
      </w:tr>
      <w:tr w:rsidR="00BA30F7" w:rsidRPr="00527727" w14:paraId="62C25E33"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4ECCAE71" w14:textId="77777777" w:rsidR="00BA30F7" w:rsidRPr="00841A48" w:rsidRDefault="00BA30F7" w:rsidP="00BA30F7">
            <w:pPr>
              <w:ind w:left="274"/>
            </w:pPr>
            <w:r w:rsidRPr="00841A48">
              <w:t>ART adherence for becoming VLS</w:t>
            </w:r>
          </w:p>
        </w:tc>
        <w:tc>
          <w:tcPr>
            <w:tcW w:w="1980" w:type="dxa"/>
            <w:tcBorders>
              <w:top w:val="single" w:sz="4" w:space="0" w:color="808080" w:themeColor="background1" w:themeShade="80"/>
              <w:bottom w:val="single" w:sz="4" w:space="0" w:color="808080" w:themeColor="background1" w:themeShade="80"/>
            </w:tcBorders>
            <w:noWrap/>
          </w:tcPr>
          <w:p w14:paraId="1D4D0DBA" w14:textId="77777777" w:rsidR="00BA30F7" w:rsidRPr="00D5174F" w:rsidRDefault="00BA30F7" w:rsidP="00BA30F7">
            <w:pPr>
              <w:jc w:val="right"/>
            </w:pPr>
            <w:r w:rsidRPr="00330D1B">
              <w:t>$498.1</w:t>
            </w:r>
          </w:p>
        </w:tc>
        <w:tc>
          <w:tcPr>
            <w:tcW w:w="1711" w:type="dxa"/>
            <w:tcBorders>
              <w:top w:val="single" w:sz="4" w:space="0" w:color="808080" w:themeColor="background1" w:themeShade="80"/>
              <w:bottom w:val="single" w:sz="4" w:space="0" w:color="808080" w:themeColor="background1" w:themeShade="80"/>
            </w:tcBorders>
            <w:noWrap/>
          </w:tcPr>
          <w:p w14:paraId="301468E5" w14:textId="77777777" w:rsidR="00BA30F7" w:rsidRPr="000D30C5" w:rsidRDefault="00BA30F7" w:rsidP="00BA30F7">
            <w:pPr>
              <w:jc w:val="right"/>
            </w:pPr>
            <w:r w:rsidRPr="00C41635">
              <w:t>$286.4</w:t>
            </w:r>
          </w:p>
        </w:tc>
        <w:tc>
          <w:tcPr>
            <w:tcW w:w="1632" w:type="dxa"/>
            <w:tcBorders>
              <w:top w:val="single" w:sz="4" w:space="0" w:color="808080" w:themeColor="background1" w:themeShade="80"/>
              <w:bottom w:val="single" w:sz="4" w:space="0" w:color="808080" w:themeColor="background1" w:themeShade="80"/>
            </w:tcBorders>
            <w:noWrap/>
          </w:tcPr>
          <w:p w14:paraId="1A08E83E" w14:textId="77777777" w:rsidR="00BA30F7" w:rsidRPr="000D30C5" w:rsidRDefault="00BA30F7" w:rsidP="00BA30F7">
            <w:pPr>
              <w:jc w:val="right"/>
            </w:pPr>
            <w:r w:rsidRPr="006F21DC">
              <w:t>$709.8</w:t>
            </w:r>
          </w:p>
        </w:tc>
      </w:tr>
      <w:tr w:rsidR="00BA30F7" w:rsidRPr="00527727" w14:paraId="63A52DC8"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55A4B5E6" w14:textId="77777777" w:rsidR="00BA30F7" w:rsidRPr="00841A48" w:rsidRDefault="00BA30F7" w:rsidP="00BA30F7">
            <w:pPr>
              <w:ind w:left="274"/>
            </w:pPr>
            <w:r>
              <w:t>Syringe services programs</w:t>
            </w:r>
          </w:p>
        </w:tc>
        <w:tc>
          <w:tcPr>
            <w:tcW w:w="1980" w:type="dxa"/>
            <w:tcBorders>
              <w:top w:val="single" w:sz="4" w:space="0" w:color="808080" w:themeColor="background1" w:themeShade="80"/>
              <w:bottom w:val="single" w:sz="4" w:space="0" w:color="808080" w:themeColor="background1" w:themeShade="80"/>
            </w:tcBorders>
            <w:noWrap/>
          </w:tcPr>
          <w:p w14:paraId="2AE31D8F" w14:textId="77777777" w:rsidR="00BA30F7" w:rsidRPr="00D5174F" w:rsidRDefault="00BA30F7" w:rsidP="00BA30F7">
            <w:pPr>
              <w:jc w:val="right"/>
            </w:pPr>
            <w:r w:rsidRPr="00330D1B">
              <w:t>$69.1</w:t>
            </w:r>
          </w:p>
        </w:tc>
        <w:tc>
          <w:tcPr>
            <w:tcW w:w="1711" w:type="dxa"/>
            <w:tcBorders>
              <w:top w:val="single" w:sz="4" w:space="0" w:color="808080" w:themeColor="background1" w:themeShade="80"/>
              <w:bottom w:val="single" w:sz="4" w:space="0" w:color="808080" w:themeColor="background1" w:themeShade="80"/>
            </w:tcBorders>
            <w:noWrap/>
          </w:tcPr>
          <w:p w14:paraId="65F1CB17" w14:textId="77777777" w:rsidR="00BA30F7" w:rsidRPr="000D30C5" w:rsidRDefault="00BA30F7" w:rsidP="00BA30F7">
            <w:pPr>
              <w:jc w:val="right"/>
            </w:pPr>
            <w:r w:rsidRPr="00C41635">
              <w:t>$59.7</w:t>
            </w:r>
          </w:p>
        </w:tc>
        <w:tc>
          <w:tcPr>
            <w:tcW w:w="1632" w:type="dxa"/>
            <w:tcBorders>
              <w:top w:val="single" w:sz="4" w:space="0" w:color="808080" w:themeColor="background1" w:themeShade="80"/>
              <w:bottom w:val="single" w:sz="4" w:space="0" w:color="808080" w:themeColor="background1" w:themeShade="80"/>
            </w:tcBorders>
            <w:noWrap/>
          </w:tcPr>
          <w:p w14:paraId="080930E3" w14:textId="77777777" w:rsidR="00BA30F7" w:rsidRPr="000D30C5" w:rsidRDefault="00BA30F7" w:rsidP="00BA30F7">
            <w:pPr>
              <w:jc w:val="right"/>
            </w:pPr>
            <w:r w:rsidRPr="006F21DC">
              <w:t>$176.4</w:t>
            </w:r>
          </w:p>
        </w:tc>
      </w:tr>
      <w:tr w:rsidR="00BA30F7" w:rsidRPr="00527727" w14:paraId="4C8D4DD2"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52DA5022" w14:textId="77777777" w:rsidR="00BA30F7" w:rsidRPr="00841A48" w:rsidRDefault="00BA30F7" w:rsidP="00BA30F7">
            <w:pPr>
              <w:ind w:left="274"/>
            </w:pPr>
            <w:proofErr w:type="spellStart"/>
            <w:r w:rsidRPr="00841A48">
              <w:t>PrEP</w:t>
            </w:r>
            <w:proofErr w:type="spellEnd"/>
            <w:r w:rsidRPr="00841A48">
              <w:t xml:space="preserve"> for high-risk HETs</w:t>
            </w:r>
          </w:p>
        </w:tc>
        <w:tc>
          <w:tcPr>
            <w:tcW w:w="1980" w:type="dxa"/>
            <w:tcBorders>
              <w:top w:val="single" w:sz="4" w:space="0" w:color="808080" w:themeColor="background1" w:themeShade="80"/>
              <w:bottom w:val="single" w:sz="4" w:space="0" w:color="808080" w:themeColor="background1" w:themeShade="80"/>
            </w:tcBorders>
            <w:noWrap/>
          </w:tcPr>
          <w:p w14:paraId="1C411992" w14:textId="77777777" w:rsidR="00BA30F7" w:rsidRPr="00D5174F" w:rsidRDefault="00BA30F7" w:rsidP="00BA30F7">
            <w:pPr>
              <w:jc w:val="right"/>
            </w:pPr>
            <w:r w:rsidRPr="00330D1B">
              <w:t>$423.5</w:t>
            </w:r>
          </w:p>
        </w:tc>
        <w:tc>
          <w:tcPr>
            <w:tcW w:w="1711" w:type="dxa"/>
            <w:tcBorders>
              <w:top w:val="single" w:sz="4" w:space="0" w:color="808080" w:themeColor="background1" w:themeShade="80"/>
              <w:bottom w:val="single" w:sz="4" w:space="0" w:color="808080" w:themeColor="background1" w:themeShade="80"/>
            </w:tcBorders>
            <w:noWrap/>
          </w:tcPr>
          <w:p w14:paraId="087EBB20" w14:textId="77777777" w:rsidR="00BA30F7" w:rsidRPr="000D30C5" w:rsidRDefault="00BA30F7" w:rsidP="00BA30F7">
            <w:pPr>
              <w:jc w:val="right"/>
            </w:pPr>
            <w:r w:rsidRPr="00C41635">
              <w:t>$116.8</w:t>
            </w:r>
          </w:p>
        </w:tc>
        <w:tc>
          <w:tcPr>
            <w:tcW w:w="1632" w:type="dxa"/>
            <w:tcBorders>
              <w:top w:val="single" w:sz="4" w:space="0" w:color="808080" w:themeColor="background1" w:themeShade="80"/>
              <w:bottom w:val="single" w:sz="4" w:space="0" w:color="808080" w:themeColor="background1" w:themeShade="80"/>
            </w:tcBorders>
            <w:noWrap/>
          </w:tcPr>
          <w:p w14:paraId="00DD803D" w14:textId="77777777" w:rsidR="00BA30F7" w:rsidRPr="000D30C5" w:rsidRDefault="00BA30F7" w:rsidP="00BA30F7">
            <w:pPr>
              <w:jc w:val="right"/>
            </w:pPr>
            <w:r w:rsidRPr="006F21DC">
              <w:t>$501.6</w:t>
            </w:r>
          </w:p>
        </w:tc>
      </w:tr>
      <w:tr w:rsidR="00BA30F7" w:rsidRPr="00527727" w14:paraId="68A93D00"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63EF4AD4" w14:textId="77777777" w:rsidR="00BA30F7" w:rsidRPr="00841A48" w:rsidRDefault="00BA30F7" w:rsidP="00BA30F7">
            <w:pPr>
              <w:ind w:left="274"/>
            </w:pPr>
            <w:proofErr w:type="spellStart"/>
            <w:r w:rsidRPr="00841A48">
              <w:t>PrEP</w:t>
            </w:r>
            <w:proofErr w:type="spellEnd"/>
            <w:r w:rsidRPr="00841A48">
              <w:t xml:space="preserve"> for MSM</w:t>
            </w:r>
          </w:p>
        </w:tc>
        <w:tc>
          <w:tcPr>
            <w:tcW w:w="1980" w:type="dxa"/>
            <w:tcBorders>
              <w:top w:val="single" w:sz="4" w:space="0" w:color="808080" w:themeColor="background1" w:themeShade="80"/>
              <w:bottom w:val="single" w:sz="4" w:space="0" w:color="808080" w:themeColor="background1" w:themeShade="80"/>
            </w:tcBorders>
            <w:noWrap/>
          </w:tcPr>
          <w:p w14:paraId="6E168EA4" w14:textId="77777777" w:rsidR="00BA30F7" w:rsidRPr="00D5174F" w:rsidRDefault="00BA30F7" w:rsidP="00BA30F7">
            <w:pPr>
              <w:jc w:val="right"/>
            </w:pPr>
            <w:r w:rsidRPr="00330D1B">
              <w:t>$1,707.6</w:t>
            </w:r>
          </w:p>
        </w:tc>
        <w:tc>
          <w:tcPr>
            <w:tcW w:w="1711" w:type="dxa"/>
            <w:tcBorders>
              <w:top w:val="single" w:sz="4" w:space="0" w:color="808080" w:themeColor="background1" w:themeShade="80"/>
              <w:bottom w:val="single" w:sz="4" w:space="0" w:color="808080" w:themeColor="background1" w:themeShade="80"/>
            </w:tcBorders>
            <w:noWrap/>
          </w:tcPr>
          <w:p w14:paraId="726B0B6F" w14:textId="77777777" w:rsidR="00BA30F7" w:rsidRPr="000D30C5" w:rsidRDefault="00BA30F7" w:rsidP="00BA30F7">
            <w:pPr>
              <w:jc w:val="right"/>
            </w:pPr>
            <w:r w:rsidRPr="00C41635">
              <w:t>$1,389.5</w:t>
            </w:r>
          </w:p>
        </w:tc>
        <w:tc>
          <w:tcPr>
            <w:tcW w:w="1632" w:type="dxa"/>
            <w:tcBorders>
              <w:top w:val="single" w:sz="4" w:space="0" w:color="808080" w:themeColor="background1" w:themeShade="80"/>
              <w:bottom w:val="single" w:sz="4" w:space="0" w:color="808080" w:themeColor="background1" w:themeShade="80"/>
            </w:tcBorders>
            <w:noWrap/>
          </w:tcPr>
          <w:p w14:paraId="0FA283DC" w14:textId="77777777" w:rsidR="00BA30F7" w:rsidRPr="000D30C5" w:rsidRDefault="00BA30F7" w:rsidP="00BA30F7">
            <w:pPr>
              <w:jc w:val="right"/>
            </w:pPr>
            <w:r w:rsidRPr="006F21DC">
              <w:t>$1,753.3</w:t>
            </w:r>
          </w:p>
        </w:tc>
      </w:tr>
      <w:tr w:rsidR="00BA30F7" w:rsidRPr="00527727" w14:paraId="3962842C"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3F961E0A" w14:textId="77777777" w:rsidR="00BA30F7" w:rsidRDefault="00BA30F7" w:rsidP="00BA30F7">
            <w:pPr>
              <w:ind w:left="274"/>
            </w:pPr>
            <w:proofErr w:type="spellStart"/>
            <w:r w:rsidRPr="00841A48">
              <w:t>PrEP</w:t>
            </w:r>
            <w:proofErr w:type="spellEnd"/>
            <w:r w:rsidRPr="00841A48">
              <w:t xml:space="preserve"> for PWID</w:t>
            </w:r>
          </w:p>
        </w:tc>
        <w:tc>
          <w:tcPr>
            <w:tcW w:w="1980" w:type="dxa"/>
            <w:tcBorders>
              <w:top w:val="single" w:sz="4" w:space="0" w:color="808080" w:themeColor="background1" w:themeShade="80"/>
              <w:bottom w:val="single" w:sz="4" w:space="0" w:color="808080" w:themeColor="background1" w:themeShade="80"/>
            </w:tcBorders>
            <w:noWrap/>
          </w:tcPr>
          <w:p w14:paraId="7D0B34D4" w14:textId="77777777" w:rsidR="00BA30F7" w:rsidRDefault="00BA30F7" w:rsidP="00BA30F7">
            <w:pPr>
              <w:jc w:val="right"/>
            </w:pPr>
            <w:r w:rsidRPr="00330D1B">
              <w:t>$0.1</w:t>
            </w:r>
          </w:p>
        </w:tc>
        <w:tc>
          <w:tcPr>
            <w:tcW w:w="1711" w:type="dxa"/>
            <w:tcBorders>
              <w:top w:val="single" w:sz="4" w:space="0" w:color="808080" w:themeColor="background1" w:themeShade="80"/>
              <w:bottom w:val="single" w:sz="4" w:space="0" w:color="808080" w:themeColor="background1" w:themeShade="80"/>
            </w:tcBorders>
            <w:noWrap/>
          </w:tcPr>
          <w:p w14:paraId="31F6A8FF" w14:textId="77777777" w:rsidR="00BA30F7" w:rsidRPr="000D30C5" w:rsidRDefault="00BA30F7" w:rsidP="00BA30F7">
            <w:pPr>
              <w:jc w:val="right"/>
            </w:pPr>
            <w:r w:rsidRPr="00C41635">
              <w:t>$0.0</w:t>
            </w:r>
          </w:p>
        </w:tc>
        <w:tc>
          <w:tcPr>
            <w:tcW w:w="1632" w:type="dxa"/>
            <w:tcBorders>
              <w:top w:val="single" w:sz="4" w:space="0" w:color="808080" w:themeColor="background1" w:themeShade="80"/>
              <w:bottom w:val="single" w:sz="4" w:space="0" w:color="808080" w:themeColor="background1" w:themeShade="80"/>
            </w:tcBorders>
            <w:noWrap/>
          </w:tcPr>
          <w:p w14:paraId="5EBDFB67" w14:textId="77777777" w:rsidR="00BA30F7" w:rsidRDefault="00BA30F7" w:rsidP="00BA30F7">
            <w:pPr>
              <w:jc w:val="right"/>
            </w:pPr>
            <w:r w:rsidRPr="006F21DC">
              <w:t>$8.4</w:t>
            </w:r>
          </w:p>
        </w:tc>
      </w:tr>
      <w:tr w:rsidR="00BA30F7" w:rsidRPr="00527727" w14:paraId="4435503B"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13755917" w14:textId="77777777" w:rsidR="00BA30F7" w:rsidRPr="00841A48" w:rsidRDefault="00BA30F7" w:rsidP="00BA30F7">
            <w:pPr>
              <w:ind w:left="144"/>
            </w:pPr>
            <w:r>
              <w:t>2026-2030</w:t>
            </w:r>
          </w:p>
        </w:tc>
        <w:tc>
          <w:tcPr>
            <w:tcW w:w="1980" w:type="dxa"/>
            <w:tcBorders>
              <w:top w:val="single" w:sz="4" w:space="0" w:color="808080" w:themeColor="background1" w:themeShade="80"/>
              <w:bottom w:val="single" w:sz="4" w:space="0" w:color="808080" w:themeColor="background1" w:themeShade="80"/>
            </w:tcBorders>
            <w:noWrap/>
          </w:tcPr>
          <w:p w14:paraId="17E77750" w14:textId="77777777" w:rsidR="00BA30F7" w:rsidRPr="00D5174F" w:rsidRDefault="00BA30F7" w:rsidP="00BA30F7">
            <w:pPr>
              <w:jc w:val="right"/>
            </w:pPr>
          </w:p>
        </w:tc>
        <w:tc>
          <w:tcPr>
            <w:tcW w:w="1711" w:type="dxa"/>
            <w:tcBorders>
              <w:top w:val="single" w:sz="4" w:space="0" w:color="808080" w:themeColor="background1" w:themeShade="80"/>
              <w:bottom w:val="single" w:sz="4" w:space="0" w:color="808080" w:themeColor="background1" w:themeShade="80"/>
            </w:tcBorders>
            <w:noWrap/>
          </w:tcPr>
          <w:p w14:paraId="25D8F522" w14:textId="77777777" w:rsidR="00BA30F7" w:rsidRPr="000D30C5" w:rsidRDefault="00BA30F7" w:rsidP="00BA30F7">
            <w:pPr>
              <w:jc w:val="right"/>
            </w:pPr>
          </w:p>
        </w:tc>
        <w:tc>
          <w:tcPr>
            <w:tcW w:w="1632" w:type="dxa"/>
            <w:tcBorders>
              <w:top w:val="single" w:sz="4" w:space="0" w:color="808080" w:themeColor="background1" w:themeShade="80"/>
              <w:bottom w:val="single" w:sz="4" w:space="0" w:color="808080" w:themeColor="background1" w:themeShade="80"/>
            </w:tcBorders>
            <w:noWrap/>
          </w:tcPr>
          <w:p w14:paraId="0F40CE41" w14:textId="77777777" w:rsidR="00BA30F7" w:rsidRPr="000D30C5" w:rsidRDefault="00BA30F7" w:rsidP="00BA30F7">
            <w:pPr>
              <w:jc w:val="right"/>
            </w:pPr>
          </w:p>
        </w:tc>
      </w:tr>
      <w:tr w:rsidR="00BA30F7" w:rsidRPr="00527727" w14:paraId="4C418BE2"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4C53BF40" w14:textId="77777777" w:rsidR="00BA30F7" w:rsidRDefault="00BA30F7" w:rsidP="00BA30F7">
            <w:pPr>
              <w:ind w:left="274"/>
            </w:pPr>
            <w:r>
              <w:t>Screening</w:t>
            </w:r>
            <w:r w:rsidRPr="00841A48">
              <w:t xml:space="preserve"> high-risk HETs</w:t>
            </w:r>
          </w:p>
        </w:tc>
        <w:tc>
          <w:tcPr>
            <w:tcW w:w="1980" w:type="dxa"/>
            <w:tcBorders>
              <w:top w:val="single" w:sz="4" w:space="0" w:color="808080" w:themeColor="background1" w:themeShade="80"/>
              <w:bottom w:val="single" w:sz="4" w:space="0" w:color="808080" w:themeColor="background1" w:themeShade="80"/>
            </w:tcBorders>
            <w:noWrap/>
          </w:tcPr>
          <w:p w14:paraId="43DCCF98" w14:textId="77777777" w:rsidR="00BA30F7" w:rsidRPr="00D5174F" w:rsidRDefault="00BA30F7" w:rsidP="00BA30F7">
            <w:pPr>
              <w:jc w:val="right"/>
            </w:pPr>
            <w:r w:rsidRPr="002A02C0">
              <w:t>$433.2</w:t>
            </w:r>
          </w:p>
        </w:tc>
        <w:tc>
          <w:tcPr>
            <w:tcW w:w="1711" w:type="dxa"/>
            <w:tcBorders>
              <w:top w:val="single" w:sz="4" w:space="0" w:color="808080" w:themeColor="background1" w:themeShade="80"/>
              <w:bottom w:val="single" w:sz="4" w:space="0" w:color="808080" w:themeColor="background1" w:themeShade="80"/>
            </w:tcBorders>
            <w:noWrap/>
          </w:tcPr>
          <w:p w14:paraId="0914CFCA" w14:textId="77777777" w:rsidR="00BA30F7" w:rsidRPr="000D30C5" w:rsidRDefault="00BA30F7" w:rsidP="00BA30F7">
            <w:pPr>
              <w:jc w:val="right"/>
            </w:pPr>
            <w:r w:rsidRPr="009D7D54">
              <w:t>$206.1</w:t>
            </w:r>
          </w:p>
        </w:tc>
        <w:tc>
          <w:tcPr>
            <w:tcW w:w="1632" w:type="dxa"/>
            <w:tcBorders>
              <w:top w:val="single" w:sz="4" w:space="0" w:color="808080" w:themeColor="background1" w:themeShade="80"/>
              <w:bottom w:val="single" w:sz="4" w:space="0" w:color="808080" w:themeColor="background1" w:themeShade="80"/>
            </w:tcBorders>
            <w:noWrap/>
          </w:tcPr>
          <w:p w14:paraId="7E743C7D" w14:textId="77777777" w:rsidR="00BA30F7" w:rsidRPr="000D30C5" w:rsidRDefault="00BA30F7" w:rsidP="00BA30F7">
            <w:pPr>
              <w:jc w:val="right"/>
            </w:pPr>
            <w:r w:rsidRPr="0049256C">
              <w:t>$450.2</w:t>
            </w:r>
          </w:p>
        </w:tc>
      </w:tr>
      <w:tr w:rsidR="00BA30F7" w:rsidRPr="00527727" w14:paraId="3E18B305"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09A03C57" w14:textId="77777777" w:rsidR="00BA30F7" w:rsidRDefault="00BA30F7" w:rsidP="00BA30F7">
            <w:pPr>
              <w:ind w:left="274"/>
            </w:pPr>
            <w:r>
              <w:t>Screening</w:t>
            </w:r>
            <w:r w:rsidRPr="00841A48">
              <w:t xml:space="preserve"> low-risk HETs</w:t>
            </w:r>
          </w:p>
        </w:tc>
        <w:tc>
          <w:tcPr>
            <w:tcW w:w="1980" w:type="dxa"/>
            <w:tcBorders>
              <w:top w:val="single" w:sz="4" w:space="0" w:color="808080" w:themeColor="background1" w:themeShade="80"/>
              <w:bottom w:val="single" w:sz="4" w:space="0" w:color="808080" w:themeColor="background1" w:themeShade="80"/>
            </w:tcBorders>
            <w:noWrap/>
          </w:tcPr>
          <w:p w14:paraId="633783E9" w14:textId="77777777" w:rsidR="00BA30F7" w:rsidRPr="00D5174F" w:rsidRDefault="00BA30F7" w:rsidP="00BA30F7">
            <w:pPr>
              <w:jc w:val="right"/>
            </w:pPr>
            <w:r w:rsidRPr="002A02C0">
              <w:t>$347.5</w:t>
            </w:r>
          </w:p>
        </w:tc>
        <w:tc>
          <w:tcPr>
            <w:tcW w:w="1711" w:type="dxa"/>
            <w:tcBorders>
              <w:top w:val="single" w:sz="4" w:space="0" w:color="808080" w:themeColor="background1" w:themeShade="80"/>
              <w:bottom w:val="single" w:sz="4" w:space="0" w:color="808080" w:themeColor="background1" w:themeShade="80"/>
            </w:tcBorders>
            <w:noWrap/>
          </w:tcPr>
          <w:p w14:paraId="63CC6539" w14:textId="77777777" w:rsidR="00BA30F7" w:rsidRPr="000D30C5" w:rsidRDefault="00BA30F7" w:rsidP="00BA30F7">
            <w:pPr>
              <w:jc w:val="right"/>
            </w:pPr>
            <w:r w:rsidRPr="009D7D54">
              <w:t>$126.1</w:t>
            </w:r>
          </w:p>
        </w:tc>
        <w:tc>
          <w:tcPr>
            <w:tcW w:w="1632" w:type="dxa"/>
            <w:tcBorders>
              <w:top w:val="single" w:sz="4" w:space="0" w:color="808080" w:themeColor="background1" w:themeShade="80"/>
              <w:bottom w:val="single" w:sz="4" w:space="0" w:color="808080" w:themeColor="background1" w:themeShade="80"/>
            </w:tcBorders>
            <w:noWrap/>
          </w:tcPr>
          <w:p w14:paraId="335424E8" w14:textId="77777777" w:rsidR="00BA30F7" w:rsidRPr="000D30C5" w:rsidRDefault="00BA30F7" w:rsidP="00BA30F7">
            <w:pPr>
              <w:jc w:val="right"/>
            </w:pPr>
            <w:r w:rsidRPr="0049256C">
              <w:t>$439.0</w:t>
            </w:r>
          </w:p>
        </w:tc>
      </w:tr>
      <w:tr w:rsidR="00BA30F7" w:rsidRPr="00527727" w14:paraId="51E4C295"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54989F61" w14:textId="77777777" w:rsidR="00BA30F7" w:rsidRDefault="00BA30F7" w:rsidP="00BA30F7">
            <w:pPr>
              <w:ind w:left="274"/>
            </w:pPr>
            <w:r>
              <w:t>Screening</w:t>
            </w:r>
            <w:r w:rsidRPr="00841A48">
              <w:t xml:space="preserve"> high-risk MSM</w:t>
            </w:r>
          </w:p>
        </w:tc>
        <w:tc>
          <w:tcPr>
            <w:tcW w:w="1980" w:type="dxa"/>
            <w:tcBorders>
              <w:top w:val="single" w:sz="4" w:space="0" w:color="808080" w:themeColor="background1" w:themeShade="80"/>
              <w:bottom w:val="single" w:sz="4" w:space="0" w:color="808080" w:themeColor="background1" w:themeShade="80"/>
            </w:tcBorders>
            <w:noWrap/>
          </w:tcPr>
          <w:p w14:paraId="7E2740E6" w14:textId="77777777" w:rsidR="00BA30F7" w:rsidRPr="00D5174F" w:rsidRDefault="00BA30F7" w:rsidP="00BA30F7">
            <w:pPr>
              <w:jc w:val="right"/>
            </w:pPr>
            <w:r w:rsidRPr="002A02C0">
              <w:t>$98.8</w:t>
            </w:r>
          </w:p>
        </w:tc>
        <w:tc>
          <w:tcPr>
            <w:tcW w:w="1711" w:type="dxa"/>
            <w:tcBorders>
              <w:top w:val="single" w:sz="4" w:space="0" w:color="808080" w:themeColor="background1" w:themeShade="80"/>
              <w:bottom w:val="single" w:sz="4" w:space="0" w:color="808080" w:themeColor="background1" w:themeShade="80"/>
            </w:tcBorders>
            <w:noWrap/>
          </w:tcPr>
          <w:p w14:paraId="42F1B0A4" w14:textId="77777777" w:rsidR="00BA30F7" w:rsidRPr="000D30C5" w:rsidRDefault="00BA30F7" w:rsidP="00BA30F7">
            <w:pPr>
              <w:jc w:val="right"/>
            </w:pPr>
            <w:r w:rsidRPr="009D7D54">
              <w:t>$58.1</w:t>
            </w:r>
          </w:p>
        </w:tc>
        <w:tc>
          <w:tcPr>
            <w:tcW w:w="1632" w:type="dxa"/>
            <w:tcBorders>
              <w:top w:val="single" w:sz="4" w:space="0" w:color="808080" w:themeColor="background1" w:themeShade="80"/>
              <w:bottom w:val="single" w:sz="4" w:space="0" w:color="808080" w:themeColor="background1" w:themeShade="80"/>
            </w:tcBorders>
            <w:noWrap/>
          </w:tcPr>
          <w:p w14:paraId="4D124B6F" w14:textId="77777777" w:rsidR="00BA30F7" w:rsidRPr="000D30C5" w:rsidRDefault="00BA30F7" w:rsidP="00BA30F7">
            <w:pPr>
              <w:jc w:val="right"/>
            </w:pPr>
            <w:r w:rsidRPr="0049256C">
              <w:t>$186.8</w:t>
            </w:r>
          </w:p>
        </w:tc>
      </w:tr>
      <w:tr w:rsidR="00BA30F7" w:rsidRPr="00527727" w14:paraId="07A7F2A1"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50099F20" w14:textId="77777777" w:rsidR="00BA30F7" w:rsidRDefault="00BA30F7" w:rsidP="00BA30F7">
            <w:pPr>
              <w:ind w:left="274"/>
            </w:pPr>
            <w:r>
              <w:t>Screening</w:t>
            </w:r>
            <w:r w:rsidRPr="00841A48">
              <w:t xml:space="preserve"> low-risk MSM</w:t>
            </w:r>
          </w:p>
        </w:tc>
        <w:tc>
          <w:tcPr>
            <w:tcW w:w="1980" w:type="dxa"/>
            <w:tcBorders>
              <w:top w:val="single" w:sz="4" w:space="0" w:color="808080" w:themeColor="background1" w:themeShade="80"/>
              <w:bottom w:val="single" w:sz="4" w:space="0" w:color="808080" w:themeColor="background1" w:themeShade="80"/>
            </w:tcBorders>
            <w:noWrap/>
          </w:tcPr>
          <w:p w14:paraId="1C2A7607" w14:textId="77777777" w:rsidR="00BA30F7" w:rsidRPr="00D5174F" w:rsidRDefault="00BA30F7" w:rsidP="00BA30F7">
            <w:pPr>
              <w:jc w:val="right"/>
            </w:pPr>
            <w:r w:rsidRPr="002A02C0">
              <w:t>$94.0</w:t>
            </w:r>
          </w:p>
        </w:tc>
        <w:tc>
          <w:tcPr>
            <w:tcW w:w="1711" w:type="dxa"/>
            <w:tcBorders>
              <w:top w:val="single" w:sz="4" w:space="0" w:color="808080" w:themeColor="background1" w:themeShade="80"/>
              <w:bottom w:val="single" w:sz="4" w:space="0" w:color="808080" w:themeColor="background1" w:themeShade="80"/>
            </w:tcBorders>
            <w:noWrap/>
          </w:tcPr>
          <w:p w14:paraId="23FEB77F" w14:textId="77777777" w:rsidR="00BA30F7" w:rsidRPr="000D30C5" w:rsidRDefault="00BA30F7" w:rsidP="00BA30F7">
            <w:pPr>
              <w:jc w:val="right"/>
            </w:pPr>
            <w:r w:rsidRPr="009D7D54">
              <w:t>$32.4</w:t>
            </w:r>
          </w:p>
        </w:tc>
        <w:tc>
          <w:tcPr>
            <w:tcW w:w="1632" w:type="dxa"/>
            <w:tcBorders>
              <w:top w:val="single" w:sz="4" w:space="0" w:color="808080" w:themeColor="background1" w:themeShade="80"/>
              <w:bottom w:val="single" w:sz="4" w:space="0" w:color="808080" w:themeColor="background1" w:themeShade="80"/>
            </w:tcBorders>
            <w:noWrap/>
          </w:tcPr>
          <w:p w14:paraId="7DD24B84" w14:textId="77777777" w:rsidR="00BA30F7" w:rsidRPr="000D30C5" w:rsidRDefault="00BA30F7" w:rsidP="00BA30F7">
            <w:pPr>
              <w:jc w:val="right"/>
            </w:pPr>
            <w:r w:rsidRPr="0049256C">
              <w:t>$176.2</w:t>
            </w:r>
          </w:p>
        </w:tc>
      </w:tr>
      <w:tr w:rsidR="00BA30F7" w:rsidRPr="00527727" w14:paraId="678C0FFC"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5113BEB6" w14:textId="77777777" w:rsidR="00BA30F7" w:rsidRDefault="00BA30F7" w:rsidP="00BA30F7">
            <w:pPr>
              <w:ind w:left="274"/>
            </w:pPr>
            <w:r>
              <w:t>Screening</w:t>
            </w:r>
            <w:r w:rsidRPr="00841A48">
              <w:t xml:space="preserve"> PWID</w:t>
            </w:r>
          </w:p>
        </w:tc>
        <w:tc>
          <w:tcPr>
            <w:tcW w:w="1980" w:type="dxa"/>
            <w:tcBorders>
              <w:top w:val="single" w:sz="4" w:space="0" w:color="808080" w:themeColor="background1" w:themeShade="80"/>
              <w:bottom w:val="single" w:sz="4" w:space="0" w:color="808080" w:themeColor="background1" w:themeShade="80"/>
            </w:tcBorders>
            <w:noWrap/>
          </w:tcPr>
          <w:p w14:paraId="7D883D1B" w14:textId="77777777" w:rsidR="00BA30F7" w:rsidRPr="00D5174F" w:rsidRDefault="00BA30F7" w:rsidP="00BA30F7">
            <w:pPr>
              <w:jc w:val="right"/>
            </w:pPr>
            <w:r w:rsidRPr="002A02C0">
              <w:t>$51.3</w:t>
            </w:r>
          </w:p>
        </w:tc>
        <w:tc>
          <w:tcPr>
            <w:tcW w:w="1711" w:type="dxa"/>
            <w:tcBorders>
              <w:top w:val="single" w:sz="4" w:space="0" w:color="808080" w:themeColor="background1" w:themeShade="80"/>
              <w:bottom w:val="single" w:sz="4" w:space="0" w:color="808080" w:themeColor="background1" w:themeShade="80"/>
            </w:tcBorders>
            <w:noWrap/>
          </w:tcPr>
          <w:p w14:paraId="6E9D31B6" w14:textId="77777777" w:rsidR="00BA30F7" w:rsidRPr="000D30C5" w:rsidRDefault="00BA30F7" w:rsidP="00BA30F7">
            <w:pPr>
              <w:jc w:val="right"/>
            </w:pPr>
            <w:r w:rsidRPr="009D7D54">
              <w:t>$23.4</w:t>
            </w:r>
          </w:p>
        </w:tc>
        <w:tc>
          <w:tcPr>
            <w:tcW w:w="1632" w:type="dxa"/>
            <w:tcBorders>
              <w:top w:val="single" w:sz="4" w:space="0" w:color="808080" w:themeColor="background1" w:themeShade="80"/>
              <w:bottom w:val="single" w:sz="4" w:space="0" w:color="808080" w:themeColor="background1" w:themeShade="80"/>
            </w:tcBorders>
            <w:noWrap/>
          </w:tcPr>
          <w:p w14:paraId="1F890B87" w14:textId="77777777" w:rsidR="00BA30F7" w:rsidRPr="000D30C5" w:rsidRDefault="00BA30F7" w:rsidP="00BA30F7">
            <w:pPr>
              <w:jc w:val="right"/>
            </w:pPr>
            <w:r w:rsidRPr="0049256C">
              <w:t>$324.0</w:t>
            </w:r>
          </w:p>
        </w:tc>
      </w:tr>
      <w:tr w:rsidR="00BA30F7" w:rsidRPr="00527727" w14:paraId="4CED3665"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034E1D81" w14:textId="77777777" w:rsidR="00BA30F7" w:rsidRDefault="00BA30F7" w:rsidP="00BA30F7">
            <w:pPr>
              <w:ind w:left="274"/>
            </w:pPr>
            <w:r w:rsidRPr="00841A48">
              <w:t>Linkage-to-care at diagnosis</w:t>
            </w:r>
          </w:p>
        </w:tc>
        <w:tc>
          <w:tcPr>
            <w:tcW w:w="1980" w:type="dxa"/>
            <w:tcBorders>
              <w:top w:val="single" w:sz="4" w:space="0" w:color="808080" w:themeColor="background1" w:themeShade="80"/>
              <w:bottom w:val="single" w:sz="4" w:space="0" w:color="808080" w:themeColor="background1" w:themeShade="80"/>
            </w:tcBorders>
            <w:noWrap/>
          </w:tcPr>
          <w:p w14:paraId="66CE8101" w14:textId="77777777" w:rsidR="00BA30F7" w:rsidRPr="00D5174F" w:rsidRDefault="00BA30F7" w:rsidP="00BA30F7">
            <w:pPr>
              <w:jc w:val="right"/>
            </w:pPr>
            <w:r w:rsidRPr="002A02C0">
              <w:t>$80.7</w:t>
            </w:r>
          </w:p>
        </w:tc>
        <w:tc>
          <w:tcPr>
            <w:tcW w:w="1711" w:type="dxa"/>
            <w:tcBorders>
              <w:top w:val="single" w:sz="4" w:space="0" w:color="808080" w:themeColor="background1" w:themeShade="80"/>
              <w:bottom w:val="single" w:sz="4" w:space="0" w:color="808080" w:themeColor="background1" w:themeShade="80"/>
            </w:tcBorders>
            <w:noWrap/>
          </w:tcPr>
          <w:p w14:paraId="1B37E47A" w14:textId="77777777" w:rsidR="00BA30F7" w:rsidRPr="000D30C5" w:rsidRDefault="00BA30F7" w:rsidP="00BA30F7">
            <w:pPr>
              <w:jc w:val="right"/>
            </w:pPr>
            <w:r w:rsidRPr="009D7D54">
              <w:t>$11.6</w:t>
            </w:r>
          </w:p>
        </w:tc>
        <w:tc>
          <w:tcPr>
            <w:tcW w:w="1632" w:type="dxa"/>
            <w:tcBorders>
              <w:top w:val="single" w:sz="4" w:space="0" w:color="808080" w:themeColor="background1" w:themeShade="80"/>
              <w:bottom w:val="single" w:sz="4" w:space="0" w:color="808080" w:themeColor="background1" w:themeShade="80"/>
            </w:tcBorders>
            <w:noWrap/>
          </w:tcPr>
          <w:p w14:paraId="4A44D005" w14:textId="77777777" w:rsidR="00BA30F7" w:rsidRPr="000D30C5" w:rsidRDefault="00BA30F7" w:rsidP="00BA30F7">
            <w:pPr>
              <w:jc w:val="right"/>
            </w:pPr>
            <w:r w:rsidRPr="0049256C">
              <w:t>$183.8</w:t>
            </w:r>
          </w:p>
        </w:tc>
      </w:tr>
      <w:tr w:rsidR="00BA30F7" w:rsidRPr="00527727" w14:paraId="4BA1135F"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434C8DB8" w14:textId="77777777" w:rsidR="00BA30F7" w:rsidRDefault="00BA30F7" w:rsidP="00BA30F7">
            <w:pPr>
              <w:ind w:left="274"/>
            </w:pPr>
            <w:r w:rsidRPr="00841A48">
              <w:t>Linkage-to-care after diagnosis</w:t>
            </w:r>
          </w:p>
        </w:tc>
        <w:tc>
          <w:tcPr>
            <w:tcW w:w="1980" w:type="dxa"/>
            <w:tcBorders>
              <w:top w:val="single" w:sz="4" w:space="0" w:color="808080" w:themeColor="background1" w:themeShade="80"/>
              <w:bottom w:val="single" w:sz="4" w:space="0" w:color="808080" w:themeColor="background1" w:themeShade="80"/>
            </w:tcBorders>
            <w:noWrap/>
          </w:tcPr>
          <w:p w14:paraId="6AE59B31" w14:textId="77777777" w:rsidR="00BA30F7" w:rsidRPr="00D5174F" w:rsidRDefault="00BA30F7" w:rsidP="00BA30F7">
            <w:pPr>
              <w:jc w:val="right"/>
            </w:pPr>
            <w:r w:rsidRPr="002A02C0">
              <w:t>$42.3</w:t>
            </w:r>
          </w:p>
        </w:tc>
        <w:tc>
          <w:tcPr>
            <w:tcW w:w="1711" w:type="dxa"/>
            <w:tcBorders>
              <w:top w:val="single" w:sz="4" w:space="0" w:color="808080" w:themeColor="background1" w:themeShade="80"/>
              <w:bottom w:val="single" w:sz="4" w:space="0" w:color="808080" w:themeColor="background1" w:themeShade="80"/>
            </w:tcBorders>
            <w:noWrap/>
          </w:tcPr>
          <w:p w14:paraId="057F8E5B" w14:textId="77777777" w:rsidR="00BA30F7" w:rsidRPr="000D30C5" w:rsidRDefault="00BA30F7" w:rsidP="00BA30F7">
            <w:pPr>
              <w:jc w:val="right"/>
            </w:pPr>
            <w:r w:rsidRPr="009D7D54">
              <w:t>$15.1</w:t>
            </w:r>
          </w:p>
        </w:tc>
        <w:tc>
          <w:tcPr>
            <w:tcW w:w="1632" w:type="dxa"/>
            <w:tcBorders>
              <w:top w:val="single" w:sz="4" w:space="0" w:color="808080" w:themeColor="background1" w:themeShade="80"/>
              <w:bottom w:val="single" w:sz="4" w:space="0" w:color="808080" w:themeColor="background1" w:themeShade="80"/>
            </w:tcBorders>
            <w:noWrap/>
          </w:tcPr>
          <w:p w14:paraId="0984EDBD" w14:textId="77777777" w:rsidR="00BA30F7" w:rsidRPr="000D30C5" w:rsidRDefault="00BA30F7" w:rsidP="00BA30F7">
            <w:pPr>
              <w:jc w:val="right"/>
            </w:pPr>
            <w:r w:rsidRPr="0049256C">
              <w:t>$312.9</w:t>
            </w:r>
          </w:p>
        </w:tc>
      </w:tr>
      <w:tr w:rsidR="00BA30F7" w:rsidRPr="00527727" w14:paraId="5A79540A"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7D7107B0" w14:textId="77777777" w:rsidR="00BA30F7" w:rsidRDefault="00BA30F7" w:rsidP="00BA30F7">
            <w:pPr>
              <w:ind w:left="274"/>
            </w:pPr>
            <w:r w:rsidRPr="00841A48">
              <w:t>ART prescription</w:t>
            </w:r>
          </w:p>
        </w:tc>
        <w:tc>
          <w:tcPr>
            <w:tcW w:w="1980" w:type="dxa"/>
            <w:tcBorders>
              <w:top w:val="single" w:sz="4" w:space="0" w:color="808080" w:themeColor="background1" w:themeShade="80"/>
              <w:bottom w:val="single" w:sz="4" w:space="0" w:color="808080" w:themeColor="background1" w:themeShade="80"/>
            </w:tcBorders>
            <w:noWrap/>
          </w:tcPr>
          <w:p w14:paraId="7440E584" w14:textId="77777777" w:rsidR="00BA30F7" w:rsidRPr="00D5174F" w:rsidRDefault="00BA30F7" w:rsidP="00BA30F7">
            <w:pPr>
              <w:jc w:val="right"/>
            </w:pPr>
            <w:r w:rsidRPr="002A02C0">
              <w:t>$2.7</w:t>
            </w:r>
          </w:p>
        </w:tc>
        <w:tc>
          <w:tcPr>
            <w:tcW w:w="1711" w:type="dxa"/>
            <w:tcBorders>
              <w:top w:val="single" w:sz="4" w:space="0" w:color="808080" w:themeColor="background1" w:themeShade="80"/>
              <w:bottom w:val="single" w:sz="4" w:space="0" w:color="808080" w:themeColor="background1" w:themeShade="80"/>
            </w:tcBorders>
            <w:noWrap/>
          </w:tcPr>
          <w:p w14:paraId="78B1FF72" w14:textId="77777777" w:rsidR="00BA30F7" w:rsidRPr="000D30C5" w:rsidRDefault="00BA30F7" w:rsidP="00BA30F7">
            <w:pPr>
              <w:jc w:val="right"/>
            </w:pPr>
            <w:r w:rsidRPr="009D7D54">
              <w:t>$0.7</w:t>
            </w:r>
          </w:p>
        </w:tc>
        <w:tc>
          <w:tcPr>
            <w:tcW w:w="1632" w:type="dxa"/>
            <w:tcBorders>
              <w:top w:val="single" w:sz="4" w:space="0" w:color="808080" w:themeColor="background1" w:themeShade="80"/>
              <w:bottom w:val="single" w:sz="4" w:space="0" w:color="808080" w:themeColor="background1" w:themeShade="80"/>
            </w:tcBorders>
            <w:noWrap/>
          </w:tcPr>
          <w:p w14:paraId="5FA1BA6A" w14:textId="77777777" w:rsidR="00BA30F7" w:rsidRPr="000D30C5" w:rsidRDefault="00BA30F7" w:rsidP="00BA30F7">
            <w:pPr>
              <w:jc w:val="right"/>
            </w:pPr>
            <w:r w:rsidRPr="0049256C">
              <w:t>$15.3</w:t>
            </w:r>
          </w:p>
        </w:tc>
      </w:tr>
      <w:tr w:rsidR="00BA30F7" w:rsidRPr="00527727" w14:paraId="7B53202D"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7B99F42C" w14:textId="77777777" w:rsidR="00BA30F7" w:rsidRDefault="00BA30F7" w:rsidP="00BA30F7">
            <w:pPr>
              <w:ind w:left="274"/>
            </w:pPr>
            <w:r w:rsidRPr="00841A48">
              <w:t>ART adherence for remaining VLS</w:t>
            </w:r>
          </w:p>
        </w:tc>
        <w:tc>
          <w:tcPr>
            <w:tcW w:w="1980" w:type="dxa"/>
            <w:tcBorders>
              <w:top w:val="single" w:sz="4" w:space="0" w:color="808080" w:themeColor="background1" w:themeShade="80"/>
              <w:bottom w:val="single" w:sz="4" w:space="0" w:color="808080" w:themeColor="background1" w:themeShade="80"/>
            </w:tcBorders>
            <w:noWrap/>
          </w:tcPr>
          <w:p w14:paraId="5C393571" w14:textId="77777777" w:rsidR="00BA30F7" w:rsidRPr="00D5174F" w:rsidRDefault="00BA30F7" w:rsidP="00BA30F7">
            <w:pPr>
              <w:jc w:val="right"/>
            </w:pPr>
            <w:r w:rsidRPr="002A02C0">
              <w:t>$622.6</w:t>
            </w:r>
          </w:p>
        </w:tc>
        <w:tc>
          <w:tcPr>
            <w:tcW w:w="1711" w:type="dxa"/>
            <w:tcBorders>
              <w:top w:val="single" w:sz="4" w:space="0" w:color="808080" w:themeColor="background1" w:themeShade="80"/>
              <w:bottom w:val="single" w:sz="4" w:space="0" w:color="808080" w:themeColor="background1" w:themeShade="80"/>
            </w:tcBorders>
            <w:noWrap/>
          </w:tcPr>
          <w:p w14:paraId="19C41AD4" w14:textId="77777777" w:rsidR="00BA30F7" w:rsidRPr="000D30C5" w:rsidRDefault="00BA30F7" w:rsidP="00BA30F7">
            <w:pPr>
              <w:jc w:val="right"/>
            </w:pPr>
            <w:r w:rsidRPr="009D7D54">
              <w:t>$595.8</w:t>
            </w:r>
          </w:p>
        </w:tc>
        <w:tc>
          <w:tcPr>
            <w:tcW w:w="1632" w:type="dxa"/>
            <w:tcBorders>
              <w:top w:val="single" w:sz="4" w:space="0" w:color="808080" w:themeColor="background1" w:themeShade="80"/>
              <w:bottom w:val="single" w:sz="4" w:space="0" w:color="808080" w:themeColor="background1" w:themeShade="80"/>
            </w:tcBorders>
            <w:noWrap/>
          </w:tcPr>
          <w:p w14:paraId="1345E446" w14:textId="77777777" w:rsidR="00BA30F7" w:rsidRPr="000D30C5" w:rsidRDefault="00BA30F7" w:rsidP="00BA30F7">
            <w:pPr>
              <w:jc w:val="right"/>
            </w:pPr>
            <w:r w:rsidRPr="0049256C">
              <w:t>$1,700.6</w:t>
            </w:r>
          </w:p>
        </w:tc>
      </w:tr>
      <w:tr w:rsidR="00BA30F7" w:rsidRPr="00527727" w14:paraId="368761E1"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3F065AE1" w14:textId="77777777" w:rsidR="00BA30F7" w:rsidRDefault="00BA30F7" w:rsidP="00BA30F7">
            <w:pPr>
              <w:ind w:left="274"/>
            </w:pPr>
            <w:r w:rsidRPr="00841A48">
              <w:t>ART adherence for becoming VLS</w:t>
            </w:r>
          </w:p>
        </w:tc>
        <w:tc>
          <w:tcPr>
            <w:tcW w:w="1980" w:type="dxa"/>
            <w:tcBorders>
              <w:top w:val="single" w:sz="4" w:space="0" w:color="808080" w:themeColor="background1" w:themeShade="80"/>
              <w:bottom w:val="single" w:sz="4" w:space="0" w:color="808080" w:themeColor="background1" w:themeShade="80"/>
            </w:tcBorders>
            <w:noWrap/>
          </w:tcPr>
          <w:p w14:paraId="71D93F61" w14:textId="77777777" w:rsidR="00BA30F7" w:rsidRPr="00D5174F" w:rsidRDefault="00BA30F7" w:rsidP="00BA30F7">
            <w:pPr>
              <w:jc w:val="right"/>
            </w:pPr>
            <w:r w:rsidRPr="002A02C0">
              <w:t>$370.1</w:t>
            </w:r>
          </w:p>
        </w:tc>
        <w:tc>
          <w:tcPr>
            <w:tcW w:w="1711" w:type="dxa"/>
            <w:tcBorders>
              <w:top w:val="single" w:sz="4" w:space="0" w:color="808080" w:themeColor="background1" w:themeShade="80"/>
              <w:bottom w:val="single" w:sz="4" w:space="0" w:color="808080" w:themeColor="background1" w:themeShade="80"/>
            </w:tcBorders>
            <w:noWrap/>
          </w:tcPr>
          <w:p w14:paraId="36615DAE" w14:textId="77777777" w:rsidR="00BA30F7" w:rsidRPr="000D30C5" w:rsidRDefault="00BA30F7" w:rsidP="00BA30F7">
            <w:pPr>
              <w:jc w:val="right"/>
            </w:pPr>
            <w:r w:rsidRPr="009D7D54">
              <w:t>$51.2</w:t>
            </w:r>
          </w:p>
        </w:tc>
        <w:tc>
          <w:tcPr>
            <w:tcW w:w="1632" w:type="dxa"/>
            <w:tcBorders>
              <w:top w:val="single" w:sz="4" w:space="0" w:color="808080" w:themeColor="background1" w:themeShade="80"/>
              <w:bottom w:val="single" w:sz="4" w:space="0" w:color="808080" w:themeColor="background1" w:themeShade="80"/>
            </w:tcBorders>
            <w:noWrap/>
          </w:tcPr>
          <w:p w14:paraId="5053B659" w14:textId="77777777" w:rsidR="00BA30F7" w:rsidRPr="000D30C5" w:rsidRDefault="00BA30F7" w:rsidP="00BA30F7">
            <w:pPr>
              <w:jc w:val="right"/>
            </w:pPr>
            <w:r w:rsidRPr="0049256C">
              <w:t>$370.1</w:t>
            </w:r>
          </w:p>
        </w:tc>
      </w:tr>
      <w:tr w:rsidR="00BA30F7" w:rsidRPr="00527727" w14:paraId="68707C7E"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02C2BDA6" w14:textId="77777777" w:rsidR="00BA30F7" w:rsidRDefault="00BA30F7" w:rsidP="00BA30F7">
            <w:pPr>
              <w:ind w:left="274"/>
            </w:pPr>
            <w:r>
              <w:t>Syringe services programs</w:t>
            </w:r>
          </w:p>
        </w:tc>
        <w:tc>
          <w:tcPr>
            <w:tcW w:w="1980" w:type="dxa"/>
            <w:tcBorders>
              <w:top w:val="single" w:sz="4" w:space="0" w:color="808080" w:themeColor="background1" w:themeShade="80"/>
              <w:bottom w:val="single" w:sz="4" w:space="0" w:color="808080" w:themeColor="background1" w:themeShade="80"/>
            </w:tcBorders>
            <w:noWrap/>
          </w:tcPr>
          <w:p w14:paraId="03F232AB" w14:textId="77777777" w:rsidR="00BA30F7" w:rsidRPr="00D5174F" w:rsidRDefault="00BA30F7" w:rsidP="00BA30F7">
            <w:pPr>
              <w:jc w:val="right"/>
            </w:pPr>
            <w:r w:rsidRPr="002A02C0">
              <w:t>$67.0</w:t>
            </w:r>
          </w:p>
        </w:tc>
        <w:tc>
          <w:tcPr>
            <w:tcW w:w="1711" w:type="dxa"/>
            <w:tcBorders>
              <w:top w:val="single" w:sz="4" w:space="0" w:color="808080" w:themeColor="background1" w:themeShade="80"/>
              <w:bottom w:val="single" w:sz="4" w:space="0" w:color="808080" w:themeColor="background1" w:themeShade="80"/>
            </w:tcBorders>
            <w:noWrap/>
          </w:tcPr>
          <w:p w14:paraId="7D8E87C9" w14:textId="77777777" w:rsidR="00BA30F7" w:rsidRPr="000D30C5" w:rsidRDefault="00BA30F7" w:rsidP="00BA30F7">
            <w:pPr>
              <w:jc w:val="right"/>
            </w:pPr>
            <w:r w:rsidRPr="009D7D54">
              <w:t>$58.0</w:t>
            </w:r>
          </w:p>
        </w:tc>
        <w:tc>
          <w:tcPr>
            <w:tcW w:w="1632" w:type="dxa"/>
            <w:tcBorders>
              <w:top w:val="single" w:sz="4" w:space="0" w:color="808080" w:themeColor="background1" w:themeShade="80"/>
              <w:bottom w:val="single" w:sz="4" w:space="0" w:color="808080" w:themeColor="background1" w:themeShade="80"/>
            </w:tcBorders>
            <w:noWrap/>
          </w:tcPr>
          <w:p w14:paraId="5FFC2DA8" w14:textId="77777777" w:rsidR="00BA30F7" w:rsidRPr="000D30C5" w:rsidRDefault="00BA30F7" w:rsidP="00BA30F7">
            <w:pPr>
              <w:jc w:val="right"/>
            </w:pPr>
            <w:r w:rsidRPr="0049256C">
              <w:t>$379.1</w:t>
            </w:r>
          </w:p>
        </w:tc>
      </w:tr>
      <w:tr w:rsidR="00BA30F7" w:rsidRPr="00527727" w14:paraId="64F650B6"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3E64CE48" w14:textId="77777777" w:rsidR="00BA30F7" w:rsidRDefault="00BA30F7" w:rsidP="00BA30F7">
            <w:pPr>
              <w:ind w:left="274"/>
            </w:pPr>
            <w:proofErr w:type="spellStart"/>
            <w:r w:rsidRPr="00841A48">
              <w:t>PrEP</w:t>
            </w:r>
            <w:proofErr w:type="spellEnd"/>
            <w:r w:rsidRPr="00841A48">
              <w:t xml:space="preserve"> for high-risk HETs</w:t>
            </w:r>
          </w:p>
        </w:tc>
        <w:tc>
          <w:tcPr>
            <w:tcW w:w="1980" w:type="dxa"/>
            <w:tcBorders>
              <w:top w:val="single" w:sz="4" w:space="0" w:color="808080" w:themeColor="background1" w:themeShade="80"/>
              <w:bottom w:val="single" w:sz="4" w:space="0" w:color="808080" w:themeColor="background1" w:themeShade="80"/>
            </w:tcBorders>
            <w:noWrap/>
          </w:tcPr>
          <w:p w14:paraId="3C4A7833" w14:textId="77777777" w:rsidR="00BA30F7" w:rsidRPr="00D5174F" w:rsidRDefault="00BA30F7" w:rsidP="00BA30F7">
            <w:pPr>
              <w:jc w:val="right"/>
            </w:pPr>
            <w:r w:rsidRPr="002A02C0">
              <w:t>$965.9</w:t>
            </w:r>
          </w:p>
        </w:tc>
        <w:tc>
          <w:tcPr>
            <w:tcW w:w="1711" w:type="dxa"/>
            <w:tcBorders>
              <w:top w:val="single" w:sz="4" w:space="0" w:color="808080" w:themeColor="background1" w:themeShade="80"/>
              <w:bottom w:val="single" w:sz="4" w:space="0" w:color="808080" w:themeColor="background1" w:themeShade="80"/>
            </w:tcBorders>
            <w:noWrap/>
          </w:tcPr>
          <w:p w14:paraId="0FF2006A" w14:textId="77777777" w:rsidR="00BA30F7" w:rsidRPr="000D30C5" w:rsidRDefault="00BA30F7" w:rsidP="00BA30F7">
            <w:pPr>
              <w:jc w:val="right"/>
            </w:pPr>
            <w:r w:rsidRPr="009D7D54">
              <w:t>$389.8</w:t>
            </w:r>
          </w:p>
        </w:tc>
        <w:tc>
          <w:tcPr>
            <w:tcW w:w="1632" w:type="dxa"/>
            <w:tcBorders>
              <w:top w:val="single" w:sz="4" w:space="0" w:color="808080" w:themeColor="background1" w:themeShade="80"/>
              <w:bottom w:val="single" w:sz="4" w:space="0" w:color="808080" w:themeColor="background1" w:themeShade="80"/>
            </w:tcBorders>
            <w:noWrap/>
          </w:tcPr>
          <w:p w14:paraId="5206ABB6" w14:textId="77777777" w:rsidR="00BA30F7" w:rsidRPr="000D30C5" w:rsidRDefault="00BA30F7" w:rsidP="00BA30F7">
            <w:pPr>
              <w:jc w:val="right"/>
            </w:pPr>
            <w:r w:rsidRPr="0049256C">
              <w:t>$1,101.7</w:t>
            </w:r>
          </w:p>
        </w:tc>
      </w:tr>
      <w:tr w:rsidR="00BA30F7" w:rsidRPr="00527727" w14:paraId="31C21AA6"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58835006" w14:textId="77777777" w:rsidR="00BA30F7" w:rsidRDefault="00BA30F7" w:rsidP="00BA30F7">
            <w:pPr>
              <w:ind w:left="274"/>
            </w:pPr>
            <w:proofErr w:type="spellStart"/>
            <w:r w:rsidRPr="00841A48">
              <w:t>PrEP</w:t>
            </w:r>
            <w:proofErr w:type="spellEnd"/>
            <w:r w:rsidRPr="00841A48">
              <w:t xml:space="preserve"> for MSM</w:t>
            </w:r>
          </w:p>
        </w:tc>
        <w:tc>
          <w:tcPr>
            <w:tcW w:w="1980" w:type="dxa"/>
            <w:tcBorders>
              <w:top w:val="single" w:sz="4" w:space="0" w:color="808080" w:themeColor="background1" w:themeShade="80"/>
              <w:bottom w:val="single" w:sz="4" w:space="0" w:color="808080" w:themeColor="background1" w:themeShade="80"/>
            </w:tcBorders>
            <w:noWrap/>
          </w:tcPr>
          <w:p w14:paraId="40A1E453" w14:textId="77777777" w:rsidR="00BA30F7" w:rsidRPr="00D5174F" w:rsidRDefault="00BA30F7" w:rsidP="00BA30F7">
            <w:pPr>
              <w:jc w:val="right"/>
            </w:pPr>
            <w:r w:rsidRPr="002A02C0">
              <w:t>$2,118.5</w:t>
            </w:r>
          </w:p>
        </w:tc>
        <w:tc>
          <w:tcPr>
            <w:tcW w:w="1711" w:type="dxa"/>
            <w:tcBorders>
              <w:top w:val="single" w:sz="4" w:space="0" w:color="808080" w:themeColor="background1" w:themeShade="80"/>
              <w:bottom w:val="single" w:sz="4" w:space="0" w:color="808080" w:themeColor="background1" w:themeShade="80"/>
            </w:tcBorders>
            <w:noWrap/>
          </w:tcPr>
          <w:p w14:paraId="1DC11E71" w14:textId="77777777" w:rsidR="00BA30F7" w:rsidRPr="000D30C5" w:rsidRDefault="00BA30F7" w:rsidP="00BA30F7">
            <w:pPr>
              <w:jc w:val="right"/>
            </w:pPr>
            <w:r w:rsidRPr="009D7D54">
              <w:t>$1,551.7</w:t>
            </w:r>
          </w:p>
        </w:tc>
        <w:tc>
          <w:tcPr>
            <w:tcW w:w="1632" w:type="dxa"/>
            <w:tcBorders>
              <w:top w:val="single" w:sz="4" w:space="0" w:color="808080" w:themeColor="background1" w:themeShade="80"/>
              <w:bottom w:val="single" w:sz="4" w:space="0" w:color="808080" w:themeColor="background1" w:themeShade="80"/>
            </w:tcBorders>
            <w:noWrap/>
          </w:tcPr>
          <w:p w14:paraId="14B9AA2C" w14:textId="77777777" w:rsidR="00BA30F7" w:rsidRPr="000D30C5" w:rsidRDefault="00BA30F7" w:rsidP="00BA30F7">
            <w:pPr>
              <w:jc w:val="right"/>
            </w:pPr>
            <w:r w:rsidRPr="0049256C">
              <w:t>$2,259.7</w:t>
            </w:r>
          </w:p>
        </w:tc>
      </w:tr>
      <w:tr w:rsidR="00BA30F7" w:rsidRPr="00527727" w14:paraId="40AD7CAC" w14:textId="77777777" w:rsidTr="00BA30F7">
        <w:trPr>
          <w:trHeight w:val="288"/>
        </w:trPr>
        <w:tc>
          <w:tcPr>
            <w:tcW w:w="4037" w:type="dxa"/>
            <w:tcBorders>
              <w:top w:val="single" w:sz="4" w:space="0" w:color="808080" w:themeColor="background1" w:themeShade="80"/>
              <w:bottom w:val="single" w:sz="4" w:space="0" w:color="808080" w:themeColor="background1" w:themeShade="80"/>
            </w:tcBorders>
            <w:noWrap/>
          </w:tcPr>
          <w:p w14:paraId="7E8522C6" w14:textId="77777777" w:rsidR="00BA30F7" w:rsidRDefault="00BA30F7" w:rsidP="00BA30F7">
            <w:pPr>
              <w:ind w:left="274"/>
            </w:pPr>
            <w:proofErr w:type="spellStart"/>
            <w:r w:rsidRPr="00841A48">
              <w:t>PrEP</w:t>
            </w:r>
            <w:proofErr w:type="spellEnd"/>
            <w:r w:rsidRPr="00841A48">
              <w:t xml:space="preserve"> for PWID</w:t>
            </w:r>
          </w:p>
        </w:tc>
        <w:tc>
          <w:tcPr>
            <w:tcW w:w="1980" w:type="dxa"/>
            <w:tcBorders>
              <w:top w:val="single" w:sz="4" w:space="0" w:color="808080" w:themeColor="background1" w:themeShade="80"/>
              <w:bottom w:val="single" w:sz="4" w:space="0" w:color="808080" w:themeColor="background1" w:themeShade="80"/>
            </w:tcBorders>
            <w:noWrap/>
          </w:tcPr>
          <w:p w14:paraId="54940947" w14:textId="77777777" w:rsidR="00BA30F7" w:rsidRPr="00D5174F" w:rsidRDefault="00BA30F7" w:rsidP="00BA30F7">
            <w:pPr>
              <w:jc w:val="right"/>
            </w:pPr>
            <w:r w:rsidRPr="002A02C0">
              <w:t>$2.2</w:t>
            </w:r>
          </w:p>
        </w:tc>
        <w:tc>
          <w:tcPr>
            <w:tcW w:w="1711" w:type="dxa"/>
            <w:tcBorders>
              <w:top w:val="single" w:sz="4" w:space="0" w:color="808080" w:themeColor="background1" w:themeShade="80"/>
              <w:bottom w:val="single" w:sz="4" w:space="0" w:color="808080" w:themeColor="background1" w:themeShade="80"/>
            </w:tcBorders>
            <w:noWrap/>
          </w:tcPr>
          <w:p w14:paraId="4E34D2AB" w14:textId="77777777" w:rsidR="00BA30F7" w:rsidRPr="000D30C5" w:rsidRDefault="00BA30F7" w:rsidP="00BA30F7">
            <w:pPr>
              <w:jc w:val="right"/>
            </w:pPr>
            <w:r w:rsidRPr="009D7D54">
              <w:t>$0.0</w:t>
            </w:r>
          </w:p>
        </w:tc>
        <w:tc>
          <w:tcPr>
            <w:tcW w:w="1632" w:type="dxa"/>
            <w:tcBorders>
              <w:top w:val="single" w:sz="4" w:space="0" w:color="808080" w:themeColor="background1" w:themeShade="80"/>
              <w:bottom w:val="single" w:sz="4" w:space="0" w:color="808080" w:themeColor="background1" w:themeShade="80"/>
            </w:tcBorders>
            <w:noWrap/>
          </w:tcPr>
          <w:p w14:paraId="5B82B6D9" w14:textId="77777777" w:rsidR="00BA30F7" w:rsidRPr="000D30C5" w:rsidRDefault="00BA30F7" w:rsidP="00BA30F7">
            <w:pPr>
              <w:jc w:val="right"/>
            </w:pPr>
            <w:r w:rsidRPr="0049256C">
              <w:t>$33.8</w:t>
            </w:r>
          </w:p>
        </w:tc>
      </w:tr>
      <w:tr w:rsidR="00BA30F7" w:rsidRPr="00527727" w14:paraId="0E6EB051" w14:textId="77777777" w:rsidTr="00BA30F7">
        <w:tc>
          <w:tcPr>
            <w:tcW w:w="4037" w:type="dxa"/>
            <w:tcBorders>
              <w:top w:val="single" w:sz="4" w:space="0" w:color="808080" w:themeColor="background1" w:themeShade="80"/>
              <w:bottom w:val="single" w:sz="4" w:space="0" w:color="808080" w:themeColor="background1" w:themeShade="80"/>
            </w:tcBorders>
            <w:noWrap/>
          </w:tcPr>
          <w:p w14:paraId="5A94A428" w14:textId="77777777" w:rsidR="00BA30F7" w:rsidRPr="00527727" w:rsidRDefault="00BA30F7" w:rsidP="00BA30F7">
            <w:r>
              <w:t xml:space="preserve">Total new infections </w:t>
            </w:r>
          </w:p>
        </w:tc>
        <w:tc>
          <w:tcPr>
            <w:tcW w:w="1980" w:type="dxa"/>
            <w:tcBorders>
              <w:top w:val="single" w:sz="4" w:space="0" w:color="808080" w:themeColor="background1" w:themeShade="80"/>
              <w:bottom w:val="single" w:sz="4" w:space="0" w:color="808080" w:themeColor="background1" w:themeShade="80"/>
            </w:tcBorders>
            <w:noWrap/>
          </w:tcPr>
          <w:p w14:paraId="136A6BEC" w14:textId="77777777" w:rsidR="00BA30F7" w:rsidRPr="00527727" w:rsidRDefault="00BA30F7" w:rsidP="00BA30F7">
            <w:pPr>
              <w:pStyle w:val="TableText"/>
              <w:spacing w:before="40"/>
              <w:ind w:right="144"/>
              <w:jc w:val="center"/>
            </w:pPr>
          </w:p>
        </w:tc>
        <w:tc>
          <w:tcPr>
            <w:tcW w:w="1711" w:type="dxa"/>
            <w:tcBorders>
              <w:top w:val="single" w:sz="4" w:space="0" w:color="808080" w:themeColor="background1" w:themeShade="80"/>
              <w:bottom w:val="single" w:sz="4" w:space="0" w:color="808080" w:themeColor="background1" w:themeShade="80"/>
            </w:tcBorders>
            <w:noWrap/>
          </w:tcPr>
          <w:p w14:paraId="74BB0AF5" w14:textId="77777777" w:rsidR="00BA30F7" w:rsidRPr="00255239" w:rsidRDefault="00BA30F7" w:rsidP="00BA30F7">
            <w:pPr>
              <w:jc w:val="center"/>
            </w:pPr>
          </w:p>
        </w:tc>
        <w:tc>
          <w:tcPr>
            <w:tcW w:w="1632" w:type="dxa"/>
            <w:tcBorders>
              <w:top w:val="single" w:sz="4" w:space="0" w:color="808080" w:themeColor="background1" w:themeShade="80"/>
              <w:bottom w:val="single" w:sz="4" w:space="0" w:color="808080" w:themeColor="background1" w:themeShade="80"/>
            </w:tcBorders>
            <w:noWrap/>
          </w:tcPr>
          <w:p w14:paraId="46A04B1F" w14:textId="77777777" w:rsidR="00BA30F7" w:rsidRDefault="00BA30F7" w:rsidP="00BA30F7">
            <w:pPr>
              <w:jc w:val="center"/>
            </w:pPr>
          </w:p>
        </w:tc>
      </w:tr>
      <w:tr w:rsidR="00BA30F7" w:rsidRPr="00527727" w14:paraId="53A90B4B" w14:textId="77777777" w:rsidTr="00BA30F7">
        <w:tc>
          <w:tcPr>
            <w:tcW w:w="4037" w:type="dxa"/>
            <w:tcBorders>
              <w:top w:val="single" w:sz="4" w:space="0" w:color="808080" w:themeColor="background1" w:themeShade="80"/>
              <w:bottom w:val="single" w:sz="4" w:space="0" w:color="808080" w:themeColor="background1" w:themeShade="80"/>
            </w:tcBorders>
            <w:noWrap/>
          </w:tcPr>
          <w:p w14:paraId="476ED4EA" w14:textId="77777777" w:rsidR="00BA30F7" w:rsidRDefault="00BA30F7" w:rsidP="00BA30F7">
            <w:pPr>
              <w:ind w:left="186"/>
            </w:pPr>
            <w:r>
              <w:t>2025</w:t>
            </w:r>
          </w:p>
        </w:tc>
        <w:tc>
          <w:tcPr>
            <w:tcW w:w="1980" w:type="dxa"/>
            <w:tcBorders>
              <w:top w:val="single" w:sz="4" w:space="0" w:color="808080" w:themeColor="background1" w:themeShade="80"/>
              <w:bottom w:val="single" w:sz="4" w:space="0" w:color="808080" w:themeColor="background1" w:themeShade="80"/>
            </w:tcBorders>
            <w:noWrap/>
          </w:tcPr>
          <w:p w14:paraId="01EAE569" w14:textId="77777777" w:rsidR="00BA30F7" w:rsidRPr="00033E43" w:rsidRDefault="00BA30F7" w:rsidP="00BA30F7">
            <w:pPr>
              <w:jc w:val="right"/>
            </w:pPr>
            <w:r w:rsidRPr="00486526">
              <w:t>7,980</w:t>
            </w:r>
          </w:p>
        </w:tc>
        <w:tc>
          <w:tcPr>
            <w:tcW w:w="1711" w:type="dxa"/>
            <w:tcBorders>
              <w:top w:val="single" w:sz="4" w:space="0" w:color="808080" w:themeColor="background1" w:themeShade="80"/>
              <w:bottom w:val="single" w:sz="4" w:space="0" w:color="808080" w:themeColor="background1" w:themeShade="80"/>
            </w:tcBorders>
            <w:noWrap/>
          </w:tcPr>
          <w:p w14:paraId="2B6F9CCD" w14:textId="77777777" w:rsidR="00BA30F7" w:rsidRPr="00033E43" w:rsidRDefault="00BA30F7" w:rsidP="00BA30F7">
            <w:pPr>
              <w:jc w:val="right"/>
            </w:pPr>
            <w:r w:rsidRPr="00486526">
              <w:t>6,932</w:t>
            </w:r>
          </w:p>
        </w:tc>
        <w:tc>
          <w:tcPr>
            <w:tcW w:w="1632" w:type="dxa"/>
            <w:tcBorders>
              <w:top w:val="single" w:sz="4" w:space="0" w:color="808080" w:themeColor="background1" w:themeShade="80"/>
              <w:bottom w:val="single" w:sz="4" w:space="0" w:color="808080" w:themeColor="background1" w:themeShade="80"/>
            </w:tcBorders>
            <w:noWrap/>
          </w:tcPr>
          <w:p w14:paraId="73DF2C07" w14:textId="77777777" w:rsidR="00BA30F7" w:rsidRPr="00033E43" w:rsidRDefault="00BA30F7" w:rsidP="00BA30F7">
            <w:pPr>
              <w:jc w:val="right"/>
            </w:pPr>
            <w:r w:rsidRPr="00486526">
              <w:t>9,991</w:t>
            </w:r>
          </w:p>
        </w:tc>
      </w:tr>
      <w:tr w:rsidR="00BA30F7" w:rsidRPr="00527727" w14:paraId="084D0C05" w14:textId="77777777" w:rsidTr="00BA30F7">
        <w:tc>
          <w:tcPr>
            <w:tcW w:w="4037" w:type="dxa"/>
            <w:tcBorders>
              <w:top w:val="single" w:sz="4" w:space="0" w:color="808080" w:themeColor="background1" w:themeShade="80"/>
              <w:bottom w:val="single" w:sz="12" w:space="0" w:color="auto"/>
            </w:tcBorders>
            <w:noWrap/>
          </w:tcPr>
          <w:p w14:paraId="172314BD" w14:textId="77777777" w:rsidR="00BA30F7" w:rsidRDefault="00BA30F7" w:rsidP="00BA30F7">
            <w:pPr>
              <w:ind w:left="186"/>
            </w:pPr>
            <w:r>
              <w:t>2030</w:t>
            </w:r>
          </w:p>
        </w:tc>
        <w:tc>
          <w:tcPr>
            <w:tcW w:w="1980" w:type="dxa"/>
            <w:tcBorders>
              <w:top w:val="single" w:sz="4" w:space="0" w:color="808080" w:themeColor="background1" w:themeShade="80"/>
              <w:bottom w:val="single" w:sz="12" w:space="0" w:color="auto"/>
            </w:tcBorders>
            <w:noWrap/>
          </w:tcPr>
          <w:p w14:paraId="37DF5DFE" w14:textId="77777777" w:rsidR="00BA30F7" w:rsidRPr="00033E43" w:rsidRDefault="00BA30F7" w:rsidP="00BA30F7">
            <w:pPr>
              <w:jc w:val="right"/>
            </w:pPr>
            <w:r w:rsidRPr="00486526">
              <w:t>2,223</w:t>
            </w:r>
          </w:p>
        </w:tc>
        <w:tc>
          <w:tcPr>
            <w:tcW w:w="1711" w:type="dxa"/>
            <w:tcBorders>
              <w:top w:val="single" w:sz="4" w:space="0" w:color="808080" w:themeColor="background1" w:themeShade="80"/>
              <w:bottom w:val="single" w:sz="12" w:space="0" w:color="auto"/>
            </w:tcBorders>
            <w:noWrap/>
          </w:tcPr>
          <w:p w14:paraId="0F25B01E" w14:textId="77777777" w:rsidR="00BA30F7" w:rsidRPr="00033E43" w:rsidRDefault="00BA30F7" w:rsidP="00BA30F7">
            <w:pPr>
              <w:jc w:val="right"/>
            </w:pPr>
            <w:r w:rsidRPr="00486526">
              <w:t>2,034</w:t>
            </w:r>
          </w:p>
        </w:tc>
        <w:tc>
          <w:tcPr>
            <w:tcW w:w="1632" w:type="dxa"/>
            <w:tcBorders>
              <w:top w:val="single" w:sz="4" w:space="0" w:color="808080" w:themeColor="background1" w:themeShade="80"/>
              <w:bottom w:val="single" w:sz="12" w:space="0" w:color="auto"/>
            </w:tcBorders>
            <w:noWrap/>
          </w:tcPr>
          <w:p w14:paraId="33E23662" w14:textId="77777777" w:rsidR="00BA30F7" w:rsidRPr="00033E43" w:rsidRDefault="00BA30F7" w:rsidP="00BA30F7">
            <w:pPr>
              <w:jc w:val="right"/>
            </w:pPr>
            <w:r w:rsidRPr="00486526">
              <w:t>3,065</w:t>
            </w:r>
          </w:p>
        </w:tc>
      </w:tr>
    </w:tbl>
    <w:p w14:paraId="0ED2DB0F" w14:textId="77777777" w:rsidR="00BA30F7" w:rsidRDefault="00BA30F7" w:rsidP="00BA30F7">
      <w:pPr>
        <w:pStyle w:val="Source1"/>
      </w:pPr>
      <w:r>
        <w:tab/>
        <w:t>ART = Antiretroviral therapy; HET = heterosexual; M = Million; MSM = Men who have sex with men; PWID = People who inject drugs; Q</w:t>
      </w:r>
      <w:r w:rsidRPr="00527727">
        <w:t>ALY = quality-adjusted life-year.</w:t>
      </w:r>
      <w:r>
        <w:br/>
      </w:r>
      <w:r w:rsidRPr="007939AF">
        <w:rPr>
          <w:vertAlign w:val="superscript"/>
        </w:rPr>
        <w:t>a</w:t>
      </w:r>
      <w:r>
        <w:t xml:space="preserve"> Values in these columns report the minimum and maximum allocations to the individual intervention across the 10 alternate calibration sets. As a result, the totals of the values in these columns for each allocation period do not sum to the total funding amount for that allocation period. </w:t>
      </w:r>
      <w:r>
        <w:br/>
      </w:r>
      <w:r w:rsidRPr="00ED3FF2">
        <w:rPr>
          <w:vertAlign w:val="superscript"/>
        </w:rPr>
        <w:t>b</w:t>
      </w:r>
      <w:r>
        <w:t xml:space="preserve"> Intervention spending is not optimized from 2021-2022.</w:t>
      </w:r>
    </w:p>
    <w:p w14:paraId="0C4EB0D6" w14:textId="50D076F2" w:rsidR="00A37538" w:rsidRPr="008261F3" w:rsidRDefault="00A37538" w:rsidP="008261F3">
      <w:pPr>
        <w:rPr>
          <w:sz w:val="18"/>
        </w:rPr>
        <w:sectPr w:rsidR="00A37538" w:rsidRPr="008261F3" w:rsidSect="008A678D">
          <w:headerReference w:type="default" r:id="rId134"/>
          <w:type w:val="oddPage"/>
          <w:pgSz w:w="12240" w:h="15840" w:code="1"/>
          <w:pgMar w:top="1440" w:right="1440" w:bottom="1440" w:left="1440" w:header="720" w:footer="720" w:gutter="0"/>
          <w:pgNumType w:start="1" w:chapStyle="1"/>
          <w:cols w:space="720"/>
          <w:titlePg/>
          <w:docGrid w:linePitch="360"/>
        </w:sectPr>
      </w:pPr>
    </w:p>
    <w:bookmarkEnd w:id="113"/>
    <w:p w14:paraId="0E5CF33D" w14:textId="77777777" w:rsidR="000F420A" w:rsidRPr="00C00335" w:rsidRDefault="0087433D" w:rsidP="00400910">
      <w:pPr>
        <w:pStyle w:val="ESHeading1"/>
      </w:pPr>
      <w:r w:rsidRPr="000B6B04">
        <w:lastRenderedPageBreak/>
        <w:t>References</w:t>
      </w:r>
    </w:p>
    <w:p w14:paraId="1EEC1652" w14:textId="76333585" w:rsidR="009A5CF3" w:rsidRPr="00244B91" w:rsidRDefault="009A5CF3" w:rsidP="00FB4FDA">
      <w:pPr>
        <w:pStyle w:val="biblio"/>
      </w:pPr>
      <w:proofErr w:type="spellStart"/>
      <w:r w:rsidRPr="00244B91">
        <w:t>Althoff</w:t>
      </w:r>
      <w:proofErr w:type="spellEnd"/>
      <w:r w:rsidRPr="00244B91">
        <w:t xml:space="preserve"> KN, Justice AC, </w:t>
      </w:r>
      <w:proofErr w:type="spellStart"/>
      <w:r w:rsidRPr="00244B91">
        <w:t>Gange</w:t>
      </w:r>
      <w:proofErr w:type="spellEnd"/>
      <w:r w:rsidRPr="00244B91">
        <w:t xml:space="preserve"> SJ, </w:t>
      </w:r>
      <w:r w:rsidR="00E628A1" w:rsidRPr="00244B91">
        <w:t>et al</w:t>
      </w:r>
      <w:r w:rsidRPr="00244B91">
        <w:t xml:space="preserve">. Virologic and immunologic response to HAART, by age and regimen class. </w:t>
      </w:r>
      <w:r w:rsidRPr="00244B91">
        <w:rPr>
          <w:i/>
          <w:iCs/>
        </w:rPr>
        <w:t>AIDS</w:t>
      </w:r>
      <w:r w:rsidRPr="00244B91">
        <w:t>. 2010 Oct 23;24(16):2469</w:t>
      </w:r>
      <w:r w:rsidR="00740DFC" w:rsidRPr="00244B91">
        <w:t>–7</w:t>
      </w:r>
      <w:r w:rsidRPr="00244B91">
        <w:t xml:space="preserve">9. Erratum in: </w:t>
      </w:r>
      <w:r w:rsidRPr="00244B91">
        <w:rPr>
          <w:i/>
          <w:iCs/>
        </w:rPr>
        <w:t>AIDS</w:t>
      </w:r>
      <w:r w:rsidRPr="00244B91">
        <w:t>.</w:t>
      </w:r>
      <w:r w:rsidR="004751B3" w:rsidRPr="00244B91">
        <w:t xml:space="preserve"> </w:t>
      </w:r>
      <w:r w:rsidRPr="00244B91">
        <w:t>2011 Jan 28;25(3):397.</w:t>
      </w:r>
    </w:p>
    <w:p w14:paraId="6221133D" w14:textId="44C1CD59" w:rsidR="00FB4FDA" w:rsidRPr="00244B91" w:rsidRDefault="00FB4FDA" w:rsidP="004751B3">
      <w:pPr>
        <w:pStyle w:val="biblio"/>
      </w:pPr>
      <w:r w:rsidRPr="00244B91">
        <w:t xml:space="preserve">Antiretroviral Therapy Cohort Collaboration. Importance of baseline prognostic factors with increasing time since initiation of highly active antiretroviral therapy: collaborative analysis of cohorts of HIV-1- infected patients. </w:t>
      </w:r>
      <w:r w:rsidRPr="00244B91">
        <w:rPr>
          <w:i/>
        </w:rPr>
        <w:t xml:space="preserve">J </w:t>
      </w:r>
      <w:proofErr w:type="spellStart"/>
      <w:r w:rsidRPr="00244B91">
        <w:rPr>
          <w:i/>
        </w:rPr>
        <w:t>Acquir</w:t>
      </w:r>
      <w:proofErr w:type="spellEnd"/>
      <w:r w:rsidRPr="00244B91">
        <w:rPr>
          <w:i/>
        </w:rPr>
        <w:t xml:space="preserve"> Immune </w:t>
      </w:r>
      <w:proofErr w:type="spellStart"/>
      <w:r w:rsidRPr="00244B91">
        <w:rPr>
          <w:i/>
        </w:rPr>
        <w:t>Defic</w:t>
      </w:r>
      <w:proofErr w:type="spellEnd"/>
      <w:r w:rsidRPr="00244B91">
        <w:rPr>
          <w:i/>
        </w:rPr>
        <w:t xml:space="preserve"> </w:t>
      </w:r>
      <w:proofErr w:type="spellStart"/>
      <w:r w:rsidRPr="00244B91">
        <w:rPr>
          <w:i/>
        </w:rPr>
        <w:t>Syndr</w:t>
      </w:r>
      <w:proofErr w:type="spellEnd"/>
      <w:r w:rsidRPr="00244B91">
        <w:t>. 2007;46:607</w:t>
      </w:r>
      <w:r w:rsidR="00740DFC" w:rsidRPr="00244B91">
        <w:t>–1</w:t>
      </w:r>
      <w:r w:rsidRPr="00244B91">
        <w:t>5.</w:t>
      </w:r>
    </w:p>
    <w:p w14:paraId="29EC07FE" w14:textId="175EBB17" w:rsidR="00FB4FDA" w:rsidRPr="00244B91" w:rsidRDefault="00FB4FDA" w:rsidP="00FB4FDA">
      <w:pPr>
        <w:pStyle w:val="biblio"/>
      </w:pPr>
      <w:r w:rsidRPr="00244B91">
        <w:t xml:space="preserve">Arias E. United States life tables, 2008. </w:t>
      </w:r>
      <w:r w:rsidRPr="00244B91">
        <w:rPr>
          <w:i/>
        </w:rPr>
        <w:t>National Vital Statistics Reports</w:t>
      </w:r>
      <w:r w:rsidR="00D50000" w:rsidRPr="00244B91">
        <w:t>. 2012;</w:t>
      </w:r>
      <w:r w:rsidRPr="00244B91">
        <w:t>61(3). Hyattsville, MD: National Center for Health Statistics.</w:t>
      </w:r>
    </w:p>
    <w:p w14:paraId="283C2A0A" w14:textId="6C8AA431" w:rsidR="00D274F7" w:rsidRPr="00244B91" w:rsidRDefault="00D274F7" w:rsidP="00452F76">
      <w:pPr>
        <w:pStyle w:val="biblio"/>
      </w:pPr>
      <w:r w:rsidRPr="00244B91">
        <w:t xml:space="preserve">Aspinall EJ, Nambiar D, Goldberg DJ, Hickman M, Weir A, Van </w:t>
      </w:r>
      <w:proofErr w:type="spellStart"/>
      <w:r w:rsidRPr="00244B91">
        <w:t>Velzen</w:t>
      </w:r>
      <w:proofErr w:type="spellEnd"/>
      <w:r w:rsidRPr="00244B91">
        <w:t xml:space="preserve"> E, </w:t>
      </w:r>
      <w:proofErr w:type="spellStart"/>
      <w:r w:rsidRPr="00244B91">
        <w:t>Palmateer</w:t>
      </w:r>
      <w:proofErr w:type="spellEnd"/>
      <w:r w:rsidRPr="00244B91">
        <w:t xml:space="preserve"> N, Doyle JS, </w:t>
      </w:r>
      <w:proofErr w:type="spellStart"/>
      <w:r w:rsidRPr="00244B91">
        <w:t>Hellard</w:t>
      </w:r>
      <w:proofErr w:type="spellEnd"/>
      <w:r w:rsidRPr="00244B91">
        <w:t xml:space="preserve"> ME, Hutchinson SJ. Are needle and syringe </w:t>
      </w:r>
      <w:proofErr w:type="spellStart"/>
      <w:r w:rsidRPr="00244B91">
        <w:t>programmes</w:t>
      </w:r>
      <w:proofErr w:type="spellEnd"/>
      <w:r w:rsidRPr="00244B91">
        <w:t xml:space="preserve"> associated with a reduction in HIV transmission among people who inject drugs: a systematic review and meta-analysis. Int J Epidemiol. 2014 Feb;43(1):235-48.</w:t>
      </w:r>
    </w:p>
    <w:p w14:paraId="660982E2" w14:textId="1E926B09" w:rsidR="00CC7EE6" w:rsidRPr="00244B91" w:rsidRDefault="00CC7EE6" w:rsidP="00FB4FDA">
      <w:pPr>
        <w:pStyle w:val="biblio"/>
      </w:pPr>
      <w:r w:rsidRPr="00244B91">
        <w:t xml:space="preserve">Baeten JM, Donnell D, </w:t>
      </w:r>
      <w:proofErr w:type="spellStart"/>
      <w:r w:rsidRPr="00244B91">
        <w:t>Ndase</w:t>
      </w:r>
      <w:proofErr w:type="spellEnd"/>
      <w:r w:rsidRPr="00244B91">
        <w:t xml:space="preserve"> P, et al. Antiretroviral prophylaxis for HIV prevention in heterosexual men and women. </w:t>
      </w:r>
      <w:r w:rsidRPr="00244B91">
        <w:rPr>
          <w:i/>
          <w:iCs/>
        </w:rPr>
        <w:t xml:space="preserve">N </w:t>
      </w:r>
      <w:proofErr w:type="spellStart"/>
      <w:r w:rsidRPr="00244B91">
        <w:rPr>
          <w:i/>
          <w:iCs/>
        </w:rPr>
        <w:t>Engl</w:t>
      </w:r>
      <w:proofErr w:type="spellEnd"/>
      <w:r w:rsidRPr="00244B91">
        <w:rPr>
          <w:i/>
          <w:iCs/>
        </w:rPr>
        <w:t xml:space="preserve"> J Med</w:t>
      </w:r>
      <w:r w:rsidRPr="00244B91">
        <w:t>. 2012;367(5):399</w:t>
      </w:r>
      <w:r w:rsidR="00740DFC" w:rsidRPr="00244B91">
        <w:t>–4</w:t>
      </w:r>
      <w:r w:rsidRPr="00244B91">
        <w:t>10.</w:t>
      </w:r>
    </w:p>
    <w:p w14:paraId="507D67ED" w14:textId="51849866" w:rsidR="00E3131B" w:rsidRPr="00244B91" w:rsidRDefault="00E3131B" w:rsidP="004751B3">
      <w:pPr>
        <w:pStyle w:val="biblio"/>
      </w:pPr>
      <w:r w:rsidRPr="00244B91">
        <w:t xml:space="preserve">Barnett PG, </w:t>
      </w:r>
      <w:r w:rsidR="006577DA" w:rsidRPr="00244B91">
        <w:t xml:space="preserve">Sorensen JL, Wong W, </w:t>
      </w:r>
      <w:r w:rsidRPr="00244B91">
        <w:t xml:space="preserve">et al. Effect of incentives for medication adherence on health care use and costs in methadone patients with HIV. </w:t>
      </w:r>
      <w:r w:rsidRPr="00244B91">
        <w:rPr>
          <w:i/>
          <w:iCs/>
        </w:rPr>
        <w:t xml:space="preserve">Drug </w:t>
      </w:r>
      <w:r w:rsidR="004751B3" w:rsidRPr="00244B91">
        <w:rPr>
          <w:i/>
          <w:iCs/>
        </w:rPr>
        <w:t>Alcohol D</w:t>
      </w:r>
      <w:r w:rsidRPr="00244B91">
        <w:rPr>
          <w:i/>
          <w:iCs/>
        </w:rPr>
        <w:t>epend</w:t>
      </w:r>
      <w:r w:rsidR="004751B3" w:rsidRPr="00244B91">
        <w:t>.</w:t>
      </w:r>
      <w:r w:rsidRPr="00244B91">
        <w:t xml:space="preserve"> 2009</w:t>
      </w:r>
      <w:r w:rsidR="004751B3" w:rsidRPr="00244B91">
        <w:t>;</w:t>
      </w:r>
      <w:r w:rsidRPr="00244B91">
        <w:t>100(1):115</w:t>
      </w:r>
      <w:r w:rsidR="00740DFC" w:rsidRPr="00244B91">
        <w:t>–2</w:t>
      </w:r>
      <w:r w:rsidRPr="00244B91">
        <w:t>1.</w:t>
      </w:r>
    </w:p>
    <w:p w14:paraId="013CEE01" w14:textId="2F5B0CBA" w:rsidR="009B7808" w:rsidRPr="00244B91" w:rsidRDefault="009B7808" w:rsidP="004751B3">
      <w:pPr>
        <w:pStyle w:val="biblio"/>
      </w:pPr>
      <w:r w:rsidRPr="00244B91">
        <w:t xml:space="preserve">Bavinton BR, Pinto AN, </w:t>
      </w:r>
      <w:proofErr w:type="spellStart"/>
      <w:r w:rsidRPr="00244B91">
        <w:t>Phanuphak</w:t>
      </w:r>
      <w:proofErr w:type="spellEnd"/>
      <w:r w:rsidRPr="00244B91">
        <w:t xml:space="preserve"> N, et al.; Opposites Attract Study Group. Viral suppression and HIV transmission in </w:t>
      </w:r>
      <w:proofErr w:type="spellStart"/>
      <w:r w:rsidRPr="00244B91">
        <w:t>serodiscordant</w:t>
      </w:r>
      <w:proofErr w:type="spellEnd"/>
      <w:r w:rsidRPr="00244B91">
        <w:t xml:space="preserve"> male couples: an international, prospective, observational, cohort study. Lancet HIV 2018;5:e438–47. 10.1016/S2352-3018(18)30132-2</w:t>
      </w:r>
    </w:p>
    <w:p w14:paraId="66D76EF9" w14:textId="2BC00999" w:rsidR="00E30D66" w:rsidRPr="00244B91" w:rsidRDefault="00E30D66" w:rsidP="004751B3">
      <w:pPr>
        <w:pStyle w:val="biblio"/>
      </w:pPr>
      <w:r w:rsidRPr="00244B91">
        <w:t xml:space="preserve">Bio-Rad. </w:t>
      </w:r>
      <w:proofErr w:type="spellStart"/>
      <w:r w:rsidRPr="00244B91">
        <w:t>Geenius</w:t>
      </w:r>
      <w:proofErr w:type="spellEnd"/>
      <w:r w:rsidRPr="00244B91">
        <w:t xml:space="preserve"> HIV </w:t>
      </w:r>
      <w:r w:rsidR="0048462A" w:rsidRPr="00244B91">
        <w:t>1/2</w:t>
      </w:r>
      <w:r w:rsidRPr="00244B91">
        <w:t xml:space="preserve"> </w:t>
      </w:r>
      <w:r w:rsidR="00554E24" w:rsidRPr="00244B91">
        <w:t xml:space="preserve">supplemental assay: </w:t>
      </w:r>
      <w:r w:rsidRPr="00244B91">
        <w:t xml:space="preserve">Instructions for </w:t>
      </w:r>
      <w:r w:rsidR="00554E24" w:rsidRPr="00244B91">
        <w:t>u</w:t>
      </w:r>
      <w:r w:rsidRPr="00244B91">
        <w:t xml:space="preserve">se. Updated October 2014. Available at: </w:t>
      </w:r>
      <w:hyperlink r:id="rId135" w:history="1">
        <w:r w:rsidRPr="00244B91">
          <w:rPr>
            <w:rStyle w:val="Hyperlink"/>
          </w:rPr>
          <w:t>https://www.fda.gov/downloads/BiologicsBloodVaccines/BloodBloodProducts/ApprovedProducts/PremarketApprovalsPMAs/UCM420735.pdf</w:t>
        </w:r>
      </w:hyperlink>
      <w:r w:rsidRPr="00244B91">
        <w:t>. Accessed September 11, 2018.</w:t>
      </w:r>
    </w:p>
    <w:p w14:paraId="5EFB6646" w14:textId="4AA5A51B" w:rsidR="00FB4FDA" w:rsidRPr="00244B91" w:rsidRDefault="00FB4FDA" w:rsidP="004751B3">
      <w:pPr>
        <w:pStyle w:val="biblio"/>
      </w:pPr>
      <w:r w:rsidRPr="00244B91">
        <w:t xml:space="preserve">Blower SM, </w:t>
      </w:r>
      <w:proofErr w:type="spellStart"/>
      <w:r w:rsidRPr="00244B91">
        <w:t>Dowlatabadi</w:t>
      </w:r>
      <w:proofErr w:type="spellEnd"/>
      <w:r w:rsidRPr="00244B91">
        <w:t xml:space="preserve"> H. </w:t>
      </w:r>
      <w:proofErr w:type="gramStart"/>
      <w:r w:rsidRPr="00244B91">
        <w:t>Sensitivity</w:t>
      </w:r>
      <w:proofErr w:type="gramEnd"/>
      <w:r w:rsidRPr="00244B91">
        <w:t xml:space="preserve"> and uncertainty analysis of complex models of disease transmission: an HIV model, as an example. </w:t>
      </w:r>
      <w:r w:rsidRPr="00244B91">
        <w:rPr>
          <w:i/>
        </w:rPr>
        <w:t>Int Stat Rev</w:t>
      </w:r>
      <w:r w:rsidR="00D50000" w:rsidRPr="00244B91">
        <w:t xml:space="preserve">. </w:t>
      </w:r>
      <w:r w:rsidRPr="00244B91">
        <w:t>1994;62:229</w:t>
      </w:r>
      <w:r w:rsidR="004751B3" w:rsidRPr="00244B91">
        <w:t>-</w:t>
      </w:r>
      <w:r w:rsidRPr="00244B91">
        <w:t>43.</w:t>
      </w:r>
    </w:p>
    <w:p w14:paraId="35E7034B" w14:textId="72912235" w:rsidR="00BE15F5" w:rsidRPr="00244B91" w:rsidRDefault="00BE15F5" w:rsidP="004751B3">
      <w:pPr>
        <w:pStyle w:val="biblio"/>
      </w:pPr>
      <w:proofErr w:type="spellStart"/>
      <w:r w:rsidRPr="00244B91">
        <w:t>Boily</w:t>
      </w:r>
      <w:proofErr w:type="spellEnd"/>
      <w:r w:rsidRPr="00244B91">
        <w:t xml:space="preserve"> MC, Pickles M, Lowndes CM, </w:t>
      </w:r>
      <w:r w:rsidR="004751B3" w:rsidRPr="00244B91">
        <w:t>et al</w:t>
      </w:r>
      <w:r w:rsidRPr="00244B91">
        <w:t xml:space="preserve">. Positive impact of a large-scale HIV prevention </w:t>
      </w:r>
      <w:proofErr w:type="spellStart"/>
      <w:r w:rsidRPr="00244B91">
        <w:t>programme</w:t>
      </w:r>
      <w:proofErr w:type="spellEnd"/>
      <w:r w:rsidRPr="00244B91">
        <w:t xml:space="preserve"> among female sex workers and clients in South India. </w:t>
      </w:r>
      <w:r w:rsidRPr="00244B91">
        <w:rPr>
          <w:i/>
          <w:iCs/>
        </w:rPr>
        <w:t>AIDS</w:t>
      </w:r>
      <w:r w:rsidRPr="00244B91">
        <w:t>. 2013 Jun 1;27(9):1449</w:t>
      </w:r>
      <w:r w:rsidR="00740DFC" w:rsidRPr="00244B91">
        <w:t>–6</w:t>
      </w:r>
      <w:r w:rsidRPr="00244B91">
        <w:t>0.</w:t>
      </w:r>
    </w:p>
    <w:p w14:paraId="7A762517" w14:textId="77777777" w:rsidR="00314E78" w:rsidRPr="00244B91" w:rsidRDefault="00FB4FDA" w:rsidP="00314E78">
      <w:pPr>
        <w:pStyle w:val="biblio"/>
      </w:pPr>
      <w:r w:rsidRPr="00244B91">
        <w:t xml:space="preserve">Buchacz K, Armon C, </w:t>
      </w:r>
      <w:proofErr w:type="spellStart"/>
      <w:r w:rsidRPr="00244B91">
        <w:t>Palella</w:t>
      </w:r>
      <w:proofErr w:type="spellEnd"/>
      <w:r w:rsidRPr="00244B91">
        <w:t xml:space="preserve"> FJ, et al. CD4 cell counts at HIV diagnosis among HIV outpatient study participants, 2000–2009. </w:t>
      </w:r>
      <w:r w:rsidRPr="00244B91">
        <w:rPr>
          <w:i/>
        </w:rPr>
        <w:t>AIDS Res Treat</w:t>
      </w:r>
      <w:r w:rsidR="00314E78" w:rsidRPr="00244B91">
        <w:t>. 2012:869–41.</w:t>
      </w:r>
    </w:p>
    <w:p w14:paraId="083D05ED" w14:textId="1F5B836E" w:rsidR="001F5372" w:rsidRPr="00244B91" w:rsidRDefault="007D4FD4" w:rsidP="00C80F5B">
      <w:pPr>
        <w:pStyle w:val="biblio"/>
      </w:pPr>
      <w:r w:rsidRPr="00244B91">
        <w:t>Bureau of Labor Statistics Consumer Price Index</w:t>
      </w:r>
      <w:r w:rsidR="00C80F5B" w:rsidRPr="00244B91">
        <w:t>—</w:t>
      </w:r>
      <w:r w:rsidRPr="00244B91">
        <w:t xml:space="preserve">All Urban Consumers. Series ID: </w:t>
      </w:r>
      <w:r w:rsidR="009C573E" w:rsidRPr="00244B91">
        <w:t>CUSR0000SA0</w:t>
      </w:r>
      <w:r w:rsidRPr="00244B91">
        <w:t xml:space="preserve">, U.S. city average, Medical care, 1982-84=100, January. </w:t>
      </w:r>
      <w:r w:rsidR="0071298F" w:rsidRPr="00244B91">
        <w:t xml:space="preserve">Available at: </w:t>
      </w:r>
      <w:hyperlink r:id="rId136" w:history="1">
        <w:r w:rsidR="009C573E" w:rsidRPr="00244B91">
          <w:rPr>
            <w:rStyle w:val="Hyperlink"/>
          </w:rPr>
          <w:t xml:space="preserve">http://data.bls.gov/cgi-bin/surveymost. </w:t>
        </w:r>
      </w:hyperlink>
      <w:r w:rsidR="009C573E" w:rsidRPr="00244B91">
        <w:t xml:space="preserve"> Accessed September 20, 2019.</w:t>
      </w:r>
    </w:p>
    <w:p w14:paraId="2179E32F" w14:textId="25991D9D" w:rsidR="0059652B" w:rsidRPr="00244B91" w:rsidRDefault="0059652B" w:rsidP="0059652B">
      <w:pPr>
        <w:pStyle w:val="biblio"/>
      </w:pPr>
      <w:r w:rsidRPr="00244B91">
        <w:lastRenderedPageBreak/>
        <w:t xml:space="preserve">Chavez P, </w:t>
      </w:r>
      <w:proofErr w:type="spellStart"/>
      <w:r w:rsidRPr="00244B91">
        <w:t>Wesolowski</w:t>
      </w:r>
      <w:proofErr w:type="spellEnd"/>
      <w:r w:rsidRPr="00244B91">
        <w:t xml:space="preserve"> L, Patel P, </w:t>
      </w:r>
      <w:r w:rsidR="000914E3" w:rsidRPr="00244B91">
        <w:t>et al</w:t>
      </w:r>
      <w:r w:rsidRPr="00244B91">
        <w:t xml:space="preserve">. Evaluation of the performance of the Abbott ARCHITECT HIV Ag/Ab combo assay. </w:t>
      </w:r>
      <w:r w:rsidRPr="00244B91">
        <w:rPr>
          <w:i/>
          <w:iCs/>
        </w:rPr>
        <w:t xml:space="preserve">J Clin </w:t>
      </w:r>
      <w:proofErr w:type="spellStart"/>
      <w:r w:rsidRPr="00244B91">
        <w:rPr>
          <w:i/>
          <w:iCs/>
        </w:rPr>
        <w:t>Virol</w:t>
      </w:r>
      <w:proofErr w:type="spellEnd"/>
      <w:r w:rsidR="004751B3" w:rsidRPr="00244B91">
        <w:rPr>
          <w:i/>
          <w:iCs/>
        </w:rPr>
        <w:t>.</w:t>
      </w:r>
      <w:r w:rsidRPr="00244B91">
        <w:t xml:space="preserve"> 2011;52(Suppl. 1, December):S51–5.</w:t>
      </w:r>
    </w:p>
    <w:p w14:paraId="37181299" w14:textId="3B4A4063" w:rsidR="00CC7EE6" w:rsidRPr="00244B91" w:rsidRDefault="00CC7EE6" w:rsidP="00D02F6F">
      <w:pPr>
        <w:pStyle w:val="biblio"/>
      </w:pPr>
      <w:proofErr w:type="spellStart"/>
      <w:r w:rsidRPr="00244B91">
        <w:t>Choopanya</w:t>
      </w:r>
      <w:proofErr w:type="spellEnd"/>
      <w:r w:rsidRPr="00244B91">
        <w:t xml:space="preserve"> K, Martin M, </w:t>
      </w:r>
      <w:proofErr w:type="spellStart"/>
      <w:r w:rsidRPr="00244B91">
        <w:t>Suntharasamai</w:t>
      </w:r>
      <w:proofErr w:type="spellEnd"/>
      <w:r w:rsidRPr="00244B91">
        <w:t xml:space="preserve"> P, et al. Antiretroviral prophylaxis for HIV infection among people who inject drugs in Bangkok, Thailand (the Bangkok Tenofovir Study): a </w:t>
      </w:r>
      <w:proofErr w:type="spellStart"/>
      <w:r w:rsidRPr="00244B91">
        <w:t>randomised</w:t>
      </w:r>
      <w:proofErr w:type="spellEnd"/>
      <w:r w:rsidRPr="00244B91">
        <w:t xml:space="preserve">, double-blind, placebo-controlled phase 3 trial. </w:t>
      </w:r>
      <w:r w:rsidRPr="00244B91">
        <w:rPr>
          <w:i/>
          <w:iCs/>
        </w:rPr>
        <w:t>Lancet</w:t>
      </w:r>
      <w:r w:rsidRPr="00244B91">
        <w:t>. 2013;381(9883):2083</w:t>
      </w:r>
      <w:r w:rsidR="00740DFC" w:rsidRPr="00244B91">
        <w:t>–9</w:t>
      </w:r>
      <w:r w:rsidRPr="00244B91">
        <w:t xml:space="preserve">0. </w:t>
      </w:r>
      <w:proofErr w:type="spellStart"/>
      <w:r w:rsidRPr="00244B91">
        <w:t>doi</w:t>
      </w:r>
      <w:proofErr w:type="spellEnd"/>
      <w:r w:rsidRPr="00244B91">
        <w:t>: 10.1016/S0140-6736(13)61127</w:t>
      </w:r>
      <w:r w:rsidR="00740DFC" w:rsidRPr="00244B91">
        <w:t>–7</w:t>
      </w:r>
      <w:r w:rsidRPr="00244B91">
        <w:t>.</w:t>
      </w:r>
    </w:p>
    <w:p w14:paraId="7E899A47" w14:textId="77777777" w:rsidR="001F1DB1" w:rsidRPr="00244B91" w:rsidRDefault="001F1DB1" w:rsidP="001F1DB1">
      <w:pPr>
        <w:pStyle w:val="biblio"/>
      </w:pPr>
      <w:r w:rsidRPr="00244B91">
        <w:t xml:space="preserve">Centers for Disease Control and Prevention (2020a). HIV Surveillance Data Tables (early release): Core indicators for monitoring the Ending the HIV Epidemic initiative, data reported through December 2019. http://www.cdc.gov/hiv/library/reports/hiv-surveillance.html. Published March 2020. Accessed March 16, 2020. </w:t>
      </w:r>
    </w:p>
    <w:p w14:paraId="513D6E94" w14:textId="6258DEDE" w:rsidR="001F1DB1" w:rsidRPr="00244B91" w:rsidRDefault="001F1DB1" w:rsidP="00087186">
      <w:pPr>
        <w:pStyle w:val="biblio"/>
      </w:pPr>
      <w:r w:rsidRPr="00244B91">
        <w:t>Centers for Disease Control and Prevention (2020b). Monitoring selected national HIV prevention and care objectives by using HIV surveillance data—United States and 6 dependent areas, 2018. HIV Surveillance Supplemental Report 2020;25(No. 2). http://www.cdc.gov/hiv/library/reports/hiv-surveillance.html. Published May 2020. Accessed May 29, 2020.</w:t>
      </w:r>
    </w:p>
    <w:p w14:paraId="23BA5471" w14:textId="6C8F2FDC" w:rsidR="00022033" w:rsidRPr="00244B91" w:rsidRDefault="00022033" w:rsidP="00D02F6F">
      <w:pPr>
        <w:pStyle w:val="biblio"/>
      </w:pPr>
      <w:r w:rsidRPr="00244B91">
        <w:t>Centers for Disease Control and Prevention (2019</w:t>
      </w:r>
      <w:r w:rsidR="00880BA0" w:rsidRPr="00244B91">
        <w:t>a</w:t>
      </w:r>
      <w:r w:rsidRPr="00244B91">
        <w:t xml:space="preserve">). Estimated HIV incidence and prevalence in the United States, 2010–2016. HIV Surveillance Supplemental Report 2019;24(No. 1). http://www.cdc.gov/ </w:t>
      </w:r>
      <w:proofErr w:type="spellStart"/>
      <w:r w:rsidRPr="00244B91">
        <w:t>hiv</w:t>
      </w:r>
      <w:proofErr w:type="spellEnd"/>
      <w:r w:rsidRPr="00244B91">
        <w:t>/library/reports/hiv-surveillance.html. Published February 2019. Accessed June 21st, 2019.</w:t>
      </w:r>
    </w:p>
    <w:p w14:paraId="228D2D52" w14:textId="769EEE06" w:rsidR="00C21B7A" w:rsidRPr="00244B91" w:rsidRDefault="00C21B7A" w:rsidP="00D02F6F">
      <w:pPr>
        <w:pStyle w:val="biblio"/>
      </w:pPr>
      <w:r w:rsidRPr="00244B91">
        <w:t>Centers for Disease Control and Prevention (2019b). HIV Infection Risk, Prevention, and Testing Behaviors Among Men Who Have Sex With Men—National HIV Behavioral Surveillance, 23 U.S. Cities, 2017. HIV Surveillance Special Report 22. https://www.cdc.gov/hiv/library/reports/hiv-surveillance.html. Published February 2019. Accessed February 2, 2020.</w:t>
      </w:r>
    </w:p>
    <w:p w14:paraId="2AA3F1FC" w14:textId="51B92380" w:rsidR="007D48B0" w:rsidRPr="00244B91" w:rsidRDefault="005821C6" w:rsidP="007930B2">
      <w:pPr>
        <w:pStyle w:val="biblio"/>
      </w:pPr>
      <w:r w:rsidRPr="00244B91">
        <w:t>Centers for Disease Control and Prevention (2018</w:t>
      </w:r>
      <w:r w:rsidR="00DD6FBF" w:rsidRPr="00244B91">
        <w:t>a</w:t>
      </w:r>
      <w:r w:rsidRPr="00244B91">
        <w:t>). Diagnoses of HIV Infection in the United States and Dependent Areas, 2017. HIV Surveillance Report, 2017; vol. 29.http://www.cdc.gov/hiv/library/reports/hiv-surveillance.html. Published November 2018. Accessed July 15, 2019.</w:t>
      </w:r>
      <w:r w:rsidRPr="00244B91">
        <w:tab/>
      </w:r>
    </w:p>
    <w:p w14:paraId="26C1CC4A" w14:textId="59D8E5E5" w:rsidR="00621B20" w:rsidRPr="00244B91" w:rsidRDefault="00621B20" w:rsidP="007930B2">
      <w:pPr>
        <w:pStyle w:val="biblio"/>
      </w:pPr>
      <w:r w:rsidRPr="00244B91">
        <w:t>Centers for Disease Control and Prevention (2018</w:t>
      </w:r>
      <w:r w:rsidR="00DD6FBF" w:rsidRPr="00244B91">
        <w:t>b</w:t>
      </w:r>
      <w:r w:rsidRPr="00244B91">
        <w:t>). Diagnoses of HIV infection among adolescents and young adults in the United States and 6 dependent areas, 2011–2016. HIV Surveillance Supplemental Report 2018;23(No. 3). http://www.cdc.gov/hiv/library/reports/hivsurveillance.html. Published May 2018. Accessed July 12, 2019.</w:t>
      </w:r>
    </w:p>
    <w:p w14:paraId="4F816C40" w14:textId="73D89A60" w:rsidR="000C3E90" w:rsidRPr="00244B91" w:rsidRDefault="007D48B0">
      <w:pPr>
        <w:pStyle w:val="biblio"/>
      </w:pPr>
      <w:r w:rsidRPr="00244B91">
        <w:t>Centers for Disease Control and Prevention (</w:t>
      </w:r>
      <w:r w:rsidR="000C3E90" w:rsidRPr="00244B91">
        <w:t>2018</w:t>
      </w:r>
      <w:r w:rsidR="00DD6FBF" w:rsidRPr="00244B91">
        <w:t>c</w:t>
      </w:r>
      <w:r w:rsidRPr="00244B91">
        <w:t>). Diagnoses of HIV infection among adults aged 50 years and older in the United States and dependent areas, 2011–2016. HIV Surveillance Supplemental Report 2018;23(No. 5). http://www.cdc.gov/hiv/library/reports/hivsurveillance.html. Published August 2018. Accessed July 15, 2019.</w:t>
      </w:r>
    </w:p>
    <w:p w14:paraId="09ED772B" w14:textId="2457897C" w:rsidR="005821C6" w:rsidRPr="00244B91" w:rsidRDefault="000C3E90">
      <w:pPr>
        <w:pStyle w:val="biblio"/>
      </w:pPr>
      <w:r w:rsidRPr="00244B91">
        <w:t>Centers for Disease Control and Prevention (2018</w:t>
      </w:r>
      <w:r w:rsidR="00DD6FBF" w:rsidRPr="00244B91">
        <w:t>d</w:t>
      </w:r>
      <w:r w:rsidRPr="00244B91">
        <w:t>): US Public Health Service: Preexposure prophylaxis for the prevention of HIV infection in the United States—2017 Update: a clinical practice guideline. https://www.cdc.gov/hiv/pdf/risk/prep/cdc-hiv-prep-guidelines-2017.pdf. Published March 2018, Accessed May 2020</w:t>
      </w:r>
      <w:r w:rsidR="005821C6" w:rsidRPr="00244B91">
        <w:tab/>
      </w:r>
      <w:r w:rsidR="005821C6" w:rsidRPr="00244B91">
        <w:tab/>
      </w:r>
      <w:r w:rsidR="005821C6" w:rsidRPr="00244B91">
        <w:tab/>
      </w:r>
      <w:r w:rsidR="005821C6" w:rsidRPr="00244B91">
        <w:tab/>
      </w:r>
      <w:r w:rsidR="005821C6" w:rsidRPr="00244B91">
        <w:tab/>
      </w:r>
      <w:r w:rsidR="005821C6" w:rsidRPr="00244B91">
        <w:tab/>
      </w:r>
      <w:r w:rsidR="005821C6" w:rsidRPr="00244B91">
        <w:tab/>
      </w:r>
    </w:p>
    <w:p w14:paraId="23888DB6" w14:textId="32EB6054" w:rsidR="00B33B7E" w:rsidRPr="00244B91" w:rsidRDefault="00B33B7E" w:rsidP="00D02F6F">
      <w:pPr>
        <w:pStyle w:val="biblio"/>
      </w:pPr>
      <w:r w:rsidRPr="00244B91">
        <w:lastRenderedPageBreak/>
        <w:t>Centers for Disease Control and Prevention (2017). CDC-Funded HIV Testing: United States, Puerto Rico, and the U.S. Virgin Islands, 2017. http://www.cdc.gov/hiv/library/reports/index.html. Published 2018. Accessed June 11, 2019</w:t>
      </w:r>
    </w:p>
    <w:p w14:paraId="3C55FF88" w14:textId="64773E31" w:rsidR="005B7731" w:rsidRPr="00244B91" w:rsidRDefault="005B7731" w:rsidP="00D02F6F">
      <w:pPr>
        <w:pStyle w:val="biblio"/>
      </w:pPr>
      <w:r w:rsidRPr="00244B91">
        <w:t>Centers for Disease Control and Prevention. Behavioral and Clinical Characteristics of Persons Receiving Medical Care for HIV Infection—Medical Monitoring Project, United States, 2013 Cycle (June 2013–May 2014). HIV Surveillance Special Report 16. http://www.cdc.gov/hiv/library/reports/surveillance/#panel2. Published January 2016. Accessed 26 May 2016</w:t>
      </w:r>
    </w:p>
    <w:p w14:paraId="5C0D576B" w14:textId="42698F84" w:rsidR="009F2C5F" w:rsidRPr="00244B91" w:rsidRDefault="009F2C5F" w:rsidP="007C57AF">
      <w:pPr>
        <w:pStyle w:val="biblio"/>
      </w:pPr>
      <w:r w:rsidRPr="00244B91">
        <w:t>Centers for Disease Control and Prevention (</w:t>
      </w:r>
      <w:r w:rsidR="007C57AF" w:rsidRPr="00244B91">
        <w:t>CDC</w:t>
      </w:r>
      <w:r w:rsidRPr="00244B91">
        <w:t xml:space="preserve">). Monitoring selected national HIV prevention and care objectives by using HIV surveillance data—United States and 6 dependent areas—2013. </w:t>
      </w:r>
      <w:r w:rsidRPr="00244B91">
        <w:rPr>
          <w:i/>
        </w:rPr>
        <w:t>HIV Surveillance Supplemental Report</w:t>
      </w:r>
      <w:r w:rsidR="000914E3" w:rsidRPr="00244B91">
        <w:rPr>
          <w:i/>
        </w:rPr>
        <w:t>,</w:t>
      </w:r>
      <w:r w:rsidRPr="00244B91">
        <w:rPr>
          <w:i/>
        </w:rPr>
        <w:t xml:space="preserve"> 2015</w:t>
      </w:r>
      <w:r w:rsidR="000914E3" w:rsidRPr="00244B91">
        <w:t>. 2015;</w:t>
      </w:r>
      <w:r w:rsidRPr="00244B91">
        <w:t>20(No.</w:t>
      </w:r>
      <w:r w:rsidR="000914E3" w:rsidRPr="00244B91">
        <w:t> </w:t>
      </w:r>
      <w:r w:rsidRPr="00244B91">
        <w:t xml:space="preserve">2). </w:t>
      </w:r>
      <w:r w:rsidR="007C57AF" w:rsidRPr="00244B91">
        <w:t xml:space="preserve">Available at: </w:t>
      </w:r>
      <w:hyperlink r:id="rId137" w:history="1">
        <w:r w:rsidR="007C57AF" w:rsidRPr="00244B91">
          <w:rPr>
            <w:rStyle w:val="Hyperlink"/>
          </w:rPr>
          <w:t>http://www.cdc.gov/hiv/library/reports/surveillance/</w:t>
        </w:r>
      </w:hyperlink>
      <w:r w:rsidRPr="00244B91">
        <w:t>. Accessed August</w:t>
      </w:r>
      <w:r w:rsidR="007C57AF" w:rsidRPr="00244B91">
        <w:t xml:space="preserve"> 28,</w:t>
      </w:r>
      <w:r w:rsidRPr="00244B91">
        <w:t xml:space="preserve"> 2015.</w:t>
      </w:r>
    </w:p>
    <w:p w14:paraId="66B3831B" w14:textId="2919D2C6" w:rsidR="00643DA5" w:rsidRPr="00244B91" w:rsidRDefault="00643DA5">
      <w:pPr>
        <w:pStyle w:val="biblio"/>
      </w:pPr>
      <w:r w:rsidRPr="00244B91">
        <w:t>Centers for Disease Control and Prevention (2014). Behavioral and Clinical Characteristics of Persons Receiving Medical Care for HIV Infection—Medical Monitoring Project, United States, 2010. HIV Surveillance Special Report 9. http://www.cdc.gov/hiv/library/reports/surveillance/#special. Published October 2014. Accessed 10Sept2019.</w:t>
      </w:r>
    </w:p>
    <w:p w14:paraId="670F50F2" w14:textId="0614EDC7" w:rsidR="00FB4FDA" w:rsidRPr="00244B91" w:rsidRDefault="00FB4FDA" w:rsidP="004751B3">
      <w:pPr>
        <w:pStyle w:val="biblio"/>
      </w:pPr>
      <w:r w:rsidRPr="00244B91">
        <w:t xml:space="preserve">Collaborative Group on AIDS Incubation and HIV Survival (CGAIHS). Time from HIV-1 seroconversion to AIDS and death before widespread use of highly-active antiretroviral therapy: a collaborative re-analysis. </w:t>
      </w:r>
      <w:r w:rsidRPr="00244B91">
        <w:rPr>
          <w:i/>
        </w:rPr>
        <w:t>Lancet</w:t>
      </w:r>
      <w:r w:rsidRPr="00244B91">
        <w:t>. 2000;355:1131</w:t>
      </w:r>
      <w:r w:rsidR="00740DFC" w:rsidRPr="00244B91">
        <w:t>–7</w:t>
      </w:r>
      <w:r w:rsidRPr="00244B91">
        <w:t>.</w:t>
      </w:r>
    </w:p>
    <w:p w14:paraId="30372261" w14:textId="77777777" w:rsidR="00196972" w:rsidRPr="00244B91" w:rsidRDefault="009B7808" w:rsidP="00FB4FDA">
      <w:pPr>
        <w:pStyle w:val="biblio"/>
      </w:pPr>
      <w:r w:rsidRPr="00244B91">
        <w:t xml:space="preserve">Cohen MS, Chen YQ, McCauley M,  et al. Antiretroviral therapy for the prevention of HIV-1 transmission. N </w:t>
      </w:r>
      <w:proofErr w:type="spellStart"/>
      <w:r w:rsidRPr="00244B91">
        <w:t>Engl</w:t>
      </w:r>
      <w:proofErr w:type="spellEnd"/>
      <w:r w:rsidRPr="00244B91">
        <w:t xml:space="preserve"> J Med 2016;375:830-9.</w:t>
      </w:r>
    </w:p>
    <w:p w14:paraId="044BF6F6" w14:textId="424A5380" w:rsidR="007E1B05" w:rsidRPr="00244B91" w:rsidRDefault="007E1B05" w:rsidP="00FB4FDA">
      <w:pPr>
        <w:pStyle w:val="biblio"/>
      </w:pPr>
      <w:r w:rsidRPr="00244B91">
        <w:t xml:space="preserve">Des Jarlais DC, Nugent A, Solberg A, </w:t>
      </w:r>
      <w:proofErr w:type="spellStart"/>
      <w:r w:rsidRPr="00244B91">
        <w:t>Feelemyer</w:t>
      </w:r>
      <w:proofErr w:type="spellEnd"/>
      <w:r w:rsidRPr="00244B91">
        <w:t xml:space="preserve"> J, Mermin J, Holtzman D. Syringe service programs for persons who inject drugs in urban, suburban, and rural areas—United States, 2013. </w:t>
      </w:r>
      <w:r w:rsidRPr="00244B91">
        <w:rPr>
          <w:i/>
        </w:rPr>
        <w:t xml:space="preserve">MMWR </w:t>
      </w:r>
      <w:proofErr w:type="spellStart"/>
      <w:r w:rsidRPr="00244B91">
        <w:rPr>
          <w:i/>
        </w:rPr>
        <w:t>Morb</w:t>
      </w:r>
      <w:proofErr w:type="spellEnd"/>
      <w:r w:rsidRPr="00244B91">
        <w:rPr>
          <w:i/>
        </w:rPr>
        <w:t xml:space="preserve"> Mortal </w:t>
      </w:r>
      <w:proofErr w:type="spellStart"/>
      <w:r w:rsidRPr="00244B91">
        <w:rPr>
          <w:i/>
        </w:rPr>
        <w:t>Wkly</w:t>
      </w:r>
      <w:proofErr w:type="spellEnd"/>
      <w:r w:rsidRPr="00244B91">
        <w:rPr>
          <w:i/>
        </w:rPr>
        <w:t xml:space="preserve"> Rep</w:t>
      </w:r>
      <w:r w:rsidRPr="00244B91">
        <w:t>. 2015 Dec 11;64(48):1337-41.</w:t>
      </w:r>
    </w:p>
    <w:p w14:paraId="09B6A180" w14:textId="75AFDA1E" w:rsidR="00BE4CD6" w:rsidRPr="00244B91" w:rsidRDefault="00BE4CD6" w:rsidP="004751B3">
      <w:pPr>
        <w:pStyle w:val="biblio"/>
      </w:pPr>
      <w:r w:rsidRPr="00244B91">
        <w:t xml:space="preserve">Desai K, Sansom SL, Ackers ML, </w:t>
      </w:r>
      <w:r w:rsidR="004751B3" w:rsidRPr="00244B91">
        <w:t>et al</w:t>
      </w:r>
      <w:r w:rsidRPr="00244B91">
        <w:t xml:space="preserve">. Modeling the impact of HIV chemoprophylaxis strategies among men who have sex with men in the United States: HIV infections prevented and cost-effectiveness. </w:t>
      </w:r>
      <w:r w:rsidRPr="00244B91">
        <w:rPr>
          <w:i/>
          <w:iCs/>
        </w:rPr>
        <w:t>AIDS</w:t>
      </w:r>
      <w:r w:rsidR="004751B3" w:rsidRPr="00244B91">
        <w:t>.</w:t>
      </w:r>
      <w:r w:rsidRPr="00244B91">
        <w:t xml:space="preserve"> </w:t>
      </w:r>
      <w:r w:rsidR="004751B3" w:rsidRPr="00244B91">
        <w:t>2008;</w:t>
      </w:r>
      <w:r w:rsidRPr="00244B91">
        <w:t>22</w:t>
      </w:r>
      <w:r w:rsidR="004751B3" w:rsidRPr="00244B91">
        <w:t>:</w:t>
      </w:r>
      <w:r w:rsidRPr="00244B91">
        <w:t>1829</w:t>
      </w:r>
      <w:r w:rsidR="004751B3" w:rsidRPr="00244B91">
        <w:t>-</w:t>
      </w:r>
      <w:r w:rsidRPr="00244B91">
        <w:t>39.</w:t>
      </w:r>
    </w:p>
    <w:p w14:paraId="0C2B9F81" w14:textId="14B9FE77" w:rsidR="00FB4FDA" w:rsidRPr="00244B91" w:rsidRDefault="00FB4FDA" w:rsidP="00FB4FDA">
      <w:pPr>
        <w:pStyle w:val="biblio"/>
      </w:pPr>
      <w:r w:rsidRPr="00244B91">
        <w:t>D</w:t>
      </w:r>
      <w:r w:rsidR="008453BF" w:rsidRPr="00244B91">
        <w:t>epartment of Health and human Services</w:t>
      </w:r>
      <w:r w:rsidRPr="00244B91">
        <w:t xml:space="preserve"> Panel on Antiretroviral Guidelines for Adults and Adolescents. </w:t>
      </w:r>
      <w:r w:rsidRPr="00244B91">
        <w:rPr>
          <w:i/>
        </w:rPr>
        <w:t>Guidelines for the use of antiretroviral agents in HIV-1-infected adults and adolescents; 2007</w:t>
      </w:r>
      <w:r w:rsidRPr="00244B91">
        <w:t xml:space="preserve">. Available at: </w:t>
      </w:r>
      <w:hyperlink r:id="rId138" w:history="1">
        <w:r w:rsidR="00D50000" w:rsidRPr="00244B91">
          <w:rPr>
            <w:rStyle w:val="Hyperlink"/>
          </w:rPr>
          <w:t>http://aidsinfo.nih.gov/contentfiles/AdultandAdolescentGL000721.pdf</w:t>
        </w:r>
      </w:hyperlink>
      <w:r w:rsidRPr="00244B91">
        <w:t>. Accessed May 16, 2014.</w:t>
      </w:r>
    </w:p>
    <w:p w14:paraId="0092C619" w14:textId="004EF5A1" w:rsidR="00FB4FDA" w:rsidRPr="00244B91" w:rsidRDefault="00FB4FDA" w:rsidP="004751B3">
      <w:pPr>
        <w:pStyle w:val="biblio"/>
      </w:pPr>
      <w:r w:rsidRPr="00244B91">
        <w:t xml:space="preserve">Dodge B, Reece M, Herbenick D, et al. Sexual health among U.S. black and Hispanic men and women: a nationally representative study. </w:t>
      </w:r>
      <w:r w:rsidRPr="00244B91">
        <w:rPr>
          <w:i/>
        </w:rPr>
        <w:t>J Sex Med</w:t>
      </w:r>
      <w:r w:rsidR="004751B3" w:rsidRPr="00244B91">
        <w:rPr>
          <w:i/>
        </w:rPr>
        <w:t>.</w:t>
      </w:r>
      <w:r w:rsidRPr="00244B91">
        <w:t xml:space="preserve"> </w:t>
      </w:r>
      <w:r w:rsidR="004751B3" w:rsidRPr="00244B91">
        <w:t>2010;</w:t>
      </w:r>
      <w:r w:rsidRPr="00244B91">
        <w:t>7(suppl 5):330–45.</w:t>
      </w:r>
    </w:p>
    <w:p w14:paraId="19C66355" w14:textId="58F8F702" w:rsidR="00FB4FDA" w:rsidRPr="00244B91" w:rsidRDefault="00FB4FDA" w:rsidP="00ED16FA">
      <w:pPr>
        <w:pStyle w:val="biblio"/>
      </w:pPr>
      <w:proofErr w:type="spellStart"/>
      <w:r w:rsidRPr="00244B91">
        <w:t>Dorrucci</w:t>
      </w:r>
      <w:proofErr w:type="spellEnd"/>
      <w:r w:rsidRPr="00244B91">
        <w:t xml:space="preserve"> M, </w:t>
      </w:r>
      <w:proofErr w:type="spellStart"/>
      <w:r w:rsidRPr="00244B91">
        <w:t>Rezza</w:t>
      </w:r>
      <w:proofErr w:type="spellEnd"/>
      <w:r w:rsidRPr="00244B91">
        <w:t xml:space="preserve"> G, Porter K, et al. Temporal trends in </w:t>
      </w:r>
      <w:proofErr w:type="spellStart"/>
      <w:r w:rsidRPr="00244B91">
        <w:t>postseroconversion</w:t>
      </w:r>
      <w:proofErr w:type="spellEnd"/>
      <w:r w:rsidRPr="00244B91">
        <w:t xml:space="preserve"> CD4 cell count and HIV load: the Concerted Action on Seroconversion to AIDS and Death in Europe Collaboration, 1985–2002. </w:t>
      </w:r>
      <w:r w:rsidRPr="00244B91">
        <w:rPr>
          <w:i/>
        </w:rPr>
        <w:t>J Infect Dis</w:t>
      </w:r>
      <w:r w:rsidRPr="00244B91">
        <w:t>. 2007;195:525</w:t>
      </w:r>
      <w:r w:rsidR="00740DFC" w:rsidRPr="00244B91">
        <w:t>–3</w:t>
      </w:r>
      <w:r w:rsidRPr="00244B91">
        <w:t>4.</w:t>
      </w:r>
    </w:p>
    <w:p w14:paraId="6ADD7AD6" w14:textId="7031C082" w:rsidR="00FB4FDA" w:rsidRPr="00244B91" w:rsidRDefault="00FB4FDA" w:rsidP="00ED16FA">
      <w:pPr>
        <w:pStyle w:val="biblio"/>
      </w:pPr>
      <w:r w:rsidRPr="00244B91">
        <w:lastRenderedPageBreak/>
        <w:t>Dunn D, Woodburn P, Duong T, et al. Current CD4 cell count and the short-term risk of AIDS and death before the availability of effective antiretroviral therapy in HIV</w:t>
      </w:r>
      <w:r w:rsidR="003B52FC" w:rsidRPr="00244B91">
        <w:t xml:space="preserve"> </w:t>
      </w:r>
      <w:r w:rsidRPr="00244B91">
        <w:t xml:space="preserve">infected children and adults. </w:t>
      </w:r>
      <w:r w:rsidRPr="00244B91">
        <w:rPr>
          <w:i/>
        </w:rPr>
        <w:t>J Infect Dis</w:t>
      </w:r>
      <w:r w:rsidRPr="00244B91">
        <w:t>. 2008; 197:398</w:t>
      </w:r>
      <w:r w:rsidR="00740DFC" w:rsidRPr="00244B91">
        <w:t>–4</w:t>
      </w:r>
      <w:r w:rsidRPr="00244B91">
        <w:t>04.</w:t>
      </w:r>
    </w:p>
    <w:p w14:paraId="4DBE499B" w14:textId="11AB30BD" w:rsidR="00FB4FDA" w:rsidRPr="00244B91" w:rsidRDefault="00FB4FDA" w:rsidP="00FB4FDA">
      <w:pPr>
        <w:pStyle w:val="biblio"/>
      </w:pPr>
      <w:r w:rsidRPr="00244B91">
        <w:t xml:space="preserve">Farnham PG, Hutchinson AB, Sansom SL, </w:t>
      </w:r>
      <w:r w:rsidR="000914E3" w:rsidRPr="00244B91">
        <w:t>et al</w:t>
      </w:r>
      <w:r w:rsidRPr="00244B91">
        <w:t xml:space="preserve">. Comparing the costs of HIV screening strategies and technologies in health-care settings. </w:t>
      </w:r>
      <w:r w:rsidRPr="00244B91">
        <w:rPr>
          <w:i/>
        </w:rPr>
        <w:t>Public Health Rep</w:t>
      </w:r>
      <w:r w:rsidR="00ED16FA" w:rsidRPr="00244B91">
        <w:t>. 2008 Nov-Dec;123(</w:t>
      </w:r>
      <w:r w:rsidRPr="00244B91">
        <w:t>Suppl 3</w:t>
      </w:r>
      <w:r w:rsidR="00ED16FA" w:rsidRPr="00244B91">
        <w:t>)</w:t>
      </w:r>
      <w:r w:rsidRPr="00244B91">
        <w:t>:51</w:t>
      </w:r>
      <w:r w:rsidR="00740DFC" w:rsidRPr="00244B91">
        <w:t>–6</w:t>
      </w:r>
      <w:r w:rsidRPr="00244B91">
        <w:t>2.</w:t>
      </w:r>
    </w:p>
    <w:p w14:paraId="181AAA16" w14:textId="72823D3C" w:rsidR="00FB4FDA" w:rsidRPr="00244B91" w:rsidRDefault="00FB4FDA" w:rsidP="00FB4FDA">
      <w:pPr>
        <w:pStyle w:val="biblio"/>
      </w:pPr>
      <w:proofErr w:type="spellStart"/>
      <w:r w:rsidRPr="00244B91">
        <w:t>Fiebig</w:t>
      </w:r>
      <w:proofErr w:type="spellEnd"/>
      <w:r w:rsidRPr="00244B91">
        <w:t xml:space="preserve"> EW, Wright DJ, Rawal BD, et al. Dynamics of HIV viremia and antibody seroconversion in plasma donors: implications for diagnosis and staging of primary HIV infection. </w:t>
      </w:r>
      <w:r w:rsidRPr="00244B91">
        <w:rPr>
          <w:i/>
        </w:rPr>
        <w:t>AIDS</w:t>
      </w:r>
      <w:r w:rsidR="00ED16FA" w:rsidRPr="00244B91">
        <w:t>. 2003 Sep 5;17(13):1871</w:t>
      </w:r>
      <w:r w:rsidR="00740DFC" w:rsidRPr="00244B91">
        <w:t>–9</w:t>
      </w:r>
      <w:r w:rsidRPr="00244B91">
        <w:t>.</w:t>
      </w:r>
    </w:p>
    <w:p w14:paraId="51FBBB40" w14:textId="77777777" w:rsidR="00FB4FDA" w:rsidRPr="00244B91" w:rsidRDefault="00FB4FDA" w:rsidP="00FB4FDA">
      <w:pPr>
        <w:pStyle w:val="biblio"/>
      </w:pPr>
      <w:r w:rsidRPr="00244B91">
        <w:t xml:space="preserve">Finlayson T, Le B, Smith A, et al. HIV risk, prevention, and testing behaviors among men who have sex with men—National HIV Behavioral Surveillance System, 21 U.S. cities, United States, 2008. </w:t>
      </w:r>
      <w:r w:rsidRPr="00244B91">
        <w:rPr>
          <w:i/>
        </w:rPr>
        <w:t>MMWR</w:t>
      </w:r>
      <w:r w:rsidRPr="00244B91">
        <w:t>. 2011;60(No. SS–14).</w:t>
      </w:r>
    </w:p>
    <w:p w14:paraId="414B5500" w14:textId="6F798C16" w:rsidR="00FB4FDA" w:rsidRPr="00244B91" w:rsidRDefault="00FB4FDA" w:rsidP="00FB4FDA">
      <w:pPr>
        <w:pStyle w:val="biblio"/>
      </w:pPr>
      <w:r w:rsidRPr="00244B91">
        <w:t xml:space="preserve">Fleishman, JA, Yehia BR, Moore RD, </w:t>
      </w:r>
      <w:r w:rsidR="000914E3" w:rsidRPr="00244B91">
        <w:t>et al</w:t>
      </w:r>
      <w:r w:rsidRPr="00244B91">
        <w:t xml:space="preserve">. Disparities in receipt of antiretroviral therapy among HIV-infected adults (2002–2008). </w:t>
      </w:r>
      <w:r w:rsidRPr="00244B91">
        <w:rPr>
          <w:i/>
        </w:rPr>
        <w:t>Medical Care</w:t>
      </w:r>
      <w:r w:rsidR="00ED16FA" w:rsidRPr="00244B91">
        <w:t>. 2012;50:419</w:t>
      </w:r>
      <w:r w:rsidR="00740DFC" w:rsidRPr="00244B91">
        <w:t>–2</w:t>
      </w:r>
      <w:r w:rsidRPr="00244B91">
        <w:t>7.</w:t>
      </w:r>
    </w:p>
    <w:p w14:paraId="0208B72C" w14:textId="1720D53E" w:rsidR="00FB4FDA" w:rsidRPr="00244B91" w:rsidRDefault="00FB4FDA" w:rsidP="00FB4FDA">
      <w:pPr>
        <w:pStyle w:val="biblio"/>
      </w:pPr>
      <w:r w:rsidRPr="00244B91">
        <w:t xml:space="preserve">Fortenberry JD, Schick V, Herbenick D, et al. Sexual </w:t>
      </w:r>
      <w:proofErr w:type="gramStart"/>
      <w:r w:rsidRPr="00244B91">
        <w:t>behaviors</w:t>
      </w:r>
      <w:proofErr w:type="gramEnd"/>
      <w:r w:rsidRPr="00244B91">
        <w:t xml:space="preserve"> and condom use at last vaginal intercourse: a national sample of adolescents ages 14 to 17 years. </w:t>
      </w:r>
      <w:r w:rsidRPr="00244B91">
        <w:rPr>
          <w:i/>
        </w:rPr>
        <w:t>J Sex Med</w:t>
      </w:r>
      <w:r w:rsidR="00ED16FA" w:rsidRPr="00244B91">
        <w:t>. 2010;7:305</w:t>
      </w:r>
      <w:r w:rsidR="00740DFC" w:rsidRPr="00244B91">
        <w:t>–1</w:t>
      </w:r>
      <w:r w:rsidRPr="00244B91">
        <w:t>4.</w:t>
      </w:r>
    </w:p>
    <w:p w14:paraId="2367C21E" w14:textId="2500287F" w:rsidR="00FB4FDA" w:rsidRPr="00244B91" w:rsidRDefault="00FB4FDA" w:rsidP="00FB4FDA">
      <w:pPr>
        <w:pStyle w:val="biblio"/>
      </w:pPr>
      <w:r w:rsidRPr="00244B91">
        <w:t xml:space="preserve">Freeman AE, </w:t>
      </w:r>
      <w:proofErr w:type="spellStart"/>
      <w:r w:rsidRPr="00244B91">
        <w:t>Sattin</w:t>
      </w:r>
      <w:proofErr w:type="spellEnd"/>
      <w:r w:rsidRPr="00244B91">
        <w:t xml:space="preserve"> RW, Miller KM, </w:t>
      </w:r>
      <w:r w:rsidR="000914E3" w:rsidRPr="00244B91">
        <w:t>et al</w:t>
      </w:r>
      <w:r w:rsidRPr="00244B91">
        <w:t xml:space="preserve">. Acceptance of rapid HIV screening in a southeastern emergency department. </w:t>
      </w:r>
      <w:proofErr w:type="spellStart"/>
      <w:r w:rsidRPr="00244B91">
        <w:rPr>
          <w:i/>
        </w:rPr>
        <w:t>Acad</w:t>
      </w:r>
      <w:proofErr w:type="spellEnd"/>
      <w:r w:rsidRPr="00244B91">
        <w:rPr>
          <w:i/>
        </w:rPr>
        <w:t xml:space="preserve"> </w:t>
      </w:r>
      <w:proofErr w:type="spellStart"/>
      <w:r w:rsidRPr="00244B91">
        <w:rPr>
          <w:i/>
        </w:rPr>
        <w:t>Emerg</w:t>
      </w:r>
      <w:proofErr w:type="spellEnd"/>
      <w:r w:rsidRPr="00244B91">
        <w:rPr>
          <w:i/>
        </w:rPr>
        <w:t xml:space="preserve"> Med</w:t>
      </w:r>
      <w:r w:rsidRPr="00244B91">
        <w:t>. 2009 Nov;16(11):1156</w:t>
      </w:r>
      <w:r w:rsidR="00740DFC" w:rsidRPr="00244B91">
        <w:t>–6</w:t>
      </w:r>
      <w:r w:rsidRPr="00244B91">
        <w:t>4.</w:t>
      </w:r>
    </w:p>
    <w:p w14:paraId="5E8EB60A" w14:textId="777E8CC5" w:rsidR="00FB4FDA" w:rsidRPr="00244B91" w:rsidRDefault="00FB4FDA" w:rsidP="00ED16FA">
      <w:pPr>
        <w:pStyle w:val="biblio"/>
      </w:pPr>
      <w:r w:rsidRPr="00244B91">
        <w:t xml:space="preserve">Gardner EM, McLees MP, Steiner JF, et al. The spectrum of engagement in HIV care and its relevance to test-and-treat strategies for prevention of HIV infection. </w:t>
      </w:r>
      <w:r w:rsidRPr="00244B91">
        <w:rPr>
          <w:i/>
        </w:rPr>
        <w:t>Clin Infect Dis</w:t>
      </w:r>
      <w:r w:rsidRPr="00244B91">
        <w:t>. 2011;52:793</w:t>
      </w:r>
      <w:r w:rsidR="00740DFC" w:rsidRPr="00244B91">
        <w:t>–8</w:t>
      </w:r>
      <w:r w:rsidRPr="00244B91">
        <w:t>00.</w:t>
      </w:r>
    </w:p>
    <w:p w14:paraId="23EA96DE" w14:textId="121E5766" w:rsidR="00FB4FDA" w:rsidRPr="00244B91" w:rsidRDefault="00FB4FDA" w:rsidP="007C57AF">
      <w:pPr>
        <w:pStyle w:val="biblio"/>
      </w:pPr>
      <w:proofErr w:type="spellStart"/>
      <w:r w:rsidRPr="00244B91">
        <w:t>Gebo</w:t>
      </w:r>
      <w:proofErr w:type="spellEnd"/>
      <w:r w:rsidRPr="00244B91">
        <w:t xml:space="preserve"> KA, Fleishman JA, </w:t>
      </w:r>
      <w:proofErr w:type="spellStart"/>
      <w:r w:rsidRPr="00244B91">
        <w:t>Conviser</w:t>
      </w:r>
      <w:proofErr w:type="spellEnd"/>
      <w:r w:rsidRPr="00244B91">
        <w:t xml:space="preserve"> R, et al. Contemporary costs of HIV healthcare in the HAART era. </w:t>
      </w:r>
      <w:r w:rsidRPr="00244B91">
        <w:rPr>
          <w:i/>
        </w:rPr>
        <w:t>AIDS</w:t>
      </w:r>
      <w:r w:rsidR="00ED16FA" w:rsidRPr="00244B91">
        <w:rPr>
          <w:i/>
        </w:rPr>
        <w:t>.</w:t>
      </w:r>
      <w:r w:rsidRPr="00244B91">
        <w:t xml:space="preserve"> </w:t>
      </w:r>
      <w:r w:rsidR="007C57AF" w:rsidRPr="00244B91">
        <w:t>2010;</w:t>
      </w:r>
      <w:r w:rsidRPr="00244B91">
        <w:t>24:2705</w:t>
      </w:r>
      <w:r w:rsidR="00740DFC" w:rsidRPr="00244B91">
        <w:t>–1</w:t>
      </w:r>
      <w:r w:rsidRPr="00244B91">
        <w:t>5.</w:t>
      </w:r>
    </w:p>
    <w:p w14:paraId="79AA9870" w14:textId="47652431" w:rsidR="00FB4FDA" w:rsidRPr="00244B91" w:rsidRDefault="00FB4FDA" w:rsidP="00ED16FA">
      <w:pPr>
        <w:pStyle w:val="biblio"/>
      </w:pPr>
      <w:r w:rsidRPr="00244B91">
        <w:t xml:space="preserve">Glick SN, Morris M, Foxman B, et al. A comparison of sexual behavior patterns among men who have sex with men and heterosexual men and women. </w:t>
      </w:r>
      <w:r w:rsidRPr="00244B91">
        <w:rPr>
          <w:i/>
        </w:rPr>
        <w:t xml:space="preserve">J </w:t>
      </w:r>
      <w:proofErr w:type="spellStart"/>
      <w:r w:rsidRPr="00244B91">
        <w:rPr>
          <w:i/>
        </w:rPr>
        <w:t>Acquir</w:t>
      </w:r>
      <w:proofErr w:type="spellEnd"/>
      <w:r w:rsidRPr="00244B91">
        <w:rPr>
          <w:i/>
        </w:rPr>
        <w:t xml:space="preserve"> Immune </w:t>
      </w:r>
      <w:proofErr w:type="spellStart"/>
      <w:r w:rsidRPr="00244B91">
        <w:rPr>
          <w:i/>
        </w:rPr>
        <w:t>Defic</w:t>
      </w:r>
      <w:proofErr w:type="spellEnd"/>
      <w:r w:rsidRPr="00244B91">
        <w:rPr>
          <w:i/>
        </w:rPr>
        <w:t xml:space="preserve"> </w:t>
      </w:r>
      <w:proofErr w:type="spellStart"/>
      <w:r w:rsidRPr="00244B91">
        <w:rPr>
          <w:i/>
        </w:rPr>
        <w:t>Syndr</w:t>
      </w:r>
      <w:proofErr w:type="spellEnd"/>
      <w:r w:rsidRPr="00244B91">
        <w:t>. 2012;60:83</w:t>
      </w:r>
      <w:r w:rsidR="00740DFC" w:rsidRPr="00244B91">
        <w:t>–9</w:t>
      </w:r>
      <w:r w:rsidRPr="00244B91">
        <w:t>0.</w:t>
      </w:r>
    </w:p>
    <w:p w14:paraId="613186E9" w14:textId="67DDE206" w:rsidR="00CC7EE6" w:rsidRPr="00244B91" w:rsidRDefault="00CC7EE6" w:rsidP="00ED16FA">
      <w:pPr>
        <w:pStyle w:val="biblio"/>
      </w:pPr>
      <w:r w:rsidRPr="00244B91">
        <w:t xml:space="preserve">Grant RM, Lama JR, Anderson PL, et al. Preexposure chemoprophylaxis for HIV prevention in men who have sex with men. </w:t>
      </w:r>
      <w:r w:rsidRPr="00244B91">
        <w:rPr>
          <w:i/>
          <w:iCs/>
        </w:rPr>
        <w:t xml:space="preserve">N </w:t>
      </w:r>
      <w:proofErr w:type="spellStart"/>
      <w:r w:rsidRPr="00244B91">
        <w:rPr>
          <w:i/>
          <w:iCs/>
        </w:rPr>
        <w:t>Engl</w:t>
      </w:r>
      <w:proofErr w:type="spellEnd"/>
      <w:r w:rsidRPr="00244B91">
        <w:rPr>
          <w:i/>
          <w:iCs/>
        </w:rPr>
        <w:t xml:space="preserve"> J Med</w:t>
      </w:r>
      <w:r w:rsidRPr="00244B91">
        <w:t>. 2010;363(27):2587</w:t>
      </w:r>
      <w:r w:rsidR="00740DFC" w:rsidRPr="00244B91">
        <w:t>–9</w:t>
      </w:r>
      <w:r w:rsidRPr="00244B91">
        <w:t xml:space="preserve">9. </w:t>
      </w:r>
      <w:proofErr w:type="spellStart"/>
      <w:r w:rsidRPr="00244B91">
        <w:t>doi</w:t>
      </w:r>
      <w:proofErr w:type="spellEnd"/>
      <w:r w:rsidRPr="00244B91">
        <w:t>: 10.1056/NEJMoa1011205.</w:t>
      </w:r>
    </w:p>
    <w:p w14:paraId="20A70011" w14:textId="79BCDACB" w:rsidR="00FB4FDA" w:rsidRPr="00244B91" w:rsidRDefault="00FB4FDA" w:rsidP="00ED16FA">
      <w:pPr>
        <w:pStyle w:val="biblio"/>
      </w:pPr>
      <w:proofErr w:type="spellStart"/>
      <w:r w:rsidRPr="00244B91">
        <w:t>Grigoryan</w:t>
      </w:r>
      <w:proofErr w:type="spellEnd"/>
      <w:r w:rsidRPr="00244B91">
        <w:t xml:space="preserve"> A, Shouse R, Durant T, et al. HIV infection among injection-drug users—34 states, 2004–2007. </w:t>
      </w:r>
      <w:r w:rsidRPr="00244B91">
        <w:rPr>
          <w:i/>
        </w:rPr>
        <w:t>JAMA</w:t>
      </w:r>
      <w:r w:rsidRPr="00244B91">
        <w:t>. 2010;303:126</w:t>
      </w:r>
      <w:r w:rsidR="00740DFC" w:rsidRPr="00244B91">
        <w:t>–8</w:t>
      </w:r>
      <w:r w:rsidRPr="00244B91">
        <w:t xml:space="preserve">. Reprinted from: </w:t>
      </w:r>
      <w:r w:rsidRPr="00244B91">
        <w:rPr>
          <w:i/>
        </w:rPr>
        <w:t xml:space="preserve">MMWR </w:t>
      </w:r>
      <w:proofErr w:type="spellStart"/>
      <w:r w:rsidRPr="00244B91">
        <w:rPr>
          <w:i/>
        </w:rPr>
        <w:t>Morb</w:t>
      </w:r>
      <w:proofErr w:type="spellEnd"/>
      <w:r w:rsidRPr="00244B91">
        <w:rPr>
          <w:i/>
        </w:rPr>
        <w:t xml:space="preserve"> Mortal </w:t>
      </w:r>
      <w:proofErr w:type="spellStart"/>
      <w:r w:rsidRPr="00244B91">
        <w:rPr>
          <w:i/>
        </w:rPr>
        <w:t>Wkly</w:t>
      </w:r>
      <w:proofErr w:type="spellEnd"/>
      <w:r w:rsidRPr="00244B91">
        <w:rPr>
          <w:i/>
        </w:rPr>
        <w:t xml:space="preserve"> Rep</w:t>
      </w:r>
      <w:r w:rsidRPr="00244B91">
        <w:t>. 2009;58:1291–5.</w:t>
      </w:r>
    </w:p>
    <w:p w14:paraId="41BA5DEC" w14:textId="674AAD89" w:rsidR="00FB4FDA" w:rsidRPr="00244B91" w:rsidRDefault="00FB4FDA" w:rsidP="00ED16FA">
      <w:pPr>
        <w:pStyle w:val="biblio"/>
      </w:pPr>
      <w:r w:rsidRPr="00244B91">
        <w:t xml:space="preserve">Hall HI, Frazier EL, Rhodes P, et al. </w:t>
      </w:r>
      <w:r w:rsidRPr="00244B91">
        <w:rPr>
          <w:i/>
        </w:rPr>
        <w:t>Continuum of HIV care: differences in care and treatment by sex and race/ethnicity in the United States</w:t>
      </w:r>
      <w:r w:rsidRPr="00244B91">
        <w:t>. Abstract presented at the 19th International AIDS Conference</w:t>
      </w:r>
      <w:r w:rsidR="00ED16FA" w:rsidRPr="00244B91">
        <w:t>;</w:t>
      </w:r>
      <w:r w:rsidRPr="00244B91">
        <w:t xml:space="preserve"> 2012.</w:t>
      </w:r>
    </w:p>
    <w:p w14:paraId="798DD70B" w14:textId="1E5CE4DA" w:rsidR="00040F16" w:rsidRPr="00244B91" w:rsidRDefault="00040F16" w:rsidP="00ED16FA">
      <w:pPr>
        <w:pStyle w:val="biblio"/>
      </w:pPr>
      <w:r w:rsidRPr="00244B91">
        <w:rPr>
          <w:color w:val="222222"/>
        </w:rPr>
        <w:t xml:space="preserve">Hall HI, Byers RH, Ling Q, Espinoza L. </w:t>
      </w:r>
      <w:bookmarkStart w:id="175" w:name="_Hlk527988049"/>
      <w:r w:rsidRPr="00244B91">
        <w:rPr>
          <w:color w:val="222222"/>
        </w:rPr>
        <w:t>Racial/ethnic and age disparities in HIV prevalence and disease progression among men who have sex with men in the United States</w:t>
      </w:r>
      <w:bookmarkEnd w:id="175"/>
      <w:r w:rsidRPr="00244B91">
        <w:rPr>
          <w:color w:val="222222"/>
        </w:rPr>
        <w:t>. American journal of public health. 2007 Jun;97(6):1060-6.</w:t>
      </w:r>
    </w:p>
    <w:p w14:paraId="30D4668B" w14:textId="171D3A7F" w:rsidR="003D7614" w:rsidRPr="00244B91" w:rsidRDefault="003D7614" w:rsidP="00ED16FA">
      <w:pPr>
        <w:pStyle w:val="biblio"/>
      </w:pPr>
      <w:r w:rsidRPr="00244B91">
        <w:lastRenderedPageBreak/>
        <w:t xml:space="preserve">The Henry J. Kaiser Family Foundation. U.S. Federal Funding for HIV/AIDS: The President’s FY 2016 Budget Request. </w:t>
      </w:r>
      <w:r w:rsidR="0071298F" w:rsidRPr="00244B91">
        <w:t xml:space="preserve">Available at: </w:t>
      </w:r>
      <w:hyperlink r:id="rId139" w:history="1">
        <w:r w:rsidR="0071298F" w:rsidRPr="00244B91">
          <w:rPr>
            <w:rStyle w:val="Hyperlink"/>
          </w:rPr>
          <w:t>http://kff.org/global-health-policy/fact-sheet/u-s-federal-funding-for-hivaids-the-presidents-fy-2016-budget-request/</w:t>
        </w:r>
      </w:hyperlink>
      <w:r w:rsidRPr="00244B91">
        <w:t>. Accessed January 12, 2016.</w:t>
      </w:r>
    </w:p>
    <w:p w14:paraId="39C6EDD3" w14:textId="5B04D913" w:rsidR="00FB4FDA" w:rsidRPr="00244B91" w:rsidRDefault="00FB4FDA" w:rsidP="00FB4FDA">
      <w:pPr>
        <w:pStyle w:val="biblio"/>
      </w:pPr>
      <w:r w:rsidRPr="00244B91">
        <w:t xml:space="preserve">Herbenick D, Reece M, Schick V, et al. Sexual behaviors, relationships, and perceived health status among adult women in the United States: results from a national probability sample. </w:t>
      </w:r>
      <w:r w:rsidRPr="00244B91">
        <w:rPr>
          <w:i/>
        </w:rPr>
        <w:t>J Sex Med</w:t>
      </w:r>
      <w:r w:rsidR="00ED16FA" w:rsidRPr="00244B91">
        <w:t>. 2010;7:277</w:t>
      </w:r>
      <w:r w:rsidR="00740DFC" w:rsidRPr="00244B91">
        <w:t>–9</w:t>
      </w:r>
      <w:r w:rsidRPr="00244B91">
        <w:t>0.</w:t>
      </w:r>
    </w:p>
    <w:p w14:paraId="067B7BA1" w14:textId="75D8239B" w:rsidR="00245779" w:rsidRPr="00244B91" w:rsidRDefault="00245779" w:rsidP="00FB4FDA">
      <w:pPr>
        <w:pStyle w:val="biblio"/>
      </w:pPr>
      <w:r w:rsidRPr="00244B91">
        <w:t xml:space="preserve">Herman JD, </w:t>
      </w:r>
      <w:proofErr w:type="spellStart"/>
      <w:r w:rsidRPr="00244B91">
        <w:t>Kollat</w:t>
      </w:r>
      <w:proofErr w:type="spellEnd"/>
      <w:r w:rsidRPr="00244B91">
        <w:t xml:space="preserve"> JB, Reed PM, Wagener T. Technical Note: Method of Morris effectively reduces the computational demands of global sensitivity analysis for distributed watershed models</w:t>
      </w:r>
      <w:r w:rsidRPr="00244B91">
        <w:rPr>
          <w:i/>
        </w:rPr>
        <w:t xml:space="preserve">. </w:t>
      </w:r>
      <w:proofErr w:type="spellStart"/>
      <w:r w:rsidRPr="00244B91">
        <w:rPr>
          <w:i/>
        </w:rPr>
        <w:t>Hydrol</w:t>
      </w:r>
      <w:proofErr w:type="spellEnd"/>
      <w:r w:rsidRPr="00244B91">
        <w:rPr>
          <w:i/>
        </w:rPr>
        <w:t xml:space="preserve"> Earth Syst Sci.</w:t>
      </w:r>
      <w:r w:rsidR="00476CBC" w:rsidRPr="00244B91">
        <w:t>.</w:t>
      </w:r>
      <w:r w:rsidRPr="00244B91">
        <w:t xml:space="preserve"> </w:t>
      </w:r>
      <w:r w:rsidR="00476CBC" w:rsidRPr="00244B91">
        <w:t>2013;</w:t>
      </w:r>
      <w:r w:rsidRPr="00244B91">
        <w:t>17</w:t>
      </w:r>
      <w:r w:rsidR="00476CBC" w:rsidRPr="00244B91">
        <w:t>:</w:t>
      </w:r>
      <w:r w:rsidRPr="00244B91">
        <w:t>2893–903.</w:t>
      </w:r>
    </w:p>
    <w:p w14:paraId="224FC45A" w14:textId="2C081B15" w:rsidR="008B196A" w:rsidRPr="00244B91" w:rsidRDefault="008B196A" w:rsidP="00ED16FA">
      <w:pPr>
        <w:pStyle w:val="biblio"/>
      </w:pPr>
      <w:proofErr w:type="spellStart"/>
      <w:r w:rsidRPr="00244B91">
        <w:t>Hoenigl</w:t>
      </w:r>
      <w:proofErr w:type="spellEnd"/>
      <w:r w:rsidRPr="00244B91">
        <w:t>, M., Graff-</w:t>
      </w:r>
      <w:proofErr w:type="spellStart"/>
      <w:r w:rsidRPr="00244B91">
        <w:t>Zivin</w:t>
      </w:r>
      <w:proofErr w:type="spellEnd"/>
      <w:r w:rsidRPr="00244B91">
        <w:t>, J., &amp; Little, S. J. (2015). Costs per diagnosis of acute HIV infection in community-based screening strategies: a comparative analysis of four screening algorithms. Clinical Infectious Diseases, 62(4), 501-511.</w:t>
      </w:r>
    </w:p>
    <w:p w14:paraId="65BC4980" w14:textId="02B72CA8" w:rsidR="00511F54" w:rsidRPr="00244B91" w:rsidRDefault="00B53EB1" w:rsidP="004751B3">
      <w:pPr>
        <w:pStyle w:val="biblio"/>
      </w:pPr>
      <w:r w:rsidRPr="00244B91">
        <w:t xml:space="preserve">Huang YA, Hutchinson AB, Hollis ND, </w:t>
      </w:r>
      <w:r w:rsidR="000914E3" w:rsidRPr="00244B91">
        <w:t>et al</w:t>
      </w:r>
      <w:r w:rsidRPr="00244B91">
        <w:t xml:space="preserve">. Notification </w:t>
      </w:r>
      <w:r w:rsidR="004751B3" w:rsidRPr="00244B91">
        <w:t xml:space="preserve">following new positive </w:t>
      </w:r>
      <w:r w:rsidRPr="00244B91">
        <w:t xml:space="preserve">HIV </w:t>
      </w:r>
      <w:r w:rsidR="004751B3" w:rsidRPr="00244B91">
        <w:t>test results</w:t>
      </w:r>
      <w:r w:rsidRPr="00244B91">
        <w:t xml:space="preserve">. </w:t>
      </w:r>
      <w:r w:rsidRPr="00244B91">
        <w:rPr>
          <w:i/>
        </w:rPr>
        <w:t xml:space="preserve">Int J </w:t>
      </w:r>
      <w:r w:rsidR="00FB6E34" w:rsidRPr="00244B91">
        <w:rPr>
          <w:i/>
        </w:rPr>
        <w:t>STD &amp;</w:t>
      </w:r>
      <w:r w:rsidRPr="00244B91">
        <w:rPr>
          <w:i/>
        </w:rPr>
        <w:t xml:space="preserve"> AIDS</w:t>
      </w:r>
      <w:r w:rsidRPr="00244B91">
        <w:t>.</w:t>
      </w:r>
      <w:r w:rsidR="00FB6E34" w:rsidRPr="00244B91">
        <w:t xml:space="preserve"> </w:t>
      </w:r>
      <w:r w:rsidR="00511F54" w:rsidRPr="00244B91">
        <w:t>2016;27(10):868-872. DOI: 10.1177/0956462415598090</w:t>
      </w:r>
    </w:p>
    <w:p w14:paraId="1F32581D" w14:textId="281912EA" w:rsidR="00FB4FDA" w:rsidRPr="00244B91" w:rsidRDefault="00FB4FDA" w:rsidP="00FB4FDA">
      <w:pPr>
        <w:pStyle w:val="biblio"/>
      </w:pPr>
      <w:r w:rsidRPr="00244B91">
        <w:t xml:space="preserve">Hutchinson AB, Ethridge SF, </w:t>
      </w:r>
      <w:proofErr w:type="spellStart"/>
      <w:r w:rsidRPr="00244B91">
        <w:t>Wesolowski</w:t>
      </w:r>
      <w:proofErr w:type="spellEnd"/>
      <w:r w:rsidRPr="00244B91">
        <w:t xml:space="preserve"> LG, et al. Costs and outcomes of laboratory diagnostic algorithms for the detection of HIV. </w:t>
      </w:r>
      <w:r w:rsidRPr="00244B91">
        <w:rPr>
          <w:i/>
        </w:rPr>
        <w:t xml:space="preserve">J Clin </w:t>
      </w:r>
      <w:proofErr w:type="spellStart"/>
      <w:r w:rsidRPr="00244B91">
        <w:rPr>
          <w:i/>
        </w:rPr>
        <w:t>Virol</w:t>
      </w:r>
      <w:proofErr w:type="spellEnd"/>
      <w:r w:rsidRPr="00244B91">
        <w:t>. 2013 Dec; 58 Suppl 1:e2–7.</w:t>
      </w:r>
    </w:p>
    <w:p w14:paraId="696B1CCF" w14:textId="683BC649" w:rsidR="00FB4FDA" w:rsidRPr="00244B91" w:rsidRDefault="00FB4FDA" w:rsidP="00FB4FDA">
      <w:pPr>
        <w:pStyle w:val="biblio"/>
      </w:pPr>
      <w:r w:rsidRPr="00244B91">
        <w:t xml:space="preserve">Hutchinson AB, Farnham PG, </w:t>
      </w:r>
      <w:proofErr w:type="spellStart"/>
      <w:r w:rsidRPr="00244B91">
        <w:t>Lyss</w:t>
      </w:r>
      <w:proofErr w:type="spellEnd"/>
      <w:r w:rsidRPr="00244B91">
        <w:t xml:space="preserve"> SB, </w:t>
      </w:r>
      <w:r w:rsidR="00511F54" w:rsidRPr="00244B91">
        <w:t>et al</w:t>
      </w:r>
      <w:r w:rsidRPr="00244B91">
        <w:t xml:space="preserve">. Emergency department HIV screening with rapid tests: a cost comparison of alternative models. </w:t>
      </w:r>
      <w:r w:rsidRPr="00244B91">
        <w:rPr>
          <w:i/>
        </w:rPr>
        <w:t>AIDS Educ Prev</w:t>
      </w:r>
      <w:r w:rsidRPr="00244B91">
        <w:t>. 2011 Jun;23(3 Suppl):58</w:t>
      </w:r>
      <w:r w:rsidR="00740DFC" w:rsidRPr="00244B91">
        <w:t>–6</w:t>
      </w:r>
      <w:r w:rsidRPr="00244B91">
        <w:t>9</w:t>
      </w:r>
    </w:p>
    <w:p w14:paraId="4D3D2DF4" w14:textId="77777777" w:rsidR="00FB4FDA" w:rsidRPr="00244B91" w:rsidRDefault="00FB4FDA" w:rsidP="00FB4FDA">
      <w:pPr>
        <w:pStyle w:val="biblio"/>
      </w:pPr>
      <w:r w:rsidRPr="00244B91">
        <w:t xml:space="preserve">Iman RL. Latin hypercube sampling. In: </w:t>
      </w:r>
      <w:r w:rsidRPr="00244B91">
        <w:rPr>
          <w:i/>
        </w:rPr>
        <w:t>Encyclopedia of Quantitative Risk Analysis and Assessment</w:t>
      </w:r>
      <w:r w:rsidRPr="00244B91">
        <w:t>. Hoboken, NJ: Wiley &amp; Sons; 2008.</w:t>
      </w:r>
    </w:p>
    <w:p w14:paraId="3F18D40A" w14:textId="5832D8A7" w:rsidR="00FB4FDA" w:rsidRPr="00244B91" w:rsidRDefault="00FB4FDA" w:rsidP="00FB4FDA">
      <w:pPr>
        <w:pStyle w:val="biblio"/>
      </w:pPr>
      <w:proofErr w:type="spellStart"/>
      <w:r w:rsidRPr="00244B91">
        <w:t>Introcaso</w:t>
      </w:r>
      <w:proofErr w:type="spellEnd"/>
      <w:r w:rsidRPr="00244B91">
        <w:t xml:space="preserve"> CE, Xu F, </w:t>
      </w:r>
      <w:proofErr w:type="spellStart"/>
      <w:r w:rsidRPr="00244B91">
        <w:t>Kilmarx</w:t>
      </w:r>
      <w:proofErr w:type="spellEnd"/>
      <w:r w:rsidRPr="00244B91">
        <w:t xml:space="preserve"> PH, </w:t>
      </w:r>
      <w:r w:rsidR="00511F54" w:rsidRPr="00244B91">
        <w:t>et al</w:t>
      </w:r>
      <w:r w:rsidRPr="00244B91">
        <w:t xml:space="preserve">. Prevalence of circumcision among men and boys aged 14 to 59 Years in the United States, National Health and Nutrition Examination Surveys 2005–2010. </w:t>
      </w:r>
      <w:r w:rsidRPr="00244B91">
        <w:rPr>
          <w:i/>
        </w:rPr>
        <w:t xml:space="preserve">Sex </w:t>
      </w:r>
      <w:proofErr w:type="spellStart"/>
      <w:r w:rsidRPr="00244B91">
        <w:rPr>
          <w:i/>
        </w:rPr>
        <w:t>Transm</w:t>
      </w:r>
      <w:proofErr w:type="spellEnd"/>
      <w:r w:rsidRPr="00244B91">
        <w:rPr>
          <w:i/>
        </w:rPr>
        <w:t xml:space="preserve"> Dis</w:t>
      </w:r>
      <w:r w:rsidR="00ED16FA" w:rsidRPr="00244B91">
        <w:t>. 2013;40:521</w:t>
      </w:r>
      <w:r w:rsidR="00740DFC" w:rsidRPr="00244B91">
        <w:t>–5</w:t>
      </w:r>
      <w:r w:rsidRPr="00244B91">
        <w:t>.</w:t>
      </w:r>
    </w:p>
    <w:p w14:paraId="02B0C2E9" w14:textId="0FA95785" w:rsidR="00896735" w:rsidRPr="00244B91" w:rsidRDefault="00896735" w:rsidP="00896735">
      <w:pPr>
        <w:pStyle w:val="biblio"/>
      </w:pPr>
      <w:r w:rsidRPr="00244B91">
        <w:t xml:space="preserve">Jacobson E, Hicks K, Tucker E, Farnham P, Sansom S. Effects of reaching national goals on HIV incidence, by race and ethnicity, in the United States. </w:t>
      </w:r>
      <w:r w:rsidRPr="00244B91">
        <w:rPr>
          <w:i/>
        </w:rPr>
        <w:t xml:space="preserve">J Public Health </w:t>
      </w:r>
      <w:proofErr w:type="spellStart"/>
      <w:r w:rsidRPr="00244B91">
        <w:rPr>
          <w:i/>
        </w:rPr>
        <w:t>Manag</w:t>
      </w:r>
      <w:proofErr w:type="spellEnd"/>
      <w:r w:rsidRPr="00244B91">
        <w:rPr>
          <w:i/>
        </w:rPr>
        <w:t xml:space="preserve"> </w:t>
      </w:r>
      <w:proofErr w:type="spellStart"/>
      <w:r w:rsidRPr="00244B91">
        <w:rPr>
          <w:i/>
        </w:rPr>
        <w:t>Pract</w:t>
      </w:r>
      <w:proofErr w:type="spellEnd"/>
      <w:r w:rsidRPr="00244B91">
        <w:rPr>
          <w:i/>
        </w:rPr>
        <w:t>.</w:t>
      </w:r>
      <w:r w:rsidRPr="00244B91">
        <w:t xml:space="preserve"> 2018 Jul 1;24(4):E1-8.</w:t>
      </w:r>
    </w:p>
    <w:p w14:paraId="368B5AC6" w14:textId="31AE5B5B" w:rsidR="00FB4FDA" w:rsidRPr="00244B91" w:rsidRDefault="00FB4FDA" w:rsidP="00FB4FDA">
      <w:pPr>
        <w:pStyle w:val="biblio"/>
      </w:pPr>
      <w:proofErr w:type="spellStart"/>
      <w:r w:rsidRPr="00244B91">
        <w:t>Jenness</w:t>
      </w:r>
      <w:proofErr w:type="spellEnd"/>
      <w:r w:rsidRPr="00244B91">
        <w:t xml:space="preserve"> SM, Hagan H, Liu KL, </w:t>
      </w:r>
      <w:r w:rsidR="00511F54" w:rsidRPr="00244B91">
        <w:t>et al</w:t>
      </w:r>
      <w:r w:rsidRPr="00244B91">
        <w:t xml:space="preserve">. Continuing HIV risk in New York City injection drug users: the association of syringe source and syringe sharing. </w:t>
      </w:r>
      <w:proofErr w:type="spellStart"/>
      <w:r w:rsidRPr="00244B91">
        <w:rPr>
          <w:i/>
        </w:rPr>
        <w:t>Subst</w:t>
      </w:r>
      <w:proofErr w:type="spellEnd"/>
      <w:r w:rsidRPr="00244B91">
        <w:rPr>
          <w:i/>
        </w:rPr>
        <w:t xml:space="preserve"> Use Misuse</w:t>
      </w:r>
      <w:r w:rsidRPr="00244B91">
        <w:t>. 2011;46(2</w:t>
      </w:r>
      <w:r w:rsidR="00740DFC" w:rsidRPr="00244B91">
        <w:t>–3</w:t>
      </w:r>
      <w:r w:rsidRPr="00244B91">
        <w:t>):192</w:t>
      </w:r>
      <w:r w:rsidR="00740DFC" w:rsidRPr="00244B91">
        <w:t>–2</w:t>
      </w:r>
      <w:r w:rsidRPr="00244B91">
        <w:t>00.</w:t>
      </w:r>
    </w:p>
    <w:p w14:paraId="1B26414A" w14:textId="08F37FFD" w:rsidR="00FB4FDA" w:rsidRPr="00244B91" w:rsidRDefault="00FB4FDA" w:rsidP="00ED16FA">
      <w:pPr>
        <w:pStyle w:val="biblio"/>
      </w:pPr>
      <w:proofErr w:type="spellStart"/>
      <w:r w:rsidRPr="00244B91">
        <w:t>Juusola</w:t>
      </w:r>
      <w:proofErr w:type="spellEnd"/>
      <w:r w:rsidRPr="00244B91">
        <w:t xml:space="preserve"> JL, </w:t>
      </w:r>
      <w:proofErr w:type="spellStart"/>
      <w:r w:rsidRPr="00244B91">
        <w:t>Brandeau</w:t>
      </w:r>
      <w:proofErr w:type="spellEnd"/>
      <w:r w:rsidRPr="00244B91">
        <w:t xml:space="preserve"> ML, Owens DK, </w:t>
      </w:r>
      <w:r w:rsidR="00511F54" w:rsidRPr="00244B91">
        <w:t>et al</w:t>
      </w:r>
      <w:r w:rsidRPr="00244B91">
        <w:t xml:space="preserve">. The cost-effectiveness of preexposure prophylaxis for HIV prevention in the United States in men who have sex with men. </w:t>
      </w:r>
      <w:r w:rsidRPr="00244B91">
        <w:rPr>
          <w:i/>
        </w:rPr>
        <w:t>Ann Intern Med</w:t>
      </w:r>
      <w:r w:rsidRPr="00244B91">
        <w:t>. 2012 Apr 17;156(8):541</w:t>
      </w:r>
      <w:r w:rsidR="00740DFC" w:rsidRPr="00244B91">
        <w:t>–5</w:t>
      </w:r>
      <w:r w:rsidRPr="00244B91">
        <w:t>0.</w:t>
      </w:r>
    </w:p>
    <w:p w14:paraId="25A361D1" w14:textId="13AF2624" w:rsidR="00FB4FDA" w:rsidRPr="00244B91" w:rsidRDefault="00FB4FDA" w:rsidP="00FB4FDA">
      <w:pPr>
        <w:pStyle w:val="biblio"/>
      </w:pPr>
      <w:r w:rsidRPr="00244B91">
        <w:t xml:space="preserve">Kaplan EH, Heimer R. A model-based estimate of </w:t>
      </w:r>
      <w:r w:rsidR="00457B8E" w:rsidRPr="00244B91">
        <w:t>H</w:t>
      </w:r>
      <w:r w:rsidRPr="00244B91">
        <w:t xml:space="preserve">IV infectivity via needle sharing. </w:t>
      </w:r>
      <w:r w:rsidRPr="00244B91">
        <w:rPr>
          <w:i/>
        </w:rPr>
        <w:t xml:space="preserve">J </w:t>
      </w:r>
      <w:proofErr w:type="spellStart"/>
      <w:r w:rsidRPr="00244B91">
        <w:rPr>
          <w:i/>
        </w:rPr>
        <w:t>Acquir</w:t>
      </w:r>
      <w:proofErr w:type="spellEnd"/>
      <w:r w:rsidRPr="00244B91">
        <w:rPr>
          <w:i/>
        </w:rPr>
        <w:t xml:space="preserve"> Immune </w:t>
      </w:r>
      <w:proofErr w:type="spellStart"/>
      <w:r w:rsidRPr="00244B91">
        <w:rPr>
          <w:i/>
        </w:rPr>
        <w:t>D</w:t>
      </w:r>
      <w:r w:rsidR="006577DA" w:rsidRPr="00244B91">
        <w:rPr>
          <w:i/>
        </w:rPr>
        <w:t>e</w:t>
      </w:r>
      <w:r w:rsidRPr="00244B91">
        <w:rPr>
          <w:i/>
        </w:rPr>
        <w:t>fic</w:t>
      </w:r>
      <w:proofErr w:type="spellEnd"/>
      <w:r w:rsidRPr="00244B91">
        <w:rPr>
          <w:i/>
        </w:rPr>
        <w:t xml:space="preserve"> </w:t>
      </w:r>
      <w:proofErr w:type="spellStart"/>
      <w:r w:rsidRPr="00244B91">
        <w:rPr>
          <w:i/>
        </w:rPr>
        <w:t>Syndr</w:t>
      </w:r>
      <w:proofErr w:type="spellEnd"/>
      <w:r w:rsidR="00ED16FA" w:rsidRPr="00244B91">
        <w:t>. 1992;5:1116</w:t>
      </w:r>
      <w:r w:rsidR="00740DFC" w:rsidRPr="00244B91">
        <w:t>–8</w:t>
      </w:r>
      <w:r w:rsidRPr="00244B91">
        <w:t>.</w:t>
      </w:r>
    </w:p>
    <w:p w14:paraId="5A59BC14" w14:textId="3C5A8699" w:rsidR="00896735" w:rsidRPr="00244B91" w:rsidRDefault="00896735" w:rsidP="00896735">
      <w:pPr>
        <w:pStyle w:val="biblio"/>
      </w:pPr>
      <w:r w:rsidRPr="00244B91">
        <w:lastRenderedPageBreak/>
        <w:t xml:space="preserve">Khurana N, </w:t>
      </w:r>
      <w:proofErr w:type="spellStart"/>
      <w:r w:rsidRPr="00244B91">
        <w:t>Yaylali</w:t>
      </w:r>
      <w:proofErr w:type="spellEnd"/>
      <w:r w:rsidRPr="00244B91">
        <w:t xml:space="preserve"> E, Farnham PG, Hicks KA, Allaire BT, Jacobson E, Sansom SL. Impact of Improved HIV Care and Treatment on </w:t>
      </w:r>
      <w:proofErr w:type="spellStart"/>
      <w:r w:rsidRPr="00244B91">
        <w:t>PrEP</w:t>
      </w:r>
      <w:proofErr w:type="spellEnd"/>
      <w:r w:rsidRPr="00244B91">
        <w:t xml:space="preserve"> Effectiveness in the United States, 2016–2020. </w:t>
      </w:r>
      <w:r w:rsidRPr="00244B91">
        <w:rPr>
          <w:i/>
        </w:rPr>
        <w:t>JAIDS Journal of Acquired Immune Deficiency Syndromes.</w:t>
      </w:r>
      <w:r w:rsidRPr="00244B91">
        <w:t xml:space="preserve"> 2018 Aug 1;78(4):399-405.</w:t>
      </w:r>
    </w:p>
    <w:p w14:paraId="398F8CA4" w14:textId="77777777" w:rsidR="005B1E94" w:rsidRPr="00244B91" w:rsidRDefault="005B1E94" w:rsidP="005B1E94">
      <w:pPr>
        <w:pStyle w:val="biblio"/>
      </w:pPr>
      <w:r w:rsidRPr="00244B91">
        <w:t xml:space="preserve">Krebs, E., Enns, B., Wang, L., Zang, X., </w:t>
      </w:r>
      <w:proofErr w:type="spellStart"/>
      <w:r w:rsidRPr="00244B91">
        <w:t>Panagiotoglou</w:t>
      </w:r>
      <w:proofErr w:type="spellEnd"/>
      <w:r w:rsidRPr="00244B91">
        <w:t xml:space="preserve">, D., Del Rio, C., ... &amp; Marshall, B. (2019). Developing a dynamic HIV transmission model for 6 US cities: An evidence synthesis. </w:t>
      </w:r>
      <w:proofErr w:type="spellStart"/>
      <w:r w:rsidRPr="00244B91">
        <w:t>PloS</w:t>
      </w:r>
      <w:proofErr w:type="spellEnd"/>
      <w:r w:rsidRPr="00244B91">
        <w:t xml:space="preserve"> one, 14(5), e0217559.</w:t>
      </w:r>
    </w:p>
    <w:p w14:paraId="267B7977" w14:textId="77777777" w:rsidR="005B1E94" w:rsidRPr="00244B91" w:rsidRDefault="005B1E94" w:rsidP="005B1E94">
      <w:pPr>
        <w:pStyle w:val="biblio"/>
      </w:pPr>
      <w:proofErr w:type="spellStart"/>
      <w:r w:rsidRPr="00244B91">
        <w:t>Krentz</w:t>
      </w:r>
      <w:proofErr w:type="spellEnd"/>
      <w:r w:rsidRPr="00244B91">
        <w:t>, H. B., MacDonald, J., &amp; John Gill, M. (2014, March). High mortality among human immunodeficiency virus (HIV)-infected individuals before accessing or linking to HIV care: a missing outcome in the cascade of care?. In Open forum infectious diseases (Vol. 1, No. 1). Oxford University Press.</w:t>
      </w:r>
    </w:p>
    <w:p w14:paraId="4CA1C9AA" w14:textId="77777777" w:rsidR="005B1E94" w:rsidRPr="00244B91" w:rsidRDefault="005B1E94" w:rsidP="005B1E94">
      <w:pPr>
        <w:pStyle w:val="biblio"/>
      </w:pPr>
      <w:r w:rsidRPr="00244B91">
        <w:t>Krueger, A. L., Van Handel, M., Dietz, P. M., Williams, W. O., Johnson, A. S., Klein, P. W., ... &amp; Purcell, D. W. (2019). Factors Associated with State Variation in Mortality Among Persons Living with Diagnosed HIV Infection. Journal of Community Health, 1-11.</w:t>
      </w:r>
    </w:p>
    <w:p w14:paraId="0FB90434" w14:textId="5804D665" w:rsidR="00FB4FDA" w:rsidRPr="00244B91" w:rsidRDefault="00FB4FDA" w:rsidP="005B1E94">
      <w:pPr>
        <w:pStyle w:val="biblio"/>
      </w:pPr>
      <w:r w:rsidRPr="00244B91">
        <w:t xml:space="preserve">Lansky A, Drake A, Pham HT. HIV-associated behaviors among injecting-drug users—23 cities, United States, May 2005–February 2006. </w:t>
      </w:r>
      <w:r w:rsidRPr="00244B91">
        <w:rPr>
          <w:i/>
        </w:rPr>
        <w:t>JAMA</w:t>
      </w:r>
      <w:r w:rsidRPr="00244B91">
        <w:t>. 2009;302:376</w:t>
      </w:r>
      <w:r w:rsidR="00740DFC" w:rsidRPr="00244B91">
        <w:t>–7</w:t>
      </w:r>
      <w:r w:rsidRPr="00244B91">
        <w:t xml:space="preserve">. Reprinted from </w:t>
      </w:r>
      <w:r w:rsidRPr="00244B91">
        <w:rPr>
          <w:i/>
        </w:rPr>
        <w:t xml:space="preserve">MMWR </w:t>
      </w:r>
      <w:proofErr w:type="spellStart"/>
      <w:r w:rsidRPr="00244B91">
        <w:rPr>
          <w:i/>
        </w:rPr>
        <w:t>Morb</w:t>
      </w:r>
      <w:proofErr w:type="spellEnd"/>
      <w:r w:rsidRPr="00244B91">
        <w:rPr>
          <w:i/>
        </w:rPr>
        <w:t xml:space="preserve"> Mortal </w:t>
      </w:r>
      <w:proofErr w:type="spellStart"/>
      <w:r w:rsidRPr="00244B91">
        <w:rPr>
          <w:i/>
        </w:rPr>
        <w:t>Wkly</w:t>
      </w:r>
      <w:proofErr w:type="spellEnd"/>
      <w:r w:rsidRPr="00244B91">
        <w:rPr>
          <w:i/>
        </w:rPr>
        <w:t xml:space="preserve"> Rep</w:t>
      </w:r>
      <w:r w:rsidRPr="00244B91">
        <w:t>. 2009;58:329</w:t>
      </w:r>
      <w:r w:rsidR="00740DFC" w:rsidRPr="00244B91">
        <w:t>–3</w:t>
      </w:r>
      <w:r w:rsidRPr="00244B91">
        <w:t>2.</w:t>
      </w:r>
    </w:p>
    <w:p w14:paraId="47E2F164" w14:textId="03D47629" w:rsidR="009A5CF3" w:rsidRPr="00244B91" w:rsidRDefault="009A5CF3" w:rsidP="00ED16FA">
      <w:pPr>
        <w:pStyle w:val="biblio"/>
      </w:pPr>
      <w:r w:rsidRPr="00244B91">
        <w:t xml:space="preserve">Lansky A, Finlayson T, Johnson C, </w:t>
      </w:r>
      <w:r w:rsidR="00ED16FA" w:rsidRPr="00244B91">
        <w:t>et al</w:t>
      </w:r>
      <w:r w:rsidRPr="00244B91">
        <w:t xml:space="preserve">. Estimating the number of persons who inject drugs in the </w:t>
      </w:r>
      <w:r w:rsidR="005C5DA5" w:rsidRPr="00244B91">
        <w:t>United S</w:t>
      </w:r>
      <w:r w:rsidRPr="00244B91">
        <w:t xml:space="preserve">tates by meta-analysis to calculate national rates of HIV and hepatitis C virus infections. </w:t>
      </w:r>
      <w:proofErr w:type="spellStart"/>
      <w:r w:rsidRPr="00244B91">
        <w:rPr>
          <w:i/>
          <w:iCs/>
        </w:rPr>
        <w:t>PLoS</w:t>
      </w:r>
      <w:proofErr w:type="spellEnd"/>
      <w:r w:rsidRPr="00244B91">
        <w:rPr>
          <w:i/>
          <w:iCs/>
        </w:rPr>
        <w:t xml:space="preserve"> One</w:t>
      </w:r>
      <w:r w:rsidRPr="00244B91">
        <w:t>. 2014 May 19;9(5):e97596.</w:t>
      </w:r>
    </w:p>
    <w:p w14:paraId="58FABA42" w14:textId="1DBD9189" w:rsidR="005C5DA5" w:rsidRPr="00244B91" w:rsidRDefault="005C5DA5" w:rsidP="00ED16FA">
      <w:pPr>
        <w:pStyle w:val="biblio"/>
      </w:pPr>
      <w:r w:rsidRPr="00244B91">
        <w:t xml:space="preserve">Lansky, A., Johnson, C., </w:t>
      </w:r>
      <w:proofErr w:type="spellStart"/>
      <w:r w:rsidRPr="00244B91">
        <w:t>Oraka</w:t>
      </w:r>
      <w:proofErr w:type="spellEnd"/>
      <w:r w:rsidRPr="00244B91">
        <w:t xml:space="preserve">, E., </w:t>
      </w:r>
      <w:proofErr w:type="spellStart"/>
      <w:r w:rsidRPr="00244B91">
        <w:t>Sionean</w:t>
      </w:r>
      <w:proofErr w:type="spellEnd"/>
      <w:r w:rsidRPr="00244B91">
        <w:t xml:space="preserve">, C., Joyce, M. P., DiNenno, E., &amp; Crepaz, N. (2015). Estimating the Number of Heterosexual Persons in the United States to Calculate National Rates of HIV Infection. </w:t>
      </w:r>
      <w:proofErr w:type="spellStart"/>
      <w:r w:rsidRPr="00244B91">
        <w:t>PloS</w:t>
      </w:r>
      <w:proofErr w:type="spellEnd"/>
      <w:r w:rsidRPr="00244B91">
        <w:t xml:space="preserve"> one, 10(7), e0133543. https://doi.org/10.1371/journal.pone.0133543</w:t>
      </w:r>
    </w:p>
    <w:p w14:paraId="6482DE19" w14:textId="06D96A0C" w:rsidR="00FB4FDA" w:rsidRPr="00244B91" w:rsidRDefault="00FB4FDA" w:rsidP="00ED16FA">
      <w:pPr>
        <w:pStyle w:val="biblio"/>
      </w:pPr>
      <w:proofErr w:type="spellStart"/>
      <w:r w:rsidRPr="00244B91">
        <w:t>Laumann</w:t>
      </w:r>
      <w:proofErr w:type="spellEnd"/>
      <w:r w:rsidRPr="00244B91">
        <w:t xml:space="preserve"> EO, Gagnon</w:t>
      </w:r>
      <w:r w:rsidR="00ED16FA" w:rsidRPr="00244B91">
        <w:t xml:space="preserve"> JH</w:t>
      </w:r>
      <w:r w:rsidRPr="00244B91">
        <w:t>, Michael</w:t>
      </w:r>
      <w:r w:rsidR="00ED16FA" w:rsidRPr="00244B91">
        <w:t xml:space="preserve"> RT</w:t>
      </w:r>
      <w:r w:rsidRPr="00244B91">
        <w:t xml:space="preserve">, </w:t>
      </w:r>
      <w:r w:rsidR="00511F54" w:rsidRPr="00244B91">
        <w:t>et al</w:t>
      </w:r>
      <w:r w:rsidRPr="00244B91">
        <w:t xml:space="preserve">. </w:t>
      </w:r>
      <w:r w:rsidRPr="00244B91">
        <w:rPr>
          <w:i/>
        </w:rPr>
        <w:t xml:space="preserve">National Health and Social Life Survey, </w:t>
      </w:r>
      <w:r w:rsidR="00133D0B" w:rsidRPr="00244B91">
        <w:rPr>
          <w:i/>
        </w:rPr>
        <w:t>2008</w:t>
      </w:r>
      <w:r w:rsidRPr="00244B91">
        <w:rPr>
          <w:i/>
        </w:rPr>
        <w:t>: [United States]</w:t>
      </w:r>
      <w:r w:rsidRPr="00244B91">
        <w:t xml:space="preserve">. ICPSR06647-v2. Ann Arbor, MI: Inter-university Consortium for Political and Social Research [distributor], 2008. </w:t>
      </w:r>
      <w:hyperlink r:id="rId140" w:history="1">
        <w:r w:rsidR="0071298F" w:rsidRPr="00244B91">
          <w:rPr>
            <w:rStyle w:val="Hyperlink"/>
          </w:rPr>
          <w:t>http://doi.org/10.3886/ICPSR06647.v2</w:t>
        </w:r>
      </w:hyperlink>
      <w:r w:rsidR="0071298F" w:rsidRPr="00244B91">
        <w:rPr>
          <w:rStyle w:val="Hyperlink"/>
        </w:rPr>
        <w:t>.</w:t>
      </w:r>
    </w:p>
    <w:p w14:paraId="0B8F54CE" w14:textId="5266D6DA" w:rsidR="009E4D28" w:rsidRPr="00244B91" w:rsidRDefault="00FB4FDA" w:rsidP="00ED16FA">
      <w:pPr>
        <w:pStyle w:val="biblio"/>
      </w:pPr>
      <w:proofErr w:type="spellStart"/>
      <w:r w:rsidRPr="00244B91">
        <w:t>Laumann</w:t>
      </w:r>
      <w:proofErr w:type="spellEnd"/>
      <w:r w:rsidRPr="00244B91">
        <w:t xml:space="preserve"> EO, </w:t>
      </w:r>
      <w:proofErr w:type="spellStart"/>
      <w:r w:rsidRPr="00244B91">
        <w:t>Youm</w:t>
      </w:r>
      <w:proofErr w:type="spellEnd"/>
      <w:r w:rsidRPr="00244B91">
        <w:t xml:space="preserve"> Y. Racial/ethnic group differences in the prevalence of sexually transmitted diseases in the United States: a network explanation. </w:t>
      </w:r>
      <w:r w:rsidRPr="00244B91">
        <w:rPr>
          <w:i/>
        </w:rPr>
        <w:t xml:space="preserve">Sex </w:t>
      </w:r>
      <w:proofErr w:type="spellStart"/>
      <w:r w:rsidRPr="00244B91">
        <w:rPr>
          <w:i/>
        </w:rPr>
        <w:t>Transm</w:t>
      </w:r>
      <w:proofErr w:type="spellEnd"/>
      <w:r w:rsidRPr="00244B91">
        <w:rPr>
          <w:i/>
        </w:rPr>
        <w:t xml:space="preserve"> Dis</w:t>
      </w:r>
      <w:r w:rsidRPr="00244B91">
        <w:t>. 1999;26(5):250</w:t>
      </w:r>
      <w:r w:rsidR="00740DFC" w:rsidRPr="00244B91">
        <w:t>–6</w:t>
      </w:r>
      <w:r w:rsidRPr="00244B91">
        <w:t>1.</w:t>
      </w:r>
    </w:p>
    <w:p w14:paraId="14B50FA5" w14:textId="2D5DBB46" w:rsidR="00FB4FDA" w:rsidRPr="00244B91" w:rsidRDefault="00FB4FDA" w:rsidP="00FB4FDA">
      <w:pPr>
        <w:pStyle w:val="biblio"/>
      </w:pPr>
      <w:proofErr w:type="spellStart"/>
      <w:r w:rsidRPr="00244B91">
        <w:t>Leichliter</w:t>
      </w:r>
      <w:proofErr w:type="spellEnd"/>
      <w:r w:rsidRPr="00244B91">
        <w:t xml:space="preserve"> JS, Chesson HW, </w:t>
      </w:r>
      <w:r w:rsidR="00052E04" w:rsidRPr="00244B91">
        <w:t xml:space="preserve">Sternberg M, </w:t>
      </w:r>
      <w:r w:rsidRPr="00244B91">
        <w:t xml:space="preserve">et al. The concentration of sexual </w:t>
      </w:r>
      <w:proofErr w:type="spellStart"/>
      <w:r w:rsidRPr="00244B91">
        <w:t>behaviours</w:t>
      </w:r>
      <w:proofErr w:type="spellEnd"/>
      <w:r w:rsidRPr="00244B91">
        <w:t xml:space="preserve"> in the USA: a closer examination of subpopulations. </w:t>
      </w:r>
      <w:r w:rsidRPr="00244B91">
        <w:rPr>
          <w:i/>
        </w:rPr>
        <w:t xml:space="preserve">Sex </w:t>
      </w:r>
      <w:proofErr w:type="spellStart"/>
      <w:r w:rsidRPr="00244B91">
        <w:rPr>
          <w:i/>
        </w:rPr>
        <w:t>Transm</w:t>
      </w:r>
      <w:proofErr w:type="spellEnd"/>
      <w:r w:rsidRPr="00244B91">
        <w:rPr>
          <w:i/>
        </w:rPr>
        <w:t xml:space="preserve"> Infect</w:t>
      </w:r>
      <w:r w:rsidRPr="00244B91">
        <w:t>. 2010;86(Suppl 3):iii45–51.</w:t>
      </w:r>
    </w:p>
    <w:p w14:paraId="0125F840" w14:textId="4CDBED72" w:rsidR="00FB4FDA" w:rsidRPr="00244B91" w:rsidRDefault="00FB4FDA" w:rsidP="00ED16FA">
      <w:pPr>
        <w:pStyle w:val="biblio"/>
      </w:pPr>
      <w:proofErr w:type="spellStart"/>
      <w:r w:rsidRPr="00244B91">
        <w:t>Leynaert</w:t>
      </w:r>
      <w:proofErr w:type="spellEnd"/>
      <w:r w:rsidRPr="00244B91">
        <w:t xml:space="preserve"> B, Downs AM, de </w:t>
      </w:r>
      <w:proofErr w:type="spellStart"/>
      <w:r w:rsidRPr="00244B91">
        <w:t>Vincenzi</w:t>
      </w:r>
      <w:proofErr w:type="spellEnd"/>
      <w:r w:rsidRPr="00244B91">
        <w:t xml:space="preserve"> I; European Study Group on Heterosexual Transmission of HIV. Heterosexual transmission of human immunodeficiency virus: variability of infectivity throughout the course of infection. </w:t>
      </w:r>
      <w:r w:rsidRPr="00244B91">
        <w:rPr>
          <w:i/>
        </w:rPr>
        <w:t>Am J Epidemiol</w:t>
      </w:r>
      <w:r w:rsidRPr="00244B91">
        <w:t>. 1998;148:88</w:t>
      </w:r>
      <w:r w:rsidR="00740DFC" w:rsidRPr="00244B91">
        <w:t>–9</w:t>
      </w:r>
      <w:r w:rsidRPr="00244B91">
        <w:t>6.</w:t>
      </w:r>
    </w:p>
    <w:p w14:paraId="28B1516B" w14:textId="532307B0" w:rsidR="00FB4FDA" w:rsidRPr="00244B91" w:rsidRDefault="00FB4FDA" w:rsidP="00ED16FA">
      <w:pPr>
        <w:pStyle w:val="biblio"/>
      </w:pPr>
      <w:r w:rsidRPr="00244B91">
        <w:t xml:space="preserve">Long E, </w:t>
      </w:r>
      <w:proofErr w:type="spellStart"/>
      <w:r w:rsidRPr="00244B91">
        <w:t>Brandeau</w:t>
      </w:r>
      <w:proofErr w:type="spellEnd"/>
      <w:r w:rsidRPr="00244B91">
        <w:t xml:space="preserve"> M, Owens D. The cost-effectiveness and population outcomes of expanded HIV screening and antiretroviral treatment in the United States. </w:t>
      </w:r>
      <w:r w:rsidRPr="00244B91">
        <w:rPr>
          <w:i/>
        </w:rPr>
        <w:t>Ann Intern Med</w:t>
      </w:r>
      <w:r w:rsidRPr="00244B91">
        <w:t>. 2010;153:778</w:t>
      </w:r>
      <w:r w:rsidR="00740DFC" w:rsidRPr="00244B91">
        <w:t>–8</w:t>
      </w:r>
      <w:r w:rsidRPr="00244B91">
        <w:t>9.</w:t>
      </w:r>
    </w:p>
    <w:p w14:paraId="358D491E" w14:textId="4E4D574D" w:rsidR="00FB4FDA" w:rsidRPr="00244B91" w:rsidRDefault="00FB4FDA" w:rsidP="00ED16FA">
      <w:pPr>
        <w:pStyle w:val="biblio"/>
      </w:pPr>
      <w:r w:rsidRPr="00244B91">
        <w:lastRenderedPageBreak/>
        <w:t xml:space="preserve">Long EF, </w:t>
      </w:r>
      <w:proofErr w:type="spellStart"/>
      <w:r w:rsidRPr="00244B91">
        <w:t>Brandeau</w:t>
      </w:r>
      <w:proofErr w:type="spellEnd"/>
      <w:r w:rsidRPr="00244B91">
        <w:t xml:space="preserve"> ML, Owens DK. Potential population health outcomes and expenditures of HIV vaccination strategies in the United States. </w:t>
      </w:r>
      <w:r w:rsidRPr="00244B91">
        <w:rPr>
          <w:i/>
        </w:rPr>
        <w:t>Vaccine</w:t>
      </w:r>
      <w:r w:rsidRPr="00244B91">
        <w:t>. 2009;27:5402</w:t>
      </w:r>
      <w:r w:rsidR="00740DFC" w:rsidRPr="00244B91">
        <w:t>–1</w:t>
      </w:r>
      <w:r w:rsidRPr="00244B91">
        <w:t>0.</w:t>
      </w:r>
    </w:p>
    <w:p w14:paraId="12ACEE75" w14:textId="300CB588" w:rsidR="00452F76" w:rsidRPr="00244B91" w:rsidRDefault="00452F76" w:rsidP="00ED16FA">
      <w:pPr>
        <w:pStyle w:val="biblio"/>
      </w:pPr>
      <w:r w:rsidRPr="00244B91">
        <w:t xml:space="preserve">Luo W, Sullivan V, Smith T, Peters PJ, Gay C, Westheimer E, Cohen SE, Owen SM, Masciotra S. Performance evaluation of the Bio-Rad </w:t>
      </w:r>
      <w:proofErr w:type="spellStart"/>
      <w:r w:rsidRPr="00244B91">
        <w:t>Geenius</w:t>
      </w:r>
      <w:proofErr w:type="spellEnd"/>
      <w:r w:rsidRPr="00244B91">
        <w:t xml:space="preserve"> HIV 1/2 supplemental assay. Journal of Clinical Virology. 2019 Feb 1;111:24-8.</w:t>
      </w:r>
    </w:p>
    <w:p w14:paraId="729CF99F" w14:textId="71A48F1B" w:rsidR="005D4A77" w:rsidRPr="00244B91" w:rsidRDefault="005D4A77" w:rsidP="00ED16FA">
      <w:pPr>
        <w:pStyle w:val="biblio"/>
      </w:pPr>
      <w:proofErr w:type="spellStart"/>
      <w:r w:rsidRPr="00244B91">
        <w:t>Malekinejad</w:t>
      </w:r>
      <w:proofErr w:type="spellEnd"/>
      <w:r w:rsidRPr="00244B91">
        <w:t xml:space="preserve"> M, Blodgett J, Horvath H, et al. (2021) Change in Condom Use in Populations Newly Aware of HIV Diagnosis in the United States and Canada: A Systematic Review and Meta-Analysis. AIDS </w:t>
      </w:r>
      <w:proofErr w:type="spellStart"/>
      <w:r w:rsidRPr="00244B91">
        <w:t>Behav</w:t>
      </w:r>
      <w:proofErr w:type="spellEnd"/>
      <w:r w:rsidRPr="00244B91">
        <w:t xml:space="preserve">. 2021 Jan 2. </w:t>
      </w:r>
      <w:proofErr w:type="spellStart"/>
      <w:r w:rsidRPr="00244B91">
        <w:t>doi</w:t>
      </w:r>
      <w:proofErr w:type="spellEnd"/>
      <w:r w:rsidRPr="00244B91">
        <w:t xml:space="preserve">: 10.1007/s10461-020-03113-8. </w:t>
      </w:r>
      <w:proofErr w:type="spellStart"/>
      <w:r w:rsidRPr="00244B91">
        <w:t>Epub</w:t>
      </w:r>
      <w:proofErr w:type="spellEnd"/>
      <w:r w:rsidRPr="00244B91">
        <w:t xml:space="preserve"> ahead of print. PMID: 33389321.</w:t>
      </w:r>
    </w:p>
    <w:p w14:paraId="70ADB24D" w14:textId="130B018F" w:rsidR="00FB4FDA" w:rsidRPr="00244B91" w:rsidRDefault="00FB4FDA" w:rsidP="00ED16FA">
      <w:pPr>
        <w:pStyle w:val="biblio"/>
      </w:pPr>
      <w:r w:rsidRPr="00244B91">
        <w:t xml:space="preserve">McKay MD, Conover WJ, Beckman RJ. A comparison of three methods for selecting values of input variables in the analysis of output from a computer code. </w:t>
      </w:r>
      <w:proofErr w:type="spellStart"/>
      <w:r w:rsidRPr="00244B91">
        <w:rPr>
          <w:i/>
        </w:rPr>
        <w:t>Technometrics</w:t>
      </w:r>
      <w:proofErr w:type="spellEnd"/>
      <w:r w:rsidRPr="00244B91">
        <w:t>. 1979;21:239</w:t>
      </w:r>
      <w:r w:rsidR="00740DFC" w:rsidRPr="00244B91">
        <w:t>–4</w:t>
      </w:r>
      <w:r w:rsidRPr="00244B91">
        <w:t>5.</w:t>
      </w:r>
    </w:p>
    <w:p w14:paraId="529E2124" w14:textId="7CC50986" w:rsidR="00FB4FDA" w:rsidRPr="00244B91" w:rsidRDefault="00FB4FDA" w:rsidP="00ED16FA">
      <w:pPr>
        <w:pStyle w:val="biblio"/>
      </w:pPr>
      <w:proofErr w:type="spellStart"/>
      <w:r w:rsidRPr="00244B91">
        <w:t>Mellors</w:t>
      </w:r>
      <w:proofErr w:type="spellEnd"/>
      <w:r w:rsidRPr="00244B91">
        <w:t xml:space="preserve"> JW, Munoz A, Giorgi JV, et al. Plasma viral load and CD4+ lymphocytes as prognostic markers of HIV-1 infection. </w:t>
      </w:r>
      <w:r w:rsidRPr="00244B91">
        <w:rPr>
          <w:i/>
        </w:rPr>
        <w:t>Ann Intern Med</w:t>
      </w:r>
      <w:r w:rsidRPr="00244B91">
        <w:t>. 1997;126:946</w:t>
      </w:r>
      <w:r w:rsidR="00740DFC" w:rsidRPr="00244B91">
        <w:t>–5</w:t>
      </w:r>
      <w:r w:rsidRPr="00244B91">
        <w:t>4.</w:t>
      </w:r>
    </w:p>
    <w:p w14:paraId="57B0496B" w14:textId="74943571" w:rsidR="00245779" w:rsidRPr="00244B91" w:rsidRDefault="00245779" w:rsidP="00ED16FA">
      <w:pPr>
        <w:pStyle w:val="biblio"/>
      </w:pPr>
      <w:r w:rsidRPr="00244B91">
        <w:t xml:space="preserve">Morris MD. Factorial sampling plans for preliminary computational experiments. </w:t>
      </w:r>
      <w:proofErr w:type="spellStart"/>
      <w:r w:rsidRPr="00244B91">
        <w:rPr>
          <w:i/>
        </w:rPr>
        <w:t>Technometrics</w:t>
      </w:r>
      <w:proofErr w:type="spellEnd"/>
      <w:r w:rsidR="00687E18" w:rsidRPr="00244B91">
        <w:t>. 1991;</w:t>
      </w:r>
      <w:r w:rsidRPr="00244B91">
        <w:t>33</w:t>
      </w:r>
      <w:r w:rsidR="00687E18" w:rsidRPr="00244B91">
        <w:t>:</w:t>
      </w:r>
      <w:r w:rsidRPr="00244B91">
        <w:t>161–74. doi:10.1080/00401706.1991.10484804</w:t>
      </w:r>
    </w:p>
    <w:p w14:paraId="7F0D1006" w14:textId="38722A2B" w:rsidR="007C57AF" w:rsidRPr="00244B91" w:rsidRDefault="000914E3" w:rsidP="007C57AF">
      <w:pPr>
        <w:pStyle w:val="biblio"/>
      </w:pPr>
      <w:r w:rsidRPr="00244B91">
        <w:t xml:space="preserve">Murphy EL, Collier AC, Kalish LA, et al. </w:t>
      </w:r>
      <w:r w:rsidR="00570C58" w:rsidRPr="00244B91">
        <w:t xml:space="preserve">Highly active antiretroviral therapy decreases mortality and morbidity in patients with advanced HIV disease. </w:t>
      </w:r>
      <w:r w:rsidR="00570C58" w:rsidRPr="00244B91">
        <w:rPr>
          <w:i/>
        </w:rPr>
        <w:t>Ann Intern Med</w:t>
      </w:r>
      <w:r w:rsidR="00570C58" w:rsidRPr="00244B91">
        <w:t xml:space="preserve">. 2001 Jul 3;135(1):17-26. </w:t>
      </w:r>
      <w:r w:rsidR="007C57AF" w:rsidRPr="00244B91">
        <w:t>Available</w:t>
      </w:r>
      <w:r w:rsidR="00570C58" w:rsidRPr="00244B91">
        <w:t xml:space="preserve"> at</w:t>
      </w:r>
      <w:r w:rsidR="007C57AF" w:rsidRPr="00244B91">
        <w:t>:</w:t>
      </w:r>
      <w:r w:rsidR="00570C58" w:rsidRPr="00244B91">
        <w:t xml:space="preserve"> </w:t>
      </w:r>
      <w:hyperlink r:id="rId141" w:history="1">
        <w:r w:rsidR="007C57AF" w:rsidRPr="00244B91">
          <w:rPr>
            <w:rStyle w:val="Hyperlink"/>
          </w:rPr>
          <w:t>http://www.ncbi.nlm.nih.gov/pubmed/11434728</w:t>
        </w:r>
      </w:hyperlink>
      <w:r w:rsidR="007C57AF" w:rsidRPr="00244B91">
        <w:t>.</w:t>
      </w:r>
    </w:p>
    <w:p w14:paraId="0EC89734" w14:textId="1B9EE944" w:rsidR="007E1B05" w:rsidRPr="00244B91" w:rsidRDefault="007E1B05" w:rsidP="007C57AF">
      <w:pPr>
        <w:pStyle w:val="biblio"/>
      </w:pPr>
      <w:r w:rsidRPr="00244B91">
        <w:t xml:space="preserve">Nguyen TQ, Weir BW, Des Jarlais DC, Pinkerton SD, </w:t>
      </w:r>
      <w:proofErr w:type="spellStart"/>
      <w:r w:rsidRPr="00244B91">
        <w:t>Holtgrave</w:t>
      </w:r>
      <w:proofErr w:type="spellEnd"/>
      <w:r w:rsidRPr="00244B91">
        <w:t xml:space="preserve"> DR. Syringe exchange in the United States: a national level economic evaluation of hypothetical increases in investment. </w:t>
      </w:r>
      <w:r w:rsidRPr="00244B91">
        <w:rPr>
          <w:i/>
        </w:rPr>
        <w:t>AIDS and Behavior</w:t>
      </w:r>
      <w:r w:rsidRPr="00244B91">
        <w:t>. 2014 Nov 1;18(11):2144-55.</w:t>
      </w:r>
    </w:p>
    <w:p w14:paraId="65498CD9" w14:textId="43B90013" w:rsidR="00FB4FDA" w:rsidRPr="00244B91" w:rsidRDefault="00FB4FDA" w:rsidP="00FB4FDA">
      <w:pPr>
        <w:pStyle w:val="biblio"/>
      </w:pPr>
      <w:r w:rsidRPr="00244B91">
        <w:t>North American AIDS Cohort Collaboration on Research and Design (NA-ACCORD). Mortality estimates 2010 v2. Data on file. April 29, 2014.</w:t>
      </w:r>
    </w:p>
    <w:p w14:paraId="51AD3EDE" w14:textId="2D70598C" w:rsidR="00FB4FDA" w:rsidRPr="00244B91" w:rsidRDefault="00FB4FDA" w:rsidP="00FB4FDA">
      <w:pPr>
        <w:pStyle w:val="biblio"/>
      </w:pPr>
      <w:proofErr w:type="spellStart"/>
      <w:r w:rsidRPr="00244B91">
        <w:t>OraQuick</w:t>
      </w:r>
      <w:proofErr w:type="spellEnd"/>
      <w:r w:rsidRPr="00244B91">
        <w:t xml:space="preserve"> ADVANCE® [Package Insert]. Bethlehem, PA: </w:t>
      </w:r>
      <w:proofErr w:type="spellStart"/>
      <w:r w:rsidRPr="00244B91">
        <w:t>OraSure</w:t>
      </w:r>
      <w:proofErr w:type="spellEnd"/>
      <w:r w:rsidRPr="00244B91">
        <w:t xml:space="preserve"> Technologies; 2004</w:t>
      </w:r>
    </w:p>
    <w:p w14:paraId="1CE3C3CD" w14:textId="239A6176" w:rsidR="00FB4FDA" w:rsidRPr="00244B91" w:rsidRDefault="00FB4FDA" w:rsidP="00FB4FDA">
      <w:pPr>
        <w:pStyle w:val="biblio"/>
      </w:pPr>
      <w:r w:rsidRPr="00244B91">
        <w:t xml:space="preserve">Osmond D, </w:t>
      </w:r>
      <w:proofErr w:type="spellStart"/>
      <w:r w:rsidRPr="00244B91">
        <w:t>Bacchetti</w:t>
      </w:r>
      <w:proofErr w:type="spellEnd"/>
      <w:r w:rsidRPr="00244B91">
        <w:t xml:space="preserve"> P, </w:t>
      </w:r>
      <w:proofErr w:type="spellStart"/>
      <w:r w:rsidRPr="00244B91">
        <w:t>Chaisson</w:t>
      </w:r>
      <w:proofErr w:type="spellEnd"/>
      <w:r w:rsidRPr="00244B91">
        <w:t xml:space="preserve"> RE, et al. Time of exposure and risk of HIV infection in homosexual partners of men with AIDS. </w:t>
      </w:r>
      <w:r w:rsidRPr="00244B91">
        <w:rPr>
          <w:i/>
        </w:rPr>
        <w:t>Am J Public Health</w:t>
      </w:r>
      <w:r w:rsidRPr="00244B91">
        <w:t>. 1988;78:944–8.</w:t>
      </w:r>
    </w:p>
    <w:p w14:paraId="67E2739F" w14:textId="7499BE36" w:rsidR="00ED16FA" w:rsidRPr="00244B91" w:rsidRDefault="00ED16FA" w:rsidP="00ED16FA">
      <w:pPr>
        <w:pStyle w:val="biblio"/>
      </w:pPr>
      <w:r w:rsidRPr="00244B91">
        <w:t xml:space="preserve">Oster AM, Sternberg M, Lansky A, </w:t>
      </w:r>
      <w:r w:rsidR="00511F54" w:rsidRPr="00244B91">
        <w:t>et al</w:t>
      </w:r>
      <w:r w:rsidRPr="00244B91">
        <w:t xml:space="preserve">. Population size estimates for men who have sex with men and persons who inject drugs. </w:t>
      </w:r>
      <w:r w:rsidRPr="00244B91">
        <w:rPr>
          <w:i/>
        </w:rPr>
        <w:t>J Urban Health.</w:t>
      </w:r>
      <w:r w:rsidRPr="00244B91">
        <w:t xml:space="preserve"> 2015;92(4):733</w:t>
      </w:r>
      <w:r w:rsidR="00740DFC" w:rsidRPr="00244B91">
        <w:t>–4</w:t>
      </w:r>
      <w:r w:rsidRPr="00244B91">
        <w:t>3.</w:t>
      </w:r>
    </w:p>
    <w:p w14:paraId="68DB4C63" w14:textId="34C3BDA8" w:rsidR="00FB4FDA" w:rsidRPr="00244B91" w:rsidRDefault="00FB4FDA" w:rsidP="00ED16FA">
      <w:pPr>
        <w:pStyle w:val="biblio"/>
      </w:pPr>
      <w:r w:rsidRPr="00244B91">
        <w:t xml:space="preserve">Pandori MW, Hackett Jr J, Louie B, et al. Assessment of the ability of a fourth-generation immunoassay for human immunodeficiency virus (HIV) antibody and p24 antigen to detect both acute and recent HIV infections in a high-risk setting. </w:t>
      </w:r>
      <w:r w:rsidRPr="00244B91">
        <w:rPr>
          <w:i/>
        </w:rPr>
        <w:t>J Clin Microbiol</w:t>
      </w:r>
      <w:r w:rsidR="00D50000" w:rsidRPr="00244B91">
        <w:t>.</w:t>
      </w:r>
      <w:r w:rsidRPr="00244B91">
        <w:t xml:space="preserve"> 2009;47(8):2639</w:t>
      </w:r>
      <w:r w:rsidR="00740DFC" w:rsidRPr="00244B91">
        <w:t>–4</w:t>
      </w:r>
      <w:r w:rsidRPr="00244B91">
        <w:t>2.</w:t>
      </w:r>
    </w:p>
    <w:p w14:paraId="400E65A8" w14:textId="3F98A872" w:rsidR="00FB4FDA" w:rsidRPr="00244B91" w:rsidRDefault="00FB4FDA" w:rsidP="00ED16FA">
      <w:pPr>
        <w:pStyle w:val="biblio"/>
      </w:pPr>
      <w:r w:rsidRPr="00244B91">
        <w:t xml:space="preserve">Pandori MW, Gay WE, Moss C, </w:t>
      </w:r>
      <w:r w:rsidR="00ED16FA" w:rsidRPr="00244B91">
        <w:t>et al</w:t>
      </w:r>
      <w:r w:rsidRPr="00244B91">
        <w:t xml:space="preserve">. The </w:t>
      </w:r>
      <w:proofErr w:type="spellStart"/>
      <w:r w:rsidRPr="00244B91">
        <w:t>Multispot</w:t>
      </w:r>
      <w:proofErr w:type="spellEnd"/>
      <w:r w:rsidRPr="00244B91">
        <w:t xml:space="preserve"> rapid HIV-1/HIV-2 differentiation assay is comparable with the Western Blot and an immunofluorescence assay at confirming HIV infection in a prospective study in three regions of the United States. In: </w:t>
      </w:r>
      <w:r w:rsidRPr="00244B91">
        <w:rPr>
          <w:i/>
        </w:rPr>
        <w:t>Proceedings from the 2012 HIV diagnostics conference</w:t>
      </w:r>
      <w:r w:rsidRPr="00244B91">
        <w:t xml:space="preserve">. 2012. </w:t>
      </w:r>
      <w:r w:rsidR="00511F54" w:rsidRPr="00244B91">
        <w:t xml:space="preserve">Available at: </w:t>
      </w:r>
      <w:hyperlink r:id="rId142" w:history="1">
        <w:r w:rsidR="00D50000" w:rsidRPr="00244B91">
          <w:rPr>
            <w:rStyle w:val="Hyperlink"/>
          </w:rPr>
          <w:t>www.hivtestingconference.org</w:t>
        </w:r>
      </w:hyperlink>
      <w:r w:rsidR="00ED16FA" w:rsidRPr="00244B91">
        <w:rPr>
          <w:rStyle w:val="Hyperlink"/>
        </w:rPr>
        <w:t>.</w:t>
      </w:r>
      <w:r w:rsidR="00ED16FA" w:rsidRPr="00244B91">
        <w:t xml:space="preserve"> A</w:t>
      </w:r>
      <w:r w:rsidRPr="00244B91">
        <w:t xml:space="preserve">ccessed </w:t>
      </w:r>
      <w:r w:rsidR="00ED16FA" w:rsidRPr="00244B91">
        <w:t xml:space="preserve">June 17, </w:t>
      </w:r>
      <w:r w:rsidRPr="00244B91">
        <w:t>2013.</w:t>
      </w:r>
    </w:p>
    <w:p w14:paraId="720BEC17" w14:textId="08CF7B4D" w:rsidR="00A2076B" w:rsidRPr="00244B91" w:rsidRDefault="00A2076B" w:rsidP="00ED16FA">
      <w:pPr>
        <w:pStyle w:val="biblio"/>
      </w:pPr>
      <w:r w:rsidRPr="00244B91">
        <w:lastRenderedPageBreak/>
        <w:t xml:space="preserve">Patel P, Borkowf CB, Brooks JT, Lasry A, Lansky A, Mermin J. Estimating per-act HIV transmission risk: a systematic review. </w:t>
      </w:r>
      <w:r w:rsidRPr="00244B91">
        <w:rPr>
          <w:i/>
          <w:iCs/>
        </w:rPr>
        <w:t>AIDS</w:t>
      </w:r>
      <w:r w:rsidRPr="00244B91">
        <w:t>. 2014 Jun 19;28(10):1509-19</w:t>
      </w:r>
    </w:p>
    <w:p w14:paraId="609BDBE5" w14:textId="77777777" w:rsidR="00FB4FDA" w:rsidRPr="00244B91" w:rsidRDefault="00FB4FDA" w:rsidP="00FB4FDA">
      <w:pPr>
        <w:pStyle w:val="biblio"/>
      </w:pPr>
      <w:r w:rsidRPr="00244B91">
        <w:t xml:space="preserve">Pilcher CD, Louie B, </w:t>
      </w:r>
      <w:proofErr w:type="spellStart"/>
      <w:r w:rsidRPr="00244B91">
        <w:t>Facente</w:t>
      </w:r>
      <w:proofErr w:type="spellEnd"/>
      <w:r w:rsidRPr="00244B91">
        <w:t xml:space="preserve"> S, et al. Performance of rapid point-of-care and laboratory tests for acute and established HIV infection in San Francisco. </w:t>
      </w:r>
      <w:proofErr w:type="spellStart"/>
      <w:r w:rsidRPr="00244B91">
        <w:rPr>
          <w:i/>
        </w:rPr>
        <w:t>PLoS</w:t>
      </w:r>
      <w:proofErr w:type="spellEnd"/>
      <w:r w:rsidRPr="00244B91">
        <w:rPr>
          <w:i/>
        </w:rPr>
        <w:t xml:space="preserve"> One</w:t>
      </w:r>
      <w:r w:rsidRPr="00244B91">
        <w:t>. 2013 Dec 12;8(12):e80629.</w:t>
      </w:r>
    </w:p>
    <w:p w14:paraId="4C02522E" w14:textId="271E987A" w:rsidR="00FB4FDA" w:rsidRPr="00244B91" w:rsidRDefault="00FB4FDA" w:rsidP="00FB4FDA">
      <w:pPr>
        <w:pStyle w:val="biblio"/>
      </w:pPr>
      <w:r w:rsidRPr="00244B91">
        <w:t xml:space="preserve">Pinkerton S, Abramson P, </w:t>
      </w:r>
      <w:proofErr w:type="spellStart"/>
      <w:r w:rsidRPr="00244B91">
        <w:t>Holtgrave</w:t>
      </w:r>
      <w:proofErr w:type="spellEnd"/>
      <w:r w:rsidRPr="00244B91">
        <w:t xml:space="preserve"> D, editors. The Bernoulli-process model of HIV transmission: applications and implications. In: </w:t>
      </w:r>
      <w:r w:rsidRPr="00244B91">
        <w:rPr>
          <w:i/>
        </w:rPr>
        <w:t>Handbook of economic evaluation of HIV prevention programs</w:t>
      </w:r>
      <w:r w:rsidRPr="00244B91">
        <w:t>. New York</w:t>
      </w:r>
      <w:r w:rsidR="00ED16FA" w:rsidRPr="00244B91">
        <w:t>, NY</w:t>
      </w:r>
      <w:r w:rsidRPr="00244B91">
        <w:t>: Plenum Press; 1998.</w:t>
      </w:r>
    </w:p>
    <w:p w14:paraId="73CCC4A6" w14:textId="5FE3EA57" w:rsidR="00FB4FDA" w:rsidRPr="00244B91" w:rsidRDefault="00FB4FDA" w:rsidP="00FB4FDA">
      <w:pPr>
        <w:pStyle w:val="biblio"/>
      </w:pPr>
      <w:r w:rsidRPr="00244B91">
        <w:t xml:space="preserve">Pinkerton SD, Bogart LM, Howerton D, </w:t>
      </w:r>
      <w:r w:rsidR="00EE4785" w:rsidRPr="00244B91">
        <w:t>et al</w:t>
      </w:r>
      <w:r w:rsidRPr="00244B91">
        <w:t xml:space="preserve">. Cost of rapid HIV testing at 45 U.S. hospitals. </w:t>
      </w:r>
      <w:r w:rsidRPr="00244B91">
        <w:rPr>
          <w:i/>
        </w:rPr>
        <w:t>AIDS Patient Care STDS</w:t>
      </w:r>
      <w:r w:rsidRPr="00244B91">
        <w:t>. 2010 Jul;24(7):409</w:t>
      </w:r>
      <w:r w:rsidR="00740DFC" w:rsidRPr="00244B91">
        <w:t>–1</w:t>
      </w:r>
      <w:r w:rsidRPr="00244B91">
        <w:t>3</w:t>
      </w:r>
      <w:r w:rsidR="00D4000F" w:rsidRPr="00244B91">
        <w:t>.</w:t>
      </w:r>
    </w:p>
    <w:p w14:paraId="11A101C7" w14:textId="70343393" w:rsidR="00FB4FDA" w:rsidRPr="00244B91" w:rsidRDefault="00FB4FDA" w:rsidP="00ED16FA">
      <w:pPr>
        <w:pStyle w:val="biblio"/>
      </w:pPr>
      <w:proofErr w:type="spellStart"/>
      <w:r w:rsidRPr="00244B91">
        <w:t>Porco</w:t>
      </w:r>
      <w:proofErr w:type="spellEnd"/>
      <w:r w:rsidRPr="00244B91">
        <w:t xml:space="preserve"> TC, Martin JN, Page-Shafer KA, et al. Decline in HIV infectivity following the introduction of highly active antiretroviral therapy. </w:t>
      </w:r>
      <w:r w:rsidRPr="00244B91">
        <w:rPr>
          <w:i/>
        </w:rPr>
        <w:t>AIDS</w:t>
      </w:r>
      <w:r w:rsidRPr="00244B91">
        <w:t>. 2004;18:81</w:t>
      </w:r>
      <w:r w:rsidR="00740DFC" w:rsidRPr="00244B91">
        <w:t>–8</w:t>
      </w:r>
      <w:r w:rsidRPr="00244B91">
        <w:t>.</w:t>
      </w:r>
    </w:p>
    <w:p w14:paraId="68CDF14D" w14:textId="3C7F02B8" w:rsidR="00FB4FDA" w:rsidRPr="00244B91" w:rsidRDefault="00FB4FDA" w:rsidP="00AF4930">
      <w:pPr>
        <w:pStyle w:val="biblio"/>
      </w:pPr>
      <w:r w:rsidRPr="00244B91">
        <w:t xml:space="preserve">Purcell DW, Johnson CH, Lansky A, et al. Estimating the population size of men who have sex with men in the United States to obtain HIV and syphilis rates. </w:t>
      </w:r>
      <w:r w:rsidRPr="00244B91">
        <w:rPr>
          <w:i/>
        </w:rPr>
        <w:t>Open AIDS J</w:t>
      </w:r>
      <w:r w:rsidRPr="00244B91">
        <w:t>. 2012;6:98</w:t>
      </w:r>
      <w:r w:rsidR="00740DFC" w:rsidRPr="00244B91">
        <w:t>–1</w:t>
      </w:r>
      <w:r w:rsidRPr="00244B91">
        <w:t>07.</w:t>
      </w:r>
    </w:p>
    <w:p w14:paraId="3FAF1826" w14:textId="103E493E" w:rsidR="00FB4FDA" w:rsidRPr="00244B91" w:rsidRDefault="00FB4FDA" w:rsidP="00AF4930">
      <w:pPr>
        <w:pStyle w:val="biblio"/>
      </w:pPr>
      <w:r w:rsidRPr="00244B91">
        <w:t xml:space="preserve">Reece M, Herbenick D, Schick V, et al. Sexual behaviors, relationships, and perceived health among adult men in the United States: results from a national probability sample. </w:t>
      </w:r>
      <w:r w:rsidRPr="00244B91">
        <w:rPr>
          <w:i/>
        </w:rPr>
        <w:t>J Sex Med</w:t>
      </w:r>
      <w:r w:rsidRPr="00244B91">
        <w:t>. 2010a;7:291</w:t>
      </w:r>
      <w:r w:rsidR="00740DFC" w:rsidRPr="00244B91">
        <w:t>–3</w:t>
      </w:r>
      <w:r w:rsidRPr="00244B91">
        <w:t>04.</w:t>
      </w:r>
    </w:p>
    <w:p w14:paraId="3B3E4957" w14:textId="35ED156B" w:rsidR="00FB4FDA" w:rsidRPr="00244B91" w:rsidRDefault="00FB4FDA" w:rsidP="00AF4930">
      <w:pPr>
        <w:pStyle w:val="biblio"/>
      </w:pPr>
      <w:r w:rsidRPr="00244B91">
        <w:t xml:space="preserve">Reece M, Herbenick D, Schick V, </w:t>
      </w:r>
      <w:r w:rsidR="00EE4785" w:rsidRPr="00244B91">
        <w:t>et al</w:t>
      </w:r>
      <w:r w:rsidRPr="00244B91">
        <w:t xml:space="preserve">. Condom use rates in a national probability sample of males and females aged 14 to 94 in the United States. </w:t>
      </w:r>
      <w:r w:rsidRPr="00244B91">
        <w:rPr>
          <w:i/>
        </w:rPr>
        <w:t>J Sex Med</w:t>
      </w:r>
      <w:r w:rsidRPr="00244B91">
        <w:t>. 2010b;7(Suppl 5):266</w:t>
      </w:r>
      <w:r w:rsidR="00740DFC" w:rsidRPr="00244B91">
        <w:t>–7</w:t>
      </w:r>
      <w:r w:rsidRPr="00244B91">
        <w:t>6.</w:t>
      </w:r>
    </w:p>
    <w:p w14:paraId="2878E835" w14:textId="77777777" w:rsidR="009B7808" w:rsidRPr="00244B91" w:rsidRDefault="009B7808" w:rsidP="009B7808">
      <w:pPr>
        <w:pStyle w:val="biblio"/>
        <w:rPr>
          <w:color w:val="222222"/>
        </w:rPr>
      </w:pPr>
      <w:r w:rsidRPr="00244B91">
        <w:rPr>
          <w:color w:val="222222"/>
        </w:rPr>
        <w:t xml:space="preserve">Rodger AJ, Cambiano V, </w:t>
      </w:r>
      <w:proofErr w:type="spellStart"/>
      <w:r w:rsidRPr="00244B91">
        <w:rPr>
          <w:color w:val="222222"/>
        </w:rPr>
        <w:t>Bruun</w:t>
      </w:r>
      <w:proofErr w:type="spellEnd"/>
      <w:r w:rsidRPr="00244B91">
        <w:rPr>
          <w:color w:val="222222"/>
        </w:rPr>
        <w:t xml:space="preserve"> T, et al.(2016); PARTNER Study Group. Sexual activity without condoms and risk of HIV transmission in </w:t>
      </w:r>
      <w:proofErr w:type="spellStart"/>
      <w:r w:rsidRPr="00244B91">
        <w:rPr>
          <w:color w:val="222222"/>
        </w:rPr>
        <w:t>serodifferent</w:t>
      </w:r>
      <w:proofErr w:type="spellEnd"/>
      <w:r w:rsidRPr="00244B91">
        <w:rPr>
          <w:color w:val="222222"/>
        </w:rPr>
        <w:t xml:space="preserve"> couples when the HIV-positive partner is using suppressive antiretroviral therapy. JAMA 2016;316:171–81. 10.1001/jama.2016.5148 </w:t>
      </w:r>
    </w:p>
    <w:p w14:paraId="1C224998" w14:textId="41710DA0" w:rsidR="009B7808" w:rsidRPr="00244B91" w:rsidRDefault="009B7808" w:rsidP="009B7808">
      <w:pPr>
        <w:pStyle w:val="biblio"/>
        <w:rPr>
          <w:color w:val="222222"/>
        </w:rPr>
      </w:pPr>
      <w:r w:rsidRPr="00244B91">
        <w:rPr>
          <w:color w:val="222222"/>
        </w:rPr>
        <w:t xml:space="preserve">Rodger AJ, Cambiano V, </w:t>
      </w:r>
      <w:proofErr w:type="spellStart"/>
      <w:r w:rsidRPr="00244B91">
        <w:rPr>
          <w:color w:val="222222"/>
        </w:rPr>
        <w:t>Bruun</w:t>
      </w:r>
      <w:proofErr w:type="spellEnd"/>
      <w:r w:rsidRPr="00244B91">
        <w:rPr>
          <w:color w:val="222222"/>
        </w:rPr>
        <w:t xml:space="preserve"> T, et al. (2019); PARTNER Study Group. Risk of HIV transmission through </w:t>
      </w:r>
      <w:proofErr w:type="spellStart"/>
      <w:r w:rsidRPr="00244B91">
        <w:rPr>
          <w:color w:val="222222"/>
        </w:rPr>
        <w:t>condomless</w:t>
      </w:r>
      <w:proofErr w:type="spellEnd"/>
      <w:r w:rsidRPr="00244B91">
        <w:rPr>
          <w:color w:val="222222"/>
        </w:rPr>
        <w:t xml:space="preserve"> sex in </w:t>
      </w:r>
      <w:proofErr w:type="spellStart"/>
      <w:r w:rsidRPr="00244B91">
        <w:rPr>
          <w:color w:val="222222"/>
        </w:rPr>
        <w:t>serodifferent</w:t>
      </w:r>
      <w:proofErr w:type="spellEnd"/>
      <w:r w:rsidRPr="00244B91">
        <w:rPr>
          <w:color w:val="222222"/>
        </w:rPr>
        <w:t xml:space="preserve"> gay couples with the HIV-positive partner taking suppressive antiretroviral therapy (PARTNER): final results of a </w:t>
      </w:r>
      <w:proofErr w:type="spellStart"/>
      <w:r w:rsidRPr="00244B91">
        <w:rPr>
          <w:color w:val="222222"/>
        </w:rPr>
        <w:t>multicentre</w:t>
      </w:r>
      <w:proofErr w:type="spellEnd"/>
      <w:r w:rsidRPr="00244B91">
        <w:rPr>
          <w:color w:val="222222"/>
        </w:rPr>
        <w:t xml:space="preserve">, prospective, observational study. Lancet. 2019 Jun 15;393(10189):2428-2438. </w:t>
      </w:r>
      <w:proofErr w:type="spellStart"/>
      <w:r w:rsidRPr="00244B91">
        <w:rPr>
          <w:color w:val="222222"/>
        </w:rPr>
        <w:t>doi</w:t>
      </w:r>
      <w:proofErr w:type="spellEnd"/>
      <w:r w:rsidRPr="00244B91">
        <w:rPr>
          <w:color w:val="222222"/>
        </w:rPr>
        <w:t>: 10.1016/S0140-6736(19)30418-0</w:t>
      </w:r>
    </w:p>
    <w:p w14:paraId="635B6909" w14:textId="338BFAD3" w:rsidR="00C73D6D" w:rsidRPr="00244B91" w:rsidRDefault="00C73D6D" w:rsidP="00AF4930">
      <w:pPr>
        <w:pStyle w:val="biblio"/>
      </w:pPr>
      <w:r w:rsidRPr="00244B91">
        <w:rPr>
          <w:color w:val="222222"/>
        </w:rPr>
        <w:t xml:space="preserve">Rosenberg ES, Purcell DW, Grey JA, </w:t>
      </w:r>
      <w:proofErr w:type="spellStart"/>
      <w:r w:rsidRPr="00244B91">
        <w:rPr>
          <w:color w:val="222222"/>
        </w:rPr>
        <w:t>Hankin</w:t>
      </w:r>
      <w:proofErr w:type="spellEnd"/>
      <w:r w:rsidRPr="00244B91">
        <w:rPr>
          <w:color w:val="222222"/>
        </w:rPr>
        <w:t>-Wei A, Hall E, Sullivan PS. Rates of prevalent and new HIV diagnoses by race and ethnicity among men who have sex with men, US states, 2013–2014. Annals of epidemiology. 2018 Apr 30.</w:t>
      </w:r>
    </w:p>
    <w:p w14:paraId="36E27425" w14:textId="2C94354D" w:rsidR="00E231BE" w:rsidRPr="00244B91" w:rsidRDefault="00E231BE" w:rsidP="00AF4930">
      <w:pPr>
        <w:pStyle w:val="biblio"/>
      </w:pPr>
      <w:r w:rsidRPr="00244B91">
        <w:rPr>
          <w:color w:val="222222"/>
        </w:rPr>
        <w:t xml:space="preserve">Sabin CA, Smith CJ, </w:t>
      </w:r>
      <w:proofErr w:type="spellStart"/>
      <w:r w:rsidRPr="00244B91">
        <w:rPr>
          <w:color w:val="222222"/>
        </w:rPr>
        <w:t>Delpech</w:t>
      </w:r>
      <w:proofErr w:type="spellEnd"/>
      <w:r w:rsidRPr="00244B91">
        <w:rPr>
          <w:color w:val="222222"/>
        </w:rPr>
        <w:t xml:space="preserve"> V, Anderson J, Bansi L, Gilson R, </w:t>
      </w:r>
      <w:proofErr w:type="spellStart"/>
      <w:r w:rsidRPr="00244B91">
        <w:rPr>
          <w:color w:val="222222"/>
        </w:rPr>
        <w:t>Schwenk</w:t>
      </w:r>
      <w:proofErr w:type="spellEnd"/>
      <w:r w:rsidRPr="00244B91">
        <w:rPr>
          <w:color w:val="222222"/>
        </w:rPr>
        <w:t xml:space="preserve"> A, Leen C, </w:t>
      </w:r>
      <w:proofErr w:type="spellStart"/>
      <w:r w:rsidRPr="00244B91">
        <w:rPr>
          <w:color w:val="222222"/>
        </w:rPr>
        <w:t>Gazzard</w:t>
      </w:r>
      <w:proofErr w:type="spellEnd"/>
      <w:r w:rsidRPr="00244B91">
        <w:rPr>
          <w:color w:val="222222"/>
        </w:rPr>
        <w:t xml:space="preserve"> B, Porter K, Mackie N. The associations between age and the development of laboratory abnormalities and treatment discontinuation for reasons other than virological failure in the first year of highly active antiretroviral therapy. </w:t>
      </w:r>
      <w:r w:rsidRPr="00244B91">
        <w:rPr>
          <w:i/>
          <w:color w:val="222222"/>
        </w:rPr>
        <w:t xml:space="preserve">HIV </w:t>
      </w:r>
      <w:r w:rsidR="00746AD7" w:rsidRPr="00244B91">
        <w:rPr>
          <w:i/>
          <w:color w:val="222222"/>
        </w:rPr>
        <w:t>M</w:t>
      </w:r>
      <w:r w:rsidRPr="00244B91">
        <w:rPr>
          <w:i/>
          <w:color w:val="222222"/>
        </w:rPr>
        <w:t>edicine</w:t>
      </w:r>
      <w:r w:rsidRPr="00244B91">
        <w:rPr>
          <w:color w:val="222222"/>
        </w:rPr>
        <w:t>. 2009 Jan;10(1):35-43.</w:t>
      </w:r>
    </w:p>
    <w:p w14:paraId="31C8CE15" w14:textId="3180CAFA" w:rsidR="00245779" w:rsidRPr="00244B91" w:rsidRDefault="002C2794" w:rsidP="00AF4930">
      <w:pPr>
        <w:pStyle w:val="biblio"/>
      </w:pPr>
      <w:proofErr w:type="spellStart"/>
      <w:r w:rsidRPr="00244B91">
        <w:t>Saltelli</w:t>
      </w:r>
      <w:proofErr w:type="spellEnd"/>
      <w:r w:rsidRPr="00244B91">
        <w:t xml:space="preserve"> A, </w:t>
      </w:r>
      <w:proofErr w:type="spellStart"/>
      <w:r w:rsidRPr="00244B91">
        <w:t>Tarantola</w:t>
      </w:r>
      <w:proofErr w:type="spellEnd"/>
      <w:r w:rsidRPr="00244B91">
        <w:t xml:space="preserve"> S, </w:t>
      </w:r>
      <w:proofErr w:type="spellStart"/>
      <w:r w:rsidRPr="00244B91">
        <w:t>Campolongo</w:t>
      </w:r>
      <w:proofErr w:type="spellEnd"/>
      <w:r w:rsidRPr="00244B91">
        <w:t xml:space="preserve"> F, </w:t>
      </w:r>
      <w:proofErr w:type="spellStart"/>
      <w:r w:rsidRPr="00244B91">
        <w:t>Ratto</w:t>
      </w:r>
      <w:proofErr w:type="spellEnd"/>
      <w:r w:rsidRPr="00244B91">
        <w:t xml:space="preserve"> M. Sensitivity analysis in practice: a guide to assessing scientific models. </w:t>
      </w:r>
      <w:r w:rsidR="007C1DDF" w:rsidRPr="00244B91">
        <w:t xml:space="preserve">Chichester, West Essex: </w:t>
      </w:r>
      <w:r w:rsidRPr="00244B91">
        <w:t>John Wiley &amp; Sons; 2004</w:t>
      </w:r>
      <w:r w:rsidR="00245779" w:rsidRPr="00244B91">
        <w:t>.</w:t>
      </w:r>
    </w:p>
    <w:p w14:paraId="2338C8D5" w14:textId="6F53936D" w:rsidR="00F470E8" w:rsidRPr="00244B91" w:rsidRDefault="00F470E8" w:rsidP="00FB4FDA">
      <w:pPr>
        <w:pStyle w:val="biblio"/>
      </w:pPr>
      <w:proofErr w:type="spellStart"/>
      <w:r w:rsidRPr="00244B91">
        <w:lastRenderedPageBreak/>
        <w:t>Schackman</w:t>
      </w:r>
      <w:proofErr w:type="spellEnd"/>
      <w:r w:rsidRPr="00244B91">
        <w:t xml:space="preserve"> BR, Finkelstein R, </w:t>
      </w:r>
      <w:proofErr w:type="spellStart"/>
      <w:r w:rsidRPr="00244B91">
        <w:t>Neukermans</w:t>
      </w:r>
      <w:proofErr w:type="spellEnd"/>
      <w:r w:rsidRPr="00244B91">
        <w:t xml:space="preserve"> CP, </w:t>
      </w:r>
      <w:r w:rsidR="00EE4785" w:rsidRPr="00244B91">
        <w:t>et al</w:t>
      </w:r>
      <w:r w:rsidRPr="00244B91">
        <w:t xml:space="preserve">. The cost of HIV medication adherence support interventions: results of a cross-site evaluation. </w:t>
      </w:r>
      <w:r w:rsidRPr="00244B91">
        <w:rPr>
          <w:i/>
          <w:iCs/>
        </w:rPr>
        <w:t>AIDS Care</w:t>
      </w:r>
      <w:r w:rsidRPr="00244B91">
        <w:t>. 2005 Nov;17(8):927</w:t>
      </w:r>
      <w:r w:rsidR="00740DFC" w:rsidRPr="00244B91">
        <w:t>–3</w:t>
      </w:r>
      <w:r w:rsidRPr="00244B91">
        <w:t>7.</w:t>
      </w:r>
    </w:p>
    <w:p w14:paraId="3FAAEA1E" w14:textId="463B4E8C" w:rsidR="00FB4FDA" w:rsidRPr="00244B91" w:rsidRDefault="00FB4FDA" w:rsidP="00FB4FDA">
      <w:pPr>
        <w:pStyle w:val="biblio"/>
      </w:pPr>
      <w:r w:rsidRPr="00244B91">
        <w:t xml:space="preserve">Siegfried N, Muller M, </w:t>
      </w:r>
      <w:proofErr w:type="spellStart"/>
      <w:r w:rsidRPr="00244B91">
        <w:t>Deeks</w:t>
      </w:r>
      <w:proofErr w:type="spellEnd"/>
      <w:r w:rsidRPr="00244B91">
        <w:t xml:space="preserve"> JJ, </w:t>
      </w:r>
      <w:r w:rsidR="00EE4785" w:rsidRPr="00244B91">
        <w:t>et al</w:t>
      </w:r>
      <w:r w:rsidRPr="00244B91">
        <w:t xml:space="preserve">. Male circumcision for prevention of heterosexual acquisition of HIV in men. </w:t>
      </w:r>
      <w:r w:rsidRPr="00244B91">
        <w:rPr>
          <w:i/>
        </w:rPr>
        <w:t>Cochrane Database Syst Rev</w:t>
      </w:r>
      <w:r w:rsidRPr="00244B91">
        <w:t xml:space="preserve">. 2009;2:CD003362. </w:t>
      </w:r>
      <w:proofErr w:type="spellStart"/>
      <w:r w:rsidRPr="00244B91">
        <w:t>doi</w:t>
      </w:r>
      <w:proofErr w:type="spellEnd"/>
      <w:r w:rsidRPr="00244B91">
        <w:t>: 10.1002/14651858.CD003362.pub2</w:t>
      </w:r>
    </w:p>
    <w:p w14:paraId="1AE4453C" w14:textId="64CF17F3" w:rsidR="00FB4FDA" w:rsidRPr="00244B91" w:rsidRDefault="00FB4FDA" w:rsidP="00AF4930">
      <w:pPr>
        <w:pStyle w:val="biblio"/>
      </w:pPr>
      <w:r w:rsidRPr="00244B91">
        <w:t xml:space="preserve">Shrestha RK, Clark HA, Sansom SL, </w:t>
      </w:r>
      <w:r w:rsidR="00AF4930" w:rsidRPr="00244B91">
        <w:t>et al</w:t>
      </w:r>
      <w:r w:rsidRPr="00244B91">
        <w:t xml:space="preserve">. Cost-effectiveness of finding new HIV diagnoses using rapid HIV testing in community-based organizations. </w:t>
      </w:r>
      <w:r w:rsidRPr="00244B91">
        <w:rPr>
          <w:i/>
        </w:rPr>
        <w:t>Public Health Rep</w:t>
      </w:r>
      <w:r w:rsidRPr="00244B91">
        <w:t>. 2008 Nov-Dec;123 Suppl 3:94</w:t>
      </w:r>
      <w:r w:rsidR="00740DFC" w:rsidRPr="00244B91">
        <w:t>–1</w:t>
      </w:r>
      <w:r w:rsidRPr="00244B91">
        <w:t>00.</w:t>
      </w:r>
    </w:p>
    <w:p w14:paraId="77D6A7F4" w14:textId="3649D723" w:rsidR="00864DFE" w:rsidRPr="00244B91" w:rsidRDefault="00864DFE" w:rsidP="00AF4930">
      <w:pPr>
        <w:pStyle w:val="biblio"/>
      </w:pPr>
      <w:proofErr w:type="spellStart"/>
      <w:r w:rsidRPr="00244B91">
        <w:t>Sionean</w:t>
      </w:r>
      <w:proofErr w:type="spellEnd"/>
      <w:r w:rsidRPr="00244B91">
        <w:t xml:space="preserve"> C, Le BC, Hageman K, Oster AM, Wejnert C et al., HIV Risk, prevention, and testing behaviors among heterosexuals at increased risk for HIV infection--National HIV Behavioral Surveillance System, 21 U.S. cities, 2010. </w:t>
      </w:r>
      <w:r w:rsidRPr="00244B91">
        <w:rPr>
          <w:i/>
          <w:iCs/>
        </w:rPr>
        <w:t xml:space="preserve">MMWR </w:t>
      </w:r>
      <w:proofErr w:type="spellStart"/>
      <w:r w:rsidRPr="00244B91">
        <w:rPr>
          <w:i/>
          <w:iCs/>
        </w:rPr>
        <w:t>Surveill</w:t>
      </w:r>
      <w:proofErr w:type="spellEnd"/>
      <w:r w:rsidRPr="00244B91">
        <w:rPr>
          <w:i/>
          <w:iCs/>
        </w:rPr>
        <w:t xml:space="preserve"> </w:t>
      </w:r>
      <w:proofErr w:type="spellStart"/>
      <w:r w:rsidRPr="00244B91">
        <w:rPr>
          <w:i/>
          <w:iCs/>
        </w:rPr>
        <w:t>Summ</w:t>
      </w:r>
      <w:proofErr w:type="spellEnd"/>
      <w:r w:rsidRPr="00244B91">
        <w:t>, 2014</w:t>
      </w:r>
      <w:r w:rsidR="006015C3" w:rsidRPr="00244B91">
        <w:t>;</w:t>
      </w:r>
      <w:r w:rsidRPr="00244B91">
        <w:t xml:space="preserve">63(14): </w:t>
      </w:r>
      <w:r w:rsidR="00F63515" w:rsidRPr="00244B91">
        <w:t>1</w:t>
      </w:r>
      <w:r w:rsidRPr="00244B91">
        <w:t>-39.</w:t>
      </w:r>
    </w:p>
    <w:p w14:paraId="4240DB73" w14:textId="19490E34" w:rsidR="009A5CF3" w:rsidRPr="00244B91" w:rsidRDefault="009A5CF3" w:rsidP="00FB4FDA">
      <w:pPr>
        <w:pStyle w:val="biblio"/>
      </w:pPr>
      <w:r w:rsidRPr="00244B91">
        <w:t xml:space="preserve">Smith DK, Herbst JH, Zhang X, </w:t>
      </w:r>
      <w:r w:rsidR="00EE4785" w:rsidRPr="00244B91">
        <w:t>et al</w:t>
      </w:r>
      <w:r w:rsidRPr="00244B91">
        <w:t xml:space="preserve">. Condom </w:t>
      </w:r>
      <w:r w:rsidR="00AF4930" w:rsidRPr="00244B91">
        <w:t>effectiveness</w:t>
      </w:r>
      <w:r w:rsidRPr="00244B91">
        <w:t xml:space="preserve"> for HIV </w:t>
      </w:r>
      <w:r w:rsidR="00AF4930" w:rsidRPr="00244B91">
        <w:t>prevention by consistency of use among men who have sex with men</w:t>
      </w:r>
      <w:r w:rsidRPr="00244B91">
        <w:t xml:space="preserve"> in the United States. </w:t>
      </w:r>
      <w:r w:rsidRPr="00244B91">
        <w:rPr>
          <w:i/>
          <w:iCs/>
        </w:rPr>
        <w:t xml:space="preserve">J </w:t>
      </w:r>
      <w:proofErr w:type="spellStart"/>
      <w:r w:rsidRPr="00244B91">
        <w:rPr>
          <w:i/>
          <w:iCs/>
        </w:rPr>
        <w:t>Acquir</w:t>
      </w:r>
      <w:proofErr w:type="spellEnd"/>
      <w:r w:rsidRPr="00244B91">
        <w:rPr>
          <w:i/>
          <w:iCs/>
        </w:rPr>
        <w:t xml:space="preserve"> Immune </w:t>
      </w:r>
      <w:proofErr w:type="spellStart"/>
      <w:r w:rsidRPr="00244B91">
        <w:rPr>
          <w:i/>
          <w:iCs/>
        </w:rPr>
        <w:t>Defic</w:t>
      </w:r>
      <w:proofErr w:type="spellEnd"/>
      <w:r w:rsidRPr="00244B91">
        <w:rPr>
          <w:i/>
          <w:iCs/>
        </w:rPr>
        <w:t xml:space="preserve"> </w:t>
      </w:r>
      <w:proofErr w:type="spellStart"/>
      <w:r w:rsidRPr="00244B91">
        <w:rPr>
          <w:i/>
          <w:iCs/>
        </w:rPr>
        <w:t>Syndr</w:t>
      </w:r>
      <w:proofErr w:type="spellEnd"/>
      <w:r w:rsidRPr="00244B91">
        <w:t>. 2015 Mar 1;68(3):337</w:t>
      </w:r>
      <w:r w:rsidR="00740DFC" w:rsidRPr="00244B91">
        <w:t>–4</w:t>
      </w:r>
      <w:r w:rsidRPr="00244B91">
        <w:t>4.</w:t>
      </w:r>
    </w:p>
    <w:p w14:paraId="4D2F9DA6" w14:textId="22B2A800" w:rsidR="00FB4FDA" w:rsidRPr="00244B91" w:rsidRDefault="00FB4FDA" w:rsidP="004751B3">
      <w:pPr>
        <w:pStyle w:val="biblio"/>
      </w:pPr>
      <w:proofErr w:type="spellStart"/>
      <w:r w:rsidRPr="00244B91">
        <w:t>Sood</w:t>
      </w:r>
      <w:proofErr w:type="spellEnd"/>
      <w:r w:rsidRPr="00244B91">
        <w:t xml:space="preserve"> N, Wagner Z, </w:t>
      </w:r>
      <w:proofErr w:type="spellStart"/>
      <w:r w:rsidRPr="00244B91">
        <w:t>Jaycocks</w:t>
      </w:r>
      <w:proofErr w:type="spellEnd"/>
      <w:r w:rsidRPr="00244B91">
        <w:t xml:space="preserve"> A, </w:t>
      </w:r>
      <w:r w:rsidR="00EE4785" w:rsidRPr="00244B91">
        <w:t>et al</w:t>
      </w:r>
      <w:r w:rsidRPr="00244B91">
        <w:t xml:space="preserve">. Test-and-treat in Los Angeles: a mathematical model of the effects of test-and-treat for the population of men who have sex with men in Los Angeles County. </w:t>
      </w:r>
      <w:r w:rsidRPr="00244B91">
        <w:rPr>
          <w:i/>
        </w:rPr>
        <w:t>Clin Infect Dis</w:t>
      </w:r>
      <w:r w:rsidRPr="00244B91">
        <w:t xml:space="preserve">. 2013 Jun;56(12):1789–96. </w:t>
      </w:r>
      <w:proofErr w:type="spellStart"/>
      <w:r w:rsidRPr="00244B91">
        <w:t>doi</w:t>
      </w:r>
      <w:proofErr w:type="spellEnd"/>
      <w:r w:rsidRPr="00244B91">
        <w:t>: 10.1093/</w:t>
      </w:r>
      <w:proofErr w:type="spellStart"/>
      <w:r w:rsidRPr="00244B91">
        <w:t>cid</w:t>
      </w:r>
      <w:proofErr w:type="spellEnd"/>
      <w:r w:rsidRPr="00244B91">
        <w:t>/cit158</w:t>
      </w:r>
    </w:p>
    <w:p w14:paraId="36BFBF19" w14:textId="778BCAD5" w:rsidR="00FB4FDA" w:rsidRPr="00244B91" w:rsidRDefault="00FB4FDA" w:rsidP="00FB4FDA">
      <w:pPr>
        <w:pStyle w:val="biblio"/>
      </w:pPr>
      <w:r w:rsidRPr="00244B91">
        <w:t>Sorensen SW, Sansom SL, B</w:t>
      </w:r>
      <w:r w:rsidR="00D05543" w:rsidRPr="00244B91">
        <w:t>r</w:t>
      </w:r>
      <w:r w:rsidRPr="00244B91">
        <w:t xml:space="preserve">ooks JT, et al. A mathematical model of comprehensive test-and-treat services and HIV incidence among men who have sex with men in the United States. </w:t>
      </w:r>
      <w:proofErr w:type="spellStart"/>
      <w:r w:rsidRPr="00244B91">
        <w:rPr>
          <w:i/>
        </w:rPr>
        <w:t>PLoS</w:t>
      </w:r>
      <w:proofErr w:type="spellEnd"/>
      <w:r w:rsidRPr="00244B91">
        <w:rPr>
          <w:i/>
        </w:rPr>
        <w:t xml:space="preserve"> One</w:t>
      </w:r>
      <w:r w:rsidRPr="00244B91">
        <w:t>. 2012;7:e29098.</w:t>
      </w:r>
    </w:p>
    <w:p w14:paraId="4BA99406" w14:textId="6E54FDAE" w:rsidR="00C53622" w:rsidRPr="00244B91" w:rsidRDefault="00C53622" w:rsidP="00FB4FDA">
      <w:pPr>
        <w:pStyle w:val="biblio"/>
      </w:pPr>
      <w:r w:rsidRPr="00244B91">
        <w:t xml:space="preserve">Sullivan PS, </w:t>
      </w:r>
      <w:proofErr w:type="spellStart"/>
      <w:r w:rsidRPr="00244B91">
        <w:t>Giler</w:t>
      </w:r>
      <w:proofErr w:type="spellEnd"/>
      <w:r w:rsidRPr="00244B91">
        <w:t xml:space="preserve"> RM, </w:t>
      </w:r>
      <w:proofErr w:type="spellStart"/>
      <w:r w:rsidRPr="00244B91">
        <w:t>Mouhanna</w:t>
      </w:r>
      <w:proofErr w:type="spellEnd"/>
      <w:r w:rsidRPr="00244B91">
        <w:t xml:space="preserve"> F, </w:t>
      </w:r>
      <w:proofErr w:type="spellStart"/>
      <w:r w:rsidRPr="00244B91">
        <w:t>Pembleton</w:t>
      </w:r>
      <w:proofErr w:type="spellEnd"/>
      <w:r w:rsidRPr="00244B91">
        <w:t xml:space="preserve"> ES, Guest JL, Jones J, Castel AD, Yeung H, Kramer M, McCallister S, Siegler AJ. Trends in the use of oral emtricitabine/tenofovir disoproxil fumarate for pre-exposure prophylaxis against HIV infection, United States, 2012-2017. Ann Epidemiol. 2018 Dec;28(12):833-840.</w:t>
      </w:r>
    </w:p>
    <w:p w14:paraId="48F1359B" w14:textId="6293657F" w:rsidR="009D3249" w:rsidRPr="00244B91" w:rsidRDefault="009D3249" w:rsidP="00FB4FDA">
      <w:pPr>
        <w:pStyle w:val="biblio"/>
      </w:pPr>
      <w:proofErr w:type="spellStart"/>
      <w:r w:rsidRPr="00244B91">
        <w:t>Tempalski</w:t>
      </w:r>
      <w:proofErr w:type="spellEnd"/>
      <w:r w:rsidRPr="00244B91">
        <w:t xml:space="preserve"> B, </w:t>
      </w:r>
      <w:proofErr w:type="spellStart"/>
      <w:r w:rsidRPr="00244B91">
        <w:t>Pouget</w:t>
      </w:r>
      <w:proofErr w:type="spellEnd"/>
      <w:r w:rsidRPr="00244B91">
        <w:t xml:space="preserve"> ER, Cleland CM, Brady JE, Cooper HL, Hall HI, Lansky A, West BS, Friedman SR. Trends in the population prevalence of people who inject drugs in US metropolitan areas 1992–2007. </w:t>
      </w:r>
      <w:proofErr w:type="spellStart"/>
      <w:r w:rsidRPr="00244B91">
        <w:rPr>
          <w:i/>
        </w:rPr>
        <w:t>PloS</w:t>
      </w:r>
      <w:proofErr w:type="spellEnd"/>
      <w:r w:rsidRPr="00244B91">
        <w:rPr>
          <w:i/>
        </w:rPr>
        <w:t xml:space="preserve"> </w:t>
      </w:r>
      <w:r w:rsidR="00746AD7" w:rsidRPr="00244B91">
        <w:rPr>
          <w:i/>
        </w:rPr>
        <w:t>O</w:t>
      </w:r>
      <w:r w:rsidRPr="00244B91">
        <w:rPr>
          <w:i/>
        </w:rPr>
        <w:t>ne</w:t>
      </w:r>
      <w:r w:rsidRPr="00244B91">
        <w:t>. 2013 Jun 5;8(6):e64789.</w:t>
      </w:r>
    </w:p>
    <w:p w14:paraId="4165616D" w14:textId="7030D183" w:rsidR="00170C2B" w:rsidRPr="00244B91" w:rsidRDefault="00170C2B" w:rsidP="00170C2B">
      <w:pPr>
        <w:pStyle w:val="biblio"/>
      </w:pPr>
      <w:r w:rsidRPr="00244B91">
        <w:t xml:space="preserve">Tian Y, </w:t>
      </w:r>
      <w:proofErr w:type="spellStart"/>
      <w:r w:rsidRPr="00244B91">
        <w:t>Hassmiller</w:t>
      </w:r>
      <w:proofErr w:type="spellEnd"/>
      <w:r w:rsidRPr="00244B91">
        <w:t xml:space="preserve"> Lich K, </w:t>
      </w:r>
      <w:r w:rsidR="00EE4785" w:rsidRPr="00244B91">
        <w:t>et al</w:t>
      </w:r>
      <w:r w:rsidRPr="00244B91">
        <w:t xml:space="preserve">. Linked </w:t>
      </w:r>
      <w:r w:rsidR="007C57AF" w:rsidRPr="00244B91">
        <w:t>sensitivity analysis, calibration, and uncertainty analysis using a system dynamics model for stroke comparative effectiveness research</w:t>
      </w:r>
      <w:r w:rsidRPr="00244B91">
        <w:t xml:space="preserve">. </w:t>
      </w:r>
      <w:r w:rsidRPr="00244B91">
        <w:rPr>
          <w:i/>
          <w:iCs/>
        </w:rPr>
        <w:t xml:space="preserve">Med </w:t>
      </w:r>
      <w:proofErr w:type="spellStart"/>
      <w:r w:rsidRPr="00244B91">
        <w:rPr>
          <w:i/>
          <w:iCs/>
        </w:rPr>
        <w:t>Decis</w:t>
      </w:r>
      <w:proofErr w:type="spellEnd"/>
      <w:r w:rsidRPr="00244B91">
        <w:rPr>
          <w:i/>
          <w:iCs/>
        </w:rPr>
        <w:t xml:space="preserve"> Making</w:t>
      </w:r>
      <w:r w:rsidRPr="00244B91">
        <w:t>. 2016 Apr 18</w:t>
      </w:r>
      <w:r w:rsidR="00EE4785" w:rsidRPr="00244B91">
        <w:t>;</w:t>
      </w:r>
      <w:r w:rsidRPr="00244B91">
        <w:t>pii: 0272989X16643940. [</w:t>
      </w:r>
      <w:proofErr w:type="spellStart"/>
      <w:r w:rsidRPr="00244B91">
        <w:t>Epub</w:t>
      </w:r>
      <w:proofErr w:type="spellEnd"/>
      <w:r w:rsidRPr="00244B91">
        <w:t xml:space="preserve"> ahead of print]</w:t>
      </w:r>
    </w:p>
    <w:p w14:paraId="19C70873" w14:textId="77777777" w:rsidR="00FB4FDA" w:rsidRPr="00244B91" w:rsidRDefault="00FB4FDA" w:rsidP="00FB4FDA">
      <w:pPr>
        <w:pStyle w:val="biblio"/>
      </w:pPr>
      <w:proofErr w:type="spellStart"/>
      <w:r w:rsidRPr="00244B91">
        <w:t>Torian</w:t>
      </w:r>
      <w:proofErr w:type="spellEnd"/>
      <w:r w:rsidRPr="00244B91">
        <w:t xml:space="preserve"> LV, </w:t>
      </w:r>
      <w:proofErr w:type="spellStart"/>
      <w:r w:rsidRPr="00244B91">
        <w:t>Wiewel</w:t>
      </w:r>
      <w:proofErr w:type="spellEnd"/>
      <w:r w:rsidRPr="00244B91">
        <w:t xml:space="preserve"> EW. Continuity of HIV-related medical care, New York City, 2005–2009: do patients who initiate care stay in care? </w:t>
      </w:r>
      <w:r w:rsidRPr="00244B91">
        <w:rPr>
          <w:i/>
        </w:rPr>
        <w:t>AIDS Patient Care STDS</w:t>
      </w:r>
      <w:r w:rsidRPr="00244B91">
        <w:t>. 2011;25:79–88.</w:t>
      </w:r>
    </w:p>
    <w:p w14:paraId="41EA4AAB" w14:textId="4C143FFE" w:rsidR="00EC7979" w:rsidRPr="00244B91" w:rsidRDefault="00AB753A" w:rsidP="001C430D">
      <w:pPr>
        <w:pStyle w:val="biblio"/>
      </w:pPr>
      <w:r w:rsidRPr="00244B91">
        <w:t xml:space="preserve">Truven Health Analytics. Red Book Online. Greenwood Village, Colorado: Truven Health Analytics. Available at: </w:t>
      </w:r>
      <w:hyperlink r:id="rId143" w:history="1">
        <w:r w:rsidRPr="00244B91">
          <w:rPr>
            <w:rStyle w:val="Hyperlink"/>
          </w:rPr>
          <w:t>http://www.micromedexsolutions.com/</w:t>
        </w:r>
      </w:hyperlink>
      <w:r w:rsidRPr="00244B91">
        <w:t>. Accessed February 7, 2017.</w:t>
      </w:r>
    </w:p>
    <w:p w14:paraId="41743515" w14:textId="246E6B2C" w:rsidR="005E6F21" w:rsidRPr="00244B91" w:rsidRDefault="005E6F21" w:rsidP="001C430D">
      <w:pPr>
        <w:pStyle w:val="biblio"/>
      </w:pPr>
      <w:r w:rsidRPr="00244B91">
        <w:lastRenderedPageBreak/>
        <w:t>U.S. Census Bureau. Monthly Estimates of the Resident Population by Sex, Race Alone or in Combination, and Hispanic Origin for the United States, States, and Counties: July 1, 2018 to Dec 1, 2018 Source: U.S. Census Bureau. Accessed March 16, 2020.</w:t>
      </w:r>
    </w:p>
    <w:p w14:paraId="3FE7C791" w14:textId="0401505A" w:rsidR="00CD326F" w:rsidRPr="00244B91" w:rsidRDefault="00CD326F" w:rsidP="001C430D">
      <w:pPr>
        <w:pStyle w:val="biblio"/>
      </w:pPr>
      <w:r w:rsidRPr="00244B91">
        <w:t>U.S. Census Bureau. Annual Estimates of the Resident Population by Sex, Single Year of Age, Race, and Hispanic Origin for the United States: April 1, 2010 to July 1, 2016. U.S. Census Bureau, Population Division. June 2017. Available at: https://www.census.gov/programs-surveys/popest.html. Accessed September 11, 2018.</w:t>
      </w:r>
    </w:p>
    <w:p w14:paraId="039BF4EE" w14:textId="77777777" w:rsidR="00FB4FDA" w:rsidRPr="00244B91" w:rsidRDefault="00FB4FDA" w:rsidP="00FB4FDA">
      <w:pPr>
        <w:pStyle w:val="biblio"/>
      </w:pPr>
      <w:r w:rsidRPr="00244B91">
        <w:t xml:space="preserve">U.S. Census Bureau. Census 2010, Summary file 1, Tables QT-P2, PCT12J, and PCT12H. 2010. Available at: </w:t>
      </w:r>
      <w:hyperlink r:id="rId144" w:history="1">
        <w:r w:rsidR="00B91CDB" w:rsidRPr="00244B91">
          <w:rPr>
            <w:rStyle w:val="Hyperlink"/>
          </w:rPr>
          <w:t>http://factfinder2.census.gov</w:t>
        </w:r>
      </w:hyperlink>
      <w:r w:rsidRPr="00244B91">
        <w:t>. Accessed March 20, 2014.</w:t>
      </w:r>
    </w:p>
    <w:p w14:paraId="6D5285F8" w14:textId="77777777" w:rsidR="00256F7E" w:rsidRPr="00244B91" w:rsidRDefault="00256F7E" w:rsidP="00FB4FDA">
      <w:pPr>
        <w:pStyle w:val="biblio"/>
      </w:pPr>
      <w:r w:rsidRPr="00244B91">
        <w:t>U.S. Department of Veterans Affairs. Federal Supply Schedule. Available at: https://www.fss.va.gov/. Accessed December 1, 2018.</w:t>
      </w:r>
    </w:p>
    <w:p w14:paraId="2C86589D" w14:textId="49C6EF6E" w:rsidR="00FB4FDA" w:rsidRPr="00244B91" w:rsidRDefault="00FB4FDA" w:rsidP="007C57AF">
      <w:pPr>
        <w:pStyle w:val="biblio"/>
      </w:pPr>
      <w:proofErr w:type="spellStart"/>
      <w:r w:rsidRPr="00244B91">
        <w:t>Vlahov</w:t>
      </w:r>
      <w:proofErr w:type="spellEnd"/>
      <w:r w:rsidRPr="00244B91">
        <w:t xml:space="preserve"> D, Wang C, </w:t>
      </w:r>
      <w:proofErr w:type="spellStart"/>
      <w:r w:rsidRPr="00244B91">
        <w:t>Ompad</w:t>
      </w:r>
      <w:proofErr w:type="spellEnd"/>
      <w:r w:rsidRPr="00244B91">
        <w:t xml:space="preserve"> D</w:t>
      </w:r>
      <w:r w:rsidR="004751B3" w:rsidRPr="00244B91">
        <w:t>,</w:t>
      </w:r>
      <w:r w:rsidRPr="00244B91">
        <w:t xml:space="preserve"> et al. Mortality </w:t>
      </w:r>
      <w:r w:rsidR="004751B3" w:rsidRPr="00244B91">
        <w:t>risk among recent-onset injection drug users in five</w:t>
      </w:r>
      <w:r w:rsidRPr="00244B91">
        <w:t xml:space="preserve"> U.S. </w:t>
      </w:r>
      <w:r w:rsidR="004751B3" w:rsidRPr="00244B91">
        <w:t>c</w:t>
      </w:r>
      <w:r w:rsidRPr="00244B91">
        <w:t xml:space="preserve">ities. </w:t>
      </w:r>
      <w:r w:rsidRPr="00244B91">
        <w:rPr>
          <w:i/>
        </w:rPr>
        <w:t>Substance Use &amp; Misuse</w:t>
      </w:r>
      <w:r w:rsidR="00B91CDB" w:rsidRPr="00244B91">
        <w:t>.</w:t>
      </w:r>
      <w:r w:rsidRPr="00244B91">
        <w:t xml:space="preserve"> </w:t>
      </w:r>
      <w:r w:rsidR="007C57AF" w:rsidRPr="00244B91">
        <w:t>2008;</w:t>
      </w:r>
      <w:r w:rsidRPr="00244B91">
        <w:t>43:413-28.</w:t>
      </w:r>
    </w:p>
    <w:p w14:paraId="3902482A" w14:textId="55D5AE1F" w:rsidR="00FB4FDA" w:rsidRPr="00244B91" w:rsidRDefault="00FB4FDA" w:rsidP="00FB4FDA">
      <w:pPr>
        <w:pStyle w:val="biblio"/>
      </w:pPr>
      <w:proofErr w:type="spellStart"/>
      <w:r w:rsidRPr="00244B91">
        <w:t>Walensky</w:t>
      </w:r>
      <w:proofErr w:type="spellEnd"/>
      <w:r w:rsidRPr="00244B91">
        <w:t xml:space="preserve"> R, </w:t>
      </w:r>
      <w:proofErr w:type="spellStart"/>
      <w:r w:rsidRPr="00244B91">
        <w:t>Paltiel</w:t>
      </w:r>
      <w:proofErr w:type="spellEnd"/>
      <w:r w:rsidRPr="00244B91">
        <w:t xml:space="preserve"> AD, </w:t>
      </w:r>
      <w:proofErr w:type="spellStart"/>
      <w:r w:rsidRPr="00244B91">
        <w:t>Losina</w:t>
      </w:r>
      <w:proofErr w:type="spellEnd"/>
      <w:r w:rsidRPr="00244B91">
        <w:t xml:space="preserve"> E, et al. Test and treat DC: forecasting the impact of a comprehensive HIV strategy in Washington DC. </w:t>
      </w:r>
      <w:r w:rsidRPr="00244B91">
        <w:rPr>
          <w:i/>
        </w:rPr>
        <w:t>Clin Infect Dis</w:t>
      </w:r>
      <w:r w:rsidRPr="00244B91">
        <w:t>. 2010;51:392–400.</w:t>
      </w:r>
    </w:p>
    <w:p w14:paraId="279757E3" w14:textId="50B7C1F2" w:rsidR="00FB4FDA" w:rsidRPr="00244B91" w:rsidRDefault="00FB4FDA" w:rsidP="00A96AAA">
      <w:pPr>
        <w:pStyle w:val="biblio"/>
      </w:pPr>
      <w:r w:rsidRPr="00244B91">
        <w:t xml:space="preserve">Wall SD, Olcott EW, Gerberding JL. AIDS risk and risk reduction in the radiology department. </w:t>
      </w:r>
      <w:r w:rsidRPr="00244B91">
        <w:rPr>
          <w:i/>
        </w:rPr>
        <w:t xml:space="preserve">Am J </w:t>
      </w:r>
      <w:proofErr w:type="spellStart"/>
      <w:r w:rsidRPr="00244B91">
        <w:rPr>
          <w:i/>
        </w:rPr>
        <w:t>Roentgenol</w:t>
      </w:r>
      <w:proofErr w:type="spellEnd"/>
      <w:r w:rsidRPr="00244B91">
        <w:t>. 1991;157:911–7.</w:t>
      </w:r>
    </w:p>
    <w:p w14:paraId="14FE418C" w14:textId="752A6403" w:rsidR="00A96AAA" w:rsidRPr="00244B91" w:rsidRDefault="00A96AAA" w:rsidP="00A96AAA">
      <w:pPr>
        <w:pStyle w:val="biblio"/>
      </w:pPr>
      <w:r w:rsidRPr="00244B91">
        <w:t>Wall KM, Stephenson R, &amp; Sullivan PS. Frequency of Sexual Activity With Most Recent Male Partner Among Young, Internet-Using Men Who Have Sex With Men in the United States. Journal of Homosexuality, 60(10), 1520–1538. http://doi.org/10.1080/00918369.2013.819256.</w:t>
      </w:r>
    </w:p>
    <w:p w14:paraId="74137721" w14:textId="77777777" w:rsidR="00FB4FDA" w:rsidRPr="00244B91" w:rsidRDefault="00FB4FDA" w:rsidP="00FB4FDA">
      <w:pPr>
        <w:pStyle w:val="biblio"/>
      </w:pPr>
      <w:proofErr w:type="spellStart"/>
      <w:r w:rsidRPr="00244B91">
        <w:t>Wawer</w:t>
      </w:r>
      <w:proofErr w:type="spellEnd"/>
      <w:r w:rsidRPr="00244B91">
        <w:t xml:space="preserve"> MJ, Gray RH, </w:t>
      </w:r>
      <w:proofErr w:type="spellStart"/>
      <w:r w:rsidRPr="00244B91">
        <w:t>Sewankambo</w:t>
      </w:r>
      <w:proofErr w:type="spellEnd"/>
      <w:r w:rsidRPr="00244B91">
        <w:t xml:space="preserve"> NK, et al. Rates of HIV-1 transmission per coital act, by stage of HIV-1 infection, in Rakai, Uganda. </w:t>
      </w:r>
      <w:r w:rsidRPr="00244B91">
        <w:rPr>
          <w:i/>
        </w:rPr>
        <w:t>J Infect Dis</w:t>
      </w:r>
      <w:r w:rsidRPr="00244B91">
        <w:t>. 2005;191:1403–19.</w:t>
      </w:r>
    </w:p>
    <w:p w14:paraId="29CE1AC3" w14:textId="77777777" w:rsidR="00FB4FDA" w:rsidRPr="00244B91" w:rsidRDefault="00FB4FDA" w:rsidP="00FB4FDA">
      <w:pPr>
        <w:pStyle w:val="biblio"/>
      </w:pPr>
      <w:r w:rsidRPr="00244B91">
        <w:t xml:space="preserve">Weller S, Davis K. Condom effectiveness in reducing heterosexual HIV transmission. </w:t>
      </w:r>
      <w:r w:rsidRPr="00244B91">
        <w:rPr>
          <w:i/>
        </w:rPr>
        <w:t>Cochrane Database Syst Rev</w:t>
      </w:r>
      <w:r w:rsidRPr="00244B91">
        <w:t>. 2002;1:CD003255.</w:t>
      </w:r>
    </w:p>
    <w:p w14:paraId="3ADFC472" w14:textId="77777777" w:rsidR="00E72922" w:rsidRPr="00244B91" w:rsidRDefault="00FB4FDA" w:rsidP="00E72922">
      <w:pPr>
        <w:pStyle w:val="biblio"/>
      </w:pPr>
      <w:proofErr w:type="spellStart"/>
      <w:r w:rsidRPr="00244B91">
        <w:t>Wesolowski</w:t>
      </w:r>
      <w:proofErr w:type="spellEnd"/>
      <w:r w:rsidRPr="00244B91">
        <w:t xml:space="preserve"> LG, Delaney KP, Hart C, et al. Performance of an alternative laboratory-based algorithm for diagnosis of HIV infection utilizing a third generation immunoassay a rapid HIV-1/HIV-2 differentiation test and a DNA or RNA-based nucleic acid amplification test in persons with established HIV-1 infection and blood donors. </w:t>
      </w:r>
      <w:r w:rsidRPr="00244B91">
        <w:rPr>
          <w:i/>
        </w:rPr>
        <w:t xml:space="preserve">J Clin </w:t>
      </w:r>
      <w:proofErr w:type="spellStart"/>
      <w:r w:rsidRPr="00244B91">
        <w:rPr>
          <w:i/>
        </w:rPr>
        <w:t>Virol</w:t>
      </w:r>
      <w:proofErr w:type="spellEnd"/>
      <w:r w:rsidR="00B91CDB" w:rsidRPr="00244B91">
        <w:rPr>
          <w:i/>
        </w:rPr>
        <w:t>.</w:t>
      </w:r>
      <w:r w:rsidRPr="00244B91">
        <w:t xml:space="preserve"> 2011;52 Suppl. 1(December):S45–9.</w:t>
      </w:r>
    </w:p>
    <w:p w14:paraId="1DEA11DB" w14:textId="4570CB0A" w:rsidR="00E72922" w:rsidRPr="00244B91" w:rsidRDefault="00E72922" w:rsidP="00E72922">
      <w:pPr>
        <w:pStyle w:val="biblio"/>
      </w:pPr>
      <w:r w:rsidRPr="00244B91">
        <w:t xml:space="preserve">White House, Office of National AIDS Policy. National HIV/AIDS strategy for the United States: updated to 2020; July 2015. </w:t>
      </w:r>
      <w:hyperlink r:id="rId145" w:history="1">
        <w:r w:rsidRPr="00244B91">
          <w:rPr>
            <w:rStyle w:val="Hyperlink"/>
          </w:rPr>
          <w:t>https://www.aids.gov/federal-resources/national-hiv-aids-strategy/nhas-update.pdf</w:t>
        </w:r>
      </w:hyperlink>
      <w:r w:rsidRPr="00244B91">
        <w:t>. Accessed February 6, 2017.</w:t>
      </w:r>
    </w:p>
    <w:p w14:paraId="3647BA62" w14:textId="62678D8F" w:rsidR="009A206E" w:rsidRPr="00244B91" w:rsidRDefault="009A206E" w:rsidP="00DE1354">
      <w:pPr>
        <w:pStyle w:val="biblio"/>
      </w:pPr>
      <w:r w:rsidRPr="00244B91">
        <w:t xml:space="preserve">Woodring J, </w:t>
      </w:r>
      <w:proofErr w:type="spellStart"/>
      <w:r w:rsidRPr="00244B91">
        <w:t>Kruszon</w:t>
      </w:r>
      <w:proofErr w:type="spellEnd"/>
      <w:r w:rsidRPr="00244B91">
        <w:t>-Moran D, McQuillan G. (2015) HIV infection in U.S. household population aged 18–59: Data from National Health and Nutrition Examination Survey, 2007–2012. National health statistics reports; no 83. Hyattsville, MD: National Center for Health Statistics. 2015</w:t>
      </w:r>
    </w:p>
    <w:p w14:paraId="17ECF125" w14:textId="57C3F535" w:rsidR="00245779" w:rsidRPr="00244B91" w:rsidRDefault="00245779" w:rsidP="00DE1354">
      <w:pPr>
        <w:pStyle w:val="biblio"/>
      </w:pPr>
      <w:r w:rsidRPr="00244B91">
        <w:lastRenderedPageBreak/>
        <w:t xml:space="preserve">Wu J, Dhingra R, Gambhir M, </w:t>
      </w:r>
      <w:proofErr w:type="spellStart"/>
      <w:r w:rsidRPr="00244B91">
        <w:t>Remais</w:t>
      </w:r>
      <w:proofErr w:type="spellEnd"/>
      <w:r w:rsidRPr="00244B91">
        <w:t xml:space="preserve"> JV. Sensitivity analysis of infectious disease models: methods, </w:t>
      </w:r>
      <w:proofErr w:type="gramStart"/>
      <w:r w:rsidRPr="00244B91">
        <w:t>advances</w:t>
      </w:r>
      <w:proofErr w:type="gramEnd"/>
      <w:r w:rsidRPr="00244B91">
        <w:t xml:space="preserve"> and their application. </w:t>
      </w:r>
      <w:r w:rsidRPr="00244B91">
        <w:rPr>
          <w:i/>
        </w:rPr>
        <w:t>J R Soc Interface</w:t>
      </w:r>
      <w:r w:rsidR="00687E18" w:rsidRPr="00244B91">
        <w:t>.</w:t>
      </w:r>
      <w:r w:rsidRPr="00244B91">
        <w:t xml:space="preserve"> </w:t>
      </w:r>
      <w:r w:rsidR="00687E18" w:rsidRPr="00244B91">
        <w:t>2013;</w:t>
      </w:r>
      <w:r w:rsidRPr="00244B91">
        <w:t>10:20121018. http://dx.doi.org/10.1098/rsif.2012.1018.</w:t>
      </w:r>
    </w:p>
    <w:p w14:paraId="3A3A8933" w14:textId="11BAE358" w:rsidR="00A96AAA" w:rsidRPr="00C00335" w:rsidRDefault="00A96AAA" w:rsidP="00A96AAA">
      <w:pPr>
        <w:pStyle w:val="biblio"/>
      </w:pPr>
      <w:proofErr w:type="spellStart"/>
      <w:r w:rsidRPr="00244B91">
        <w:t>Zaric</w:t>
      </w:r>
      <w:proofErr w:type="spellEnd"/>
      <w:r w:rsidRPr="00244B91">
        <w:t xml:space="preserve"> GS, Barnett PG, </w:t>
      </w:r>
      <w:proofErr w:type="spellStart"/>
      <w:r w:rsidRPr="00244B91">
        <w:t>Brandeau</w:t>
      </w:r>
      <w:proofErr w:type="spellEnd"/>
      <w:r w:rsidRPr="00244B91">
        <w:t xml:space="preserve"> ML. HIV transmission and the cost-effectiveness of methadone maintenance. Am J Public Health. 2000; 90(7):1100–1111. [PubMed: 10897189]</w:t>
      </w:r>
    </w:p>
    <w:p w14:paraId="31334622" w14:textId="77777777" w:rsidR="00B91CDB" w:rsidRPr="00C00335" w:rsidRDefault="00B91CDB" w:rsidP="00FB4FDA">
      <w:pPr>
        <w:pStyle w:val="biblio"/>
      </w:pPr>
    </w:p>
    <w:p w14:paraId="171653C1" w14:textId="77777777" w:rsidR="00B91CDB" w:rsidRPr="00C00335" w:rsidRDefault="00B91CDB" w:rsidP="00FB4FDA">
      <w:pPr>
        <w:pStyle w:val="biblio"/>
        <w:sectPr w:rsidR="00B91CDB" w:rsidRPr="00C00335" w:rsidSect="00EA6FDC">
          <w:headerReference w:type="default" r:id="rId146"/>
          <w:footerReference w:type="even" r:id="rId147"/>
          <w:footerReference w:type="default" r:id="rId148"/>
          <w:footerReference w:type="first" r:id="rId149"/>
          <w:type w:val="oddPage"/>
          <w:pgSz w:w="12240" w:h="15840" w:code="1"/>
          <w:pgMar w:top="1440" w:right="1440" w:bottom="1440" w:left="1440" w:header="720" w:footer="720" w:gutter="0"/>
          <w:pgNumType w:start="1"/>
          <w:cols w:space="720"/>
          <w:titlePg/>
          <w:docGrid w:linePitch="360"/>
        </w:sectPr>
      </w:pPr>
    </w:p>
    <w:p w14:paraId="4E97DEF1" w14:textId="77777777" w:rsidR="00B91CDB" w:rsidRPr="00C00335" w:rsidRDefault="00B91CDB" w:rsidP="00B91CDB">
      <w:pPr>
        <w:pStyle w:val="AppHeading1"/>
      </w:pPr>
      <w:bookmarkStart w:id="176" w:name="_Toc438565047"/>
      <w:bookmarkStart w:id="177" w:name="_Toc96761280"/>
      <w:bookmarkStart w:id="178" w:name="_Toc97010865"/>
      <w:r w:rsidRPr="00C00335">
        <w:lastRenderedPageBreak/>
        <w:t>Appendix A:</w:t>
      </w:r>
      <w:r w:rsidRPr="00C00335">
        <w:br/>
        <w:t>Definitions</w:t>
      </w:r>
      <w:bookmarkEnd w:id="176"/>
    </w:p>
    <w:p w14:paraId="3350967F" w14:textId="77777777" w:rsidR="00B91CDB" w:rsidRPr="00C00335" w:rsidRDefault="00B91CDB" w:rsidP="00B91CDB">
      <w:pPr>
        <w:pStyle w:val="BodyText"/>
      </w:pPr>
    </w:p>
    <w:bookmarkEnd w:id="177"/>
    <w:bookmarkEnd w:id="178"/>
    <w:p w14:paraId="35AA62E6" w14:textId="77777777" w:rsidR="00467D83" w:rsidRPr="00C00335" w:rsidRDefault="00467D83" w:rsidP="00F50352">
      <w:pPr>
        <w:pStyle w:val="AppHeading1"/>
        <w:sectPr w:rsidR="00467D83" w:rsidRPr="00C00335" w:rsidSect="00B91CDB">
          <w:headerReference w:type="default" r:id="rId150"/>
          <w:footerReference w:type="even" r:id="rId151"/>
          <w:footerReference w:type="default" r:id="rId152"/>
          <w:footerReference w:type="first" r:id="rId153"/>
          <w:endnotePr>
            <w:numFmt w:val="decimal"/>
          </w:endnotePr>
          <w:pgSz w:w="12240" w:h="15840"/>
          <w:pgMar w:top="1440" w:right="1296" w:bottom="1440" w:left="1296" w:header="720" w:footer="720" w:gutter="0"/>
          <w:pgNumType w:start="1"/>
          <w:cols w:space="720"/>
          <w:titlePg/>
          <w:docGrid w:linePitch="360"/>
        </w:sectPr>
      </w:pPr>
    </w:p>
    <w:p w14:paraId="64A0E672" w14:textId="60FEF46E" w:rsidR="00D74FFB" w:rsidRPr="00C00335" w:rsidRDefault="00D74FFB" w:rsidP="00C61197">
      <w:pPr>
        <w:pStyle w:val="TableTitle"/>
      </w:pPr>
      <w:bookmarkStart w:id="179" w:name="_Toc89257622"/>
      <w:r w:rsidRPr="00C00335">
        <w:lastRenderedPageBreak/>
        <w:t xml:space="preserve">Table </w:t>
      </w:r>
      <w:r w:rsidR="00052E04" w:rsidRPr="00C00335">
        <w:t>A.</w:t>
      </w:r>
      <w:r w:rsidRPr="00C00335">
        <w:t>1.</w:t>
      </w:r>
      <w:r w:rsidRPr="00C00335">
        <w:tab/>
        <w:t>Definitions of Symbols Applied in This Document</w:t>
      </w:r>
      <w:bookmarkEnd w:id="179"/>
    </w:p>
    <w:tbl>
      <w:tblPr>
        <w:tblW w:w="5000"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970"/>
        <w:gridCol w:w="10990"/>
      </w:tblGrid>
      <w:tr w:rsidR="00F50352" w:rsidRPr="00C00335" w14:paraId="6BCB0F30" w14:textId="77777777" w:rsidTr="00D40CDC">
        <w:trPr>
          <w:cantSplit/>
          <w:tblHeader/>
        </w:trPr>
        <w:tc>
          <w:tcPr>
            <w:tcW w:w="760" w:type="pct"/>
            <w:tcBorders>
              <w:top w:val="single" w:sz="12" w:space="0" w:color="auto"/>
              <w:bottom w:val="single" w:sz="6" w:space="0" w:color="auto"/>
            </w:tcBorders>
            <w:shd w:val="clear" w:color="auto" w:fill="auto"/>
          </w:tcPr>
          <w:p w14:paraId="0BB59BE7" w14:textId="77777777" w:rsidR="00F50352" w:rsidRPr="00C00335" w:rsidRDefault="00F50352" w:rsidP="00D40CDC">
            <w:pPr>
              <w:pStyle w:val="TableHeaders"/>
              <w:rPr>
                <w:sz w:val="20"/>
              </w:rPr>
            </w:pPr>
            <w:r w:rsidRPr="00C00335">
              <w:rPr>
                <w:sz w:val="20"/>
              </w:rPr>
              <w:t>Symbol</w:t>
            </w:r>
          </w:p>
        </w:tc>
        <w:tc>
          <w:tcPr>
            <w:tcW w:w="4240" w:type="pct"/>
            <w:tcBorders>
              <w:top w:val="single" w:sz="12" w:space="0" w:color="auto"/>
              <w:bottom w:val="single" w:sz="6" w:space="0" w:color="auto"/>
            </w:tcBorders>
            <w:shd w:val="clear" w:color="auto" w:fill="auto"/>
          </w:tcPr>
          <w:p w14:paraId="512AA364" w14:textId="77777777" w:rsidR="00F50352" w:rsidRPr="00C00335" w:rsidRDefault="00F50352" w:rsidP="00D40CDC">
            <w:pPr>
              <w:pStyle w:val="TableHeaders"/>
              <w:jc w:val="left"/>
              <w:rPr>
                <w:sz w:val="20"/>
              </w:rPr>
            </w:pPr>
            <w:r w:rsidRPr="00C00335">
              <w:rPr>
                <w:sz w:val="20"/>
              </w:rPr>
              <w:t>Definition</w:t>
            </w:r>
          </w:p>
        </w:tc>
      </w:tr>
      <w:tr w:rsidR="0072527B" w:rsidRPr="00C00335" w14:paraId="0C225438" w14:textId="77777777" w:rsidTr="00D40CDC">
        <w:trPr>
          <w:cantSplit/>
        </w:trPr>
        <w:tc>
          <w:tcPr>
            <w:tcW w:w="5000" w:type="pct"/>
            <w:gridSpan w:val="2"/>
            <w:tcBorders>
              <w:top w:val="single" w:sz="6" w:space="0" w:color="auto"/>
            </w:tcBorders>
            <w:shd w:val="clear" w:color="auto" w:fill="D9D9D9" w:themeFill="background1" w:themeFillShade="D9"/>
          </w:tcPr>
          <w:p w14:paraId="61AB8536" w14:textId="09C57F8D" w:rsidR="0072527B" w:rsidRPr="00C00335" w:rsidRDefault="0072527B" w:rsidP="00D40CDC">
            <w:pPr>
              <w:pStyle w:val="TableText"/>
              <w:rPr>
                <w:b/>
                <w:sz w:val="20"/>
              </w:rPr>
            </w:pPr>
            <w:r w:rsidRPr="00C00335">
              <w:rPr>
                <w:b/>
                <w:sz w:val="20"/>
              </w:rPr>
              <w:t>Latin Alphabet</w:t>
            </w:r>
          </w:p>
        </w:tc>
      </w:tr>
      <w:tr w:rsidR="0063235C" w:rsidRPr="00C00335" w14:paraId="68944CD3" w14:textId="77777777" w:rsidTr="00D40CDC">
        <w:trPr>
          <w:cantSplit/>
        </w:trPr>
        <w:tc>
          <w:tcPr>
            <w:tcW w:w="760" w:type="pct"/>
            <w:shd w:val="clear" w:color="auto" w:fill="auto"/>
          </w:tcPr>
          <w:p w14:paraId="4FEDD688" w14:textId="0AA0ECBF" w:rsidR="0063235C" w:rsidRPr="00C00335" w:rsidRDefault="0063235C" w:rsidP="00D40CDC">
            <w:pPr>
              <w:pStyle w:val="TableText"/>
              <w:jc w:val="center"/>
              <w:rPr>
                <w:b/>
                <w:sz w:val="20"/>
              </w:rPr>
            </w:pPr>
            <w:r w:rsidRPr="00C00335">
              <w:rPr>
                <w:i/>
                <w:sz w:val="20"/>
              </w:rPr>
              <w:t>A</w:t>
            </w:r>
          </w:p>
        </w:tc>
        <w:tc>
          <w:tcPr>
            <w:tcW w:w="4240" w:type="pct"/>
            <w:shd w:val="clear" w:color="auto" w:fill="auto"/>
          </w:tcPr>
          <w:p w14:paraId="724BFF76" w14:textId="5AA7118F" w:rsidR="0063235C" w:rsidRPr="00C00335" w:rsidRDefault="0063235C" w:rsidP="00D40CDC">
            <w:pPr>
              <w:pStyle w:val="TableText"/>
              <w:rPr>
                <w:b/>
                <w:iCs/>
                <w:sz w:val="20"/>
              </w:rPr>
            </w:pPr>
            <w:r w:rsidRPr="00C00335">
              <w:rPr>
                <w:sz w:val="20"/>
              </w:rPr>
              <w:t>Cumulative total costs over the time horizon</w:t>
            </w:r>
          </w:p>
        </w:tc>
      </w:tr>
      <w:tr w:rsidR="008B0BC7" w:rsidRPr="00C00335" w14:paraId="17066626" w14:textId="77777777" w:rsidTr="00D40CDC">
        <w:trPr>
          <w:cantSplit/>
        </w:trPr>
        <w:tc>
          <w:tcPr>
            <w:tcW w:w="760" w:type="pct"/>
            <w:shd w:val="clear" w:color="auto" w:fill="auto"/>
          </w:tcPr>
          <w:p w14:paraId="5DBF9971" w14:textId="6B361CA1" w:rsidR="008B0BC7" w:rsidRPr="00C00335" w:rsidRDefault="00747E9D" w:rsidP="00D40CDC">
            <w:pPr>
              <w:pStyle w:val="TableText"/>
              <w:jc w:val="center"/>
              <w:rPr>
                <w:i/>
                <w:sz w:val="20"/>
              </w:rPr>
            </w:pPr>
            <m:oMathPara>
              <m:oMath>
                <m:sSub>
                  <m:sSubPr>
                    <m:ctrlPr>
                      <w:rPr>
                        <w:rFonts w:ascii="Cambria Math" w:hAnsi="Cambria Math"/>
                        <w:i/>
                        <w:sz w:val="20"/>
                      </w:rPr>
                    </m:ctrlPr>
                  </m:sSubPr>
                  <m:e>
                    <m:r>
                      <w:rPr>
                        <w:rFonts w:ascii="Cambria Math" w:hAnsi="Cambria Math"/>
                        <w:sz w:val="20"/>
                      </w:rPr>
                      <m:t>a</m:t>
                    </m:r>
                  </m:e>
                  <m:sub>
                    <m:r>
                      <w:rPr>
                        <w:rFonts w:ascii="Cambria Math" w:hAnsi="Cambria Math"/>
                        <w:sz w:val="20"/>
                      </w:rPr>
                      <m:t>p1,p2</m:t>
                    </m:r>
                  </m:sub>
                </m:sSub>
              </m:oMath>
            </m:oMathPara>
          </w:p>
        </w:tc>
        <w:tc>
          <w:tcPr>
            <w:tcW w:w="4240" w:type="pct"/>
            <w:shd w:val="clear" w:color="auto" w:fill="auto"/>
          </w:tcPr>
          <w:p w14:paraId="1A6E5D85" w14:textId="13D07B7A" w:rsidR="008B0BC7" w:rsidRPr="00C00335" w:rsidRDefault="008B0BC7" w:rsidP="00DE4977">
            <w:pPr>
              <w:pStyle w:val="TableText"/>
              <w:rPr>
                <w:sz w:val="20"/>
              </w:rPr>
            </w:pPr>
            <w:r w:rsidRPr="00C00335">
              <w:rPr>
                <w:iCs/>
                <w:sz w:val="20"/>
              </w:rPr>
              <w:t>Percentage in subpopulation</w:t>
            </w:r>
            <w:r w:rsidRPr="00C00335">
              <w:rPr>
                <w:sz w:val="20"/>
              </w:rPr>
              <w:t xml:space="preserve"> </w:t>
            </w:r>
            <w:r w:rsidRPr="00C00335">
              <w:rPr>
                <w:iCs/>
                <w:sz w:val="20"/>
              </w:rPr>
              <w:t>p1</w:t>
            </w:r>
            <w:r w:rsidRPr="00C00335">
              <w:rPr>
                <w:sz w:val="20"/>
              </w:rPr>
              <w:t xml:space="preserve">’s </w:t>
            </w:r>
            <w:r w:rsidRPr="00C00335">
              <w:rPr>
                <w:iCs/>
                <w:sz w:val="20"/>
              </w:rPr>
              <w:t>partners that are in</w:t>
            </w:r>
            <w:r w:rsidR="00DE4977" w:rsidRPr="00C00335">
              <w:rPr>
                <w:iCs/>
                <w:sz w:val="20"/>
              </w:rPr>
              <w:t xml:space="preserve"> p2</w:t>
            </w:r>
            <w:r w:rsidRPr="00C00335">
              <w:rPr>
                <w:iCs/>
                <w:sz w:val="20"/>
              </w:rPr>
              <w:t>, as determined by the mixing matrix</w:t>
            </w:r>
          </w:p>
        </w:tc>
      </w:tr>
      <w:tr w:rsidR="00421CA0" w:rsidRPr="00C00335" w14:paraId="15410E35" w14:textId="77777777" w:rsidTr="00D40CDC">
        <w:trPr>
          <w:cantSplit/>
        </w:trPr>
        <w:tc>
          <w:tcPr>
            <w:tcW w:w="760" w:type="pct"/>
            <w:shd w:val="clear" w:color="auto" w:fill="auto"/>
          </w:tcPr>
          <w:p w14:paraId="117B3B71" w14:textId="526370E7" w:rsidR="00421CA0" w:rsidRPr="00C00335" w:rsidRDefault="00421CA0" w:rsidP="00D40CDC">
            <w:pPr>
              <w:pStyle w:val="TableText"/>
              <w:jc w:val="center"/>
              <w:rPr>
                <w:sz w:val="20"/>
              </w:rPr>
            </w:pPr>
            <w:proofErr w:type="spellStart"/>
            <w:r w:rsidRPr="00C00335">
              <w:rPr>
                <w:i/>
                <w:sz w:val="20"/>
              </w:rPr>
              <w:t>B</w:t>
            </w:r>
            <w:r w:rsidRPr="00C00335">
              <w:rPr>
                <w:i/>
                <w:sz w:val="20"/>
                <w:vertAlign w:val="superscript"/>
              </w:rPr>
              <w:t>c</w:t>
            </w:r>
            <w:proofErr w:type="spellEnd"/>
          </w:p>
        </w:tc>
        <w:tc>
          <w:tcPr>
            <w:tcW w:w="4240" w:type="pct"/>
            <w:shd w:val="clear" w:color="auto" w:fill="auto"/>
          </w:tcPr>
          <w:p w14:paraId="3FA41832" w14:textId="4BEF34A5" w:rsidR="00421CA0" w:rsidRPr="00C00335" w:rsidRDefault="00421CA0" w:rsidP="00D40CDC">
            <w:pPr>
              <w:pStyle w:val="TableText"/>
              <w:rPr>
                <w:sz w:val="20"/>
              </w:rPr>
            </w:pPr>
            <w:r w:rsidRPr="00C00335">
              <w:rPr>
                <w:sz w:val="20"/>
              </w:rPr>
              <w:t xml:space="preserve">Rate of HIV progression to the next disease stage from compartment </w:t>
            </w:r>
            <w:r w:rsidRPr="00C00335">
              <w:rPr>
                <w:i/>
                <w:sz w:val="20"/>
              </w:rPr>
              <w:t xml:space="preserve">c, </w:t>
            </w:r>
            <w:r w:rsidRPr="00C00335">
              <w:rPr>
                <w:sz w:val="20"/>
              </w:rPr>
              <w:t>if VLS; applies to individuals with HIV, CD4 ≥ 200, and VLS, (</w:t>
            </w:r>
            <w:r w:rsidRPr="00C00335">
              <w:rPr>
                <w:i/>
                <w:sz w:val="20"/>
              </w:rPr>
              <w:t>c</w:t>
            </w:r>
            <w:r w:rsidRPr="00C00335">
              <w:rPr>
                <w:sz w:val="20"/>
              </w:rPr>
              <w:t xml:space="preserve"> = 10, 15, 20) only</w:t>
            </w:r>
          </w:p>
        </w:tc>
      </w:tr>
      <w:tr w:rsidR="00471793" w:rsidRPr="00C00335" w14:paraId="09716EBE" w14:textId="77777777" w:rsidTr="00D40CDC">
        <w:trPr>
          <w:cantSplit/>
        </w:trPr>
        <w:tc>
          <w:tcPr>
            <w:tcW w:w="760" w:type="pct"/>
            <w:shd w:val="clear" w:color="auto" w:fill="auto"/>
          </w:tcPr>
          <w:p w14:paraId="465EEA0D" w14:textId="7A3BD249" w:rsidR="00471793" w:rsidRPr="006F5064" w:rsidRDefault="00471793" w:rsidP="00D40CDC">
            <w:pPr>
              <w:pStyle w:val="TableText"/>
              <w:jc w:val="center"/>
              <w:rPr>
                <w:i/>
                <w:sz w:val="20"/>
              </w:rPr>
            </w:pPr>
            <w:r w:rsidRPr="006F5064">
              <w:rPr>
                <w:rFonts w:asciiTheme="minorHAnsi" w:hAnsiTheme="minorHAnsi" w:cstheme="minorHAnsi"/>
                <w:sz w:val="22"/>
              </w:rPr>
              <w:t>Ḃ</w:t>
            </w:r>
            <w:r w:rsidR="00464450">
              <w:rPr>
                <w:rFonts w:asciiTheme="minorHAnsi" w:hAnsiTheme="minorHAnsi" w:cstheme="minorHAnsi"/>
                <w:sz w:val="22"/>
              </w:rPr>
              <w:t>(t)</w:t>
            </w:r>
          </w:p>
        </w:tc>
        <w:tc>
          <w:tcPr>
            <w:tcW w:w="4240" w:type="pct"/>
            <w:shd w:val="clear" w:color="auto" w:fill="auto"/>
          </w:tcPr>
          <w:p w14:paraId="4245C3B2" w14:textId="63FF456F" w:rsidR="00471793" w:rsidRPr="006F5064" w:rsidRDefault="00471793" w:rsidP="00D40CDC">
            <w:pPr>
              <w:pStyle w:val="TableText"/>
              <w:rPr>
                <w:sz w:val="20"/>
              </w:rPr>
            </w:pPr>
            <w:r w:rsidRPr="006F5064">
              <w:rPr>
                <w:sz w:val="20"/>
              </w:rPr>
              <w:t xml:space="preserve">Annual budget for implementing interventions </w:t>
            </w:r>
          </w:p>
        </w:tc>
      </w:tr>
      <w:tr w:rsidR="00421CA0" w:rsidRPr="00C00335" w14:paraId="19456733" w14:textId="77777777" w:rsidTr="00D40CDC">
        <w:trPr>
          <w:cantSplit/>
        </w:trPr>
        <w:tc>
          <w:tcPr>
            <w:tcW w:w="760" w:type="pct"/>
            <w:shd w:val="clear" w:color="auto" w:fill="auto"/>
          </w:tcPr>
          <w:p w14:paraId="618AB26E" w14:textId="01F11A60" w:rsidR="00421CA0" w:rsidRPr="00C00335" w:rsidRDefault="00421CA0" w:rsidP="00D40CDC">
            <w:pPr>
              <w:pStyle w:val="TableText"/>
              <w:jc w:val="center"/>
              <w:rPr>
                <w:i/>
                <w:sz w:val="20"/>
              </w:rPr>
            </w:pPr>
            <w:r w:rsidRPr="00C00335">
              <w:rPr>
                <w:i/>
                <w:iCs/>
                <w:sz w:val="20"/>
              </w:rPr>
              <w:t>b</w:t>
            </w:r>
            <w:r w:rsidRPr="00C00335">
              <w:rPr>
                <w:i/>
                <w:iCs/>
                <w:sz w:val="20"/>
                <w:vertAlign w:val="subscript"/>
              </w:rPr>
              <w:t>p1,p2,z</w:t>
            </w:r>
          </w:p>
        </w:tc>
        <w:tc>
          <w:tcPr>
            <w:tcW w:w="4240" w:type="pct"/>
            <w:shd w:val="clear" w:color="auto" w:fill="auto"/>
          </w:tcPr>
          <w:p w14:paraId="20EC0340" w14:textId="5D375245" w:rsidR="00421CA0" w:rsidRPr="00C00335" w:rsidRDefault="00421CA0" w:rsidP="00D40CDC">
            <w:pPr>
              <w:pStyle w:val="TableText"/>
              <w:rPr>
                <w:sz w:val="20"/>
              </w:rPr>
            </w:pPr>
            <w:r w:rsidRPr="00C00335">
              <w:rPr>
                <w:sz w:val="20"/>
              </w:rPr>
              <w:t>Percentage reduction in per-</w:t>
            </w:r>
            <w:proofErr w:type="spellStart"/>
            <w:r w:rsidRPr="00C00335">
              <w:rPr>
                <w:sz w:val="20"/>
              </w:rPr>
              <w:t>insertive</w:t>
            </w:r>
            <w:proofErr w:type="spellEnd"/>
            <w:r w:rsidRPr="00C00335">
              <w:rPr>
                <w:sz w:val="20"/>
              </w:rPr>
              <w:t xml:space="preserve"> </w:t>
            </w:r>
            <w:r w:rsidR="00D10FEF" w:rsidRPr="00C00335">
              <w:rPr>
                <w:sz w:val="20"/>
              </w:rPr>
              <w:t>sex act</w:t>
            </w:r>
            <w:r w:rsidRPr="00C00335">
              <w:rPr>
                <w:sz w:val="20"/>
              </w:rPr>
              <w:t xml:space="preserve"> transmission probability from an act of type </w:t>
            </w:r>
            <w:r w:rsidRPr="00C00335">
              <w:rPr>
                <w:iCs/>
                <w:sz w:val="20"/>
              </w:rPr>
              <w:t>z</w:t>
            </w:r>
            <w:r w:rsidRPr="00C00335">
              <w:rPr>
                <w:sz w:val="20"/>
              </w:rPr>
              <w:t xml:space="preserve"> due to circumcision for an HIV-uninfected individual in subpopulation </w:t>
            </w:r>
            <w:r w:rsidRPr="00C00335">
              <w:rPr>
                <w:i/>
                <w:sz w:val="20"/>
              </w:rPr>
              <w:t>p1</w:t>
            </w:r>
            <w:r w:rsidRPr="00C00335">
              <w:rPr>
                <w:sz w:val="20"/>
              </w:rPr>
              <w:t xml:space="preserve"> with an HIV-infected partner in subpopulation </w:t>
            </w:r>
            <w:r w:rsidRPr="00C00335">
              <w:rPr>
                <w:i/>
                <w:sz w:val="20"/>
              </w:rPr>
              <w:t>p2</w:t>
            </w:r>
          </w:p>
        </w:tc>
      </w:tr>
      <w:tr w:rsidR="00421CA0" w:rsidRPr="00C00335" w14:paraId="596FDBCB" w14:textId="77777777" w:rsidTr="00D40CDC">
        <w:trPr>
          <w:cantSplit/>
        </w:trPr>
        <w:tc>
          <w:tcPr>
            <w:tcW w:w="760" w:type="pct"/>
            <w:shd w:val="clear" w:color="auto" w:fill="auto"/>
          </w:tcPr>
          <w:p w14:paraId="5269360F" w14:textId="64D1EBEE" w:rsidR="00421CA0" w:rsidRPr="00C00335" w:rsidRDefault="00421CA0" w:rsidP="00D40CDC">
            <w:pPr>
              <w:pStyle w:val="TableText"/>
              <w:jc w:val="center"/>
              <w:rPr>
                <w:sz w:val="20"/>
              </w:rPr>
            </w:pPr>
            <w:r w:rsidRPr="00C00335">
              <w:rPr>
                <w:i/>
                <w:sz w:val="20"/>
              </w:rPr>
              <w:t>D</w:t>
            </w:r>
          </w:p>
        </w:tc>
        <w:tc>
          <w:tcPr>
            <w:tcW w:w="4240" w:type="pct"/>
            <w:shd w:val="clear" w:color="auto" w:fill="auto"/>
          </w:tcPr>
          <w:p w14:paraId="294BBBC9" w14:textId="64550551" w:rsidR="00421CA0" w:rsidRPr="00C00335" w:rsidRDefault="00421CA0" w:rsidP="00D40CDC">
            <w:pPr>
              <w:pStyle w:val="TableText"/>
              <w:rPr>
                <w:sz w:val="20"/>
              </w:rPr>
            </w:pPr>
            <w:r w:rsidRPr="00C00335">
              <w:rPr>
                <w:sz w:val="20"/>
              </w:rPr>
              <w:t>Cumulative treatment and care costs over the time horizon</w:t>
            </w:r>
          </w:p>
        </w:tc>
      </w:tr>
      <w:tr w:rsidR="00421CA0" w:rsidRPr="00C00335" w14:paraId="59D63240" w14:textId="77777777" w:rsidTr="00D40CDC">
        <w:trPr>
          <w:cantSplit/>
        </w:trPr>
        <w:tc>
          <w:tcPr>
            <w:tcW w:w="760" w:type="pct"/>
            <w:shd w:val="clear" w:color="auto" w:fill="auto"/>
          </w:tcPr>
          <w:p w14:paraId="334FE96B" w14:textId="2CB9D7EF" w:rsidR="00421CA0" w:rsidRPr="00C00335" w:rsidRDefault="00421CA0" w:rsidP="00D40CDC">
            <w:pPr>
              <w:pStyle w:val="TableText"/>
              <w:jc w:val="center"/>
              <w:rPr>
                <w:sz w:val="20"/>
              </w:rPr>
            </w:pPr>
            <w:proofErr w:type="spellStart"/>
            <w:r w:rsidRPr="00C00335">
              <w:rPr>
                <w:i/>
                <w:iCs/>
                <w:sz w:val="20"/>
              </w:rPr>
              <w:t>d</w:t>
            </w:r>
            <w:r w:rsidRPr="00C00335">
              <w:rPr>
                <w:i/>
                <w:iCs/>
                <w:sz w:val="20"/>
                <w:vertAlign w:val="subscript"/>
              </w:rPr>
              <w:t>z</w:t>
            </w:r>
            <w:proofErr w:type="spellEnd"/>
          </w:p>
        </w:tc>
        <w:tc>
          <w:tcPr>
            <w:tcW w:w="4240" w:type="pct"/>
            <w:shd w:val="clear" w:color="auto" w:fill="auto"/>
          </w:tcPr>
          <w:p w14:paraId="1BBA6C37" w14:textId="7986ACD6" w:rsidR="00421CA0" w:rsidRPr="00C00335" w:rsidRDefault="00421CA0" w:rsidP="00D40CDC">
            <w:pPr>
              <w:pStyle w:val="TableText"/>
              <w:rPr>
                <w:sz w:val="20"/>
              </w:rPr>
            </w:pPr>
            <w:r w:rsidRPr="00C00335">
              <w:rPr>
                <w:sz w:val="20"/>
              </w:rPr>
              <w:t>Percentage reduction in per-</w:t>
            </w:r>
            <w:r w:rsidR="00D10FEF" w:rsidRPr="00C00335">
              <w:rPr>
                <w:sz w:val="20"/>
              </w:rPr>
              <w:t>sex-</w:t>
            </w:r>
            <w:r w:rsidRPr="00C00335">
              <w:rPr>
                <w:sz w:val="20"/>
              </w:rPr>
              <w:t xml:space="preserve">act transmission probability from an act of type </w:t>
            </w:r>
            <w:r w:rsidRPr="00C00335">
              <w:rPr>
                <w:iCs/>
                <w:sz w:val="20"/>
              </w:rPr>
              <w:t>z</w:t>
            </w:r>
            <w:r w:rsidRPr="00C00335">
              <w:rPr>
                <w:sz w:val="20"/>
              </w:rPr>
              <w:t xml:space="preserve"> due to condom use</w:t>
            </w:r>
          </w:p>
        </w:tc>
      </w:tr>
      <w:tr w:rsidR="00421CA0" w:rsidRPr="00C00335" w14:paraId="316293DD" w14:textId="77777777" w:rsidTr="00D40CDC">
        <w:trPr>
          <w:cantSplit/>
        </w:trPr>
        <w:tc>
          <w:tcPr>
            <w:tcW w:w="760" w:type="pct"/>
            <w:shd w:val="clear" w:color="auto" w:fill="auto"/>
          </w:tcPr>
          <w:p w14:paraId="0952AAE7" w14:textId="0C0FEFFA" w:rsidR="00421CA0" w:rsidRPr="00C00335" w:rsidRDefault="00421CA0" w:rsidP="00D40CDC">
            <w:pPr>
              <w:pStyle w:val="TableText"/>
              <w:jc w:val="center"/>
              <w:rPr>
                <w:sz w:val="20"/>
              </w:rPr>
            </w:pPr>
            <w:r w:rsidRPr="00C00335">
              <w:rPr>
                <w:i/>
                <w:iCs/>
                <w:sz w:val="20"/>
              </w:rPr>
              <w:t>E</w:t>
            </w:r>
          </w:p>
        </w:tc>
        <w:tc>
          <w:tcPr>
            <w:tcW w:w="4240" w:type="pct"/>
            <w:shd w:val="clear" w:color="auto" w:fill="auto"/>
          </w:tcPr>
          <w:p w14:paraId="437317BD" w14:textId="05792092" w:rsidR="00421CA0" w:rsidRPr="00C00335" w:rsidRDefault="00421CA0" w:rsidP="00AA5501">
            <w:pPr>
              <w:pStyle w:val="TableText"/>
              <w:rPr>
                <w:sz w:val="20"/>
              </w:rPr>
            </w:pPr>
            <w:r w:rsidRPr="00C00335">
              <w:rPr>
                <w:sz w:val="20"/>
              </w:rPr>
              <w:t xml:space="preserve">Number of needles shared annually per needle-sharing partner by </w:t>
            </w:r>
            <w:r w:rsidR="005C4A38" w:rsidRPr="00C00335">
              <w:rPr>
                <w:sz w:val="20"/>
              </w:rPr>
              <w:t xml:space="preserve">a </w:t>
            </w:r>
            <w:r w:rsidR="00AA5501" w:rsidRPr="00C00335">
              <w:rPr>
                <w:sz w:val="20"/>
              </w:rPr>
              <w:t>person who injects drugs</w:t>
            </w:r>
            <w:r w:rsidRPr="00C00335">
              <w:rPr>
                <w:sz w:val="20"/>
              </w:rPr>
              <w:t xml:space="preserve"> </w:t>
            </w:r>
            <w:r w:rsidR="00712562" w:rsidRPr="00C00335">
              <w:rPr>
                <w:sz w:val="20"/>
              </w:rPr>
              <w:t xml:space="preserve">(PWID) </w:t>
            </w:r>
            <w:r w:rsidRPr="00C00335">
              <w:rPr>
                <w:sz w:val="20"/>
              </w:rPr>
              <w:t>who has never been diagnosed with HIV</w:t>
            </w:r>
          </w:p>
        </w:tc>
      </w:tr>
      <w:tr w:rsidR="00421CA0" w:rsidRPr="00C00335" w14:paraId="15A5928F" w14:textId="77777777" w:rsidTr="00D40CDC">
        <w:trPr>
          <w:cantSplit/>
        </w:trPr>
        <w:tc>
          <w:tcPr>
            <w:tcW w:w="760" w:type="pct"/>
            <w:shd w:val="clear" w:color="auto" w:fill="auto"/>
          </w:tcPr>
          <w:p w14:paraId="2DCF55D6" w14:textId="34B0897E" w:rsidR="00421CA0" w:rsidRPr="00C00335" w:rsidRDefault="00945156" w:rsidP="00D40CDC">
            <w:pPr>
              <w:pStyle w:val="TableText"/>
              <w:jc w:val="center"/>
              <w:rPr>
                <w:sz w:val="20"/>
              </w:rPr>
            </w:pPr>
            <w:r w:rsidRPr="00C00335">
              <w:rPr>
                <w:position w:val="-14"/>
                <w:sz w:val="20"/>
              </w:rPr>
              <w:object w:dxaOrig="540" w:dyaOrig="400" w14:anchorId="7DFB81D3">
                <v:shape id="_x0000_i1077" type="#_x0000_t75" style="width:28.5pt;height:22.5pt" o:ole="">
                  <v:imagedata r:id="rId154" o:title=""/>
                </v:shape>
                <o:OLEObject Type="Embed" ProgID="Equation.3" ShapeID="_x0000_i1077" DrawAspect="Content" ObjectID="_1700043760" r:id="rId155"/>
              </w:object>
            </w:r>
          </w:p>
        </w:tc>
        <w:tc>
          <w:tcPr>
            <w:tcW w:w="4240" w:type="pct"/>
            <w:shd w:val="clear" w:color="auto" w:fill="auto"/>
          </w:tcPr>
          <w:p w14:paraId="061CB056" w14:textId="3AAEF620" w:rsidR="00421CA0" w:rsidRPr="00C00335" w:rsidRDefault="00421CA0" w:rsidP="00D40CDC">
            <w:pPr>
              <w:pStyle w:val="TableText"/>
              <w:rPr>
                <w:sz w:val="20"/>
              </w:rPr>
            </w:pPr>
            <w:r w:rsidRPr="00C00335">
              <w:rPr>
                <w:sz w:val="20"/>
              </w:rPr>
              <w:t xml:space="preserve">Rate of departure from HIV care if in care but not </w:t>
            </w:r>
            <w:r w:rsidR="000965E6" w:rsidRPr="00C00335">
              <w:rPr>
                <w:sz w:val="20"/>
              </w:rPr>
              <w:t>prescribed ART</w:t>
            </w:r>
            <w:r w:rsidRPr="00C00335">
              <w:rPr>
                <w:sz w:val="20"/>
              </w:rPr>
              <w:t xml:space="preserve">, by </w:t>
            </w:r>
            <w:r w:rsidRPr="00C00335">
              <w:rPr>
                <w:iCs/>
                <w:sz w:val="20"/>
              </w:rPr>
              <w:t xml:space="preserve">demographic subpopulation </w:t>
            </w:r>
            <w:proofErr w:type="spellStart"/>
            <w:r w:rsidRPr="00C00335">
              <w:rPr>
                <w:i/>
                <w:iCs/>
                <w:sz w:val="20"/>
              </w:rPr>
              <w:t>p</w:t>
            </w:r>
            <w:r w:rsidRPr="00C00335">
              <w:rPr>
                <w:sz w:val="20"/>
              </w:rPr>
              <w:t xml:space="preserve"> at</w:t>
            </w:r>
            <w:proofErr w:type="spellEnd"/>
            <w:r w:rsidRPr="00C00335">
              <w:rPr>
                <w:sz w:val="20"/>
              </w:rPr>
              <w:t xml:space="preserve"> time </w:t>
            </w:r>
            <w:r w:rsidRPr="00C00335">
              <w:rPr>
                <w:i/>
                <w:iCs/>
                <w:sz w:val="20"/>
              </w:rPr>
              <w:t>t</w:t>
            </w:r>
            <w:r w:rsidRPr="00C00335">
              <w:rPr>
                <w:sz w:val="20"/>
              </w:rPr>
              <w:t>; applies to (</w:t>
            </w:r>
            <w:r w:rsidRPr="00C00335">
              <w:rPr>
                <w:i/>
                <w:sz w:val="20"/>
              </w:rPr>
              <w:t>c</w:t>
            </w:r>
            <w:r w:rsidR="00E628BE" w:rsidRPr="00C00335">
              <w:rPr>
                <w:i/>
                <w:sz w:val="20"/>
              </w:rPr>
              <w:t> = </w:t>
            </w:r>
            <w:r w:rsidRPr="00C00335">
              <w:rPr>
                <w:sz w:val="20"/>
              </w:rPr>
              <w:t>5, 8, 13, 18, 23) only</w:t>
            </w:r>
          </w:p>
        </w:tc>
      </w:tr>
      <w:tr w:rsidR="008B0BC7" w:rsidRPr="00C00335" w14:paraId="4B5954AA" w14:textId="77777777" w:rsidTr="00D40CDC">
        <w:trPr>
          <w:cantSplit/>
        </w:trPr>
        <w:tc>
          <w:tcPr>
            <w:tcW w:w="760" w:type="pct"/>
            <w:shd w:val="clear" w:color="auto" w:fill="auto"/>
          </w:tcPr>
          <w:p w14:paraId="726F9ABF" w14:textId="06F4713D" w:rsidR="008B0BC7" w:rsidRPr="00C00335" w:rsidRDefault="008B0BC7" w:rsidP="00D40CDC">
            <w:pPr>
              <w:pStyle w:val="TableText"/>
              <w:jc w:val="center"/>
              <w:rPr>
                <w:i/>
                <w:sz w:val="20"/>
              </w:rPr>
            </w:pPr>
            <w:r w:rsidRPr="00C00335">
              <w:rPr>
                <w:i/>
                <w:sz w:val="20"/>
              </w:rPr>
              <w:t>F</w:t>
            </w:r>
          </w:p>
        </w:tc>
        <w:tc>
          <w:tcPr>
            <w:tcW w:w="4240" w:type="pct"/>
            <w:shd w:val="clear" w:color="auto" w:fill="auto"/>
          </w:tcPr>
          <w:p w14:paraId="3E9092B7" w14:textId="6AA8DD24" w:rsidR="008B0BC7" w:rsidRPr="00C00335" w:rsidRDefault="008B0BC7" w:rsidP="00D40CDC">
            <w:pPr>
              <w:pStyle w:val="TableText"/>
              <w:rPr>
                <w:sz w:val="20"/>
              </w:rPr>
            </w:pPr>
            <w:r w:rsidRPr="00C00335">
              <w:rPr>
                <w:sz w:val="20"/>
              </w:rPr>
              <w:t>Cumulative number of HIV infections over the time horizon</w:t>
            </w:r>
          </w:p>
        </w:tc>
      </w:tr>
      <w:tr w:rsidR="0010273D" w:rsidRPr="00C00335" w14:paraId="7D6B7A24" w14:textId="77777777" w:rsidTr="00D40CDC">
        <w:trPr>
          <w:cantSplit/>
        </w:trPr>
        <w:tc>
          <w:tcPr>
            <w:tcW w:w="760" w:type="pct"/>
            <w:shd w:val="clear" w:color="auto" w:fill="auto"/>
          </w:tcPr>
          <w:p w14:paraId="6BB0F949" w14:textId="721E0B53" w:rsidR="0010273D" w:rsidRPr="0010273D" w:rsidRDefault="0010273D" w:rsidP="0010273D">
            <w:pPr>
              <w:pStyle w:val="TableText"/>
              <w:jc w:val="center"/>
              <w:rPr>
                <w:i/>
                <w:sz w:val="20"/>
              </w:rPr>
            </w:pPr>
            <w:proofErr w:type="spellStart"/>
            <w:r w:rsidRPr="0010273D">
              <w:rPr>
                <w:rFonts w:asciiTheme="minorHAnsi" w:hAnsiTheme="minorHAnsi" w:cstheme="minorHAnsi"/>
                <w:sz w:val="22"/>
              </w:rPr>
              <w:t>Ḟ</w:t>
            </w:r>
            <w:r w:rsidRPr="0010273D">
              <w:rPr>
                <w:rFonts w:asciiTheme="minorHAnsi" w:hAnsiTheme="minorHAnsi" w:cstheme="minorHAnsi"/>
                <w:sz w:val="22"/>
                <w:vertAlign w:val="subscript"/>
              </w:rPr>
              <w:t>p</w:t>
            </w:r>
            <w:proofErr w:type="spellEnd"/>
            <w:r w:rsidRPr="0010273D">
              <w:rPr>
                <w:rFonts w:asciiTheme="minorHAnsi" w:hAnsiTheme="minorHAnsi" w:cstheme="minorHAnsi"/>
                <w:sz w:val="22"/>
              </w:rPr>
              <w:t>(</w:t>
            </w:r>
            <m:oMath>
              <m:sSubSup>
                <m:sSubSupPr>
                  <m:ctrlPr>
                    <w:rPr>
                      <w:rFonts w:ascii="Cambria Math" w:hAnsi="Cambria Math" w:cstheme="minorHAnsi"/>
                      <w:sz w:val="22"/>
                    </w:rPr>
                  </m:ctrlPr>
                </m:sSubSupPr>
                <m:e>
                  <m:r>
                    <m:rPr>
                      <m:sty m:val="p"/>
                    </m:rPr>
                    <w:rPr>
                      <w:rFonts w:ascii="Cambria Math" w:hAnsi="Cambria Math" w:cstheme="minorHAnsi"/>
                      <w:sz w:val="22"/>
                    </w:rPr>
                    <m:t>ṅ</m:t>
                  </m:r>
                </m:e>
                <m:sub>
                  <m:sSup>
                    <m:sSupPr>
                      <m:ctrlPr>
                        <w:rPr>
                          <w:rFonts w:ascii="Cambria Math" w:hAnsi="Cambria Math" w:cstheme="minorHAnsi"/>
                          <w:i/>
                          <w:sz w:val="22"/>
                        </w:rPr>
                      </m:ctrlPr>
                    </m:sSupPr>
                    <m:e>
                      <m:r>
                        <w:rPr>
                          <w:rFonts w:ascii="Cambria Math" w:hAnsi="Cambria Math" w:cstheme="minorHAnsi"/>
                          <w:sz w:val="22"/>
                        </w:rPr>
                        <m:t>j</m:t>
                      </m:r>
                    </m:e>
                    <m:sup>
                      <m:r>
                        <w:rPr>
                          <w:rFonts w:ascii="Cambria Math" w:hAnsi="Cambria Math" w:cstheme="minorHAnsi"/>
                          <w:sz w:val="22"/>
                        </w:rPr>
                        <m:t>*</m:t>
                      </m:r>
                    </m:sup>
                  </m:sSup>
                </m:sub>
                <m:sup>
                  <m:r>
                    <w:rPr>
                      <w:rFonts w:ascii="Cambria Math" w:hAnsi="Cambria Math" w:cstheme="minorHAnsi"/>
                      <w:sz w:val="22"/>
                    </w:rPr>
                    <m:t>q</m:t>
                  </m:r>
                </m:sup>
              </m:sSubSup>
            </m:oMath>
            <w:r w:rsidRPr="0010273D">
              <w:rPr>
                <w:rFonts w:asciiTheme="minorHAnsi" w:hAnsiTheme="minorHAnsi" w:cstheme="minorHAnsi"/>
                <w:sz w:val="22"/>
              </w:rPr>
              <w:t>,</w:t>
            </w:r>
            <w:r w:rsidRPr="0010273D">
              <w:rPr>
                <w:rFonts w:asciiTheme="minorHAnsi" w:hAnsiTheme="minorHAnsi" w:cstheme="minorHAnsi"/>
                <w:i/>
                <w:iCs/>
                <w:sz w:val="22"/>
              </w:rPr>
              <w:t>t</w:t>
            </w:r>
            <w:r w:rsidRPr="0010273D">
              <w:rPr>
                <w:rFonts w:asciiTheme="minorHAnsi" w:hAnsiTheme="minorHAnsi" w:cstheme="minorHAnsi"/>
                <w:sz w:val="22"/>
              </w:rPr>
              <w:t>)</w:t>
            </w:r>
          </w:p>
        </w:tc>
        <w:tc>
          <w:tcPr>
            <w:tcW w:w="4240" w:type="pct"/>
            <w:shd w:val="clear" w:color="auto" w:fill="auto"/>
          </w:tcPr>
          <w:p w14:paraId="7F5866C4" w14:textId="3B85BB9F" w:rsidR="0010273D" w:rsidRPr="0010273D" w:rsidRDefault="00A21814" w:rsidP="00A21814">
            <w:pPr>
              <w:pStyle w:val="Tabletext0"/>
              <w:spacing w:line="240" w:lineRule="auto"/>
              <w:rPr>
                <w:sz w:val="20"/>
              </w:rPr>
            </w:pPr>
            <w:r>
              <w:rPr>
                <w:rFonts w:ascii="Verdana" w:eastAsiaTheme="minorEastAsia" w:hAnsi="Verdana" w:cstheme="minorHAnsi"/>
                <w:sz w:val="20"/>
              </w:rPr>
              <w:t xml:space="preserve">When allocation-based progression is used, </w:t>
            </w:r>
            <w:r w:rsidR="00976E8B">
              <w:rPr>
                <w:rFonts w:eastAsiaTheme="minorEastAsia" w:cstheme="minorHAnsi"/>
              </w:rPr>
              <w:t>n</w:t>
            </w:r>
            <w:r w:rsidR="00976E8B" w:rsidRPr="00356846">
              <w:rPr>
                <w:rFonts w:eastAsiaTheme="minorEastAsia"/>
              </w:rPr>
              <w:t>umber of infections</w:t>
            </w:r>
            <w:r w:rsidR="00976E8B">
              <w:rPr>
                <w:rFonts w:eastAsiaTheme="minorEastAsia"/>
              </w:rPr>
              <w:t xml:space="preserve"> occurring</w:t>
            </w:r>
            <w:r w:rsidR="00976E8B" w:rsidRPr="00356846">
              <w:rPr>
                <w:rFonts w:eastAsiaTheme="minorEastAsia"/>
              </w:rPr>
              <w:t xml:space="preserve"> in subpopulation </w:t>
            </w:r>
            <w:r w:rsidR="00976E8B" w:rsidRPr="00542624">
              <w:rPr>
                <w:rFonts w:eastAsiaTheme="minorEastAsia"/>
                <w:i/>
                <w:iCs/>
              </w:rPr>
              <w:t>p</w:t>
            </w:r>
            <w:r w:rsidR="00976E8B" w:rsidRPr="00356846">
              <w:rPr>
                <w:rFonts w:eastAsiaTheme="minorEastAsia"/>
              </w:rPr>
              <w:t xml:space="preserve"> </w:t>
            </w:r>
            <w:r w:rsidR="00976E8B">
              <w:rPr>
                <w:rFonts w:eastAsiaTheme="minorEastAsia"/>
              </w:rPr>
              <w:t>over</w:t>
            </w:r>
            <w:r w:rsidR="00976E8B" w:rsidRPr="00356846">
              <w:rPr>
                <w:rFonts w:eastAsiaTheme="minorEastAsia"/>
              </w:rPr>
              <w:t xml:space="preserve"> time </w:t>
            </w:r>
            <w:r w:rsidR="00976E8B" w:rsidRPr="00542624">
              <w:rPr>
                <w:rFonts w:eastAsiaTheme="minorEastAsia"/>
                <w:i/>
                <w:iCs/>
              </w:rPr>
              <w:t xml:space="preserve">t </w:t>
            </w:r>
            <w:r w:rsidR="00976E8B">
              <w:rPr>
                <w:rFonts w:eastAsiaTheme="minorEastAsia"/>
              </w:rPr>
              <w:t xml:space="preserve">given the annual funding allocation </w:t>
            </w:r>
            <m:oMath>
              <m:sSubSup>
                <m:sSubSupPr>
                  <m:ctrlPr>
                    <w:rPr>
                      <w:rFonts w:ascii="Cambria Math" w:hAnsi="Cambria Math"/>
                    </w:rPr>
                  </m:ctrlPr>
                </m:sSubSupPr>
                <m:e>
                  <m:r>
                    <m:rPr>
                      <m:sty m:val="p"/>
                    </m:rPr>
                    <w:rPr>
                      <w:rFonts w:ascii="Cambria Math" w:hAnsi="Cambria Math"/>
                    </w:rPr>
                    <m:t>ṅ</m:t>
                  </m:r>
                </m:e>
                <m:sub>
                  <m:sSup>
                    <m:sSupPr>
                      <m:ctrlPr>
                        <w:rPr>
                          <w:rFonts w:ascii="Cambria Math" w:hAnsi="Cambria Math"/>
                        </w:rPr>
                      </m:ctrlPr>
                    </m:sSupPr>
                    <m:e>
                      <m:r>
                        <m:rPr>
                          <m:sty m:val="bi"/>
                        </m:rPr>
                        <w:rPr>
                          <w:rFonts w:ascii="Cambria Math" w:hAnsi="Cambria Math"/>
                        </w:rPr>
                        <m:t>j</m:t>
                      </m:r>
                    </m:e>
                    <m:sup>
                      <m:r>
                        <m:rPr>
                          <m:sty m:val="p"/>
                        </m:rPr>
                        <w:rPr>
                          <w:rFonts w:ascii="Cambria Math" w:hAnsi="Cambria Math"/>
                        </w:rPr>
                        <m:t>*</m:t>
                      </m:r>
                    </m:sup>
                  </m:sSup>
                </m:sub>
                <m:sup>
                  <m:r>
                    <m:rPr>
                      <m:sty m:val="bi"/>
                    </m:rPr>
                    <w:rPr>
                      <w:rFonts w:ascii="Cambria Math" w:hAnsi="Cambria Math"/>
                    </w:rPr>
                    <m:t>q</m:t>
                  </m:r>
                </m:sup>
              </m:sSubSup>
            </m:oMath>
          </w:p>
        </w:tc>
      </w:tr>
      <w:tr w:rsidR="0010273D" w:rsidRPr="00C00335" w14:paraId="3FE485CF" w14:textId="77777777" w:rsidTr="00D40CDC">
        <w:trPr>
          <w:cantSplit/>
        </w:trPr>
        <w:tc>
          <w:tcPr>
            <w:tcW w:w="760" w:type="pct"/>
            <w:shd w:val="clear" w:color="auto" w:fill="auto"/>
          </w:tcPr>
          <w:p w14:paraId="6895360F" w14:textId="176136FC" w:rsidR="0010273D" w:rsidRPr="00E832D1" w:rsidRDefault="0010273D" w:rsidP="0010273D">
            <w:pPr>
              <w:pStyle w:val="TableText"/>
              <w:jc w:val="center"/>
              <w:rPr>
                <w:i/>
                <w:sz w:val="20"/>
              </w:rPr>
            </w:pPr>
            <w:proofErr w:type="spellStart"/>
            <w:r w:rsidRPr="00E832D1">
              <w:rPr>
                <w:i/>
                <w:sz w:val="20"/>
              </w:rPr>
              <w:t>f</w:t>
            </w:r>
            <w:r w:rsidRPr="00E832D1">
              <w:rPr>
                <w:i/>
                <w:sz w:val="20"/>
                <w:vertAlign w:val="subscript"/>
              </w:rPr>
              <w:t>p</w:t>
            </w:r>
            <w:proofErr w:type="spellEnd"/>
          </w:p>
        </w:tc>
        <w:tc>
          <w:tcPr>
            <w:tcW w:w="4240" w:type="pct"/>
            <w:shd w:val="clear" w:color="auto" w:fill="auto"/>
          </w:tcPr>
          <w:p w14:paraId="3F47C886" w14:textId="5233AEFC" w:rsidR="0010273D" w:rsidRPr="00E832D1" w:rsidRDefault="0010273D" w:rsidP="0010273D">
            <w:pPr>
              <w:pStyle w:val="TableText"/>
              <w:rPr>
                <w:sz w:val="20"/>
              </w:rPr>
            </w:pPr>
            <w:r w:rsidRPr="00E832D1">
              <w:t>Relative adjustment to rate of aging into the youngest age group of the model for all p in the youngest age group (j = 1 if the youngest age group is 13–17 and j = 2 if youngest age group is 18 to 24)</w:t>
            </w:r>
          </w:p>
        </w:tc>
      </w:tr>
      <w:tr w:rsidR="0010273D" w:rsidRPr="00C00335" w14:paraId="49F42AA0" w14:textId="77777777" w:rsidTr="00D40CDC">
        <w:trPr>
          <w:cantSplit/>
        </w:trPr>
        <w:tc>
          <w:tcPr>
            <w:tcW w:w="760" w:type="pct"/>
            <w:shd w:val="clear" w:color="auto" w:fill="auto"/>
          </w:tcPr>
          <w:p w14:paraId="3E084F77" w14:textId="77D43338" w:rsidR="0010273D" w:rsidRPr="00C00335" w:rsidRDefault="0010273D" w:rsidP="0010273D">
            <w:pPr>
              <w:pStyle w:val="TableText"/>
              <w:jc w:val="center"/>
              <w:rPr>
                <w:i/>
                <w:sz w:val="20"/>
              </w:rPr>
            </w:pPr>
            <w:proofErr w:type="spellStart"/>
            <w:r w:rsidRPr="00C00335">
              <w:rPr>
                <w:i/>
                <w:sz w:val="20"/>
              </w:rPr>
              <w:t>G</w:t>
            </w:r>
            <w:r w:rsidRPr="00C00335">
              <w:rPr>
                <w:i/>
                <w:iCs/>
                <w:sz w:val="20"/>
                <w:vertAlign w:val="subscript"/>
              </w:rPr>
              <w:t>z,p,c</w:t>
            </w:r>
            <w:proofErr w:type="spellEnd"/>
          </w:p>
        </w:tc>
        <w:tc>
          <w:tcPr>
            <w:tcW w:w="4240" w:type="pct"/>
            <w:shd w:val="clear" w:color="auto" w:fill="auto"/>
          </w:tcPr>
          <w:p w14:paraId="5FDD5AE0" w14:textId="3D2B80BA" w:rsidR="0010273D" w:rsidRPr="00C00335" w:rsidRDefault="0010273D" w:rsidP="0010273D">
            <w:pPr>
              <w:pStyle w:val="TableText"/>
              <w:rPr>
                <w:sz w:val="20"/>
              </w:rPr>
            </w:pPr>
            <w:r w:rsidRPr="00C00335">
              <w:rPr>
                <w:sz w:val="20"/>
              </w:rPr>
              <w:t xml:space="preserve">Percentage of sex acts of risk type z protected with a condom, given partner in compartment </w:t>
            </w:r>
            <w:r w:rsidRPr="00C00335">
              <w:rPr>
                <w:i/>
                <w:iCs/>
                <w:sz w:val="20"/>
              </w:rPr>
              <w:t>c</w:t>
            </w:r>
            <w:r w:rsidRPr="00C00335">
              <w:rPr>
                <w:sz w:val="20"/>
              </w:rPr>
              <w:t xml:space="preserve">, by subpopulation </w:t>
            </w:r>
            <w:r w:rsidRPr="00C00335">
              <w:rPr>
                <w:i/>
                <w:iCs/>
                <w:sz w:val="20"/>
              </w:rPr>
              <w:t>p</w:t>
            </w:r>
          </w:p>
        </w:tc>
      </w:tr>
      <w:tr w:rsidR="0010273D" w:rsidRPr="00C00335" w14:paraId="466A1D3B" w14:textId="77777777" w:rsidTr="00F46463">
        <w:trPr>
          <w:cantSplit/>
        </w:trPr>
        <w:tc>
          <w:tcPr>
            <w:tcW w:w="760" w:type="pct"/>
            <w:tcBorders>
              <w:bottom w:val="single" w:sz="4" w:space="0" w:color="808080" w:themeColor="background1" w:themeShade="80"/>
            </w:tcBorders>
            <w:shd w:val="clear" w:color="auto" w:fill="auto"/>
          </w:tcPr>
          <w:p w14:paraId="0BF43E16" w14:textId="05F87612" w:rsidR="0010273D" w:rsidRPr="00C00335" w:rsidRDefault="00747E9D" w:rsidP="0010273D">
            <w:pPr>
              <w:pStyle w:val="TableText"/>
              <w:jc w:val="center"/>
              <w:rPr>
                <w:sz w:val="20"/>
              </w:rPr>
            </w:pPr>
            <m:oMathPara>
              <m:oMath>
                <m:sSubSup>
                  <m:sSubSupPr>
                    <m:ctrlPr>
                      <w:rPr>
                        <w:rFonts w:ascii="Cambria Math" w:hAnsi="Cambria Math"/>
                        <w:i/>
                        <w:sz w:val="20"/>
                      </w:rPr>
                    </m:ctrlPr>
                  </m:sSubSupPr>
                  <m:e>
                    <m:r>
                      <w:rPr>
                        <w:rFonts w:ascii="Cambria Math"/>
                      </w:rPr>
                      <m:t>H</m:t>
                    </m:r>
                  </m:e>
                  <m:sub>
                    <m:r>
                      <w:rPr>
                        <w:rFonts w:ascii="Cambria Math"/>
                      </w:rPr>
                      <m:t>p</m:t>
                    </m:r>
                  </m:sub>
                  <m:sup>
                    <m:r>
                      <w:rPr>
                        <w:rFonts w:ascii="Cambria Math"/>
                      </w:rPr>
                      <m:t>c</m:t>
                    </m:r>
                  </m:sup>
                </m:sSubSup>
              </m:oMath>
            </m:oMathPara>
          </w:p>
        </w:tc>
        <w:tc>
          <w:tcPr>
            <w:tcW w:w="4240" w:type="pct"/>
            <w:tcBorders>
              <w:bottom w:val="single" w:sz="4" w:space="0" w:color="808080" w:themeColor="background1" w:themeShade="80"/>
            </w:tcBorders>
            <w:shd w:val="clear" w:color="auto" w:fill="auto"/>
          </w:tcPr>
          <w:p w14:paraId="33FE8612" w14:textId="04034D69" w:rsidR="0010273D" w:rsidRPr="00C00335" w:rsidRDefault="0010273D" w:rsidP="0010273D">
            <w:pPr>
              <w:pStyle w:val="TableText"/>
              <w:rPr>
                <w:sz w:val="20"/>
              </w:rPr>
            </w:pPr>
            <w:r w:rsidRPr="00C00335">
              <w:rPr>
                <w:sz w:val="20"/>
              </w:rPr>
              <w:t xml:space="preserve">Rate of HIV progression to the next disease stage from compartment </w:t>
            </w:r>
            <w:r w:rsidRPr="00C00335">
              <w:rPr>
                <w:i/>
                <w:sz w:val="20"/>
              </w:rPr>
              <w:t xml:space="preserve">c, </w:t>
            </w:r>
            <w:r w:rsidRPr="00C00335">
              <w:rPr>
                <w:sz w:val="20"/>
              </w:rPr>
              <w:t>if prescribed ART, not VLS</w:t>
            </w:r>
            <w:r>
              <w:rPr>
                <w:sz w:val="20"/>
              </w:rPr>
              <w:t>, by subpopulation p</w:t>
            </w:r>
            <w:r w:rsidRPr="00C00335">
              <w:rPr>
                <w:sz w:val="20"/>
              </w:rPr>
              <w:t>; applies to individuals with HIV, CD4 ≥ 200, and prescribed ART, not VLS (</w:t>
            </w:r>
            <w:r w:rsidRPr="00C00335">
              <w:rPr>
                <w:i/>
                <w:sz w:val="20"/>
              </w:rPr>
              <w:t>c</w:t>
            </w:r>
            <w:r w:rsidRPr="00C00335">
              <w:rPr>
                <w:sz w:val="20"/>
              </w:rPr>
              <w:t> = 9, 14, 19) only</w:t>
            </w:r>
          </w:p>
        </w:tc>
      </w:tr>
    </w:tbl>
    <w:p w14:paraId="25B83E4C" w14:textId="4176ED04" w:rsidR="00D40CDC" w:rsidRPr="00C00335" w:rsidRDefault="00D40CDC" w:rsidP="00D40CDC">
      <w:pPr>
        <w:pStyle w:val="Tablecont"/>
        <w:rPr>
          <w:sz w:val="20"/>
        </w:rPr>
      </w:pPr>
      <w:r w:rsidRPr="00C00335">
        <w:rPr>
          <w:sz w:val="20"/>
        </w:rPr>
        <w:t>(continued)</w:t>
      </w:r>
    </w:p>
    <w:p w14:paraId="70FE893B" w14:textId="2B6128A5" w:rsidR="00D40CDC" w:rsidRPr="00C00335" w:rsidRDefault="00D40CDC" w:rsidP="00D40CDC">
      <w:pPr>
        <w:pStyle w:val="TableTitlecont"/>
      </w:pPr>
      <w:r w:rsidRPr="00C00335">
        <w:lastRenderedPageBreak/>
        <w:t>Table A.1.</w:t>
      </w:r>
      <w:r w:rsidRPr="00C00335">
        <w:tab/>
        <w:t>Definitions of Symbols Applied in This Document (continued)</w:t>
      </w:r>
    </w:p>
    <w:tbl>
      <w:tblPr>
        <w:tblW w:w="5000"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970"/>
        <w:gridCol w:w="10990"/>
      </w:tblGrid>
      <w:tr w:rsidR="00D40CDC" w:rsidRPr="00C00335" w14:paraId="17920402" w14:textId="77777777" w:rsidTr="00474F9B">
        <w:trPr>
          <w:cantSplit/>
          <w:tblHeader/>
        </w:trPr>
        <w:tc>
          <w:tcPr>
            <w:tcW w:w="760" w:type="pct"/>
            <w:tcBorders>
              <w:top w:val="single" w:sz="12" w:space="0" w:color="auto"/>
              <w:bottom w:val="single" w:sz="6" w:space="0" w:color="auto"/>
            </w:tcBorders>
            <w:shd w:val="clear" w:color="auto" w:fill="auto"/>
          </w:tcPr>
          <w:p w14:paraId="6FE39B36" w14:textId="77777777" w:rsidR="00D40CDC" w:rsidRPr="00C00335" w:rsidRDefault="00D40CDC" w:rsidP="00474F9B">
            <w:pPr>
              <w:pStyle w:val="TableHeaders"/>
              <w:rPr>
                <w:sz w:val="20"/>
              </w:rPr>
            </w:pPr>
            <w:r w:rsidRPr="00C00335">
              <w:rPr>
                <w:sz w:val="20"/>
              </w:rPr>
              <w:t>Symbol</w:t>
            </w:r>
          </w:p>
        </w:tc>
        <w:tc>
          <w:tcPr>
            <w:tcW w:w="4240" w:type="pct"/>
            <w:tcBorders>
              <w:top w:val="single" w:sz="12" w:space="0" w:color="auto"/>
              <w:bottom w:val="single" w:sz="6" w:space="0" w:color="auto"/>
            </w:tcBorders>
            <w:shd w:val="clear" w:color="auto" w:fill="auto"/>
          </w:tcPr>
          <w:p w14:paraId="09C64D59" w14:textId="77777777" w:rsidR="00D40CDC" w:rsidRPr="00C00335" w:rsidRDefault="00D40CDC" w:rsidP="00474F9B">
            <w:pPr>
              <w:pStyle w:val="TableHeaders"/>
              <w:jc w:val="left"/>
              <w:rPr>
                <w:sz w:val="20"/>
              </w:rPr>
            </w:pPr>
            <w:r w:rsidRPr="00C00335">
              <w:rPr>
                <w:sz w:val="20"/>
              </w:rPr>
              <w:t>Definition</w:t>
            </w:r>
          </w:p>
        </w:tc>
      </w:tr>
      <w:tr w:rsidR="00D40CDC" w:rsidRPr="00C00335" w14:paraId="2B6332A7" w14:textId="77777777" w:rsidTr="00474F9B">
        <w:trPr>
          <w:cantSplit/>
        </w:trPr>
        <w:tc>
          <w:tcPr>
            <w:tcW w:w="5000" w:type="pct"/>
            <w:gridSpan w:val="2"/>
            <w:tcBorders>
              <w:top w:val="single" w:sz="6" w:space="0" w:color="auto"/>
            </w:tcBorders>
            <w:shd w:val="clear" w:color="auto" w:fill="D9D9D9" w:themeFill="background1" w:themeFillShade="D9"/>
          </w:tcPr>
          <w:p w14:paraId="57B08ECD" w14:textId="70F6635B" w:rsidR="00D40CDC" w:rsidRPr="00C00335" w:rsidRDefault="00D40CDC" w:rsidP="00474F9B">
            <w:pPr>
              <w:pStyle w:val="TableText"/>
              <w:rPr>
                <w:b/>
                <w:sz w:val="20"/>
              </w:rPr>
            </w:pPr>
            <w:r w:rsidRPr="00C00335">
              <w:rPr>
                <w:b/>
                <w:sz w:val="20"/>
              </w:rPr>
              <w:t>Latin Alphabet (continued)</w:t>
            </w:r>
          </w:p>
        </w:tc>
      </w:tr>
      <w:tr w:rsidR="00421CA0" w:rsidRPr="00C00335" w14:paraId="795F3D2B" w14:textId="77777777" w:rsidTr="00D40CDC">
        <w:trPr>
          <w:cantSplit/>
        </w:trPr>
        <w:tc>
          <w:tcPr>
            <w:tcW w:w="760" w:type="pct"/>
            <w:shd w:val="clear" w:color="auto" w:fill="auto"/>
          </w:tcPr>
          <w:p w14:paraId="5591BF3C" w14:textId="3220735D" w:rsidR="00421CA0" w:rsidRPr="00C00335" w:rsidRDefault="00421CA0" w:rsidP="00D40CDC">
            <w:pPr>
              <w:pStyle w:val="TableText"/>
              <w:jc w:val="center"/>
              <w:rPr>
                <w:sz w:val="20"/>
              </w:rPr>
            </w:pPr>
            <w:proofErr w:type="spellStart"/>
            <w:r w:rsidRPr="00C00335">
              <w:rPr>
                <w:i/>
                <w:sz w:val="20"/>
              </w:rPr>
              <w:t>i</w:t>
            </w:r>
            <w:r w:rsidRPr="00C00335">
              <w:rPr>
                <w:sz w:val="20"/>
                <w:vertAlign w:val="subscript"/>
              </w:rPr>
              <w:t>p</w:t>
            </w:r>
            <w:proofErr w:type="spellEnd"/>
          </w:p>
        </w:tc>
        <w:tc>
          <w:tcPr>
            <w:tcW w:w="4240" w:type="pct"/>
            <w:shd w:val="clear" w:color="auto" w:fill="auto"/>
          </w:tcPr>
          <w:p w14:paraId="53623384" w14:textId="4994D2BF" w:rsidR="00421CA0" w:rsidRPr="00C00335" w:rsidRDefault="00421CA0" w:rsidP="00D40CDC">
            <w:pPr>
              <w:pStyle w:val="TableText"/>
              <w:rPr>
                <w:sz w:val="20"/>
              </w:rPr>
            </w:pPr>
            <w:r w:rsidRPr="00C00335">
              <w:rPr>
                <w:sz w:val="20"/>
              </w:rPr>
              <w:t>Percent</w:t>
            </w:r>
            <w:r w:rsidR="00C80F5B" w:rsidRPr="00C00335">
              <w:rPr>
                <w:sz w:val="20"/>
              </w:rPr>
              <w:t>age</w:t>
            </w:r>
            <w:r w:rsidRPr="00C00335">
              <w:rPr>
                <w:sz w:val="20"/>
              </w:rPr>
              <w:t xml:space="preserve"> reduction in the annual rate of HIV transmission </w:t>
            </w:r>
            <w:proofErr w:type="spellStart"/>
            <w:r w:rsidRPr="00C00335">
              <w:rPr>
                <w:sz w:val="20"/>
              </w:rPr>
              <w:t>if</w:t>
            </w:r>
            <w:proofErr w:type="spellEnd"/>
            <w:r w:rsidRPr="00C00335">
              <w:rPr>
                <w:sz w:val="20"/>
              </w:rPr>
              <w:t xml:space="preserve"> HIV- individual in subpopulation </w:t>
            </w:r>
            <w:r w:rsidRPr="00C00335">
              <w:rPr>
                <w:i/>
                <w:iCs/>
                <w:sz w:val="20"/>
              </w:rPr>
              <w:t>p</w:t>
            </w:r>
            <w:r w:rsidRPr="00C00335">
              <w:rPr>
                <w:sz w:val="20"/>
              </w:rPr>
              <w:t xml:space="preserve"> is on </w:t>
            </w:r>
            <w:proofErr w:type="spellStart"/>
            <w:r w:rsidRPr="00C00335">
              <w:rPr>
                <w:sz w:val="20"/>
              </w:rPr>
              <w:t>PrEP</w:t>
            </w:r>
            <w:proofErr w:type="spellEnd"/>
          </w:p>
        </w:tc>
      </w:tr>
      <w:tr w:rsidR="008E0FAC" w:rsidRPr="00C00335" w14:paraId="044218E9" w14:textId="77777777" w:rsidTr="00D40CDC">
        <w:trPr>
          <w:cantSplit/>
        </w:trPr>
        <w:tc>
          <w:tcPr>
            <w:tcW w:w="760" w:type="pct"/>
            <w:shd w:val="clear" w:color="auto" w:fill="auto"/>
          </w:tcPr>
          <w:p w14:paraId="7C92EEC0" w14:textId="4DBA284F" w:rsidR="008E0FAC" w:rsidRPr="006F5064" w:rsidRDefault="00747E9D" w:rsidP="00D40CDC">
            <w:pPr>
              <w:pStyle w:val="TableText"/>
              <w:rPr>
                <w:sz w:val="20"/>
              </w:rPr>
            </w:pPr>
            <m:oMathPara>
              <m:oMath>
                <m:sSub>
                  <m:sSubPr>
                    <m:ctrlPr>
                      <w:rPr>
                        <w:rFonts w:ascii="Cambria Math" w:hAnsi="Cambria Math"/>
                        <w:i/>
                        <w:sz w:val="22"/>
                      </w:rPr>
                    </m:ctrlPr>
                  </m:sSubPr>
                  <m:e>
                    <m:r>
                      <w:rPr>
                        <w:rFonts w:ascii="Cambria Math" w:hAnsi="Cambria Math"/>
                        <w:sz w:val="22"/>
                      </w:rPr>
                      <m:t>J</m:t>
                    </m:r>
                  </m:e>
                  <m:sub>
                    <m:r>
                      <w:rPr>
                        <w:rFonts w:ascii="Cambria Math" w:hAnsi="Cambria Math"/>
                        <w:sz w:val="22"/>
                      </w:rPr>
                      <m:t>p,j*</m:t>
                    </m:r>
                  </m:sub>
                </m:sSub>
                <m:d>
                  <m:dPr>
                    <m:ctrlPr>
                      <w:rPr>
                        <w:rFonts w:ascii="Cambria Math" w:hAnsi="Cambria Math"/>
                        <w:i/>
                        <w:sz w:val="22"/>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r>
                      <w:rPr>
                        <w:rFonts w:ascii="Cambria Math" w:hAnsi="Cambria Math"/>
                        <w:sz w:val="22"/>
                      </w:rPr>
                      <m:t>,t</m:t>
                    </m:r>
                  </m:e>
                </m:d>
              </m:oMath>
            </m:oMathPara>
          </w:p>
        </w:tc>
        <w:tc>
          <w:tcPr>
            <w:tcW w:w="4240" w:type="pct"/>
            <w:shd w:val="clear" w:color="auto" w:fill="auto"/>
          </w:tcPr>
          <w:p w14:paraId="2BDE251A" w14:textId="6728D52C" w:rsidR="008E0FAC" w:rsidRPr="006F5064" w:rsidRDefault="00A21814" w:rsidP="009F0447">
            <w:pPr>
              <w:pStyle w:val="TableText"/>
              <w:rPr>
                <w:sz w:val="20"/>
                <w:szCs w:val="20"/>
              </w:rPr>
            </w:pPr>
            <w:r>
              <w:rPr>
                <w:rFonts w:eastAsiaTheme="minorEastAsia" w:cstheme="minorHAnsi"/>
                <w:sz w:val="20"/>
              </w:rPr>
              <w:t>When allocation-based progression is used, n</w:t>
            </w:r>
            <w:r w:rsidR="00615E1E" w:rsidRPr="006F5064">
              <w:rPr>
                <w:sz w:val="20"/>
                <w:szCs w:val="20"/>
              </w:rPr>
              <w:t>umber of individuals in subpopulation p eligible for intervention j* at time t</w:t>
            </w:r>
          </w:p>
        </w:tc>
      </w:tr>
      <w:tr w:rsidR="00593FA3" w:rsidRPr="00C00335" w14:paraId="78EEA416" w14:textId="77777777" w:rsidTr="00D40CDC">
        <w:trPr>
          <w:cantSplit/>
        </w:trPr>
        <w:tc>
          <w:tcPr>
            <w:tcW w:w="760" w:type="pct"/>
            <w:shd w:val="clear" w:color="auto" w:fill="auto"/>
          </w:tcPr>
          <w:p w14:paraId="3C9845E6" w14:textId="59EE6D95" w:rsidR="00593FA3" w:rsidRPr="006F5064" w:rsidRDefault="00593FA3" w:rsidP="00593FA3">
            <w:pPr>
              <w:pStyle w:val="TableText"/>
              <w:jc w:val="center"/>
              <w:rPr>
                <w:sz w:val="22"/>
              </w:rPr>
            </w:pPr>
            <w:proofErr w:type="spellStart"/>
            <w:r w:rsidRPr="006F5064">
              <w:rPr>
                <w:rFonts w:asciiTheme="minorHAnsi" w:hAnsiTheme="minorHAnsi" w:cstheme="minorHAnsi"/>
                <w:sz w:val="22"/>
              </w:rPr>
              <w:t>Ḳ</w:t>
            </w:r>
            <w:r w:rsidRPr="006F5064">
              <w:rPr>
                <w:rFonts w:asciiTheme="minorHAnsi" w:hAnsiTheme="minorHAnsi" w:cstheme="minorHAnsi"/>
                <w:sz w:val="22"/>
                <w:vertAlign w:val="subscript"/>
              </w:rPr>
              <w:t>c</w:t>
            </w:r>
            <w:proofErr w:type="spellEnd"/>
          </w:p>
        </w:tc>
        <w:tc>
          <w:tcPr>
            <w:tcW w:w="4240" w:type="pct"/>
            <w:shd w:val="clear" w:color="auto" w:fill="auto"/>
          </w:tcPr>
          <w:p w14:paraId="38BE55CE" w14:textId="5D3C042E" w:rsidR="00593FA3" w:rsidRPr="006F5064" w:rsidRDefault="00593FA3" w:rsidP="009F0447">
            <w:pPr>
              <w:pStyle w:val="TableText"/>
              <w:rPr>
                <w:sz w:val="20"/>
                <w:szCs w:val="20"/>
              </w:rPr>
            </w:pPr>
            <w:r w:rsidRPr="006F5064">
              <w:rPr>
                <w:sz w:val="20"/>
                <w:szCs w:val="20"/>
              </w:rPr>
              <w:t>Annual treatment and care costs for an individual in compartment c</w:t>
            </w:r>
          </w:p>
        </w:tc>
      </w:tr>
      <w:tr w:rsidR="00E2098C" w:rsidRPr="00C00335" w14:paraId="51197F31" w14:textId="77777777" w:rsidTr="00D40CDC">
        <w:trPr>
          <w:cantSplit/>
        </w:trPr>
        <w:tc>
          <w:tcPr>
            <w:tcW w:w="760" w:type="pct"/>
            <w:shd w:val="clear" w:color="auto" w:fill="auto"/>
          </w:tcPr>
          <w:p w14:paraId="5123BCCE" w14:textId="5287A087" w:rsidR="00E2098C" w:rsidRPr="00C00335" w:rsidRDefault="00747E9D" w:rsidP="00D40CDC">
            <w:pPr>
              <w:pStyle w:val="TableText"/>
              <w:jc w:val="center"/>
            </w:pPr>
            <m:oMathPara>
              <m:oMath>
                <m:sSub>
                  <m:sSubPr>
                    <m:ctrlPr>
                      <w:rPr>
                        <w:rFonts w:ascii="Cambria Math" w:hAnsi="Cambria Math"/>
                        <w:i/>
                        <w:sz w:val="22"/>
                      </w:rPr>
                    </m:ctrlPr>
                  </m:sSubPr>
                  <m:e>
                    <m:r>
                      <m:rPr>
                        <m:sty m:val="b"/>
                      </m:rPr>
                      <w:rPr>
                        <w:rFonts w:ascii="Cambria Math" w:hAnsi="Cambria Math"/>
                        <w:sz w:val="22"/>
                      </w:rPr>
                      <m:t>Ḷ</m:t>
                    </m:r>
                  </m:e>
                  <m:sub>
                    <m:r>
                      <w:rPr>
                        <w:rFonts w:ascii="Cambria Math" w:hAnsi="Cambria Math"/>
                        <w:sz w:val="22"/>
                      </w:rPr>
                      <m:t>c,</m:t>
                    </m:r>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sub>
                </m:sSub>
              </m:oMath>
            </m:oMathPara>
          </w:p>
        </w:tc>
        <w:tc>
          <w:tcPr>
            <w:tcW w:w="4240" w:type="pct"/>
            <w:shd w:val="clear" w:color="auto" w:fill="auto"/>
          </w:tcPr>
          <w:p w14:paraId="630EFD55" w14:textId="66162C81" w:rsidR="00E2098C" w:rsidRPr="00C00335" w:rsidRDefault="00E2098C" w:rsidP="00D40CDC">
            <w:pPr>
              <w:pStyle w:val="TableText"/>
              <w:rPr>
                <w:sz w:val="20"/>
              </w:rPr>
            </w:pPr>
            <w:r w:rsidRPr="00C00335">
              <w:rPr>
                <w:sz w:val="20"/>
              </w:rPr>
              <w:t>Binary indicator of eligibility for intervention j* for individuals in compartment c (1 = eligible, 0 = not eligible)</w:t>
            </w:r>
          </w:p>
        </w:tc>
      </w:tr>
      <w:tr w:rsidR="00833802" w:rsidRPr="00C00335" w14:paraId="13C1F35C" w14:textId="77777777" w:rsidTr="00D40CDC">
        <w:trPr>
          <w:cantSplit/>
        </w:trPr>
        <w:tc>
          <w:tcPr>
            <w:tcW w:w="760" w:type="pct"/>
            <w:shd w:val="clear" w:color="auto" w:fill="auto"/>
          </w:tcPr>
          <w:p w14:paraId="37ACBF9B" w14:textId="7C329F1E" w:rsidR="00833802" w:rsidRPr="00C00335" w:rsidRDefault="00F109C2" w:rsidP="00D40CDC">
            <w:pPr>
              <w:pStyle w:val="TableText"/>
              <w:jc w:val="center"/>
              <w:rPr>
                <w:sz w:val="20"/>
              </w:rPr>
            </w:pPr>
            <w:r w:rsidRPr="00C00335">
              <w:rPr>
                <w:position w:val="-6"/>
              </w:rPr>
              <w:object w:dxaOrig="180" w:dyaOrig="279" w14:anchorId="7B22AC22">
                <v:shape id="_x0000_i1078" type="#_x0000_t75" style="width:7.5pt;height:14.25pt" o:ole="">
                  <v:imagedata r:id="rId156" o:title=""/>
                </v:shape>
                <o:OLEObject Type="Embed" ProgID="Equation.3" ShapeID="_x0000_i1078" DrawAspect="Content" ObjectID="_1700043761" r:id="rId157"/>
              </w:object>
            </w:r>
            <w:r w:rsidRPr="00C00335">
              <w:rPr>
                <w:position w:val="-14"/>
                <w:sz w:val="20"/>
              </w:rPr>
              <w:object w:dxaOrig="460" w:dyaOrig="400" w14:anchorId="1B8B183E">
                <v:shape id="_x0000_i1079" type="#_x0000_t75" style="width:21pt;height:22.5pt" o:ole="">
                  <v:imagedata r:id="rId158" o:title=""/>
                </v:shape>
                <o:OLEObject Type="Embed" ProgID="Equation.3" ShapeID="_x0000_i1079" DrawAspect="Content" ObjectID="_1700043762" r:id="rId159"/>
              </w:object>
            </w:r>
          </w:p>
        </w:tc>
        <w:tc>
          <w:tcPr>
            <w:tcW w:w="4240" w:type="pct"/>
            <w:shd w:val="clear" w:color="auto" w:fill="auto"/>
          </w:tcPr>
          <w:p w14:paraId="793F7D97" w14:textId="74CFDAFC" w:rsidR="00833802" w:rsidRPr="00C00335" w:rsidRDefault="00833802" w:rsidP="00DE4977">
            <w:pPr>
              <w:pStyle w:val="TableText"/>
              <w:rPr>
                <w:sz w:val="20"/>
              </w:rPr>
            </w:pPr>
            <w:r w:rsidRPr="00C00335">
              <w:rPr>
                <w:sz w:val="20"/>
              </w:rPr>
              <w:t xml:space="preserve">Rate of linkage to HIV care among aware (not newly diagnosed) individuals, by demographic subpopulation </w:t>
            </w:r>
            <w:proofErr w:type="spellStart"/>
            <w:r w:rsidRPr="00C00335">
              <w:rPr>
                <w:i/>
                <w:sz w:val="20"/>
              </w:rPr>
              <w:t>p</w:t>
            </w:r>
            <w:r w:rsidRPr="00C00335">
              <w:rPr>
                <w:sz w:val="20"/>
              </w:rPr>
              <w:t xml:space="preserve"> at</w:t>
            </w:r>
            <w:proofErr w:type="spellEnd"/>
            <w:r w:rsidRPr="00C00335">
              <w:rPr>
                <w:sz w:val="20"/>
              </w:rPr>
              <w:t xml:space="preserve"> time </w:t>
            </w:r>
            <w:r w:rsidRPr="00C00335">
              <w:rPr>
                <w:i/>
                <w:iCs/>
                <w:sz w:val="20"/>
              </w:rPr>
              <w:t>t</w:t>
            </w:r>
            <w:r w:rsidRPr="00C00335">
              <w:rPr>
                <w:sz w:val="20"/>
              </w:rPr>
              <w:t xml:space="preserve">; applies to individuals aware of their infection but not in care or </w:t>
            </w:r>
            <w:r w:rsidR="000965E6" w:rsidRPr="00C00335">
              <w:rPr>
                <w:sz w:val="20"/>
              </w:rPr>
              <w:t>prescribed ART</w:t>
            </w:r>
            <w:r w:rsidRPr="00C00335">
              <w:rPr>
                <w:sz w:val="20"/>
              </w:rPr>
              <w:t xml:space="preserve"> (</w:t>
            </w:r>
            <w:r w:rsidRPr="00C00335">
              <w:rPr>
                <w:i/>
                <w:sz w:val="20"/>
              </w:rPr>
              <w:t xml:space="preserve">c </w:t>
            </w:r>
            <w:r w:rsidRPr="00C00335">
              <w:rPr>
                <w:sz w:val="20"/>
              </w:rPr>
              <w:t>=</w:t>
            </w:r>
            <w:r w:rsidR="00DE4977" w:rsidRPr="00C00335">
              <w:rPr>
                <w:sz w:val="20"/>
              </w:rPr>
              <w:t>4</w:t>
            </w:r>
            <w:r w:rsidRPr="00C00335">
              <w:rPr>
                <w:sz w:val="20"/>
              </w:rPr>
              <w:t>, 7, 12, 17, 22) only</w:t>
            </w:r>
          </w:p>
        </w:tc>
      </w:tr>
      <w:tr w:rsidR="00421CA0" w:rsidRPr="00C00335" w14:paraId="44DA48FD" w14:textId="77777777" w:rsidTr="00D40CDC">
        <w:trPr>
          <w:cantSplit/>
        </w:trPr>
        <w:tc>
          <w:tcPr>
            <w:tcW w:w="760" w:type="pct"/>
            <w:shd w:val="clear" w:color="auto" w:fill="auto"/>
          </w:tcPr>
          <w:p w14:paraId="6CE7CC1A" w14:textId="1648C300" w:rsidR="00421CA0" w:rsidRPr="00C00335" w:rsidRDefault="00330DC3" w:rsidP="00D40CDC">
            <w:pPr>
              <w:pStyle w:val="TableText"/>
              <w:jc w:val="center"/>
              <w:rPr>
                <w:sz w:val="20"/>
              </w:rPr>
            </w:pPr>
            <w:r w:rsidRPr="00C00335">
              <w:rPr>
                <w:position w:val="-14"/>
                <w:sz w:val="20"/>
              </w:rPr>
              <w:object w:dxaOrig="400" w:dyaOrig="400" w14:anchorId="4FEEC6AD">
                <v:shape id="_x0000_i1080" type="#_x0000_t75" style="width:28.5pt;height:22.5pt" o:ole="">
                  <v:imagedata r:id="rId160" o:title=""/>
                </v:shape>
                <o:OLEObject Type="Embed" ProgID="Equation.3" ShapeID="_x0000_i1080" DrawAspect="Content" ObjectID="_1700043763" r:id="rId161"/>
              </w:object>
            </w:r>
          </w:p>
        </w:tc>
        <w:tc>
          <w:tcPr>
            <w:tcW w:w="4240" w:type="pct"/>
            <w:shd w:val="clear" w:color="auto" w:fill="auto"/>
          </w:tcPr>
          <w:p w14:paraId="138DE015" w14:textId="006D9CEA" w:rsidR="00421CA0" w:rsidRPr="00C00335" w:rsidRDefault="00421CA0" w:rsidP="00D40CDC">
            <w:pPr>
              <w:pStyle w:val="TableText"/>
              <w:rPr>
                <w:sz w:val="20"/>
              </w:rPr>
            </w:pPr>
            <w:r w:rsidRPr="00C00335">
              <w:rPr>
                <w:sz w:val="20"/>
              </w:rPr>
              <w:t xml:space="preserve">Annual number of partners of risk type z per person in demographic subpopulation </w:t>
            </w:r>
            <w:r w:rsidRPr="00C00335">
              <w:rPr>
                <w:i/>
                <w:sz w:val="20"/>
              </w:rPr>
              <w:t>p</w:t>
            </w:r>
          </w:p>
        </w:tc>
      </w:tr>
      <w:tr w:rsidR="00471793" w:rsidRPr="00C00335" w14:paraId="2097A570" w14:textId="77777777" w:rsidTr="00D40CDC">
        <w:trPr>
          <w:cantSplit/>
        </w:trPr>
        <w:tc>
          <w:tcPr>
            <w:tcW w:w="760" w:type="pct"/>
            <w:shd w:val="clear" w:color="auto" w:fill="auto"/>
          </w:tcPr>
          <w:p w14:paraId="07979EB3" w14:textId="7219951C" w:rsidR="00471793" w:rsidRPr="00471793" w:rsidRDefault="00471793" w:rsidP="00D40CDC">
            <w:pPr>
              <w:pStyle w:val="TableText"/>
              <w:jc w:val="center"/>
              <w:rPr>
                <w:sz w:val="20"/>
              </w:rPr>
            </w:pPr>
            <w:proofErr w:type="spellStart"/>
            <w:r w:rsidRPr="00471793">
              <w:rPr>
                <w:rFonts w:asciiTheme="minorHAnsi" w:hAnsiTheme="minorHAnsi" w:cstheme="minorHAnsi"/>
                <w:sz w:val="22"/>
              </w:rPr>
              <w:t>m</w:t>
            </w:r>
            <w:r w:rsidRPr="00471793">
              <w:rPr>
                <w:rFonts w:asciiTheme="minorHAnsi" w:hAnsiTheme="minorHAnsi" w:cstheme="minorHAnsi"/>
                <w:sz w:val="22"/>
                <w:vertAlign w:val="subscript"/>
              </w:rPr>
              <w:t>p</w:t>
            </w:r>
            <w:r w:rsidRPr="00471793">
              <w:rPr>
                <w:rFonts w:asciiTheme="minorHAnsi" w:hAnsiTheme="minorHAnsi" w:cstheme="minorHAnsi"/>
                <w:sz w:val="22"/>
                <w:vertAlign w:val="superscript"/>
              </w:rPr>
              <w:t>z</w:t>
            </w:r>
            <w:proofErr w:type="spellEnd"/>
          </w:p>
        </w:tc>
        <w:tc>
          <w:tcPr>
            <w:tcW w:w="4240" w:type="pct"/>
            <w:shd w:val="clear" w:color="auto" w:fill="auto"/>
          </w:tcPr>
          <w:p w14:paraId="5EAFFD5C" w14:textId="48CF07EC" w:rsidR="00471793" w:rsidRPr="00C00335" w:rsidRDefault="00471793" w:rsidP="00D40CDC">
            <w:pPr>
              <w:pStyle w:val="TableText"/>
              <w:rPr>
                <w:sz w:val="20"/>
              </w:rPr>
            </w:pPr>
            <w:r w:rsidRPr="00471793">
              <w:rPr>
                <w:sz w:val="20"/>
              </w:rPr>
              <w:t>Number of partners of risk type z per individual in subpopulation p</w:t>
            </w:r>
          </w:p>
        </w:tc>
      </w:tr>
      <w:tr w:rsidR="00E2098C" w:rsidRPr="00C00335" w14:paraId="53ADC4D7" w14:textId="77777777" w:rsidTr="00BF50B1">
        <w:trPr>
          <w:cantSplit/>
        </w:trPr>
        <w:tc>
          <w:tcPr>
            <w:tcW w:w="760" w:type="pct"/>
            <w:shd w:val="clear" w:color="auto" w:fill="auto"/>
          </w:tcPr>
          <w:p w14:paraId="4DE6FDC9" w14:textId="329FD151" w:rsidR="00E2098C" w:rsidRPr="006F5064" w:rsidRDefault="00747E9D" w:rsidP="00BF50B1">
            <w:pPr>
              <w:pStyle w:val="TableText"/>
              <w:jc w:val="center"/>
              <w:rPr>
                <w:sz w:val="20"/>
              </w:rPr>
            </w:pPr>
            <m:oMathPara>
              <m:oMath>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oMath>
            </m:oMathPara>
          </w:p>
        </w:tc>
        <w:tc>
          <w:tcPr>
            <w:tcW w:w="4240" w:type="pct"/>
            <w:shd w:val="clear" w:color="auto" w:fill="auto"/>
          </w:tcPr>
          <w:p w14:paraId="31A2F56B" w14:textId="07EDAB2E" w:rsidR="00E2098C" w:rsidRPr="006F5064" w:rsidRDefault="00786363" w:rsidP="002B1372">
            <w:pPr>
              <w:pStyle w:val="bullets"/>
              <w:numPr>
                <w:ilvl w:val="0"/>
                <w:numId w:val="0"/>
              </w:numPr>
            </w:pPr>
            <w:r>
              <w:rPr>
                <w:rFonts w:eastAsiaTheme="minorEastAsia" w:cstheme="minorHAnsi"/>
              </w:rPr>
              <w:t>When allocation-based progression is used, a</w:t>
            </w:r>
            <w:r w:rsidR="00E2098C" w:rsidRPr="006F5064">
              <w:t xml:space="preserve">nnual </w:t>
            </w:r>
            <w:r w:rsidR="00615E1E" w:rsidRPr="006F5064">
              <w:t>funding allocation for implementing intervention j* in each allocation period q (constant within allocation period q);</w:t>
            </w:r>
            <w:r w:rsidR="00593FA3" w:rsidRPr="006F5064">
              <w:t xml:space="preserve"> optimization decision variable</w:t>
            </w:r>
          </w:p>
        </w:tc>
      </w:tr>
      <w:tr w:rsidR="00421CA0" w:rsidRPr="00C00335" w14:paraId="4FBEACA0" w14:textId="77777777" w:rsidTr="00D40CDC">
        <w:trPr>
          <w:cantSplit/>
        </w:trPr>
        <w:tc>
          <w:tcPr>
            <w:tcW w:w="760" w:type="pct"/>
            <w:shd w:val="clear" w:color="auto" w:fill="auto"/>
          </w:tcPr>
          <w:p w14:paraId="598924F7" w14:textId="3F92A527" w:rsidR="00421CA0" w:rsidRPr="00C00335" w:rsidRDefault="00747E9D" w:rsidP="00D40CDC">
            <w:pPr>
              <w:pStyle w:val="TableText"/>
              <w:jc w:val="center"/>
              <w:rPr>
                <w:sz w:val="20"/>
              </w:rPr>
            </w:pPr>
            <m:oMathPara>
              <m:oMath>
                <m:sSub>
                  <m:sSubPr>
                    <m:ctrlPr>
                      <w:rPr>
                        <w:rFonts w:ascii="Cambria Math" w:hAnsi="Cambria Math"/>
                        <w:sz w:val="20"/>
                      </w:rPr>
                    </m:ctrlPr>
                  </m:sSubPr>
                  <m:e>
                    <m:r>
                      <w:rPr>
                        <w:rFonts w:ascii="Cambria Math" w:hAnsi="Cambria Math"/>
                        <w:sz w:val="20"/>
                      </w:rPr>
                      <m:t>O</m:t>
                    </m:r>
                  </m:e>
                  <m:sub>
                    <m:r>
                      <w:rPr>
                        <w:rFonts w:ascii="Cambria Math" w:hAnsi="Cambria Math"/>
                        <w:sz w:val="20"/>
                      </w:rPr>
                      <m:t>p,y</m:t>
                    </m:r>
                  </m:sub>
                </m:sSub>
              </m:oMath>
            </m:oMathPara>
          </w:p>
        </w:tc>
        <w:tc>
          <w:tcPr>
            <w:tcW w:w="4240" w:type="pct"/>
            <w:shd w:val="clear" w:color="auto" w:fill="auto"/>
          </w:tcPr>
          <w:p w14:paraId="7D5C0F2A" w14:textId="77D68D93" w:rsidR="00421CA0" w:rsidRPr="00C00335" w:rsidRDefault="00421CA0" w:rsidP="00D40CDC">
            <w:pPr>
              <w:pStyle w:val="TableText"/>
              <w:rPr>
                <w:sz w:val="20"/>
              </w:rPr>
            </w:pPr>
            <w:r w:rsidRPr="00C00335">
              <w:rPr>
                <w:sz w:val="20"/>
              </w:rPr>
              <w:t>Percentage of subpopulation p’s partnerships that are type y, given partnerships of type y</w:t>
            </w:r>
          </w:p>
        </w:tc>
      </w:tr>
      <w:tr w:rsidR="00421CA0" w:rsidRPr="00C00335" w14:paraId="7C170896" w14:textId="77777777" w:rsidTr="00D40CDC">
        <w:trPr>
          <w:cantSplit/>
        </w:trPr>
        <w:tc>
          <w:tcPr>
            <w:tcW w:w="760" w:type="pct"/>
            <w:shd w:val="clear" w:color="auto" w:fill="auto"/>
          </w:tcPr>
          <w:p w14:paraId="2AABBB68" w14:textId="33C64960" w:rsidR="00421CA0" w:rsidRPr="00C00335" w:rsidRDefault="00421CA0" w:rsidP="00D40CDC">
            <w:pPr>
              <w:pStyle w:val="TableText"/>
              <w:jc w:val="center"/>
              <w:rPr>
                <w:iCs/>
                <w:sz w:val="20"/>
              </w:rPr>
            </w:pPr>
            <w:r w:rsidRPr="00C00335">
              <w:rPr>
                <w:i/>
                <w:sz w:val="20"/>
              </w:rPr>
              <w:t>P(t)</w:t>
            </w:r>
          </w:p>
        </w:tc>
        <w:tc>
          <w:tcPr>
            <w:tcW w:w="4240" w:type="pct"/>
            <w:shd w:val="clear" w:color="auto" w:fill="auto"/>
          </w:tcPr>
          <w:p w14:paraId="19416045" w14:textId="58F9B520" w:rsidR="00421CA0" w:rsidRPr="00C00335" w:rsidRDefault="00421CA0" w:rsidP="00D40CDC">
            <w:pPr>
              <w:pStyle w:val="TableText"/>
              <w:rPr>
                <w:sz w:val="20"/>
              </w:rPr>
            </w:pPr>
            <w:r w:rsidRPr="00C00335">
              <w:rPr>
                <w:sz w:val="20"/>
              </w:rPr>
              <w:t xml:space="preserve">HIV prevalence at time </w:t>
            </w:r>
            <w:r w:rsidRPr="00C00335">
              <w:rPr>
                <w:i/>
                <w:sz w:val="20"/>
              </w:rPr>
              <w:t>t</w:t>
            </w:r>
            <w:r w:rsidRPr="00C00335">
              <w:rPr>
                <w:sz w:val="20"/>
              </w:rPr>
              <w:t>, defined as the number of individuals with HIV</w:t>
            </w:r>
          </w:p>
        </w:tc>
      </w:tr>
      <w:tr w:rsidR="00220142" w:rsidRPr="00C00335" w14:paraId="44CFF8C9" w14:textId="77777777" w:rsidTr="00D40CDC">
        <w:trPr>
          <w:cantSplit/>
        </w:trPr>
        <w:tc>
          <w:tcPr>
            <w:tcW w:w="760" w:type="pct"/>
            <w:shd w:val="clear" w:color="auto" w:fill="auto"/>
          </w:tcPr>
          <w:p w14:paraId="5DEC4C01" w14:textId="52796F63" w:rsidR="00220142" w:rsidRPr="00C00335" w:rsidRDefault="00220142" w:rsidP="00D40CDC">
            <w:pPr>
              <w:pStyle w:val="TableText"/>
              <w:jc w:val="center"/>
              <w:rPr>
                <w:i/>
                <w:sz w:val="20"/>
              </w:rPr>
            </w:pPr>
            <w:r w:rsidRPr="00C00335">
              <w:rPr>
                <w:i/>
                <w:sz w:val="20"/>
              </w:rPr>
              <w:t>q(t)</w:t>
            </w:r>
          </w:p>
        </w:tc>
        <w:tc>
          <w:tcPr>
            <w:tcW w:w="4240" w:type="pct"/>
            <w:shd w:val="clear" w:color="auto" w:fill="auto"/>
          </w:tcPr>
          <w:p w14:paraId="4D2CA558" w14:textId="5717AF49" w:rsidR="00220142" w:rsidRPr="00C00335" w:rsidRDefault="00220142" w:rsidP="00D40CDC">
            <w:pPr>
              <w:pStyle w:val="TableText"/>
              <w:rPr>
                <w:sz w:val="20"/>
              </w:rPr>
            </w:pPr>
            <w:r w:rsidRPr="00C00335">
              <w:rPr>
                <w:sz w:val="20"/>
              </w:rPr>
              <w:t>Length of model’s computational time step, in years, at time t</w:t>
            </w:r>
          </w:p>
        </w:tc>
      </w:tr>
      <w:tr w:rsidR="008B0F71" w:rsidRPr="00C00335" w14:paraId="228E3ED1" w14:textId="77777777" w:rsidTr="00D40CDC">
        <w:trPr>
          <w:cantSplit/>
        </w:trPr>
        <w:tc>
          <w:tcPr>
            <w:tcW w:w="760" w:type="pct"/>
            <w:shd w:val="clear" w:color="auto" w:fill="auto"/>
          </w:tcPr>
          <w:p w14:paraId="14C90953" w14:textId="6B8CBF4D" w:rsidR="008B0F71" w:rsidRPr="00C00335" w:rsidRDefault="00747E9D" w:rsidP="008B0F71">
            <w:pPr>
              <w:pStyle w:val="TableText"/>
              <w:jc w:val="center"/>
              <w:rPr>
                <w:i/>
                <w:sz w:val="20"/>
              </w:rPr>
            </w:pPr>
            <m:oMathPara>
              <m:oMath>
                <m:sSub>
                  <m:sSubPr>
                    <m:ctrlPr>
                      <w:rPr>
                        <w:rFonts w:ascii="Cambria Math" w:hAnsi="Cambria Math"/>
                        <w:i/>
                        <w:sz w:val="20"/>
                      </w:rPr>
                    </m:ctrlPr>
                  </m:sSubPr>
                  <m:e>
                    <m:r>
                      <w:rPr>
                        <w:rFonts w:ascii="Cambria Math" w:hAnsi="Cambria Math"/>
                        <w:sz w:val="20"/>
                      </w:rPr>
                      <m:t>R</m:t>
                    </m:r>
                  </m:e>
                  <m:sub>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r>
                      <w:rPr>
                        <w:rFonts w:ascii="Cambria Math" w:hAnsi="Cambria Math"/>
                        <w:sz w:val="22"/>
                      </w:rPr>
                      <m:t>,2</m:t>
                    </m:r>
                  </m:sub>
                </m:sSub>
              </m:oMath>
            </m:oMathPara>
          </w:p>
        </w:tc>
        <w:tc>
          <w:tcPr>
            <w:tcW w:w="4240" w:type="pct"/>
            <w:shd w:val="clear" w:color="auto" w:fill="auto"/>
          </w:tcPr>
          <w:p w14:paraId="7F7765ED" w14:textId="1193E4B6" w:rsidR="008B0F71" w:rsidRPr="00C00335" w:rsidRDefault="008B0F71" w:rsidP="008B0F71">
            <w:pPr>
              <w:pStyle w:val="TableText"/>
              <w:rPr>
                <w:sz w:val="20"/>
              </w:rPr>
            </w:pPr>
            <w:r w:rsidRPr="006F5064">
              <w:rPr>
                <w:sz w:val="20"/>
                <w:szCs w:val="24"/>
              </w:rPr>
              <w:t xml:space="preserve">Maximum annual probability of transition targeted by intervention </w:t>
            </w:r>
            <w:r w:rsidRPr="006F5064">
              <w:rPr>
                <w:i/>
                <w:iCs/>
                <w:sz w:val="20"/>
                <w:szCs w:val="24"/>
              </w:rPr>
              <w:t>j*</w:t>
            </w:r>
            <w:r w:rsidRPr="006F5064">
              <w:rPr>
                <w:sz w:val="20"/>
                <w:szCs w:val="24"/>
              </w:rPr>
              <w:t xml:space="preserve"> </w:t>
            </w:r>
            <w:r w:rsidRPr="006F5064">
              <w:rPr>
                <w:rFonts w:eastAsiaTheme="minorEastAsia"/>
                <w:sz w:val="20"/>
                <w:szCs w:val="24"/>
              </w:rPr>
              <w:t xml:space="preserve">for </w:t>
            </w:r>
            <w:r w:rsidRPr="006F5064">
              <w:rPr>
                <w:iCs/>
                <w:sz w:val="20"/>
                <w:szCs w:val="24"/>
              </w:rPr>
              <w:t>j*</w:t>
            </w:r>
            <w:r w:rsidRPr="006F5064">
              <w:rPr>
                <w:sz w:val="20"/>
                <w:szCs w:val="24"/>
              </w:rPr>
              <w:t xml:space="preserve"> = {6} (linkage to HIV care at diagnosis) among individuals eligible for that intervention</w:t>
            </w:r>
          </w:p>
        </w:tc>
      </w:tr>
      <w:tr w:rsidR="008B0F71" w:rsidRPr="00C00335" w14:paraId="5BBC9938" w14:textId="77777777" w:rsidTr="00D40CDC">
        <w:trPr>
          <w:cantSplit/>
        </w:trPr>
        <w:tc>
          <w:tcPr>
            <w:tcW w:w="760" w:type="pct"/>
            <w:shd w:val="clear" w:color="auto" w:fill="auto"/>
          </w:tcPr>
          <w:p w14:paraId="3F50727F" w14:textId="69317789" w:rsidR="008B0F71" w:rsidRDefault="008B0F71" w:rsidP="008B0F71">
            <w:pPr>
              <w:pStyle w:val="TableText"/>
              <w:jc w:val="center"/>
              <w:rPr>
                <w:sz w:val="20"/>
              </w:rPr>
            </w:pPr>
            <w:r w:rsidRPr="00C00335">
              <w:rPr>
                <w:i/>
                <w:sz w:val="20"/>
              </w:rPr>
              <w:t>S</w:t>
            </w:r>
            <w:r w:rsidRPr="00C00335">
              <w:rPr>
                <w:i/>
                <w:iCs/>
                <w:sz w:val="20"/>
                <w:vertAlign w:val="subscript"/>
              </w:rPr>
              <w:t xml:space="preserve"> p</w:t>
            </w:r>
          </w:p>
        </w:tc>
        <w:tc>
          <w:tcPr>
            <w:tcW w:w="4240" w:type="pct"/>
            <w:shd w:val="clear" w:color="auto" w:fill="auto"/>
          </w:tcPr>
          <w:p w14:paraId="0C455AE4" w14:textId="29C3BBEE" w:rsidR="008B0F71" w:rsidRPr="006F5064" w:rsidRDefault="008B0F71" w:rsidP="008B0F71">
            <w:pPr>
              <w:pStyle w:val="TableText"/>
              <w:rPr>
                <w:sz w:val="20"/>
                <w:szCs w:val="24"/>
              </w:rPr>
            </w:pPr>
            <w:r w:rsidRPr="00C00335">
              <w:rPr>
                <w:sz w:val="20"/>
              </w:rPr>
              <w:t xml:space="preserve">Number of annual sex acts for an HIV-uninfected individual per partner, HIV-uninfected or undiagnosed, by subpopulation </w:t>
            </w:r>
            <w:r w:rsidRPr="00C00335">
              <w:rPr>
                <w:i/>
                <w:iCs/>
                <w:sz w:val="20"/>
              </w:rPr>
              <w:t>p</w:t>
            </w:r>
          </w:p>
        </w:tc>
      </w:tr>
    </w:tbl>
    <w:p w14:paraId="39C9EDE8" w14:textId="77777777" w:rsidR="004A1C14" w:rsidRPr="00C00335" w:rsidRDefault="004A1C14" w:rsidP="004A1C14">
      <w:pPr>
        <w:pStyle w:val="Tablecont"/>
        <w:rPr>
          <w:sz w:val="20"/>
        </w:rPr>
      </w:pPr>
      <w:r w:rsidRPr="00C00335">
        <w:rPr>
          <w:sz w:val="20"/>
        </w:rPr>
        <w:t>(continued)</w:t>
      </w:r>
    </w:p>
    <w:p w14:paraId="451114EA" w14:textId="77777777" w:rsidR="00F31D98" w:rsidRPr="00C00335" w:rsidRDefault="00F31D98">
      <w:pPr>
        <w:rPr>
          <w:b/>
        </w:rPr>
      </w:pPr>
      <w:r w:rsidRPr="00C00335">
        <w:br w:type="page"/>
      </w:r>
    </w:p>
    <w:p w14:paraId="12B8A36B" w14:textId="4CF3EE7D" w:rsidR="004A1C14" w:rsidRPr="00C00335" w:rsidRDefault="004A1C14" w:rsidP="00F31D98">
      <w:pPr>
        <w:pStyle w:val="TableTitlecont"/>
      </w:pPr>
      <w:r w:rsidRPr="00C00335">
        <w:lastRenderedPageBreak/>
        <w:t>Table A.1.</w:t>
      </w:r>
      <w:r w:rsidRPr="00C00335">
        <w:tab/>
        <w:t>Definitions of Symbols Applied in This Document (continued)</w:t>
      </w:r>
    </w:p>
    <w:tbl>
      <w:tblPr>
        <w:tblW w:w="5001"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970"/>
        <w:gridCol w:w="10993"/>
      </w:tblGrid>
      <w:tr w:rsidR="004A1C14" w:rsidRPr="00C00335" w14:paraId="01FFA1E2" w14:textId="77777777" w:rsidTr="002A4EE6">
        <w:trPr>
          <w:cantSplit/>
          <w:tblHeader/>
        </w:trPr>
        <w:tc>
          <w:tcPr>
            <w:tcW w:w="760" w:type="pct"/>
            <w:tcBorders>
              <w:top w:val="single" w:sz="12" w:space="0" w:color="auto"/>
              <w:bottom w:val="single" w:sz="6" w:space="0" w:color="auto"/>
            </w:tcBorders>
            <w:shd w:val="clear" w:color="auto" w:fill="auto"/>
          </w:tcPr>
          <w:p w14:paraId="5061F3F2" w14:textId="77777777" w:rsidR="004A1C14" w:rsidRPr="00C00335" w:rsidRDefault="004A1C14" w:rsidP="00F52C23">
            <w:pPr>
              <w:pStyle w:val="TableHeaders"/>
              <w:rPr>
                <w:sz w:val="20"/>
              </w:rPr>
            </w:pPr>
            <w:r w:rsidRPr="00C00335">
              <w:rPr>
                <w:sz w:val="20"/>
              </w:rPr>
              <w:t>Symbol</w:t>
            </w:r>
          </w:p>
        </w:tc>
        <w:tc>
          <w:tcPr>
            <w:tcW w:w="4240" w:type="pct"/>
            <w:tcBorders>
              <w:top w:val="single" w:sz="12" w:space="0" w:color="auto"/>
              <w:bottom w:val="single" w:sz="6" w:space="0" w:color="auto"/>
            </w:tcBorders>
            <w:shd w:val="clear" w:color="auto" w:fill="auto"/>
          </w:tcPr>
          <w:p w14:paraId="58D86DF8" w14:textId="77777777" w:rsidR="004A1C14" w:rsidRPr="00C00335" w:rsidRDefault="004A1C14" w:rsidP="00F52C23">
            <w:pPr>
              <w:pStyle w:val="TableHeaders"/>
              <w:jc w:val="left"/>
              <w:rPr>
                <w:sz w:val="20"/>
              </w:rPr>
            </w:pPr>
            <w:r w:rsidRPr="00C00335">
              <w:rPr>
                <w:sz w:val="20"/>
              </w:rPr>
              <w:t>Definition</w:t>
            </w:r>
          </w:p>
        </w:tc>
      </w:tr>
      <w:tr w:rsidR="004A1C14" w:rsidRPr="00C00335" w14:paraId="4DDB8450" w14:textId="77777777" w:rsidTr="002A4EE6">
        <w:trPr>
          <w:cantSplit/>
        </w:trPr>
        <w:tc>
          <w:tcPr>
            <w:tcW w:w="5000" w:type="pct"/>
            <w:gridSpan w:val="2"/>
            <w:tcBorders>
              <w:top w:val="single" w:sz="6" w:space="0" w:color="auto"/>
            </w:tcBorders>
            <w:shd w:val="clear" w:color="auto" w:fill="D9D9D9" w:themeFill="background1" w:themeFillShade="D9"/>
          </w:tcPr>
          <w:p w14:paraId="46F205F6" w14:textId="77777777" w:rsidR="004A1C14" w:rsidRPr="00C00335" w:rsidRDefault="004A1C14" w:rsidP="00F52C23">
            <w:pPr>
              <w:pStyle w:val="TableText"/>
              <w:rPr>
                <w:b/>
                <w:sz w:val="20"/>
              </w:rPr>
            </w:pPr>
            <w:r w:rsidRPr="00C00335">
              <w:rPr>
                <w:b/>
                <w:sz w:val="20"/>
              </w:rPr>
              <w:t>Latin Alphabet (continued)</w:t>
            </w:r>
          </w:p>
        </w:tc>
      </w:tr>
      <w:tr w:rsidR="002A4EE6" w:rsidRPr="00C00335" w14:paraId="4C8D7635" w14:textId="77777777" w:rsidTr="002A4EE6">
        <w:trPr>
          <w:cantSplit/>
        </w:trPr>
        <w:tc>
          <w:tcPr>
            <w:tcW w:w="760" w:type="pct"/>
            <w:tcBorders>
              <w:bottom w:val="single" w:sz="4" w:space="0" w:color="808080" w:themeColor="background1" w:themeShade="80"/>
            </w:tcBorders>
            <w:shd w:val="clear" w:color="auto" w:fill="auto"/>
          </w:tcPr>
          <w:p w14:paraId="06B0291A" w14:textId="77777777" w:rsidR="002A4EE6" w:rsidRPr="00C00335" w:rsidRDefault="002A4EE6" w:rsidP="00260D8A">
            <w:pPr>
              <w:pStyle w:val="TableText"/>
              <w:jc w:val="center"/>
              <w:rPr>
                <w:i/>
                <w:iCs/>
                <w:sz w:val="20"/>
              </w:rPr>
            </w:pPr>
            <w:proofErr w:type="spellStart"/>
            <w:r w:rsidRPr="00C00335">
              <w:rPr>
                <w:i/>
                <w:iCs/>
                <w:sz w:val="20"/>
              </w:rPr>
              <w:t>s</w:t>
            </w:r>
            <w:r w:rsidRPr="00C00335">
              <w:rPr>
                <w:i/>
                <w:iCs/>
                <w:sz w:val="20"/>
                <w:vertAlign w:val="subscript"/>
              </w:rPr>
              <w:t>c</w:t>
            </w:r>
            <w:proofErr w:type="spellEnd"/>
          </w:p>
        </w:tc>
        <w:tc>
          <w:tcPr>
            <w:tcW w:w="4240" w:type="pct"/>
            <w:tcBorders>
              <w:bottom w:val="single" w:sz="4" w:space="0" w:color="808080" w:themeColor="background1" w:themeShade="80"/>
            </w:tcBorders>
            <w:shd w:val="clear" w:color="auto" w:fill="auto"/>
          </w:tcPr>
          <w:p w14:paraId="2F257F32" w14:textId="77777777" w:rsidR="002A4EE6" w:rsidRPr="00C00335" w:rsidRDefault="002A4EE6" w:rsidP="00260D8A">
            <w:pPr>
              <w:pStyle w:val="TableText"/>
              <w:rPr>
                <w:sz w:val="20"/>
              </w:rPr>
            </w:pPr>
            <w:r w:rsidRPr="00C00335">
              <w:rPr>
                <w:sz w:val="20"/>
              </w:rPr>
              <w:t xml:space="preserve">Binary indicator that model state </w:t>
            </w:r>
            <w:r w:rsidRPr="00C00335">
              <w:rPr>
                <w:i/>
                <w:iCs/>
                <w:sz w:val="20"/>
              </w:rPr>
              <w:t>c</w:t>
            </w:r>
            <w:r w:rsidRPr="00C00335">
              <w:rPr>
                <w:sz w:val="20"/>
              </w:rPr>
              <w:t xml:space="preserve"> is an infected HIV state (1 = infected, 0 = not infected)</w:t>
            </w:r>
          </w:p>
        </w:tc>
      </w:tr>
      <w:tr w:rsidR="002A4EE6" w:rsidRPr="00C00335" w14:paraId="77C85DA4" w14:textId="77777777" w:rsidTr="002A4EE6">
        <w:trPr>
          <w:cantSplit/>
        </w:trPr>
        <w:tc>
          <w:tcPr>
            <w:tcW w:w="760" w:type="pct"/>
            <w:tcBorders>
              <w:top w:val="single" w:sz="4" w:space="0" w:color="808080" w:themeColor="background1" w:themeShade="80"/>
              <w:bottom w:val="single" w:sz="6" w:space="0" w:color="808080" w:themeColor="background1" w:themeShade="80"/>
            </w:tcBorders>
            <w:shd w:val="clear" w:color="auto" w:fill="auto"/>
          </w:tcPr>
          <w:p w14:paraId="69FCAF4F" w14:textId="275BC558" w:rsidR="002A4EE6" w:rsidRPr="006F5064" w:rsidRDefault="00747E9D" w:rsidP="00260D8A">
            <w:pPr>
              <w:pStyle w:val="TableText"/>
              <w:jc w:val="center"/>
              <w:rPr>
                <w:i/>
                <w:sz w:val="20"/>
              </w:rPr>
            </w:pPr>
            <m:oMathPara>
              <m:oMath>
                <m:sSub>
                  <m:sSubPr>
                    <m:ctrlPr>
                      <w:rPr>
                        <w:rFonts w:ascii="Cambria Math" w:hAnsi="Cambria Math"/>
                      </w:rPr>
                    </m:ctrlPr>
                  </m:sSubPr>
                  <m:e>
                    <m:r>
                      <m:rPr>
                        <m:sty m:val="p"/>
                      </m:rPr>
                      <w:rPr>
                        <w:rFonts w:ascii="Cambria Math" w:hAnsi="Cambria Math"/>
                      </w:rPr>
                      <m:t>Ṡ</m:t>
                    </m:r>
                  </m:e>
                  <m:sub>
                    <m:sSup>
                      <m:sSupPr>
                        <m:ctrlPr>
                          <w:rPr>
                            <w:rFonts w:ascii="Cambria Math" w:hAnsi="Cambria Math"/>
                            <w:i/>
                            <w:sz w:val="22"/>
                          </w:rPr>
                        </m:ctrlPr>
                      </m:sSupPr>
                      <m:e>
                        <m:r>
                          <w:rPr>
                            <w:rFonts w:ascii="Cambria Math" w:hAnsi="Cambria Math"/>
                            <w:sz w:val="22"/>
                          </w:rPr>
                          <m:t>j</m:t>
                        </m:r>
                      </m:e>
                      <m:sup>
                        <m:r>
                          <w:rPr>
                            <w:rFonts w:ascii="Cambria Math" w:hAnsi="Cambria Math"/>
                            <w:sz w:val="22"/>
                          </w:rPr>
                          <m:t>*</m:t>
                        </m:r>
                      </m:sup>
                    </m:sSup>
                  </m:sub>
                </m:sSub>
              </m:oMath>
            </m:oMathPara>
          </w:p>
        </w:tc>
        <w:tc>
          <w:tcPr>
            <w:tcW w:w="4240" w:type="pct"/>
            <w:tcBorders>
              <w:top w:val="single" w:sz="4" w:space="0" w:color="808080" w:themeColor="background1" w:themeShade="80"/>
              <w:bottom w:val="single" w:sz="6" w:space="0" w:color="808080" w:themeColor="background1" w:themeShade="80"/>
            </w:tcBorders>
            <w:shd w:val="clear" w:color="auto" w:fill="auto"/>
          </w:tcPr>
          <w:p w14:paraId="1DDE64A9" w14:textId="06AE9830" w:rsidR="002A4EE6" w:rsidRPr="006F5064" w:rsidRDefault="00615E1E" w:rsidP="00260D8A">
            <w:pPr>
              <w:pStyle w:val="TableText"/>
              <w:rPr>
                <w:sz w:val="20"/>
                <w:szCs w:val="20"/>
              </w:rPr>
            </w:pPr>
            <w:r w:rsidRPr="006F5064">
              <w:rPr>
                <w:sz w:val="20"/>
                <w:szCs w:val="20"/>
              </w:rPr>
              <w:t>Per-person cost of implementing intervention j*, as incurred by the agency funding the intervention</w:t>
            </w:r>
          </w:p>
        </w:tc>
      </w:tr>
      <w:tr w:rsidR="008B0BC7" w:rsidRPr="00C00335" w14:paraId="469D1FFD" w14:textId="77777777" w:rsidTr="002A4EE6">
        <w:trPr>
          <w:cantSplit/>
        </w:trPr>
        <w:tc>
          <w:tcPr>
            <w:tcW w:w="760" w:type="pct"/>
            <w:tcBorders>
              <w:top w:val="single" w:sz="6" w:space="0" w:color="808080" w:themeColor="background1" w:themeShade="80"/>
            </w:tcBorders>
            <w:shd w:val="clear" w:color="auto" w:fill="auto"/>
          </w:tcPr>
          <w:p w14:paraId="6D335D6A" w14:textId="3D3E8EE6" w:rsidR="008B0BC7" w:rsidRPr="00C00335" w:rsidRDefault="008B0BC7" w:rsidP="00D40CDC">
            <w:pPr>
              <w:pStyle w:val="TableText"/>
              <w:jc w:val="center"/>
              <w:rPr>
                <w:sz w:val="20"/>
              </w:rPr>
            </w:pPr>
            <w:r w:rsidRPr="00C00335">
              <w:rPr>
                <w:i/>
                <w:iCs/>
                <w:sz w:val="20"/>
              </w:rPr>
              <w:t>Τ</w:t>
            </w:r>
            <w:r w:rsidRPr="00C00335">
              <w:rPr>
                <w:iCs/>
                <w:sz w:val="20"/>
                <w:vertAlign w:val="subscript"/>
              </w:rPr>
              <w:t>p1,p2,c</w:t>
            </w:r>
          </w:p>
        </w:tc>
        <w:tc>
          <w:tcPr>
            <w:tcW w:w="4240" w:type="pct"/>
            <w:tcBorders>
              <w:top w:val="single" w:sz="6" w:space="0" w:color="808080" w:themeColor="background1" w:themeShade="80"/>
            </w:tcBorders>
            <w:shd w:val="clear" w:color="auto" w:fill="auto"/>
          </w:tcPr>
          <w:p w14:paraId="669393E2" w14:textId="12E33292" w:rsidR="008B0BC7" w:rsidRPr="00C00335" w:rsidRDefault="008B0BC7" w:rsidP="00D40CDC">
            <w:pPr>
              <w:pStyle w:val="TableText"/>
              <w:rPr>
                <w:sz w:val="20"/>
              </w:rPr>
            </w:pPr>
            <w:r w:rsidRPr="00C00335">
              <w:rPr>
                <w:sz w:val="20"/>
              </w:rPr>
              <w:t xml:space="preserve">Reduction in number of needles shared for diagnosed versus undiagnosed or uninfected (0 if compartment </w:t>
            </w:r>
            <w:r w:rsidRPr="00C00335">
              <w:rPr>
                <w:i/>
                <w:sz w:val="20"/>
              </w:rPr>
              <w:t>c</w:t>
            </w:r>
            <w:r w:rsidRPr="00C00335">
              <w:rPr>
                <w:sz w:val="20"/>
              </w:rPr>
              <w:t xml:space="preserve"> is for undiagnosed or uninfected compartments or if either subpopulations </w:t>
            </w:r>
            <w:r w:rsidRPr="00C00335">
              <w:rPr>
                <w:i/>
                <w:iCs/>
                <w:sz w:val="20"/>
              </w:rPr>
              <w:t>p1</w:t>
            </w:r>
            <w:r w:rsidRPr="00C00335">
              <w:rPr>
                <w:sz w:val="20"/>
              </w:rPr>
              <w:t xml:space="preserve"> or </w:t>
            </w:r>
            <w:r w:rsidRPr="00C00335">
              <w:rPr>
                <w:i/>
                <w:iCs/>
                <w:sz w:val="20"/>
              </w:rPr>
              <w:t>p2</w:t>
            </w:r>
            <w:r w:rsidRPr="00C00335">
              <w:rPr>
                <w:sz w:val="20"/>
              </w:rPr>
              <w:t xml:space="preserve"> are not </w:t>
            </w:r>
            <w:r w:rsidR="005C4A38" w:rsidRPr="00C00335">
              <w:rPr>
                <w:sz w:val="20"/>
              </w:rPr>
              <w:t>PWID</w:t>
            </w:r>
            <w:r w:rsidRPr="00C00335">
              <w:rPr>
                <w:sz w:val="20"/>
              </w:rPr>
              <w:t>)</w:t>
            </w:r>
          </w:p>
        </w:tc>
      </w:tr>
      <w:tr w:rsidR="00471793" w:rsidRPr="00C00335" w14:paraId="6DE6D882" w14:textId="77777777" w:rsidTr="002A4EE6">
        <w:trPr>
          <w:cantSplit/>
        </w:trPr>
        <w:tc>
          <w:tcPr>
            <w:tcW w:w="760" w:type="pct"/>
            <w:tcBorders>
              <w:top w:val="single" w:sz="6" w:space="0" w:color="808080" w:themeColor="background1" w:themeShade="80"/>
            </w:tcBorders>
            <w:shd w:val="clear" w:color="auto" w:fill="auto"/>
          </w:tcPr>
          <w:p w14:paraId="21C36958" w14:textId="58EEA1DD" w:rsidR="00471793" w:rsidRPr="006F5064" w:rsidRDefault="00471793" w:rsidP="00D40CDC">
            <w:pPr>
              <w:pStyle w:val="TableText"/>
              <w:jc w:val="center"/>
              <w:rPr>
                <w:i/>
                <w:iCs/>
                <w:sz w:val="20"/>
              </w:rPr>
            </w:pPr>
            <w:r w:rsidRPr="006F5064">
              <w:rPr>
                <w:rFonts w:asciiTheme="minorHAnsi" w:hAnsiTheme="minorHAnsi" w:cstheme="minorHAnsi"/>
                <w:sz w:val="22"/>
              </w:rPr>
              <w:t>Ṫ</w:t>
            </w:r>
          </w:p>
        </w:tc>
        <w:tc>
          <w:tcPr>
            <w:tcW w:w="4240" w:type="pct"/>
            <w:tcBorders>
              <w:top w:val="single" w:sz="6" w:space="0" w:color="808080" w:themeColor="background1" w:themeShade="80"/>
            </w:tcBorders>
            <w:shd w:val="clear" w:color="auto" w:fill="auto"/>
          </w:tcPr>
          <w:p w14:paraId="60AD2810" w14:textId="278B441E" w:rsidR="00471793" w:rsidRPr="006F5064" w:rsidRDefault="00471793" w:rsidP="00471793">
            <w:pPr>
              <w:pStyle w:val="TableText"/>
              <w:tabs>
                <w:tab w:val="center" w:pos="5381"/>
              </w:tabs>
              <w:rPr>
                <w:sz w:val="20"/>
              </w:rPr>
            </w:pPr>
            <w:r w:rsidRPr="006F5064">
              <w:rPr>
                <w:sz w:val="20"/>
              </w:rPr>
              <w:t>Length of time horizon (in years) over which resource allocation objective is optimized</w:t>
            </w:r>
          </w:p>
        </w:tc>
      </w:tr>
      <w:tr w:rsidR="00421CA0" w:rsidRPr="00C00335" w14:paraId="5AD9489E" w14:textId="77777777" w:rsidTr="002A4EE6">
        <w:trPr>
          <w:cantSplit/>
        </w:trPr>
        <w:tc>
          <w:tcPr>
            <w:tcW w:w="760" w:type="pct"/>
            <w:shd w:val="clear" w:color="auto" w:fill="auto"/>
          </w:tcPr>
          <w:p w14:paraId="6FF03F37" w14:textId="0E62378C" w:rsidR="00421CA0" w:rsidRPr="00C00335" w:rsidRDefault="00421CA0" w:rsidP="00D40CDC">
            <w:pPr>
              <w:pStyle w:val="TableText"/>
              <w:jc w:val="center"/>
              <w:rPr>
                <w:sz w:val="20"/>
              </w:rPr>
            </w:pPr>
            <m:oMathPara>
              <m:oMath>
                <m:r>
                  <w:rPr>
                    <w:rFonts w:ascii="Cambria Math" w:hAnsi="Cambria Math"/>
                    <w:sz w:val="20"/>
                  </w:rPr>
                  <m:t>u</m:t>
                </m:r>
              </m:oMath>
            </m:oMathPara>
          </w:p>
        </w:tc>
        <w:tc>
          <w:tcPr>
            <w:tcW w:w="4240" w:type="pct"/>
            <w:shd w:val="clear" w:color="auto" w:fill="auto"/>
          </w:tcPr>
          <w:p w14:paraId="6EB61890" w14:textId="68F9B1CD" w:rsidR="00421CA0" w:rsidRPr="00C00335" w:rsidRDefault="00421CA0" w:rsidP="00D40CDC">
            <w:pPr>
              <w:pStyle w:val="TableText"/>
              <w:rPr>
                <w:sz w:val="20"/>
              </w:rPr>
            </w:pPr>
            <w:r w:rsidRPr="00C00335">
              <w:rPr>
                <w:sz w:val="20"/>
              </w:rPr>
              <w:t>Percentage of the individuals who become VLS among those who are prescribed ART</w:t>
            </w:r>
          </w:p>
        </w:tc>
      </w:tr>
      <w:tr w:rsidR="002F5F01" w:rsidRPr="00C00335" w14:paraId="2F935BEC" w14:textId="77777777" w:rsidTr="002A4EE6">
        <w:trPr>
          <w:cantSplit/>
        </w:trPr>
        <w:tc>
          <w:tcPr>
            <w:tcW w:w="760" w:type="pct"/>
            <w:tcBorders>
              <w:bottom w:val="single" w:sz="4" w:space="0" w:color="808080" w:themeColor="background1" w:themeShade="80"/>
            </w:tcBorders>
            <w:shd w:val="clear" w:color="auto" w:fill="auto"/>
          </w:tcPr>
          <w:p w14:paraId="52715E4F" w14:textId="433A4094" w:rsidR="002F5F01" w:rsidRPr="00C00335" w:rsidRDefault="00747E9D" w:rsidP="00D40CDC">
            <w:pPr>
              <w:pStyle w:val="TableText"/>
              <w:jc w:val="center"/>
              <w:rPr>
                <w:i/>
                <w:sz w:val="20"/>
              </w:rPr>
            </w:pPr>
            <m:oMathPara>
              <m:oMath>
                <m:sSub>
                  <m:sSubPr>
                    <m:ctrlPr>
                      <w:rPr>
                        <w:rFonts w:ascii="Cambria Math" w:hAnsi="Cambria Math"/>
                        <w:i/>
                        <w:sz w:val="22"/>
                      </w:rPr>
                    </m:ctrlPr>
                  </m:sSubPr>
                  <m:e>
                    <m:r>
                      <m:rPr>
                        <m:sty m:val="p"/>
                      </m:rPr>
                      <w:rPr>
                        <w:rFonts w:ascii="Cambria Math" w:hAnsi="Cambria Math"/>
                      </w:rPr>
                      <m:t>u̇</m:t>
                    </m:r>
                  </m:e>
                  <m:sub>
                    <m:r>
                      <w:rPr>
                        <w:rFonts w:ascii="Cambria Math" w:hAnsi="Cambria Math"/>
                        <w:sz w:val="22"/>
                      </w:rPr>
                      <m:t>p,</m:t>
                    </m:r>
                    <m:sSup>
                      <m:sSupPr>
                        <m:ctrlPr>
                          <w:rPr>
                            <w:rFonts w:ascii="Cambria Math" w:eastAsiaTheme="minorHAnsi" w:hAnsi="Cambria Math" w:cs="Arial"/>
                            <w:i/>
                            <w:sz w:val="22"/>
                          </w:rPr>
                        </m:ctrlPr>
                      </m:sSupPr>
                      <m:e>
                        <m:r>
                          <w:rPr>
                            <w:rFonts w:ascii="Cambria Math" w:hAnsi="Cambria Math"/>
                            <w:sz w:val="22"/>
                          </w:rPr>
                          <m:t>j</m:t>
                        </m:r>
                      </m:e>
                      <m:sup>
                        <m:r>
                          <w:rPr>
                            <w:rFonts w:ascii="Cambria Math" w:hAnsi="Cambria Math"/>
                            <w:sz w:val="22"/>
                          </w:rPr>
                          <m:t>*</m:t>
                        </m:r>
                      </m:sup>
                    </m:sSup>
                  </m:sub>
                </m:sSub>
              </m:oMath>
            </m:oMathPara>
          </w:p>
        </w:tc>
        <w:tc>
          <w:tcPr>
            <w:tcW w:w="4240" w:type="pct"/>
            <w:tcBorders>
              <w:bottom w:val="single" w:sz="4" w:space="0" w:color="808080" w:themeColor="background1" w:themeShade="80"/>
            </w:tcBorders>
            <w:shd w:val="clear" w:color="auto" w:fill="auto"/>
          </w:tcPr>
          <w:p w14:paraId="623BEA2B" w14:textId="7CC3F5A3" w:rsidR="002F5F01" w:rsidRPr="00C00335" w:rsidRDefault="002F5F01" w:rsidP="00D40CDC">
            <w:pPr>
              <w:pStyle w:val="TableText"/>
              <w:rPr>
                <w:sz w:val="20"/>
              </w:rPr>
            </w:pPr>
            <w:r w:rsidRPr="00C00335">
              <w:rPr>
                <w:sz w:val="20"/>
              </w:rPr>
              <w:t>Binary indicator that subpopulation p is targeted by intervention j* (1 = included, 0 = not included)</w:t>
            </w:r>
          </w:p>
        </w:tc>
      </w:tr>
      <w:tr w:rsidR="00421CA0" w:rsidRPr="00C00335" w14:paraId="63C4F986" w14:textId="77777777" w:rsidTr="002A4EE6">
        <w:trPr>
          <w:cantSplit/>
        </w:trPr>
        <w:tc>
          <w:tcPr>
            <w:tcW w:w="760" w:type="pct"/>
            <w:tcBorders>
              <w:bottom w:val="single" w:sz="4" w:space="0" w:color="808080" w:themeColor="background1" w:themeShade="80"/>
            </w:tcBorders>
            <w:shd w:val="clear" w:color="auto" w:fill="auto"/>
          </w:tcPr>
          <w:p w14:paraId="5CC3BC6C" w14:textId="4E26EB4D" w:rsidR="00421CA0" w:rsidRPr="00C00335" w:rsidRDefault="00421CA0" w:rsidP="00D40CDC">
            <w:pPr>
              <w:pStyle w:val="TableText"/>
              <w:jc w:val="center"/>
              <w:rPr>
                <w:sz w:val="20"/>
              </w:rPr>
            </w:pPr>
            <w:r w:rsidRPr="00C00335">
              <w:rPr>
                <w:i/>
                <w:sz w:val="20"/>
              </w:rPr>
              <w:t>U</w:t>
            </w:r>
          </w:p>
        </w:tc>
        <w:tc>
          <w:tcPr>
            <w:tcW w:w="4240" w:type="pct"/>
            <w:tcBorders>
              <w:bottom w:val="single" w:sz="4" w:space="0" w:color="808080" w:themeColor="background1" w:themeShade="80"/>
            </w:tcBorders>
            <w:shd w:val="clear" w:color="auto" w:fill="auto"/>
          </w:tcPr>
          <w:p w14:paraId="5C207212" w14:textId="461DBD0B" w:rsidR="00421CA0" w:rsidRPr="00C00335" w:rsidRDefault="00421CA0" w:rsidP="00D40CDC">
            <w:pPr>
              <w:pStyle w:val="TableText"/>
              <w:rPr>
                <w:sz w:val="20"/>
              </w:rPr>
            </w:pPr>
            <w:r w:rsidRPr="00C00335">
              <w:rPr>
                <w:sz w:val="20"/>
              </w:rPr>
              <w:t>Discount rate for costs</w:t>
            </w:r>
          </w:p>
        </w:tc>
      </w:tr>
      <w:tr w:rsidR="00330DC3" w:rsidRPr="00C00335" w14:paraId="20E08290" w14:textId="77777777" w:rsidTr="002A4EE6">
        <w:trPr>
          <w:cantSplit/>
        </w:trPr>
        <w:tc>
          <w:tcPr>
            <w:tcW w:w="760" w:type="pct"/>
            <w:tcBorders>
              <w:bottom w:val="single" w:sz="4" w:space="0" w:color="808080" w:themeColor="background1" w:themeShade="80"/>
            </w:tcBorders>
            <w:shd w:val="clear" w:color="auto" w:fill="auto"/>
          </w:tcPr>
          <w:p w14:paraId="1C5B7E42" w14:textId="6F69EA1B" w:rsidR="00330DC3" w:rsidRPr="00C00335" w:rsidRDefault="00330DC3" w:rsidP="00D40CDC">
            <w:pPr>
              <w:pStyle w:val="TableText"/>
              <w:jc w:val="center"/>
              <w:rPr>
                <w:i/>
                <w:sz w:val="20"/>
              </w:rPr>
            </w:pPr>
            <w:r w:rsidRPr="00C00335">
              <w:rPr>
                <w:position w:val="-14"/>
                <w:sz w:val="20"/>
              </w:rPr>
              <w:object w:dxaOrig="580" w:dyaOrig="380" w14:anchorId="3A0F1373">
                <v:shape id="_x0000_i1081" type="#_x0000_t75" style="width:28.5pt;height:14.25pt" o:ole="">
                  <v:imagedata r:id="rId162" o:title=""/>
                </v:shape>
                <o:OLEObject Type="Embed" ProgID="Equation.3" ShapeID="_x0000_i1081" DrawAspect="Content" ObjectID="_1700043764" r:id="rId163"/>
              </w:object>
            </w:r>
          </w:p>
        </w:tc>
        <w:tc>
          <w:tcPr>
            <w:tcW w:w="4240" w:type="pct"/>
            <w:tcBorders>
              <w:bottom w:val="single" w:sz="4" w:space="0" w:color="808080" w:themeColor="background1" w:themeShade="80"/>
            </w:tcBorders>
            <w:shd w:val="clear" w:color="auto" w:fill="auto"/>
          </w:tcPr>
          <w:p w14:paraId="7D076CA9" w14:textId="70979E3E" w:rsidR="00330DC3" w:rsidRPr="00C00335" w:rsidRDefault="00330DC3" w:rsidP="00D40CDC">
            <w:pPr>
              <w:pStyle w:val="TableText"/>
              <w:rPr>
                <w:sz w:val="20"/>
              </w:rPr>
            </w:pPr>
            <w:r w:rsidRPr="00C00335">
              <w:rPr>
                <w:sz w:val="20"/>
              </w:rPr>
              <w:t xml:space="preserve">Proportion of male-male sex acts by individuals in subpopulation </w:t>
            </w:r>
            <w:r w:rsidRPr="00C00335">
              <w:rPr>
                <w:iCs/>
                <w:sz w:val="20"/>
              </w:rPr>
              <w:t>p1</w:t>
            </w:r>
            <w:r w:rsidRPr="00C00335">
              <w:rPr>
                <w:sz w:val="20"/>
              </w:rPr>
              <w:t xml:space="preserve"> with individuals in subpopulation </w:t>
            </w:r>
            <w:r w:rsidRPr="00C00335">
              <w:rPr>
                <w:iCs/>
                <w:sz w:val="20"/>
              </w:rPr>
              <w:t>p2</w:t>
            </w:r>
            <w:r w:rsidRPr="00C00335">
              <w:rPr>
                <w:sz w:val="20"/>
              </w:rPr>
              <w:t xml:space="preserve"> that are receptive (0 if subpopulation p1 or p2 is not MSM), so that (1 </w:t>
            </w:r>
            <w:r w:rsidRPr="00C00335">
              <w:t>−</w:t>
            </w:r>
            <w:r w:rsidRPr="00C00335">
              <w:rPr>
                <w:sz w:val="20"/>
              </w:rPr>
              <w:t xml:space="preserve"> </w:t>
            </w:r>
            <w:r w:rsidRPr="00C00335">
              <w:rPr>
                <w:position w:val="-14"/>
                <w:sz w:val="20"/>
              </w:rPr>
              <w:object w:dxaOrig="660" w:dyaOrig="380" w14:anchorId="4D470B03">
                <v:shape id="_x0000_i1082" type="#_x0000_t75" style="width:28.5pt;height:14.25pt" o:ole="">
                  <v:imagedata r:id="rId164" o:title=""/>
                </v:shape>
                <o:OLEObject Type="Embed" ProgID="Equation.3" ShapeID="_x0000_i1082" DrawAspect="Content" ObjectID="_1700043765" r:id="rId165"/>
              </w:object>
            </w:r>
            <w:r w:rsidRPr="00C00335">
              <w:rPr>
                <w:sz w:val="20"/>
              </w:rPr>
              <w:t xml:space="preserve">) is the fraction of </w:t>
            </w:r>
            <w:proofErr w:type="spellStart"/>
            <w:r w:rsidRPr="00C00335">
              <w:rPr>
                <w:sz w:val="20"/>
              </w:rPr>
              <w:t>insertive</w:t>
            </w:r>
            <w:proofErr w:type="spellEnd"/>
            <w:r w:rsidRPr="00C00335">
              <w:rPr>
                <w:sz w:val="20"/>
              </w:rPr>
              <w:t xml:space="preserve"> </w:t>
            </w:r>
            <w:r w:rsidR="00D10FEF" w:rsidRPr="00C00335">
              <w:rPr>
                <w:sz w:val="20"/>
              </w:rPr>
              <w:t xml:space="preserve">sex </w:t>
            </w:r>
            <w:proofErr w:type="spellStart"/>
            <w:r w:rsidR="00D10FEF" w:rsidRPr="00C00335">
              <w:rPr>
                <w:sz w:val="20"/>
              </w:rPr>
              <w:t>act</w:t>
            </w:r>
            <w:r w:rsidR="00471793">
              <w:rPr>
                <w:sz w:val="20"/>
              </w:rPr>
              <w:t>re</w:t>
            </w:r>
            <w:proofErr w:type="spellEnd"/>
          </w:p>
        </w:tc>
      </w:tr>
      <w:tr w:rsidR="008B0BC7" w:rsidRPr="00C00335" w14:paraId="319485C0" w14:textId="77777777" w:rsidTr="00F46463">
        <w:trPr>
          <w:cantSplit/>
        </w:trPr>
        <w:tc>
          <w:tcPr>
            <w:tcW w:w="760" w:type="pct"/>
            <w:tcBorders>
              <w:top w:val="single" w:sz="6" w:space="0" w:color="808080" w:themeColor="background1" w:themeShade="80"/>
            </w:tcBorders>
            <w:shd w:val="clear" w:color="auto" w:fill="auto"/>
          </w:tcPr>
          <w:p w14:paraId="5B32B122" w14:textId="060996FD" w:rsidR="008B0BC7" w:rsidRPr="006F5064" w:rsidRDefault="00747E9D" w:rsidP="00D40CDC">
            <w:pPr>
              <w:pStyle w:val="TableText"/>
              <w:jc w:val="center"/>
              <w:rPr>
                <w:sz w:val="20"/>
              </w:rPr>
            </w:pPr>
            <m:oMathPara>
              <m:oMath>
                <m:sSub>
                  <m:sSubPr>
                    <m:ctrlPr>
                      <w:rPr>
                        <w:rFonts w:ascii="Cambria Math" w:hAnsi="Cambria Math"/>
                        <w:i/>
                        <w:sz w:val="20"/>
                      </w:rPr>
                    </m:ctrlPr>
                  </m:sSubPr>
                  <m:e>
                    <m:r>
                      <w:rPr>
                        <w:rFonts w:ascii="Cambria Math" w:hAnsi="Cambria Math"/>
                        <w:sz w:val="20"/>
                      </w:rPr>
                      <m:t>w</m:t>
                    </m:r>
                  </m:e>
                  <m:sub>
                    <m:r>
                      <w:rPr>
                        <w:rFonts w:ascii="Cambria Math" w:hAnsi="Cambria Math"/>
                        <w:sz w:val="20"/>
                      </w:rPr>
                      <m:t>c,g</m:t>
                    </m:r>
                  </m:sub>
                </m:sSub>
              </m:oMath>
            </m:oMathPara>
          </w:p>
        </w:tc>
        <w:tc>
          <w:tcPr>
            <w:tcW w:w="4240" w:type="pct"/>
            <w:tcBorders>
              <w:top w:val="single" w:sz="6" w:space="0" w:color="808080" w:themeColor="background1" w:themeShade="80"/>
            </w:tcBorders>
            <w:shd w:val="clear" w:color="auto" w:fill="auto"/>
          </w:tcPr>
          <w:p w14:paraId="42C24316" w14:textId="38F21252" w:rsidR="008B0BC7" w:rsidRPr="006F5064" w:rsidRDefault="008B0BC7" w:rsidP="00D40CDC">
            <w:pPr>
              <w:pStyle w:val="TableText"/>
              <w:rPr>
                <w:sz w:val="20"/>
              </w:rPr>
            </w:pPr>
            <w:r w:rsidRPr="006F5064">
              <w:rPr>
                <w:sz w:val="20"/>
              </w:rPr>
              <w:t xml:space="preserve">Test sensitivity by compartment </w:t>
            </w:r>
            <w:r w:rsidRPr="006F5064">
              <w:rPr>
                <w:i/>
                <w:sz w:val="20"/>
              </w:rPr>
              <w:t>c</w:t>
            </w:r>
            <w:r w:rsidRPr="006F5064">
              <w:rPr>
                <w:sz w:val="20"/>
              </w:rPr>
              <w:t xml:space="preserve"> and type of test </w:t>
            </w:r>
            <w:r w:rsidRPr="006F5064">
              <w:rPr>
                <w:i/>
                <w:sz w:val="20"/>
              </w:rPr>
              <w:t>g</w:t>
            </w:r>
          </w:p>
        </w:tc>
      </w:tr>
      <w:tr w:rsidR="00421CA0" w:rsidRPr="00C00335" w14:paraId="0F274C40" w14:textId="77777777" w:rsidTr="002A4EE6">
        <w:trPr>
          <w:cantSplit/>
        </w:trPr>
        <w:tc>
          <w:tcPr>
            <w:tcW w:w="760" w:type="pct"/>
            <w:shd w:val="clear" w:color="auto" w:fill="auto"/>
          </w:tcPr>
          <w:p w14:paraId="35F4EC15" w14:textId="61BC4B8F" w:rsidR="00421CA0" w:rsidRPr="006F5064" w:rsidRDefault="00C73A9D" w:rsidP="00D40CDC">
            <w:pPr>
              <w:pStyle w:val="TableText"/>
              <w:jc w:val="center"/>
              <w:rPr>
                <w:sz w:val="20"/>
              </w:rPr>
            </w:pPr>
            <w:r w:rsidRPr="006F5064">
              <w:rPr>
                <w:position w:val="-14"/>
                <w:sz w:val="20"/>
              </w:rPr>
              <w:object w:dxaOrig="639" w:dyaOrig="400" w14:anchorId="193A041B">
                <v:shape id="_x0000_i1083" type="#_x0000_t75" style="width:36pt;height:22.5pt" o:ole="">
                  <v:imagedata r:id="rId166" o:title=""/>
                </v:shape>
                <o:OLEObject Type="Embed" ProgID="Equation.3" ShapeID="_x0000_i1083" DrawAspect="Content" ObjectID="_1700043766" r:id="rId167"/>
              </w:object>
            </w:r>
          </w:p>
        </w:tc>
        <w:tc>
          <w:tcPr>
            <w:tcW w:w="4240" w:type="pct"/>
            <w:shd w:val="clear" w:color="auto" w:fill="auto"/>
          </w:tcPr>
          <w:p w14:paraId="574EBE01" w14:textId="77777777" w:rsidR="00276B8E" w:rsidRDefault="00421CA0" w:rsidP="00D40CDC">
            <w:pPr>
              <w:pStyle w:val="TableText"/>
              <w:rPr>
                <w:i/>
                <w:sz w:val="20"/>
              </w:rPr>
            </w:pPr>
            <w:r w:rsidRPr="006F5064">
              <w:rPr>
                <w:sz w:val="20"/>
              </w:rPr>
              <w:t xml:space="preserve">Number of individuals in the population in compartment </w:t>
            </w:r>
            <w:r w:rsidRPr="006F5064">
              <w:rPr>
                <w:i/>
                <w:iCs/>
                <w:sz w:val="20"/>
              </w:rPr>
              <w:t>c</w:t>
            </w:r>
            <w:r w:rsidRPr="006F5064">
              <w:rPr>
                <w:sz w:val="20"/>
              </w:rPr>
              <w:t xml:space="preserve"> and demographic subpopulation </w:t>
            </w:r>
            <w:proofErr w:type="spellStart"/>
            <w:r w:rsidRPr="006F5064">
              <w:rPr>
                <w:i/>
                <w:iCs/>
                <w:sz w:val="20"/>
              </w:rPr>
              <w:t>p</w:t>
            </w:r>
            <w:r w:rsidRPr="006F5064">
              <w:rPr>
                <w:sz w:val="20"/>
              </w:rPr>
              <w:t xml:space="preserve"> at</w:t>
            </w:r>
            <w:proofErr w:type="spellEnd"/>
            <w:r w:rsidRPr="006F5064">
              <w:rPr>
                <w:sz w:val="20"/>
              </w:rPr>
              <w:t xml:space="preserve"> time </w:t>
            </w:r>
            <w:r w:rsidRPr="006F5064">
              <w:rPr>
                <w:i/>
                <w:sz w:val="20"/>
              </w:rPr>
              <w:t>t</w:t>
            </w:r>
            <w:r w:rsidR="00276B8E">
              <w:rPr>
                <w:i/>
                <w:sz w:val="20"/>
              </w:rPr>
              <w:t xml:space="preserve">. </w:t>
            </w:r>
          </w:p>
          <w:p w14:paraId="51EBDC43" w14:textId="77777777" w:rsidR="00276B8E" w:rsidRDefault="00276B8E" w:rsidP="00D40CDC">
            <w:pPr>
              <w:pStyle w:val="TableText"/>
              <w:rPr>
                <w:rFonts w:cstheme="minorHAnsi"/>
                <w:i/>
                <w:sz w:val="20"/>
              </w:rPr>
            </w:pPr>
          </w:p>
          <w:p w14:paraId="10119FAC" w14:textId="51E5DC0C" w:rsidR="00421CA0" w:rsidRPr="00276B8E" w:rsidRDefault="00276B8E" w:rsidP="00D40CDC">
            <w:pPr>
              <w:pStyle w:val="TableText"/>
              <w:rPr>
                <w:rFonts w:eastAsiaTheme="minorEastAsia"/>
                <w:sz w:val="20"/>
                <w:szCs w:val="20"/>
              </w:rPr>
            </w:pPr>
            <w:r w:rsidRPr="00F03065">
              <w:rPr>
                <w:sz w:val="20"/>
              </w:rPr>
              <w:t>When allocati</w:t>
            </w:r>
            <w:r w:rsidRPr="006F5064">
              <w:rPr>
                <w:sz w:val="20"/>
              </w:rPr>
              <w:t xml:space="preserve">on-based progression is used, </w:t>
            </w:r>
            <w:r>
              <w:rPr>
                <w:sz w:val="20"/>
              </w:rPr>
              <w:t>the variable is</w:t>
            </w:r>
            <w:r w:rsidRPr="006F5064">
              <w:rPr>
                <w:sz w:val="20"/>
              </w:rPr>
              <w:t xml:space="preserve"> </w:t>
            </w:r>
            <w:r>
              <w:rPr>
                <w:sz w:val="20"/>
              </w:rPr>
              <w:t xml:space="preserve">represented by </w:t>
            </w:r>
            <m:oMath>
              <m:sSubSup>
                <m:sSubSupPr>
                  <m:ctrlPr>
                    <w:rPr>
                      <w:rFonts w:ascii="Cambria Math" w:hAnsi="Cambria Math"/>
                      <w:i/>
                    </w:rPr>
                  </m:ctrlPr>
                </m:sSubSupPr>
                <m:e>
                  <m:r>
                    <w:rPr>
                      <w:rFonts w:ascii="Cambria Math" w:hAnsi="Cambria Math"/>
                    </w:rPr>
                    <m:t>X</m:t>
                  </m:r>
                </m:e>
                <m:sub>
                  <m:r>
                    <w:rPr>
                      <w:rFonts w:ascii="Cambria Math" w:hAnsi="Cambria Math"/>
                    </w:rPr>
                    <m:t>p</m:t>
                  </m:r>
                </m:sub>
                <m:sup>
                  <m:r>
                    <w:rPr>
                      <w:rFonts w:ascii="Cambria Math" w:hAnsi="Cambria Math"/>
                    </w:rPr>
                    <m:t>c</m:t>
                  </m:r>
                </m:sup>
              </m:sSubSup>
              <m:d>
                <m:dPr>
                  <m:ctrlPr>
                    <w:rPr>
                      <w:rFonts w:ascii="Cambria Math" w:hAnsi="Cambria Math"/>
                      <w:i/>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j*,u</m:t>
                      </m:r>
                    </m:sub>
                    <m:sup>
                      <m:r>
                        <m:rPr>
                          <m:sty m:val="bi"/>
                        </m:rPr>
                        <w:rPr>
                          <w:rFonts w:ascii="Cambria Math" w:hAnsi="Cambria Math" w:cstheme="minorHAnsi"/>
                          <w:sz w:val="22"/>
                        </w:rPr>
                        <m:t>q</m:t>
                      </m:r>
                    </m:sup>
                  </m:sSubSup>
                  <m:r>
                    <w:rPr>
                      <w:rFonts w:ascii="Cambria Math" w:hAnsi="Cambria Math"/>
                    </w:rPr>
                    <m:t>,t</m:t>
                  </m:r>
                </m:e>
              </m:d>
            </m:oMath>
            <w:r>
              <w:rPr>
                <w:sz w:val="20"/>
              </w:rPr>
              <w:t>, reflecting the same measure, but</w:t>
            </w:r>
            <w:r w:rsidRPr="00976E8B">
              <w:rPr>
                <w:sz w:val="20"/>
                <w:szCs w:val="20"/>
              </w:rPr>
              <w:t xml:space="preserve"> </w:t>
            </w:r>
            <w:r>
              <w:rPr>
                <w:sz w:val="20"/>
                <w:szCs w:val="20"/>
              </w:rPr>
              <w:t>dependent on</w:t>
            </w:r>
            <w:r w:rsidRPr="00976E8B">
              <w:rPr>
                <w:rFonts w:eastAsiaTheme="minorEastAsia"/>
                <w:sz w:val="20"/>
                <w:szCs w:val="20"/>
              </w:rPr>
              <w:t xml:space="preserve"> the annual funding allocation </w:t>
            </w:r>
            <m:oMath>
              <m:sSubSup>
                <m:sSubSupPr>
                  <m:ctrlPr>
                    <w:rPr>
                      <w:rFonts w:ascii="Cambria Math" w:hAnsi="Cambria Math"/>
                      <w:sz w:val="20"/>
                      <w:szCs w:val="20"/>
                    </w:rPr>
                  </m:ctrlPr>
                </m:sSubSupPr>
                <m:e>
                  <m:r>
                    <m:rPr>
                      <m:sty m:val="p"/>
                    </m:rPr>
                    <w:rPr>
                      <w:rFonts w:ascii="Cambria Math" w:hAnsi="Cambria Math"/>
                      <w:sz w:val="20"/>
                      <w:szCs w:val="20"/>
                    </w:rPr>
                    <m:t>ṅ</m:t>
                  </m:r>
                </m:e>
                <m:sub>
                  <m:sSup>
                    <m:sSupPr>
                      <m:ctrlPr>
                        <w:rPr>
                          <w:rFonts w:ascii="Cambria Math" w:hAnsi="Cambria Math"/>
                          <w:sz w:val="20"/>
                          <w:szCs w:val="20"/>
                        </w:rPr>
                      </m:ctrlPr>
                    </m:sSupPr>
                    <m:e>
                      <m:r>
                        <m:rPr>
                          <m:sty m:val="bi"/>
                        </m:rPr>
                        <w:rPr>
                          <w:rFonts w:ascii="Cambria Math" w:hAnsi="Cambria Math"/>
                          <w:sz w:val="20"/>
                          <w:szCs w:val="20"/>
                        </w:rPr>
                        <m:t>j</m:t>
                      </m:r>
                    </m:e>
                    <m:sup>
                      <m:r>
                        <m:rPr>
                          <m:sty m:val="p"/>
                        </m:rPr>
                        <w:rPr>
                          <w:rFonts w:ascii="Cambria Math" w:hAnsi="Cambria Math"/>
                          <w:sz w:val="20"/>
                          <w:szCs w:val="20"/>
                        </w:rPr>
                        <m:t>*</m:t>
                      </m:r>
                    </m:sup>
                  </m:sSup>
                </m:sub>
                <m:sup>
                  <m:r>
                    <m:rPr>
                      <m:sty m:val="bi"/>
                    </m:rPr>
                    <w:rPr>
                      <w:rFonts w:ascii="Cambria Math" w:hAnsi="Cambria Math"/>
                      <w:sz w:val="20"/>
                      <w:szCs w:val="20"/>
                    </w:rPr>
                    <m:t>q</m:t>
                  </m:r>
                </m:sup>
              </m:sSubSup>
            </m:oMath>
            <w:r>
              <w:rPr>
                <w:rFonts w:eastAsiaTheme="minorEastAsia"/>
                <w:sz w:val="20"/>
                <w:szCs w:val="20"/>
              </w:rPr>
              <w:t>.</w:t>
            </w:r>
          </w:p>
        </w:tc>
      </w:tr>
      <w:tr w:rsidR="008B0BC7" w:rsidRPr="00C00335" w14:paraId="0CEE93F9" w14:textId="77777777" w:rsidTr="002A4EE6">
        <w:trPr>
          <w:cantSplit/>
        </w:trPr>
        <w:tc>
          <w:tcPr>
            <w:tcW w:w="760" w:type="pct"/>
            <w:shd w:val="clear" w:color="auto" w:fill="auto"/>
          </w:tcPr>
          <w:p w14:paraId="2F0DF108" w14:textId="0985C512" w:rsidR="008B0BC7" w:rsidRPr="00C00335" w:rsidRDefault="008B0BC7" w:rsidP="00D40CDC">
            <w:pPr>
              <w:pStyle w:val="TableText"/>
              <w:jc w:val="center"/>
              <w:rPr>
                <w:sz w:val="20"/>
              </w:rPr>
            </w:pPr>
            <w:proofErr w:type="spellStart"/>
            <w:r w:rsidRPr="00C00335">
              <w:rPr>
                <w:sz w:val="20"/>
              </w:rPr>
              <w:t>Y</w:t>
            </w:r>
            <w:r w:rsidRPr="00C00335">
              <w:rPr>
                <w:sz w:val="20"/>
                <w:vertAlign w:val="subscript"/>
              </w:rPr>
              <w:t>p</w:t>
            </w:r>
            <w:proofErr w:type="spellEnd"/>
          </w:p>
        </w:tc>
        <w:tc>
          <w:tcPr>
            <w:tcW w:w="4240" w:type="pct"/>
            <w:shd w:val="clear" w:color="auto" w:fill="auto"/>
          </w:tcPr>
          <w:p w14:paraId="44E47F25" w14:textId="724826E5" w:rsidR="008B0BC7" w:rsidRPr="00C00335" w:rsidRDefault="008B0BC7" w:rsidP="00766A8C">
            <w:pPr>
              <w:pStyle w:val="TableText"/>
              <w:rPr>
                <w:sz w:val="20"/>
              </w:rPr>
            </w:pPr>
            <w:r w:rsidRPr="00C00335">
              <w:rPr>
                <w:sz w:val="20"/>
              </w:rPr>
              <w:t xml:space="preserve">Annual probability of </w:t>
            </w:r>
            <w:r w:rsidR="00766A8C" w:rsidRPr="00C00335">
              <w:rPr>
                <w:sz w:val="20"/>
              </w:rPr>
              <w:t>stopping</w:t>
            </w:r>
            <w:r w:rsidRPr="00C00335">
              <w:rPr>
                <w:sz w:val="20"/>
              </w:rPr>
              <w:t xml:space="preserve"> </w:t>
            </w:r>
            <w:proofErr w:type="spellStart"/>
            <w:r w:rsidRPr="00C00335">
              <w:rPr>
                <w:sz w:val="20"/>
              </w:rPr>
              <w:t>PrEP</w:t>
            </w:r>
            <w:proofErr w:type="spellEnd"/>
            <w:r w:rsidRPr="00C00335">
              <w:rPr>
                <w:sz w:val="20"/>
              </w:rPr>
              <w:t>, if susceptible and on-</w:t>
            </w:r>
            <w:proofErr w:type="spellStart"/>
            <w:r w:rsidRPr="00C00335">
              <w:rPr>
                <w:sz w:val="20"/>
              </w:rPr>
              <w:t>PrEP</w:t>
            </w:r>
            <w:proofErr w:type="spellEnd"/>
            <w:r w:rsidRPr="00C00335">
              <w:rPr>
                <w:sz w:val="20"/>
              </w:rPr>
              <w:t xml:space="preserve"> for subpopulation </w:t>
            </w:r>
            <w:r w:rsidRPr="00C00335">
              <w:rPr>
                <w:i/>
                <w:iCs/>
                <w:sz w:val="20"/>
              </w:rPr>
              <w:t>p</w:t>
            </w:r>
          </w:p>
        </w:tc>
      </w:tr>
      <w:tr w:rsidR="006E471A" w:rsidRPr="00C00335" w14:paraId="56AC85A2" w14:textId="77777777" w:rsidTr="002A4EE6">
        <w:trPr>
          <w:cantSplit/>
        </w:trPr>
        <w:tc>
          <w:tcPr>
            <w:tcW w:w="760" w:type="pct"/>
            <w:tcBorders>
              <w:bottom w:val="single" w:sz="4" w:space="0" w:color="808080" w:themeColor="background1" w:themeShade="80"/>
            </w:tcBorders>
            <w:shd w:val="clear" w:color="auto" w:fill="auto"/>
          </w:tcPr>
          <w:p w14:paraId="4237BC04" w14:textId="7C0B291D" w:rsidR="006E471A" w:rsidRPr="006F5064" w:rsidRDefault="00747E9D" w:rsidP="009F3B77">
            <w:pPr>
              <w:pStyle w:val="TableText"/>
              <w:jc w:val="center"/>
              <w:rPr>
                <w:sz w:val="22"/>
              </w:rPr>
            </w:pPr>
            <m:oMathPara>
              <m:oMath>
                <m:sSub>
                  <m:sSubPr>
                    <m:ctrlPr>
                      <w:rPr>
                        <w:rFonts w:ascii="Cambria Math" w:hAnsi="Cambria Math" w:cstheme="minorHAnsi"/>
                        <w:i/>
                        <w:sz w:val="22"/>
                      </w:rPr>
                    </m:ctrlPr>
                  </m:sSubPr>
                  <m:e>
                    <m:r>
                      <m:rPr>
                        <m:sty m:val="p"/>
                      </m:rPr>
                      <w:rPr>
                        <w:rFonts w:ascii="Cambria Math" w:hAnsi="Cambria Math" w:cstheme="minorHAnsi"/>
                        <w:sz w:val="22"/>
                      </w:rPr>
                      <m:t>ẏ</m:t>
                    </m:r>
                  </m:e>
                  <m:sub>
                    <m:r>
                      <w:rPr>
                        <w:rFonts w:ascii="Cambria Math" w:hAnsi="Cambria Math" w:cstheme="minorHAnsi"/>
                        <w:sz w:val="22"/>
                      </w:rPr>
                      <m:t>p,</m:t>
                    </m:r>
                    <m:sSup>
                      <m:sSupPr>
                        <m:ctrlPr>
                          <w:rPr>
                            <w:rFonts w:ascii="Cambria Math" w:hAnsi="Cambria Math" w:cstheme="minorHAnsi"/>
                            <w:i/>
                            <w:sz w:val="22"/>
                          </w:rPr>
                        </m:ctrlPr>
                      </m:sSupPr>
                      <m:e>
                        <m:r>
                          <w:rPr>
                            <w:rFonts w:ascii="Cambria Math" w:hAnsi="Cambria Math" w:cstheme="minorHAnsi"/>
                            <w:sz w:val="22"/>
                          </w:rPr>
                          <m:t>j</m:t>
                        </m:r>
                      </m:e>
                      <m:sup>
                        <m:r>
                          <w:rPr>
                            <w:rFonts w:ascii="Cambria Math" w:hAnsi="Cambria Math" w:cstheme="minorHAnsi"/>
                            <w:sz w:val="22"/>
                          </w:rPr>
                          <m:t>*</m:t>
                        </m:r>
                      </m:sup>
                    </m:sSup>
                  </m:sub>
                </m:sSub>
                <m:d>
                  <m:dPr>
                    <m:ctrlPr>
                      <w:rPr>
                        <w:rFonts w:ascii="Cambria Math" w:hAnsi="Cambria Math" w:cstheme="minorHAnsi"/>
                        <w:i/>
                        <w:sz w:val="22"/>
                      </w:rPr>
                    </m:ctrlPr>
                  </m:dPr>
                  <m:e>
                    <m:sSubSup>
                      <m:sSubSupPr>
                        <m:ctrlPr>
                          <w:rPr>
                            <w:rFonts w:ascii="Cambria Math" w:hAnsi="Cambria Math" w:cstheme="minorHAnsi"/>
                            <w:sz w:val="22"/>
                          </w:rPr>
                        </m:ctrlPr>
                      </m:sSubSupPr>
                      <m:e>
                        <m:r>
                          <m:rPr>
                            <m:sty m:val="p"/>
                          </m:rPr>
                          <w:rPr>
                            <w:rFonts w:ascii="Cambria Math" w:hAnsi="Cambria Math" w:cstheme="minorHAnsi"/>
                            <w:sz w:val="22"/>
                          </w:rPr>
                          <m:t>ṅ</m:t>
                        </m:r>
                      </m:e>
                      <m:sub>
                        <m:sSup>
                          <m:sSupPr>
                            <m:ctrlPr>
                              <w:rPr>
                                <w:rFonts w:ascii="Cambria Math" w:hAnsi="Cambria Math" w:cstheme="minorHAnsi"/>
                                <w:i/>
                                <w:sz w:val="22"/>
                              </w:rPr>
                            </m:ctrlPr>
                          </m:sSupPr>
                          <m:e>
                            <m:r>
                              <w:rPr>
                                <w:rFonts w:ascii="Cambria Math" w:hAnsi="Cambria Math" w:cstheme="minorHAnsi"/>
                                <w:sz w:val="22"/>
                              </w:rPr>
                              <m:t>j</m:t>
                            </m:r>
                          </m:e>
                          <m:sup>
                            <m:r>
                              <w:rPr>
                                <w:rFonts w:ascii="Cambria Math" w:hAnsi="Cambria Math" w:cstheme="minorHAnsi"/>
                                <w:sz w:val="22"/>
                              </w:rPr>
                              <m:t>*</m:t>
                            </m:r>
                          </m:sup>
                        </m:sSup>
                      </m:sub>
                      <m:sup>
                        <m:r>
                          <w:rPr>
                            <w:rFonts w:ascii="Cambria Math" w:hAnsi="Cambria Math" w:cstheme="minorHAnsi"/>
                            <w:sz w:val="22"/>
                          </w:rPr>
                          <m:t>q</m:t>
                        </m:r>
                      </m:sup>
                    </m:sSubSup>
                    <m:r>
                      <w:rPr>
                        <w:rFonts w:ascii="Cambria Math" w:hAnsi="Cambria Math" w:cstheme="minorHAnsi"/>
                        <w:sz w:val="22"/>
                      </w:rPr>
                      <m:t>,t</m:t>
                    </m:r>
                  </m:e>
                </m:d>
              </m:oMath>
            </m:oMathPara>
          </w:p>
        </w:tc>
        <w:tc>
          <w:tcPr>
            <w:tcW w:w="4240" w:type="pct"/>
            <w:tcBorders>
              <w:bottom w:val="single" w:sz="4" w:space="0" w:color="808080" w:themeColor="background1" w:themeShade="80"/>
            </w:tcBorders>
            <w:shd w:val="clear" w:color="auto" w:fill="auto"/>
          </w:tcPr>
          <w:p w14:paraId="6F34C668" w14:textId="70B94FBE" w:rsidR="006E471A" w:rsidRPr="006F5064" w:rsidRDefault="00AC6259" w:rsidP="000A5893">
            <w:pPr>
              <w:pStyle w:val="Tabletext0"/>
              <w:spacing w:line="240" w:lineRule="auto"/>
              <w:rPr>
                <w:sz w:val="20"/>
                <w:szCs w:val="24"/>
              </w:rPr>
            </w:pPr>
            <w:r>
              <w:rPr>
                <w:rFonts w:ascii="Verdana" w:eastAsiaTheme="minorEastAsia" w:hAnsi="Verdana" w:cstheme="minorHAnsi"/>
                <w:sz w:val="20"/>
              </w:rPr>
              <w:t>When allocation-based progression is used, n</w:t>
            </w:r>
            <w:r w:rsidR="006E471A" w:rsidRPr="006F5064">
              <w:rPr>
                <w:rFonts w:ascii="Verdana" w:hAnsi="Verdana" w:cstheme="minorHAnsi"/>
                <w:sz w:val="20"/>
              </w:rPr>
              <w:t xml:space="preserve">umber of times intervention </w:t>
            </w:r>
            <w:r w:rsidR="006E471A" w:rsidRPr="006F5064">
              <w:rPr>
                <w:rFonts w:ascii="Verdana" w:hAnsi="Verdana" w:cstheme="minorHAnsi"/>
                <w:i/>
                <w:iCs/>
                <w:sz w:val="20"/>
              </w:rPr>
              <w:t>j*</w:t>
            </w:r>
            <w:r w:rsidR="006E471A" w:rsidRPr="006F5064">
              <w:rPr>
                <w:rFonts w:ascii="Verdana" w:hAnsi="Verdana" w:cstheme="minorHAnsi"/>
                <w:sz w:val="20"/>
              </w:rPr>
              <w:t xml:space="preserve"> is funded for individuals in subpopulation </w:t>
            </w:r>
            <w:r w:rsidR="006E471A" w:rsidRPr="006F5064">
              <w:rPr>
                <w:rFonts w:ascii="Verdana" w:hAnsi="Verdana" w:cstheme="minorHAnsi"/>
                <w:i/>
                <w:iCs/>
                <w:sz w:val="20"/>
              </w:rPr>
              <w:t>p</w:t>
            </w:r>
            <w:r w:rsidR="006E471A" w:rsidRPr="006F5064">
              <w:rPr>
                <w:rFonts w:ascii="Verdana" w:hAnsi="Verdana" w:cstheme="minorHAnsi"/>
                <w:sz w:val="20"/>
              </w:rPr>
              <w:t xml:space="preserve"> over time step </w:t>
            </w:r>
            <w:r w:rsidR="006E471A" w:rsidRPr="006F5064">
              <w:rPr>
                <w:rFonts w:ascii="Verdana" w:hAnsi="Verdana" w:cstheme="minorHAnsi"/>
                <w:i/>
                <w:iCs/>
                <w:sz w:val="20"/>
              </w:rPr>
              <w:t>t</w:t>
            </w:r>
            <w:r w:rsidR="006E471A" w:rsidRPr="006F5064">
              <w:rPr>
                <w:rFonts w:ascii="Verdana" w:hAnsi="Verdana" w:cstheme="minorHAnsi"/>
                <w:sz w:val="20"/>
              </w:rPr>
              <w:t xml:space="preserve">, given allocated budget </w:t>
            </w:r>
            <m:oMath>
              <m:sSubSup>
                <m:sSubSupPr>
                  <m:ctrlPr>
                    <w:rPr>
                      <w:rFonts w:ascii="Cambria Math" w:hAnsi="Cambria Math" w:cstheme="minorHAnsi"/>
                      <w:b/>
                      <w:sz w:val="20"/>
                    </w:rPr>
                  </m:ctrlPr>
                </m:sSubSupPr>
                <m:e>
                  <m:r>
                    <m:rPr>
                      <m:sty m:val="b"/>
                    </m:rPr>
                    <w:rPr>
                      <w:rFonts w:ascii="Cambria Math" w:hAnsi="Cambria Math" w:cstheme="minorHAnsi"/>
                      <w:sz w:val="20"/>
                    </w:rPr>
                    <m:t>ṅ</m:t>
                  </m:r>
                </m:e>
                <m:sub>
                  <m:sSup>
                    <m:sSupPr>
                      <m:ctrlPr>
                        <w:rPr>
                          <w:rFonts w:ascii="Cambria Math" w:hAnsi="Cambria Math" w:cstheme="minorHAnsi"/>
                          <w:b/>
                          <w:i/>
                          <w:sz w:val="20"/>
                        </w:rPr>
                      </m:ctrlPr>
                    </m:sSupPr>
                    <m:e>
                      <m:r>
                        <m:rPr>
                          <m:sty m:val="bi"/>
                        </m:rPr>
                        <w:rPr>
                          <w:rFonts w:ascii="Cambria Math" w:hAnsi="Cambria Math" w:cstheme="minorHAnsi"/>
                          <w:sz w:val="20"/>
                        </w:rPr>
                        <m:t>j</m:t>
                      </m:r>
                    </m:e>
                    <m:sup>
                      <m:r>
                        <m:rPr>
                          <m:sty m:val="bi"/>
                        </m:rPr>
                        <w:rPr>
                          <w:rFonts w:ascii="Cambria Math" w:hAnsi="Cambria Math" w:cstheme="minorHAnsi"/>
                          <w:sz w:val="20"/>
                        </w:rPr>
                        <m:t>*</m:t>
                      </m:r>
                    </m:sup>
                  </m:sSup>
                </m:sub>
                <m:sup>
                  <m:r>
                    <m:rPr>
                      <m:sty m:val="bi"/>
                    </m:rPr>
                    <w:rPr>
                      <w:rFonts w:ascii="Cambria Math" w:hAnsi="Cambria Math" w:cstheme="minorHAnsi"/>
                      <w:sz w:val="20"/>
                    </w:rPr>
                    <m:t>q</m:t>
                  </m:r>
                </m:sup>
              </m:sSubSup>
            </m:oMath>
          </w:p>
        </w:tc>
      </w:tr>
      <w:tr w:rsidR="00282784" w:rsidRPr="00C00335" w14:paraId="411B4B41" w14:textId="77777777" w:rsidTr="002A4EE6">
        <w:trPr>
          <w:cantSplit/>
        </w:trPr>
        <w:tc>
          <w:tcPr>
            <w:tcW w:w="760" w:type="pct"/>
            <w:tcBorders>
              <w:bottom w:val="single" w:sz="4" w:space="0" w:color="808080" w:themeColor="background1" w:themeShade="80"/>
            </w:tcBorders>
            <w:shd w:val="clear" w:color="auto" w:fill="auto"/>
          </w:tcPr>
          <w:p w14:paraId="233CFB41" w14:textId="089E8466" w:rsidR="00282784" w:rsidRPr="00C00335" w:rsidRDefault="00747E9D" w:rsidP="009F3B77">
            <w:pPr>
              <w:pStyle w:val="TableText"/>
              <w:jc w:val="center"/>
              <w:rPr>
                <w:sz w:val="20"/>
              </w:rPr>
            </w:pPr>
            <m:oMath>
              <m:sSubSup>
                <m:sSubSupPr>
                  <m:ctrlPr>
                    <w:rPr>
                      <w:rFonts w:ascii="Cambria Math" w:hAnsi="Cambria Math"/>
                      <w:b/>
                      <w:sz w:val="22"/>
                    </w:rPr>
                  </m:ctrlPr>
                </m:sSubSupPr>
                <m:e>
                  <m:r>
                    <m:rPr>
                      <m:sty m:val="b"/>
                    </m:rPr>
                    <w:rPr>
                      <w:rFonts w:ascii="Cambria Math" w:hAnsi="Cambria Math"/>
                      <w:sz w:val="22"/>
                    </w:rPr>
                    <m:t>ẏ</m:t>
                  </m:r>
                </m:e>
                <m:sub>
                  <m:r>
                    <w:rPr>
                      <w:rFonts w:ascii="Cambria Math" w:hAnsi="Cambria Math"/>
                      <w:sz w:val="22"/>
                    </w:rPr>
                    <m:t>c,p</m:t>
                  </m:r>
                </m:sub>
                <m:sup>
                  <m:r>
                    <m:rPr>
                      <m:sty m:val="bi"/>
                    </m:rPr>
                    <w:rPr>
                      <w:rFonts w:ascii="Cambria Math" w:hAnsi="Cambria Math"/>
                      <w:sz w:val="22"/>
                    </w:rPr>
                    <m:t>j*</m:t>
                  </m:r>
                </m:sup>
              </m:sSubSup>
            </m:oMath>
            <w:r w:rsidR="00282784" w:rsidRPr="00C00335">
              <w:rPr>
                <w:sz w:val="22"/>
              </w:rPr>
              <w:t xml:space="preserve"> </w:t>
            </w:r>
          </w:p>
        </w:tc>
        <w:tc>
          <w:tcPr>
            <w:tcW w:w="4240" w:type="pct"/>
            <w:tcBorders>
              <w:bottom w:val="single" w:sz="4" w:space="0" w:color="808080" w:themeColor="background1" w:themeShade="80"/>
            </w:tcBorders>
            <w:shd w:val="clear" w:color="auto" w:fill="auto"/>
          </w:tcPr>
          <w:p w14:paraId="757FC0FB" w14:textId="2F6B42CE" w:rsidR="00282784" w:rsidRPr="00C10E86" w:rsidRDefault="00970794" w:rsidP="009F3B77">
            <w:pPr>
              <w:pStyle w:val="TableText"/>
              <w:rPr>
                <w:sz w:val="20"/>
                <w:szCs w:val="24"/>
              </w:rPr>
            </w:pPr>
            <w:r w:rsidRPr="000B6B04">
              <w:rPr>
                <w:sz w:val="20"/>
                <w:szCs w:val="24"/>
              </w:rPr>
              <w:t>Rate of progression targeted by intervention j* for individuals in subpopulation p and compartment c in time period 2</w:t>
            </w:r>
          </w:p>
        </w:tc>
      </w:tr>
    </w:tbl>
    <w:p w14:paraId="374F08C7" w14:textId="77777777" w:rsidR="004A1C14" w:rsidRPr="00C00335" w:rsidRDefault="004A1C14" w:rsidP="004A1C14">
      <w:pPr>
        <w:pStyle w:val="Tablecont"/>
        <w:rPr>
          <w:sz w:val="20"/>
        </w:rPr>
      </w:pPr>
      <w:r w:rsidRPr="00C00335">
        <w:rPr>
          <w:sz w:val="20"/>
        </w:rPr>
        <w:t>(continued)</w:t>
      </w:r>
    </w:p>
    <w:p w14:paraId="6E1089B7" w14:textId="77777777" w:rsidR="004A1C14" w:rsidRPr="00C00335" w:rsidRDefault="004A1C14" w:rsidP="004A1C14">
      <w:pPr>
        <w:pStyle w:val="TableTitlecont"/>
      </w:pPr>
      <w:r w:rsidRPr="00C00335">
        <w:lastRenderedPageBreak/>
        <w:t>Table A.1.</w:t>
      </w:r>
      <w:r w:rsidRPr="00C00335">
        <w:tab/>
        <w:t>Definitions of Symbols Applied in This Document (continued)</w:t>
      </w:r>
    </w:p>
    <w:tbl>
      <w:tblPr>
        <w:tblW w:w="5001"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970"/>
        <w:gridCol w:w="10993"/>
      </w:tblGrid>
      <w:tr w:rsidR="004A1C14" w:rsidRPr="00C00335" w14:paraId="55D403F3" w14:textId="77777777" w:rsidTr="002A4EE6">
        <w:trPr>
          <w:cantSplit/>
          <w:tblHeader/>
        </w:trPr>
        <w:tc>
          <w:tcPr>
            <w:tcW w:w="760" w:type="pct"/>
            <w:tcBorders>
              <w:top w:val="single" w:sz="12" w:space="0" w:color="auto"/>
              <w:bottom w:val="single" w:sz="6" w:space="0" w:color="auto"/>
            </w:tcBorders>
            <w:shd w:val="clear" w:color="auto" w:fill="auto"/>
          </w:tcPr>
          <w:p w14:paraId="0B802001" w14:textId="77777777" w:rsidR="004A1C14" w:rsidRPr="00C00335" w:rsidRDefault="004A1C14" w:rsidP="00F52C23">
            <w:pPr>
              <w:pStyle w:val="TableHeaders"/>
              <w:rPr>
                <w:sz w:val="20"/>
              </w:rPr>
            </w:pPr>
            <w:r w:rsidRPr="00C00335">
              <w:rPr>
                <w:sz w:val="20"/>
              </w:rPr>
              <w:t>Symbol</w:t>
            </w:r>
          </w:p>
        </w:tc>
        <w:tc>
          <w:tcPr>
            <w:tcW w:w="4240" w:type="pct"/>
            <w:tcBorders>
              <w:top w:val="single" w:sz="12" w:space="0" w:color="auto"/>
              <w:bottom w:val="single" w:sz="6" w:space="0" w:color="auto"/>
            </w:tcBorders>
            <w:shd w:val="clear" w:color="auto" w:fill="auto"/>
          </w:tcPr>
          <w:p w14:paraId="4D5876D7" w14:textId="77777777" w:rsidR="004A1C14" w:rsidRPr="00C00335" w:rsidRDefault="004A1C14" w:rsidP="00F52C23">
            <w:pPr>
              <w:pStyle w:val="TableHeaders"/>
              <w:jc w:val="left"/>
              <w:rPr>
                <w:sz w:val="20"/>
              </w:rPr>
            </w:pPr>
            <w:r w:rsidRPr="00C00335">
              <w:rPr>
                <w:sz w:val="20"/>
              </w:rPr>
              <w:t>Definition</w:t>
            </w:r>
          </w:p>
        </w:tc>
      </w:tr>
      <w:tr w:rsidR="002A4EE6" w:rsidRPr="00C00335" w14:paraId="0170DBA8" w14:textId="77777777" w:rsidTr="002A4EE6">
        <w:trPr>
          <w:cantSplit/>
        </w:trPr>
        <w:tc>
          <w:tcPr>
            <w:tcW w:w="5000" w:type="pct"/>
            <w:gridSpan w:val="2"/>
            <w:tcBorders>
              <w:bottom w:val="single" w:sz="4" w:space="0" w:color="808080" w:themeColor="background1" w:themeShade="80"/>
            </w:tcBorders>
            <w:shd w:val="clear" w:color="auto" w:fill="D9D9D9" w:themeFill="background1" w:themeFillShade="D9"/>
          </w:tcPr>
          <w:p w14:paraId="74371D6D" w14:textId="77777777" w:rsidR="002A4EE6" w:rsidRPr="00C00335" w:rsidRDefault="002A4EE6" w:rsidP="00260D8A">
            <w:pPr>
              <w:pStyle w:val="TableText"/>
              <w:rPr>
                <w:b/>
                <w:sz w:val="20"/>
              </w:rPr>
            </w:pPr>
            <w:r w:rsidRPr="00C00335">
              <w:rPr>
                <w:b/>
                <w:sz w:val="20"/>
              </w:rPr>
              <w:t>Greek Alphabet</w:t>
            </w:r>
          </w:p>
        </w:tc>
      </w:tr>
      <w:tr w:rsidR="002A4EE6" w:rsidRPr="00C00335" w14:paraId="2E2A0A72" w14:textId="77777777" w:rsidTr="002A4EE6">
        <w:trPr>
          <w:cantSplit/>
        </w:trPr>
        <w:tc>
          <w:tcPr>
            <w:tcW w:w="760" w:type="pct"/>
            <w:tcBorders>
              <w:top w:val="single" w:sz="4" w:space="0" w:color="808080" w:themeColor="background1" w:themeShade="80"/>
              <w:bottom w:val="single" w:sz="6" w:space="0" w:color="808080" w:themeColor="background1" w:themeShade="80"/>
            </w:tcBorders>
            <w:shd w:val="clear" w:color="auto" w:fill="auto"/>
          </w:tcPr>
          <w:p w14:paraId="61A775A6" w14:textId="77777777" w:rsidR="002A4EE6" w:rsidRPr="00C00335" w:rsidRDefault="002A4EE6" w:rsidP="006911C6">
            <w:pPr>
              <w:pStyle w:val="TableText"/>
              <w:spacing w:before="40" w:after="40"/>
              <w:jc w:val="center"/>
              <w:rPr>
                <w:sz w:val="20"/>
              </w:rPr>
            </w:pPr>
            <w:r w:rsidRPr="00C00335">
              <w:rPr>
                <w:position w:val="-14"/>
                <w:sz w:val="20"/>
              </w:rPr>
              <w:object w:dxaOrig="600" w:dyaOrig="400" w14:anchorId="627D190E">
                <v:shape id="_x0000_i1084" type="#_x0000_t75" style="width:36.75pt;height:22.5pt" o:ole="">
                  <v:imagedata r:id="rId168" o:title=""/>
                </v:shape>
                <o:OLEObject Type="Embed" ProgID="Equation.3" ShapeID="_x0000_i1084" DrawAspect="Content" ObjectID="_1700043767" r:id="rId169"/>
              </w:object>
            </w:r>
          </w:p>
        </w:tc>
        <w:tc>
          <w:tcPr>
            <w:tcW w:w="4240" w:type="pct"/>
            <w:tcBorders>
              <w:top w:val="single" w:sz="4" w:space="0" w:color="808080" w:themeColor="background1" w:themeShade="80"/>
              <w:bottom w:val="single" w:sz="6" w:space="0" w:color="808080" w:themeColor="background1" w:themeShade="80"/>
            </w:tcBorders>
            <w:shd w:val="clear" w:color="auto" w:fill="auto"/>
          </w:tcPr>
          <w:p w14:paraId="7059554B" w14:textId="77777777" w:rsidR="002A4EE6" w:rsidRPr="00C00335" w:rsidRDefault="002A4EE6" w:rsidP="006911C6">
            <w:pPr>
              <w:pStyle w:val="TableText"/>
              <w:spacing w:before="40" w:after="40"/>
              <w:rPr>
                <w:sz w:val="20"/>
              </w:rPr>
            </w:pPr>
            <w:r w:rsidRPr="00C00335">
              <w:rPr>
                <w:sz w:val="20"/>
              </w:rPr>
              <w:t xml:space="preserve">Probability of transmission for an HIV-uninfected individual in subpopulation </w:t>
            </w:r>
            <w:r w:rsidRPr="00C00335">
              <w:rPr>
                <w:i/>
                <w:iCs/>
                <w:sz w:val="20"/>
              </w:rPr>
              <w:t xml:space="preserve">p1 </w:t>
            </w:r>
            <w:r w:rsidRPr="00C00335">
              <w:rPr>
                <w:sz w:val="20"/>
              </w:rPr>
              <w:t xml:space="preserve">per sexual or needle-sharing partnership from risk type </w:t>
            </w:r>
            <w:r w:rsidRPr="00C00335">
              <w:rPr>
                <w:i/>
                <w:iCs/>
                <w:sz w:val="20"/>
              </w:rPr>
              <w:t xml:space="preserve">z </w:t>
            </w:r>
            <w:r w:rsidRPr="00C00335">
              <w:rPr>
                <w:iCs/>
                <w:sz w:val="20"/>
              </w:rPr>
              <w:t>(</w:t>
            </w:r>
            <w:r w:rsidRPr="00C00335">
              <w:rPr>
                <w:sz w:val="20"/>
              </w:rPr>
              <w:t xml:space="preserve">vaginal, anal, or needle) in a partnership type </w:t>
            </w:r>
            <w:r w:rsidRPr="00C00335">
              <w:rPr>
                <w:i/>
                <w:iCs/>
                <w:sz w:val="20"/>
              </w:rPr>
              <w:t>y</w:t>
            </w:r>
            <w:r w:rsidRPr="00C00335">
              <w:rPr>
                <w:sz w:val="20"/>
              </w:rPr>
              <w:t xml:space="preserve"> (male-female partnership with vaginal intercourse only, male-male partnership with anal intercourse only, male-female partnership that includes anal intercourse, or needle-sharing) with a partner who is in subpopulation </w:t>
            </w:r>
            <w:r w:rsidRPr="00C00335">
              <w:rPr>
                <w:i/>
                <w:iCs/>
                <w:sz w:val="20"/>
              </w:rPr>
              <w:t>p2</w:t>
            </w:r>
            <w:r w:rsidRPr="00C00335">
              <w:rPr>
                <w:sz w:val="20"/>
              </w:rPr>
              <w:t xml:space="preserve"> and compartment </w:t>
            </w:r>
            <w:r w:rsidRPr="00C00335">
              <w:rPr>
                <w:i/>
                <w:iCs/>
                <w:sz w:val="20"/>
              </w:rPr>
              <w:t>c</w:t>
            </w:r>
          </w:p>
        </w:tc>
      </w:tr>
      <w:tr w:rsidR="00421CA0" w:rsidRPr="00C00335" w14:paraId="0E3C0E38" w14:textId="77777777" w:rsidTr="002A4EE6">
        <w:trPr>
          <w:cantSplit/>
        </w:trPr>
        <w:tc>
          <w:tcPr>
            <w:tcW w:w="760" w:type="pct"/>
            <w:tcBorders>
              <w:top w:val="single" w:sz="6" w:space="0" w:color="808080" w:themeColor="background1" w:themeShade="80"/>
            </w:tcBorders>
            <w:shd w:val="clear" w:color="auto" w:fill="auto"/>
          </w:tcPr>
          <w:p w14:paraId="29367B96" w14:textId="29CC5B93" w:rsidR="00421CA0" w:rsidRPr="00C00335" w:rsidRDefault="00421CA0" w:rsidP="006911C6">
            <w:pPr>
              <w:pStyle w:val="TableText"/>
              <w:spacing w:before="40" w:after="40"/>
              <w:jc w:val="center"/>
              <w:rPr>
                <w:sz w:val="20"/>
              </w:rPr>
            </w:pPr>
            <w:r w:rsidRPr="00C00335">
              <w:rPr>
                <w:position w:val="-12"/>
                <w:sz w:val="20"/>
              </w:rPr>
              <w:object w:dxaOrig="400" w:dyaOrig="320" w14:anchorId="0DF32133">
                <v:shape id="_x0000_i1085" type="#_x0000_t75" style="width:22.5pt;height:14.25pt" o:ole="">
                  <v:imagedata r:id="rId170" o:title=""/>
                </v:shape>
                <o:OLEObject Type="Embed" ProgID="Equation.3" ShapeID="_x0000_i1085" DrawAspect="Content" ObjectID="_1700043768" r:id="rId171"/>
              </w:object>
            </w:r>
          </w:p>
        </w:tc>
        <w:tc>
          <w:tcPr>
            <w:tcW w:w="4240" w:type="pct"/>
            <w:tcBorders>
              <w:top w:val="single" w:sz="6" w:space="0" w:color="808080" w:themeColor="background1" w:themeShade="80"/>
            </w:tcBorders>
            <w:shd w:val="clear" w:color="auto" w:fill="auto"/>
          </w:tcPr>
          <w:p w14:paraId="2A2FFE50" w14:textId="7507723A" w:rsidR="00421CA0" w:rsidRPr="00C00335" w:rsidRDefault="00421CA0" w:rsidP="006911C6">
            <w:pPr>
              <w:pStyle w:val="TableText"/>
              <w:spacing w:before="40" w:after="40"/>
              <w:rPr>
                <w:sz w:val="20"/>
              </w:rPr>
            </w:pPr>
            <w:r w:rsidRPr="00C00335">
              <w:rPr>
                <w:sz w:val="20"/>
              </w:rPr>
              <w:t xml:space="preserve">Per-sex-act transmission probability for </w:t>
            </w:r>
            <w:proofErr w:type="spellStart"/>
            <w:r w:rsidRPr="00C00335">
              <w:rPr>
                <w:sz w:val="20"/>
              </w:rPr>
              <w:t>insertive</w:t>
            </w:r>
            <w:proofErr w:type="spellEnd"/>
            <w:r w:rsidRPr="00C00335">
              <w:rPr>
                <w:sz w:val="20"/>
              </w:rPr>
              <w:t xml:space="preserve"> </w:t>
            </w:r>
            <w:proofErr w:type="spellStart"/>
            <w:r w:rsidR="000229FE">
              <w:rPr>
                <w:sz w:val="20"/>
              </w:rPr>
              <w:t>condomless</w:t>
            </w:r>
            <w:proofErr w:type="spellEnd"/>
            <w:r w:rsidR="000229FE">
              <w:rPr>
                <w:sz w:val="20"/>
              </w:rPr>
              <w:t xml:space="preserve"> sex (act)</w:t>
            </w:r>
            <w:r w:rsidRPr="00C00335">
              <w:rPr>
                <w:sz w:val="20"/>
              </w:rPr>
              <w:t xml:space="preserve"> intercourse of type z (vaginal or anal intercourse) with infected partner in compartment </w:t>
            </w:r>
            <w:r w:rsidRPr="00C00335">
              <w:rPr>
                <w:i/>
                <w:sz w:val="20"/>
              </w:rPr>
              <w:t>c</w:t>
            </w:r>
          </w:p>
        </w:tc>
      </w:tr>
      <w:tr w:rsidR="00421CA0" w:rsidRPr="00C00335" w14:paraId="7812535D" w14:textId="77777777" w:rsidTr="004C4731">
        <w:trPr>
          <w:cantSplit/>
        </w:trPr>
        <w:tc>
          <w:tcPr>
            <w:tcW w:w="760" w:type="pct"/>
            <w:tcBorders>
              <w:bottom w:val="single" w:sz="4" w:space="0" w:color="808080" w:themeColor="background1" w:themeShade="80"/>
            </w:tcBorders>
            <w:shd w:val="clear" w:color="auto" w:fill="auto"/>
          </w:tcPr>
          <w:p w14:paraId="06D00CBD" w14:textId="2C524357" w:rsidR="00421CA0" w:rsidRPr="00C00335" w:rsidRDefault="00452469" w:rsidP="006911C6">
            <w:pPr>
              <w:pStyle w:val="TableText"/>
              <w:spacing w:before="40" w:after="40"/>
              <w:jc w:val="center"/>
              <w:rPr>
                <w:sz w:val="20"/>
              </w:rPr>
            </w:pPr>
            <w:r w:rsidRPr="00C00335">
              <w:rPr>
                <w:position w:val="-14"/>
                <w:sz w:val="20"/>
              </w:rPr>
              <w:object w:dxaOrig="580" w:dyaOrig="400" w14:anchorId="5FFDF2A3">
                <v:shape id="_x0000_i1086" type="#_x0000_t75" style="width:28.5pt;height:22.5pt" o:ole="">
                  <v:imagedata r:id="rId172" o:title=""/>
                </v:shape>
                <o:OLEObject Type="Embed" ProgID="Equation.3" ShapeID="_x0000_i1086" DrawAspect="Content" ObjectID="_1700043769" r:id="rId173"/>
              </w:object>
            </w:r>
          </w:p>
        </w:tc>
        <w:tc>
          <w:tcPr>
            <w:tcW w:w="4240" w:type="pct"/>
            <w:tcBorders>
              <w:bottom w:val="single" w:sz="4" w:space="0" w:color="808080" w:themeColor="background1" w:themeShade="80"/>
            </w:tcBorders>
            <w:shd w:val="clear" w:color="auto" w:fill="auto"/>
          </w:tcPr>
          <w:p w14:paraId="76856F78" w14:textId="28F0546C" w:rsidR="00421CA0" w:rsidRPr="00C00335" w:rsidRDefault="00421CA0" w:rsidP="006911C6">
            <w:pPr>
              <w:pStyle w:val="TableText"/>
              <w:spacing w:before="40" w:after="40"/>
              <w:rPr>
                <w:sz w:val="20"/>
              </w:rPr>
            </w:pPr>
            <w:r w:rsidRPr="00C00335">
              <w:rPr>
                <w:sz w:val="20"/>
              </w:rPr>
              <w:t xml:space="preserve">Rate of ART prescription if </w:t>
            </w:r>
            <w:r w:rsidR="009E34D9" w:rsidRPr="00C00335">
              <w:rPr>
                <w:sz w:val="20"/>
              </w:rPr>
              <w:t>linked to HIV care</w:t>
            </w:r>
            <w:r w:rsidRPr="00C00335">
              <w:rPr>
                <w:sz w:val="20"/>
              </w:rPr>
              <w:t xml:space="preserve">, by compartment c and subpopulation </w:t>
            </w:r>
            <w:proofErr w:type="spellStart"/>
            <w:r w:rsidRPr="00C00335">
              <w:rPr>
                <w:i/>
                <w:iCs/>
                <w:sz w:val="20"/>
              </w:rPr>
              <w:t>p</w:t>
            </w:r>
            <w:r w:rsidRPr="00C00335">
              <w:rPr>
                <w:iCs/>
                <w:sz w:val="20"/>
              </w:rPr>
              <w:t xml:space="preserve"> at</w:t>
            </w:r>
            <w:proofErr w:type="spellEnd"/>
            <w:r w:rsidRPr="00C00335">
              <w:rPr>
                <w:iCs/>
                <w:sz w:val="20"/>
              </w:rPr>
              <w:t xml:space="preserve"> time </w:t>
            </w:r>
            <w:r w:rsidRPr="00C00335">
              <w:rPr>
                <w:i/>
                <w:iCs/>
                <w:sz w:val="20"/>
              </w:rPr>
              <w:t>t</w:t>
            </w:r>
            <w:r w:rsidRPr="00C00335">
              <w:rPr>
                <w:sz w:val="20"/>
              </w:rPr>
              <w:t xml:space="preserve">; </w:t>
            </w:r>
            <w:r w:rsidR="00642FB4" w:rsidRPr="00C00335">
              <w:rPr>
                <w:sz w:val="20"/>
              </w:rPr>
              <w:t xml:space="preserve">applies to individuals </w:t>
            </w:r>
            <w:r w:rsidR="009E34D9" w:rsidRPr="00C00335">
              <w:rPr>
                <w:sz w:val="20"/>
              </w:rPr>
              <w:t>linked to HIV care</w:t>
            </w:r>
            <w:r w:rsidR="00642FB4" w:rsidRPr="00C00335">
              <w:rPr>
                <w:sz w:val="20"/>
              </w:rPr>
              <w:t xml:space="preserve"> and not </w:t>
            </w:r>
            <w:r w:rsidR="000965E6" w:rsidRPr="00C00335">
              <w:rPr>
                <w:sz w:val="20"/>
              </w:rPr>
              <w:t>prescribed ART</w:t>
            </w:r>
            <w:r w:rsidRPr="00C00335">
              <w:rPr>
                <w:sz w:val="20"/>
              </w:rPr>
              <w:t xml:space="preserve"> (</w:t>
            </w:r>
            <w:r w:rsidRPr="00C00335">
              <w:rPr>
                <w:i/>
                <w:sz w:val="20"/>
              </w:rPr>
              <w:t>c</w:t>
            </w:r>
            <w:r w:rsidR="00E628BE" w:rsidRPr="00C00335">
              <w:rPr>
                <w:i/>
                <w:sz w:val="20"/>
              </w:rPr>
              <w:t> = </w:t>
            </w:r>
            <w:r w:rsidRPr="00C00335">
              <w:rPr>
                <w:sz w:val="20"/>
              </w:rPr>
              <w:t xml:space="preserve">5, 8, 13, 18, 23) </w:t>
            </w:r>
          </w:p>
        </w:tc>
      </w:tr>
      <w:tr w:rsidR="00421CA0" w:rsidRPr="00C00335" w14:paraId="681BB24D" w14:textId="77777777" w:rsidTr="004C473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5FEA1059" w14:textId="541DC3F9" w:rsidR="00421CA0" w:rsidRPr="00C00335" w:rsidRDefault="00747E9D" w:rsidP="006911C6">
            <w:pPr>
              <w:pStyle w:val="TableText"/>
              <w:spacing w:before="40" w:after="40"/>
              <w:jc w:val="center"/>
              <w:rPr>
                <w:i/>
                <w:iCs/>
                <w:sz w:val="20"/>
              </w:rPr>
            </w:pPr>
            <m:oMathPara>
              <m:oMath>
                <m:sSub>
                  <m:sSubPr>
                    <m:ctrlPr>
                      <w:rPr>
                        <w:rFonts w:ascii="Cambria Math" w:hAnsi="Cambria Math"/>
                        <w:sz w:val="20"/>
                      </w:rPr>
                    </m:ctrlPr>
                  </m:sSubPr>
                  <m:e>
                    <m:r>
                      <m:rPr>
                        <m:sty m:val="p"/>
                      </m:rPr>
                      <w:rPr>
                        <w:rFonts w:ascii="Cambria Math" w:hAnsi="Cambria Math"/>
                        <w:sz w:val="20"/>
                      </w:rPr>
                      <m:t>Δ</m:t>
                    </m:r>
                  </m:e>
                  <m:sub>
                    <m:r>
                      <w:rPr>
                        <w:rFonts w:ascii="Cambria Math" w:hAnsi="Cambria Math"/>
                        <w:sz w:val="20"/>
                      </w:rPr>
                      <m:t>c,z</m:t>
                    </m:r>
                  </m:sub>
                </m:sSub>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3182203E" w14:textId="360CB8F4" w:rsidR="00421CA0" w:rsidRPr="00C00335" w:rsidRDefault="00421CA0" w:rsidP="006911C6">
            <w:pPr>
              <w:pStyle w:val="TableText"/>
              <w:spacing w:before="40" w:after="40"/>
              <w:rPr>
                <w:sz w:val="20"/>
              </w:rPr>
            </w:pPr>
            <w:r w:rsidRPr="00C00335">
              <w:rPr>
                <w:sz w:val="20"/>
              </w:rPr>
              <w:t xml:space="preserve">Percentage reduction in per-act transmission probability due to viral load suppression, by compartment c and transmission risk type </w:t>
            </w:r>
            <w:r w:rsidRPr="00C00335">
              <w:rPr>
                <w:i/>
                <w:iCs/>
                <w:sz w:val="20"/>
              </w:rPr>
              <w:t>z</w:t>
            </w:r>
          </w:p>
        </w:tc>
      </w:tr>
      <w:tr w:rsidR="00421CA0" w:rsidRPr="00C00335" w14:paraId="77CB642D" w14:textId="77777777" w:rsidTr="004C473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6414195B" w14:textId="7923D16B" w:rsidR="00421CA0" w:rsidRPr="00C00335" w:rsidRDefault="0020439A" w:rsidP="006911C6">
            <w:pPr>
              <w:pStyle w:val="TableText"/>
              <w:spacing w:before="40" w:after="40"/>
              <w:jc w:val="center"/>
              <w:rPr>
                <w:b/>
                <w:i/>
                <w:sz w:val="20"/>
              </w:rPr>
            </w:pPr>
            <w:r w:rsidRPr="00C00335">
              <w:rPr>
                <w:position w:val="-14"/>
                <w:sz w:val="20"/>
              </w:rPr>
              <w:object w:dxaOrig="320" w:dyaOrig="400" w14:anchorId="5C080403">
                <v:shape id="_x0000_i1087" type="#_x0000_t75" style="width:14.25pt;height:22.5pt" o:ole="">
                  <v:imagedata r:id="rId174" o:title=""/>
                </v:shape>
                <o:OLEObject Type="Embed" ProgID="Equation.3" ShapeID="_x0000_i1087" DrawAspect="Content" ObjectID="_1700043770" r:id="rId175"/>
              </w:object>
            </w:r>
            <w:r w:rsidR="00024B80">
              <w:rPr>
                <w:sz w:val="20"/>
              </w:rPr>
              <w:t xml:space="preserve"> </w:t>
            </w:r>
            <w:r w:rsidR="00421CA0" w:rsidRPr="00C00335">
              <w:rPr>
                <w:sz w:val="20"/>
              </w:rPr>
              <w:t>and</w:t>
            </w:r>
            <w:r w:rsidR="00024B80">
              <w:rPr>
                <w:sz w:val="20"/>
              </w:rPr>
              <w:t xml:space="preserve"> </w:t>
            </w:r>
            <w:r w:rsidRPr="00C00335">
              <w:rPr>
                <w:position w:val="-14"/>
                <w:sz w:val="20"/>
              </w:rPr>
              <w:object w:dxaOrig="320" w:dyaOrig="400" w14:anchorId="3A8EE079">
                <v:shape id="_x0000_i1088" type="#_x0000_t75" style="width:14.25pt;height:22.5pt" o:ole="">
                  <v:imagedata r:id="rId176" o:title=""/>
                </v:shape>
                <o:OLEObject Type="Embed" ProgID="Equation.3" ShapeID="_x0000_i1088" DrawAspect="Content" ObjectID="_1700043771" r:id="rId177"/>
              </w:object>
            </w:r>
          </w:p>
        </w:tc>
        <w:tc>
          <w:tcPr>
            <w:tcW w:w="4240" w:type="pct"/>
            <w:tcBorders>
              <w:top w:val="single" w:sz="4" w:space="0" w:color="808080" w:themeColor="background1" w:themeShade="80"/>
              <w:bottom w:val="single" w:sz="4" w:space="0" w:color="808080" w:themeColor="background1" w:themeShade="80"/>
            </w:tcBorders>
            <w:shd w:val="clear" w:color="auto" w:fill="auto"/>
          </w:tcPr>
          <w:p w14:paraId="721DAEE4" w14:textId="05EC5F15" w:rsidR="00421CA0" w:rsidRPr="00024B80" w:rsidRDefault="00421CA0" w:rsidP="006911C6">
            <w:pPr>
              <w:pStyle w:val="TableText"/>
              <w:spacing w:before="40" w:after="40"/>
              <w:rPr>
                <w:b/>
                <w:iCs/>
                <w:sz w:val="20"/>
              </w:rPr>
            </w:pPr>
            <w:r w:rsidRPr="00C00335">
              <w:rPr>
                <w:sz w:val="20"/>
              </w:rPr>
              <w:t xml:space="preserve">Aging rates into (+) and out of (–) demographic subpopulation </w:t>
            </w:r>
            <w:r w:rsidRPr="00C00335">
              <w:rPr>
                <w:i/>
                <w:sz w:val="20"/>
              </w:rPr>
              <w:t>p</w:t>
            </w:r>
            <w:r w:rsidR="00024B80">
              <w:rPr>
                <w:iCs/>
                <w:sz w:val="20"/>
              </w:rPr>
              <w:t>, respectively</w:t>
            </w:r>
          </w:p>
        </w:tc>
      </w:tr>
      <w:tr w:rsidR="00886E79" w:rsidRPr="00C00335" w14:paraId="45E04CED" w14:textId="77777777" w:rsidTr="004C473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484F5D4B" w14:textId="69FBCE1F" w:rsidR="00886E79" w:rsidRPr="00886E79" w:rsidRDefault="00747E9D" w:rsidP="00886E79">
            <w:pPr>
              <w:pStyle w:val="TableText"/>
              <w:spacing w:before="40" w:after="40"/>
              <w:jc w:val="center"/>
              <w:rPr>
                <w:sz w:val="20"/>
              </w:rPr>
            </w:pPr>
            <m:oMathPara>
              <m:oMath>
                <m:sSub>
                  <m:sSubPr>
                    <m:ctrlPr>
                      <w:rPr>
                        <w:rFonts w:ascii="Cambria Math" w:hAnsi="Cambria Math"/>
                        <w:i/>
                      </w:rPr>
                    </m:ctrlPr>
                  </m:sSubPr>
                  <m:e>
                    <m:r>
                      <w:rPr>
                        <w:rFonts w:ascii="Cambria Math" w:hAnsi="Cambria Math"/>
                        <w:sz w:val="22"/>
                      </w:rPr>
                      <m:t>ϵ</m:t>
                    </m:r>
                  </m:e>
                  <m:sub>
                    <m:r>
                      <w:rPr>
                        <w:rFonts w:ascii="Cambria Math" w:hAnsi="Cambria Math"/>
                        <w:sz w:val="22"/>
                      </w:rPr>
                      <m:t>p</m:t>
                    </m:r>
                  </m:sub>
                </m:sSub>
                <m:r>
                  <w:rPr>
                    <w:rFonts w:ascii="Cambria Math" w:hAnsi="Cambria Math"/>
                  </w:rPr>
                  <m:t>(t)</m:t>
                </m:r>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27BAD73F" w14:textId="17A25749" w:rsidR="00886E79" w:rsidRPr="00C10E86" w:rsidRDefault="00886E79" w:rsidP="00886E79">
            <w:pPr>
              <w:pStyle w:val="TableText"/>
              <w:spacing w:before="40" w:after="40"/>
              <w:rPr>
                <w:sz w:val="20"/>
                <w:szCs w:val="24"/>
              </w:rPr>
            </w:pPr>
            <w:r w:rsidRPr="000B6B04">
              <w:rPr>
                <w:sz w:val="20"/>
                <w:szCs w:val="24"/>
              </w:rPr>
              <w:t xml:space="preserve">Percentage of screens that are rapid (type of test g = 1) overall, by subpopulation </w:t>
            </w:r>
            <w:proofErr w:type="spellStart"/>
            <w:r w:rsidRPr="000B6B04">
              <w:rPr>
                <w:sz w:val="20"/>
                <w:szCs w:val="24"/>
              </w:rPr>
              <w:t>p at</w:t>
            </w:r>
            <w:proofErr w:type="spellEnd"/>
            <w:r w:rsidRPr="000B6B04">
              <w:rPr>
                <w:sz w:val="20"/>
                <w:szCs w:val="24"/>
              </w:rPr>
              <w:t xml:space="preserve"> time t</w:t>
            </w:r>
          </w:p>
        </w:tc>
      </w:tr>
      <w:tr w:rsidR="00886E79" w:rsidRPr="00C00335" w14:paraId="472ADBB9" w14:textId="77777777" w:rsidTr="004C473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4E76B412" w14:textId="766690D1" w:rsidR="00886E79" w:rsidRPr="00886E79" w:rsidRDefault="00747E9D" w:rsidP="00886E79">
            <w:pPr>
              <w:pStyle w:val="TableText"/>
              <w:spacing w:before="40" w:after="40"/>
              <w:jc w:val="center"/>
              <w:rPr>
                <w:sz w:val="20"/>
              </w:rPr>
            </w:pPr>
            <m:oMathPara>
              <m:oMath>
                <m:sSubSup>
                  <m:sSubSupPr>
                    <m:ctrlPr>
                      <w:rPr>
                        <w:rFonts w:ascii="Cambria Math" w:hAnsi="Cambria Math"/>
                        <w:i/>
                        <w:sz w:val="22"/>
                      </w:rPr>
                    </m:ctrlPr>
                  </m:sSubSupPr>
                  <m:e>
                    <m:r>
                      <w:rPr>
                        <w:rFonts w:ascii="Cambria Math" w:hAnsi="Cambria Math"/>
                        <w:sz w:val="22"/>
                      </w:rPr>
                      <m:t>ϵ</m:t>
                    </m:r>
                  </m:e>
                  <m:sub>
                    <m:r>
                      <w:rPr>
                        <w:rFonts w:ascii="Cambria Math" w:hAnsi="Cambria Math"/>
                        <w:sz w:val="22"/>
                      </w:rPr>
                      <m:t>p</m:t>
                    </m:r>
                  </m:sub>
                  <m:sup>
                    <m:r>
                      <w:rPr>
                        <w:rFonts w:ascii="Cambria Math" w:hAnsi="Cambria Math"/>
                        <w:sz w:val="22"/>
                      </w:rPr>
                      <m:t>v</m:t>
                    </m:r>
                  </m:sup>
                </m:sSubSup>
                <m:r>
                  <w:rPr>
                    <w:rFonts w:ascii="Cambria Math" w:hAnsi="Cambria Math"/>
                    <w:sz w:val="22"/>
                  </w:rPr>
                  <m:t>(t)</m:t>
                </m:r>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3AE6E6A3" w14:textId="2AFEC46D" w:rsidR="00886E79" w:rsidRPr="00C10E86" w:rsidRDefault="00886E79" w:rsidP="00886E79">
            <w:pPr>
              <w:pStyle w:val="TableText"/>
              <w:spacing w:before="40" w:after="40"/>
              <w:rPr>
                <w:sz w:val="20"/>
                <w:szCs w:val="24"/>
              </w:rPr>
            </w:pPr>
            <w:r w:rsidRPr="000B6B04">
              <w:rPr>
                <w:sz w:val="20"/>
                <w:szCs w:val="24"/>
              </w:rPr>
              <w:t xml:space="preserve">Percentage of screens that are rapid (type of test g = 1) in setting v, by subpopulation </w:t>
            </w:r>
            <w:proofErr w:type="spellStart"/>
            <w:r w:rsidRPr="000B6B04">
              <w:rPr>
                <w:sz w:val="20"/>
                <w:szCs w:val="24"/>
              </w:rPr>
              <w:t>p at</w:t>
            </w:r>
            <w:proofErr w:type="spellEnd"/>
            <w:r w:rsidRPr="000B6B04">
              <w:rPr>
                <w:sz w:val="20"/>
                <w:szCs w:val="24"/>
              </w:rPr>
              <w:t xml:space="preserve"> time t</w:t>
            </w:r>
          </w:p>
        </w:tc>
      </w:tr>
      <w:tr w:rsidR="00421CA0" w:rsidRPr="00C00335" w14:paraId="3CBD772A" w14:textId="77777777" w:rsidTr="004C4731">
        <w:trPr>
          <w:cantSplit/>
        </w:trPr>
        <w:tc>
          <w:tcPr>
            <w:tcW w:w="760" w:type="pct"/>
            <w:tcBorders>
              <w:top w:val="single" w:sz="4" w:space="0" w:color="808080" w:themeColor="background1" w:themeShade="80"/>
            </w:tcBorders>
            <w:shd w:val="clear" w:color="auto" w:fill="auto"/>
          </w:tcPr>
          <w:p w14:paraId="6A4FEE94" w14:textId="40EEA8A3" w:rsidR="00421CA0" w:rsidRPr="00886E79" w:rsidRDefault="00747E9D" w:rsidP="006911C6">
            <w:pPr>
              <w:pStyle w:val="TableText"/>
              <w:spacing w:before="40" w:after="40"/>
              <w:jc w:val="center"/>
              <w:rPr>
                <w:sz w:val="20"/>
              </w:rPr>
            </w:pPr>
            <m:oMathPara>
              <m:oMath>
                <m:sSub>
                  <m:sSubPr>
                    <m:ctrlPr>
                      <w:rPr>
                        <w:rFonts w:ascii="Cambria Math" w:hAnsi="Cambria Math"/>
                        <w:i/>
                        <w:sz w:val="20"/>
                      </w:rPr>
                    </m:ctrlPr>
                  </m:sSubPr>
                  <m:e>
                    <m:r>
                      <w:rPr>
                        <w:rFonts w:ascii="Cambria Math"/>
                        <w:sz w:val="20"/>
                      </w:rPr>
                      <m:t>ε</m:t>
                    </m:r>
                  </m:e>
                  <m:sub>
                    <m:r>
                      <w:rPr>
                        <w:rFonts w:ascii="Cambria Math"/>
                        <w:sz w:val="20"/>
                      </w:rPr>
                      <m:t>p</m:t>
                    </m:r>
                  </m:sub>
                </m:sSub>
                <m:r>
                  <w:rPr>
                    <w:rFonts w:ascii="Cambria Math"/>
                    <w:sz w:val="20"/>
                  </w:rPr>
                  <m:t>(t)</m:t>
                </m:r>
              </m:oMath>
            </m:oMathPara>
          </w:p>
        </w:tc>
        <w:tc>
          <w:tcPr>
            <w:tcW w:w="4240" w:type="pct"/>
            <w:tcBorders>
              <w:top w:val="single" w:sz="4" w:space="0" w:color="808080" w:themeColor="background1" w:themeShade="80"/>
            </w:tcBorders>
            <w:shd w:val="clear" w:color="auto" w:fill="auto"/>
          </w:tcPr>
          <w:p w14:paraId="1780A16C" w14:textId="47797B08" w:rsidR="00421CA0" w:rsidRPr="00886E79" w:rsidRDefault="00BF425D" w:rsidP="006911C6">
            <w:pPr>
              <w:pStyle w:val="TableText"/>
              <w:spacing w:before="40" w:after="40"/>
              <w:rPr>
                <w:sz w:val="20"/>
              </w:rPr>
            </w:pPr>
            <w:r w:rsidRPr="00886E79">
              <w:rPr>
                <w:sz w:val="20"/>
              </w:rPr>
              <w:t>Annual r</w:t>
            </w:r>
            <w:r w:rsidR="00421CA0" w:rsidRPr="00886E79">
              <w:rPr>
                <w:sz w:val="20"/>
              </w:rPr>
              <w:t xml:space="preserve">ate of </w:t>
            </w:r>
            <w:r w:rsidR="00A74EA3" w:rsidRPr="00886E79">
              <w:rPr>
                <w:sz w:val="20"/>
              </w:rPr>
              <w:t xml:space="preserve">dropping off </w:t>
            </w:r>
            <w:r w:rsidR="00421CA0" w:rsidRPr="00886E79">
              <w:rPr>
                <w:sz w:val="20"/>
              </w:rPr>
              <w:t>of ART if ART</w:t>
            </w:r>
            <w:r w:rsidR="0047287B" w:rsidRPr="00886E79">
              <w:rPr>
                <w:sz w:val="20"/>
              </w:rPr>
              <w:t>-</w:t>
            </w:r>
            <w:r w:rsidR="00DE4977" w:rsidRPr="00886E79">
              <w:rPr>
                <w:sz w:val="20"/>
              </w:rPr>
              <w:t>not</w:t>
            </w:r>
            <w:r w:rsidR="0047287B" w:rsidRPr="00886E79">
              <w:rPr>
                <w:sz w:val="20"/>
              </w:rPr>
              <w:t>-</w:t>
            </w:r>
            <w:r w:rsidR="00160FE1" w:rsidRPr="00886E79">
              <w:rPr>
                <w:sz w:val="20"/>
              </w:rPr>
              <w:t>VLS</w:t>
            </w:r>
            <w:r w:rsidR="00421CA0" w:rsidRPr="00886E79">
              <w:rPr>
                <w:sz w:val="20"/>
              </w:rPr>
              <w:t xml:space="preserve">, by demographic subpopulation </w:t>
            </w:r>
            <w:proofErr w:type="spellStart"/>
            <w:r w:rsidR="00421CA0" w:rsidRPr="00886E79">
              <w:rPr>
                <w:i/>
                <w:sz w:val="20"/>
              </w:rPr>
              <w:t>p</w:t>
            </w:r>
            <w:r w:rsidR="00421CA0" w:rsidRPr="00886E79">
              <w:rPr>
                <w:sz w:val="20"/>
              </w:rPr>
              <w:t xml:space="preserve"> at</w:t>
            </w:r>
            <w:proofErr w:type="spellEnd"/>
            <w:r w:rsidR="00421CA0" w:rsidRPr="00886E79">
              <w:rPr>
                <w:sz w:val="20"/>
              </w:rPr>
              <w:t xml:space="preserve"> time </w:t>
            </w:r>
            <w:r w:rsidR="00421CA0" w:rsidRPr="00886E79">
              <w:rPr>
                <w:i/>
                <w:sz w:val="20"/>
              </w:rPr>
              <w:t>t</w:t>
            </w:r>
            <w:r w:rsidR="00421CA0" w:rsidRPr="00886E79">
              <w:rPr>
                <w:sz w:val="20"/>
              </w:rPr>
              <w:t xml:space="preserve">; applies to individuals </w:t>
            </w:r>
            <w:r w:rsidR="00A74EA3" w:rsidRPr="00886E79">
              <w:rPr>
                <w:sz w:val="20"/>
              </w:rPr>
              <w:t>who are</w:t>
            </w:r>
            <w:r w:rsidR="00421CA0" w:rsidRPr="00886E79">
              <w:rPr>
                <w:sz w:val="20"/>
              </w:rPr>
              <w:t xml:space="preserve"> ART</w:t>
            </w:r>
            <w:r w:rsidR="00A74EA3" w:rsidRPr="00886E79">
              <w:rPr>
                <w:sz w:val="20"/>
              </w:rPr>
              <w:t>-</w:t>
            </w:r>
            <w:r w:rsidR="00421CA0" w:rsidRPr="00886E79">
              <w:rPr>
                <w:sz w:val="20"/>
              </w:rPr>
              <w:t>not</w:t>
            </w:r>
            <w:r w:rsidR="00A74EA3" w:rsidRPr="00886E79">
              <w:rPr>
                <w:sz w:val="20"/>
              </w:rPr>
              <w:t>-</w:t>
            </w:r>
            <w:r w:rsidR="00421CA0" w:rsidRPr="00886E79">
              <w:rPr>
                <w:sz w:val="20"/>
              </w:rPr>
              <w:t>VLS (</w:t>
            </w:r>
            <w:r w:rsidR="00421CA0" w:rsidRPr="00886E79">
              <w:rPr>
                <w:i/>
                <w:sz w:val="20"/>
              </w:rPr>
              <w:t>c</w:t>
            </w:r>
            <w:r w:rsidR="00E628BE" w:rsidRPr="00886E79">
              <w:rPr>
                <w:i/>
                <w:sz w:val="20"/>
              </w:rPr>
              <w:t> = </w:t>
            </w:r>
            <w:r w:rsidR="00421CA0" w:rsidRPr="00886E79">
              <w:rPr>
                <w:sz w:val="20"/>
              </w:rPr>
              <w:t>9, 14, 19, 24) only</w:t>
            </w:r>
          </w:p>
        </w:tc>
      </w:tr>
      <w:tr w:rsidR="00421CA0" w:rsidRPr="00C00335" w14:paraId="6AFA6EA9" w14:textId="77777777" w:rsidTr="002A4EE6">
        <w:trPr>
          <w:cantSplit/>
        </w:trPr>
        <w:tc>
          <w:tcPr>
            <w:tcW w:w="760" w:type="pct"/>
            <w:shd w:val="clear" w:color="auto" w:fill="auto"/>
          </w:tcPr>
          <w:p w14:paraId="39927957" w14:textId="507C409D" w:rsidR="00421CA0" w:rsidRPr="00C00335" w:rsidRDefault="00747E9D" w:rsidP="006911C6">
            <w:pPr>
              <w:pStyle w:val="TableText"/>
              <w:spacing w:before="40" w:after="40"/>
              <w:jc w:val="center"/>
              <w:rPr>
                <w:b/>
                <w:sz w:val="20"/>
              </w:rPr>
            </w:pPr>
            <m:oMathPara>
              <m:oMath>
                <m:sSub>
                  <m:sSubPr>
                    <m:ctrlPr>
                      <w:rPr>
                        <w:rFonts w:ascii="Cambria Math" w:hAnsi="Cambria Math"/>
                        <w:i/>
                        <w:sz w:val="20"/>
                      </w:rPr>
                    </m:ctrlPr>
                  </m:sSubPr>
                  <m:e>
                    <m:r>
                      <w:rPr>
                        <w:rFonts w:ascii="Cambria Math" w:hAnsi="Cambria Math"/>
                        <w:sz w:val="20"/>
                      </w:rPr>
                      <m:t>η</m:t>
                    </m:r>
                  </m:e>
                  <m:sub>
                    <m:r>
                      <w:rPr>
                        <w:rFonts w:ascii="Cambria Math" w:hAnsi="Cambria Math"/>
                        <w:sz w:val="20"/>
                      </w:rPr>
                      <m:t>p</m:t>
                    </m:r>
                  </m:sub>
                </m:sSub>
                <m:r>
                  <w:rPr>
                    <w:rFonts w:ascii="Cambria Math" w:hAnsi="Cambria Math"/>
                    <w:sz w:val="20"/>
                  </w:rPr>
                  <m:t>(t)</m:t>
                </m:r>
              </m:oMath>
            </m:oMathPara>
          </w:p>
        </w:tc>
        <w:tc>
          <w:tcPr>
            <w:tcW w:w="4240" w:type="pct"/>
            <w:shd w:val="clear" w:color="auto" w:fill="auto"/>
          </w:tcPr>
          <w:p w14:paraId="4345E1F6" w14:textId="1A71B8E7" w:rsidR="00421CA0" w:rsidRPr="00C00335" w:rsidRDefault="00BF425D" w:rsidP="006911C6">
            <w:pPr>
              <w:pStyle w:val="TableText"/>
              <w:spacing w:before="40" w:after="40"/>
              <w:rPr>
                <w:b/>
                <w:sz w:val="20"/>
              </w:rPr>
            </w:pPr>
            <w:r w:rsidRPr="00C00335">
              <w:rPr>
                <w:sz w:val="20"/>
              </w:rPr>
              <w:t>Annual r</w:t>
            </w:r>
            <w:r w:rsidR="00421CA0" w:rsidRPr="00C00335">
              <w:rPr>
                <w:sz w:val="20"/>
              </w:rPr>
              <w:t xml:space="preserve">ate of loss of viral load suppression if VLS, by demographic subpopulation </w:t>
            </w:r>
            <w:proofErr w:type="spellStart"/>
            <w:r w:rsidR="00421CA0" w:rsidRPr="00C00335">
              <w:rPr>
                <w:i/>
                <w:sz w:val="20"/>
              </w:rPr>
              <w:t>p</w:t>
            </w:r>
            <w:r w:rsidR="00421CA0" w:rsidRPr="00C00335">
              <w:rPr>
                <w:sz w:val="20"/>
              </w:rPr>
              <w:t xml:space="preserve"> at</w:t>
            </w:r>
            <w:proofErr w:type="spellEnd"/>
            <w:r w:rsidR="00421CA0" w:rsidRPr="00C00335">
              <w:rPr>
                <w:sz w:val="20"/>
              </w:rPr>
              <w:t xml:space="preserve"> time </w:t>
            </w:r>
            <w:r w:rsidR="00421CA0" w:rsidRPr="00C00335">
              <w:rPr>
                <w:i/>
                <w:sz w:val="20"/>
              </w:rPr>
              <w:t>t</w:t>
            </w:r>
            <w:r w:rsidR="00421CA0" w:rsidRPr="00C00335">
              <w:rPr>
                <w:sz w:val="20"/>
              </w:rPr>
              <w:t>; applies to individuals with HIV and who are VLS (</w:t>
            </w:r>
            <w:r w:rsidR="00421CA0" w:rsidRPr="00C00335">
              <w:rPr>
                <w:i/>
                <w:sz w:val="20"/>
              </w:rPr>
              <w:t>c</w:t>
            </w:r>
            <w:r w:rsidR="00E628BE" w:rsidRPr="00C00335">
              <w:rPr>
                <w:sz w:val="20"/>
              </w:rPr>
              <w:t> = </w:t>
            </w:r>
            <w:r w:rsidR="00421CA0" w:rsidRPr="00C00335">
              <w:rPr>
                <w:sz w:val="20"/>
              </w:rPr>
              <w:t>10, 15, 20, 25) only</w:t>
            </w:r>
          </w:p>
        </w:tc>
      </w:tr>
      <w:tr w:rsidR="00421CA0" w:rsidRPr="00C00335" w14:paraId="28569AED" w14:textId="77777777" w:rsidTr="002A4EE6">
        <w:trPr>
          <w:cantSplit/>
        </w:trPr>
        <w:tc>
          <w:tcPr>
            <w:tcW w:w="760" w:type="pct"/>
            <w:shd w:val="clear" w:color="auto" w:fill="auto"/>
          </w:tcPr>
          <w:p w14:paraId="4F21DB7C" w14:textId="35B1791C" w:rsidR="00421CA0" w:rsidRPr="00C00335" w:rsidRDefault="00421CA0" w:rsidP="006911C6">
            <w:pPr>
              <w:pStyle w:val="TableText"/>
              <w:spacing w:before="40" w:after="40"/>
              <w:jc w:val="center"/>
              <w:rPr>
                <w:sz w:val="20"/>
              </w:rPr>
            </w:pPr>
            <w:r w:rsidRPr="00C00335">
              <w:rPr>
                <w:sz w:val="20"/>
              </w:rPr>
              <w:t xml:space="preserve">Θ </w:t>
            </w:r>
            <w:r w:rsidRPr="00C00335">
              <w:rPr>
                <w:i/>
                <w:iCs/>
                <w:sz w:val="20"/>
                <w:vertAlign w:val="subscript"/>
              </w:rPr>
              <w:t>c</w:t>
            </w:r>
          </w:p>
        </w:tc>
        <w:tc>
          <w:tcPr>
            <w:tcW w:w="4240" w:type="pct"/>
            <w:shd w:val="clear" w:color="auto" w:fill="auto"/>
          </w:tcPr>
          <w:p w14:paraId="60EE12DD" w14:textId="7480055B" w:rsidR="00421CA0" w:rsidRPr="00C00335" w:rsidRDefault="00421CA0" w:rsidP="006911C6">
            <w:pPr>
              <w:pStyle w:val="TableText"/>
              <w:spacing w:before="40" w:after="40"/>
              <w:rPr>
                <w:sz w:val="20"/>
              </w:rPr>
            </w:pPr>
            <w:r w:rsidRPr="00C00335">
              <w:rPr>
                <w:sz w:val="20"/>
              </w:rPr>
              <w:t xml:space="preserve">Probability of HIV transmission per needle shared with an HIV-infected partner in compartment </w:t>
            </w:r>
            <w:r w:rsidRPr="00C00335">
              <w:rPr>
                <w:iCs/>
                <w:sz w:val="20"/>
              </w:rPr>
              <w:t>c</w:t>
            </w:r>
          </w:p>
        </w:tc>
      </w:tr>
      <w:tr w:rsidR="00EE0B68" w:rsidRPr="00C00335" w14:paraId="04AD3D04" w14:textId="77777777" w:rsidTr="002A4EE6">
        <w:trPr>
          <w:cantSplit/>
        </w:trPr>
        <w:tc>
          <w:tcPr>
            <w:tcW w:w="760" w:type="pct"/>
            <w:shd w:val="clear" w:color="auto" w:fill="auto"/>
          </w:tcPr>
          <w:p w14:paraId="1A1187CB" w14:textId="1EC839DA" w:rsidR="00EE0B68" w:rsidRPr="00C00335" w:rsidRDefault="00747E9D" w:rsidP="006911C6">
            <w:pPr>
              <w:pStyle w:val="TableText"/>
              <w:spacing w:before="40" w:after="40"/>
              <w:jc w:val="center"/>
              <w:rPr>
                <w:sz w:val="20"/>
              </w:rPr>
            </w:pPr>
            <m:oMathPara>
              <m:oMath>
                <m:sSubSup>
                  <m:sSubSupPr>
                    <m:ctrlPr>
                      <w:rPr>
                        <w:rFonts w:ascii="Cambria Math" w:hAnsi="Cambria Math"/>
                        <w:i/>
                        <w:sz w:val="20"/>
                      </w:rPr>
                    </m:ctrlPr>
                  </m:sSubSupPr>
                  <m:e>
                    <m:r>
                      <w:rPr>
                        <w:rFonts w:ascii="Cambria Math"/>
                      </w:rPr>
                      <m:t>ϑ</m:t>
                    </m:r>
                  </m:e>
                  <m:sub>
                    <m:r>
                      <w:rPr>
                        <w:rFonts w:ascii="Cambria Math"/>
                      </w:rPr>
                      <m:t>p</m:t>
                    </m:r>
                  </m:sub>
                  <m:sup>
                    <m:r>
                      <w:rPr>
                        <w:rFonts w:ascii="Cambria Math"/>
                      </w:rPr>
                      <m:t>c</m:t>
                    </m:r>
                  </m:sup>
                </m:sSubSup>
              </m:oMath>
            </m:oMathPara>
          </w:p>
        </w:tc>
        <w:tc>
          <w:tcPr>
            <w:tcW w:w="4240" w:type="pct"/>
            <w:shd w:val="clear" w:color="auto" w:fill="auto"/>
          </w:tcPr>
          <w:p w14:paraId="2D933D8E" w14:textId="537411FE" w:rsidR="00EE0B68" w:rsidRPr="00C00335" w:rsidRDefault="00EE0B68" w:rsidP="006911C6">
            <w:pPr>
              <w:pStyle w:val="TableText"/>
              <w:spacing w:before="40" w:after="40"/>
              <w:rPr>
                <w:sz w:val="20"/>
              </w:rPr>
            </w:pPr>
            <w:r w:rsidRPr="00C00335">
              <w:rPr>
                <w:sz w:val="20"/>
              </w:rPr>
              <w:t xml:space="preserve">Rate of HIV progression to the previous disease stage from compartment </w:t>
            </w:r>
            <w:r w:rsidRPr="00C00335">
              <w:rPr>
                <w:i/>
                <w:sz w:val="20"/>
              </w:rPr>
              <w:t>c</w:t>
            </w:r>
            <w:r w:rsidRPr="00C00335">
              <w:rPr>
                <w:sz w:val="20"/>
              </w:rPr>
              <w:t>, if VLS</w:t>
            </w:r>
            <w:r w:rsidR="004935EA">
              <w:rPr>
                <w:sz w:val="20"/>
              </w:rPr>
              <w:t>, by subpopulation p</w:t>
            </w:r>
            <w:r w:rsidRPr="00C00335">
              <w:rPr>
                <w:sz w:val="20"/>
              </w:rPr>
              <w:t>; applies to individuals with HIV, CD4 ≤500, and VLS, (</w:t>
            </w:r>
            <w:r w:rsidRPr="00C00335">
              <w:rPr>
                <w:i/>
                <w:sz w:val="20"/>
              </w:rPr>
              <w:t>c</w:t>
            </w:r>
            <w:r w:rsidR="00E628BE" w:rsidRPr="00C00335">
              <w:rPr>
                <w:sz w:val="20"/>
              </w:rPr>
              <w:t> = </w:t>
            </w:r>
            <w:r w:rsidRPr="00C00335">
              <w:rPr>
                <w:sz w:val="20"/>
              </w:rPr>
              <w:t>15, 20, 25) only</w:t>
            </w:r>
          </w:p>
        </w:tc>
      </w:tr>
      <w:tr w:rsidR="004C0297" w:rsidRPr="00C00335" w14:paraId="407F6202" w14:textId="77777777" w:rsidTr="002A4EE6">
        <w:trPr>
          <w:cantSplit/>
        </w:trPr>
        <w:tc>
          <w:tcPr>
            <w:tcW w:w="760" w:type="pct"/>
            <w:shd w:val="clear" w:color="auto" w:fill="auto"/>
          </w:tcPr>
          <w:p w14:paraId="409EC6A6" w14:textId="77777777" w:rsidR="004C0297" w:rsidRPr="00C00335" w:rsidRDefault="004C0297" w:rsidP="006911C6">
            <w:pPr>
              <w:pStyle w:val="TableText"/>
              <w:spacing w:before="40" w:after="40"/>
              <w:jc w:val="center"/>
              <w:rPr>
                <w:sz w:val="20"/>
              </w:rPr>
            </w:pPr>
            <w:r w:rsidRPr="00C00335">
              <w:rPr>
                <w:position w:val="-14"/>
                <w:sz w:val="20"/>
              </w:rPr>
              <w:object w:dxaOrig="620" w:dyaOrig="420" w14:anchorId="71CF8142">
                <v:shape id="_x0000_i1089" type="#_x0000_t75" style="width:21.75pt;height:14.25pt" o:ole="">
                  <v:imagedata r:id="rId178" o:title=""/>
                </v:shape>
                <o:OLEObject Type="Embed" ProgID="Equation.3" ShapeID="_x0000_i1089" DrawAspect="Content" ObjectID="_1700043772" r:id="rId179"/>
              </w:object>
            </w:r>
          </w:p>
        </w:tc>
        <w:tc>
          <w:tcPr>
            <w:tcW w:w="4240" w:type="pct"/>
            <w:shd w:val="clear" w:color="auto" w:fill="auto"/>
          </w:tcPr>
          <w:p w14:paraId="2637A9F2" w14:textId="418DBB13" w:rsidR="004C0297" w:rsidRPr="00C00335" w:rsidRDefault="004C0297" w:rsidP="006911C6">
            <w:pPr>
              <w:pStyle w:val="TableText"/>
              <w:spacing w:before="40" w:after="40"/>
              <w:rPr>
                <w:sz w:val="20"/>
              </w:rPr>
            </w:pPr>
            <w:r w:rsidRPr="00C00335">
              <w:rPr>
                <w:sz w:val="20"/>
              </w:rPr>
              <w:t xml:space="preserve">Percentage of newly diagnosed individuals in subpopulation </w:t>
            </w:r>
            <w:r w:rsidRPr="00C00335">
              <w:rPr>
                <w:i/>
                <w:iCs/>
                <w:sz w:val="20"/>
              </w:rPr>
              <w:t>p</w:t>
            </w:r>
            <w:r w:rsidRPr="00C00335">
              <w:rPr>
                <w:sz w:val="20"/>
              </w:rPr>
              <w:t xml:space="preserve"> immediately </w:t>
            </w:r>
            <w:r w:rsidR="009E34D9" w:rsidRPr="00C00335">
              <w:rPr>
                <w:sz w:val="20"/>
              </w:rPr>
              <w:t>linked to HIV care</w:t>
            </w:r>
            <w:r w:rsidRPr="00C00335">
              <w:rPr>
                <w:sz w:val="20"/>
              </w:rPr>
              <w:t xml:space="preserve"> at time </w:t>
            </w:r>
            <w:r w:rsidRPr="00C00335">
              <w:rPr>
                <w:i/>
                <w:sz w:val="20"/>
              </w:rPr>
              <w:t>t</w:t>
            </w:r>
            <w:r w:rsidRPr="00C00335">
              <w:rPr>
                <w:sz w:val="20"/>
              </w:rPr>
              <w:t xml:space="preserve"> </w:t>
            </w:r>
          </w:p>
        </w:tc>
      </w:tr>
      <w:tr w:rsidR="00421CA0" w:rsidRPr="00C00335" w14:paraId="0C3B8429" w14:textId="77777777" w:rsidTr="002A4EE6">
        <w:trPr>
          <w:cantSplit/>
        </w:trPr>
        <w:tc>
          <w:tcPr>
            <w:tcW w:w="760" w:type="pct"/>
            <w:tcBorders>
              <w:bottom w:val="single" w:sz="4" w:space="0" w:color="808080" w:themeColor="background1" w:themeShade="80"/>
            </w:tcBorders>
            <w:shd w:val="clear" w:color="auto" w:fill="auto"/>
          </w:tcPr>
          <w:p w14:paraId="51A9A416" w14:textId="1BBA1B76" w:rsidR="00421CA0" w:rsidRPr="00C00335" w:rsidRDefault="0020439A" w:rsidP="006911C6">
            <w:pPr>
              <w:pStyle w:val="TableText"/>
              <w:spacing w:before="40" w:after="40"/>
              <w:jc w:val="center"/>
              <w:rPr>
                <w:b/>
                <w:sz w:val="20"/>
              </w:rPr>
            </w:pPr>
            <w:r w:rsidRPr="00C00335">
              <w:rPr>
                <w:position w:val="-14"/>
                <w:sz w:val="20"/>
              </w:rPr>
              <w:object w:dxaOrig="360" w:dyaOrig="400" w14:anchorId="1D3BD72A">
                <v:shape id="_x0000_i1090" type="#_x0000_t75" style="width:22.5pt;height:22.5pt" o:ole="">
                  <v:imagedata r:id="rId180" o:title=""/>
                </v:shape>
                <o:OLEObject Type="Embed" ProgID="Equation.3" ShapeID="_x0000_i1090" DrawAspect="Content" ObjectID="_1700043773" r:id="rId181"/>
              </w:object>
            </w:r>
          </w:p>
        </w:tc>
        <w:tc>
          <w:tcPr>
            <w:tcW w:w="4240" w:type="pct"/>
            <w:tcBorders>
              <w:bottom w:val="single" w:sz="4" w:space="0" w:color="808080" w:themeColor="background1" w:themeShade="80"/>
            </w:tcBorders>
            <w:shd w:val="clear" w:color="auto" w:fill="auto"/>
          </w:tcPr>
          <w:p w14:paraId="7408AF57" w14:textId="33589627" w:rsidR="00421CA0" w:rsidRPr="00C00335" w:rsidRDefault="00421CA0" w:rsidP="006911C6">
            <w:pPr>
              <w:pStyle w:val="TableText"/>
              <w:spacing w:before="40" w:after="40"/>
              <w:rPr>
                <w:b/>
                <w:sz w:val="20"/>
              </w:rPr>
            </w:pPr>
            <w:r w:rsidRPr="00C00335">
              <w:rPr>
                <w:sz w:val="20"/>
              </w:rPr>
              <w:t xml:space="preserve">Constant rate of aging into the modeled population per person in subpopulation </w:t>
            </w:r>
            <w:r w:rsidRPr="00C00335">
              <w:rPr>
                <w:i/>
                <w:iCs/>
                <w:sz w:val="20"/>
              </w:rPr>
              <w:t>p</w:t>
            </w:r>
            <w:r w:rsidRPr="00C00335">
              <w:rPr>
                <w:sz w:val="20"/>
              </w:rPr>
              <w:t xml:space="preserve"> at the start of the model</w:t>
            </w:r>
          </w:p>
        </w:tc>
      </w:tr>
    </w:tbl>
    <w:p w14:paraId="06F81BA7" w14:textId="77777777" w:rsidR="004A1C14" w:rsidRPr="00C00335" w:rsidRDefault="004A1C14" w:rsidP="004A1C14">
      <w:pPr>
        <w:pStyle w:val="Tablecont"/>
        <w:rPr>
          <w:sz w:val="20"/>
        </w:rPr>
      </w:pPr>
      <w:r w:rsidRPr="00C00335">
        <w:rPr>
          <w:sz w:val="20"/>
        </w:rPr>
        <w:t>(continued)</w:t>
      </w:r>
    </w:p>
    <w:p w14:paraId="774999ED" w14:textId="77777777" w:rsidR="004A1C14" w:rsidRPr="00C00335" w:rsidRDefault="004A1C14" w:rsidP="004A1C14">
      <w:pPr>
        <w:pStyle w:val="TableTitlecont"/>
      </w:pPr>
      <w:r w:rsidRPr="00C00335">
        <w:lastRenderedPageBreak/>
        <w:t>Table A.1.</w:t>
      </w:r>
      <w:r w:rsidRPr="00C00335">
        <w:tab/>
        <w:t>Definitions of Symbols Applied in This Document (continued)</w:t>
      </w:r>
    </w:p>
    <w:tbl>
      <w:tblPr>
        <w:tblW w:w="5001"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970"/>
        <w:gridCol w:w="10993"/>
      </w:tblGrid>
      <w:tr w:rsidR="004A1C14" w:rsidRPr="00C00335" w14:paraId="460CBE7C" w14:textId="77777777" w:rsidTr="0072308A">
        <w:trPr>
          <w:cantSplit/>
          <w:tblHeader/>
        </w:trPr>
        <w:tc>
          <w:tcPr>
            <w:tcW w:w="760" w:type="pct"/>
            <w:tcBorders>
              <w:top w:val="single" w:sz="12" w:space="0" w:color="auto"/>
              <w:bottom w:val="single" w:sz="6" w:space="0" w:color="auto"/>
            </w:tcBorders>
            <w:shd w:val="clear" w:color="auto" w:fill="auto"/>
          </w:tcPr>
          <w:p w14:paraId="5DA30525" w14:textId="77777777" w:rsidR="004A1C14" w:rsidRPr="00C00335" w:rsidRDefault="004A1C14" w:rsidP="00F52C23">
            <w:pPr>
              <w:pStyle w:val="TableHeaders"/>
              <w:spacing w:before="50" w:after="50"/>
              <w:rPr>
                <w:sz w:val="20"/>
              </w:rPr>
            </w:pPr>
            <w:r w:rsidRPr="00C00335">
              <w:rPr>
                <w:sz w:val="20"/>
              </w:rPr>
              <w:t>Symbol</w:t>
            </w:r>
          </w:p>
        </w:tc>
        <w:tc>
          <w:tcPr>
            <w:tcW w:w="4240" w:type="pct"/>
            <w:tcBorders>
              <w:top w:val="single" w:sz="12" w:space="0" w:color="auto"/>
              <w:bottom w:val="single" w:sz="6" w:space="0" w:color="auto"/>
            </w:tcBorders>
            <w:shd w:val="clear" w:color="auto" w:fill="auto"/>
          </w:tcPr>
          <w:p w14:paraId="52093395" w14:textId="77777777" w:rsidR="004A1C14" w:rsidRPr="00C00335" w:rsidRDefault="004A1C14" w:rsidP="00F52C23">
            <w:pPr>
              <w:pStyle w:val="TableHeaders"/>
              <w:spacing w:before="50" w:after="50"/>
              <w:jc w:val="left"/>
              <w:rPr>
                <w:sz w:val="20"/>
              </w:rPr>
            </w:pPr>
            <w:r w:rsidRPr="00C00335">
              <w:rPr>
                <w:sz w:val="20"/>
              </w:rPr>
              <w:t>Definition</w:t>
            </w:r>
          </w:p>
        </w:tc>
      </w:tr>
      <w:tr w:rsidR="004A1C14" w:rsidRPr="00C00335" w14:paraId="496043B5" w14:textId="77777777" w:rsidTr="0072308A">
        <w:trPr>
          <w:cantSplit/>
        </w:trPr>
        <w:tc>
          <w:tcPr>
            <w:tcW w:w="5000" w:type="pct"/>
            <w:gridSpan w:val="2"/>
            <w:tcBorders>
              <w:top w:val="single" w:sz="6" w:space="0" w:color="auto"/>
            </w:tcBorders>
            <w:shd w:val="clear" w:color="auto" w:fill="D9D9D9" w:themeFill="background1" w:themeFillShade="D9"/>
          </w:tcPr>
          <w:p w14:paraId="71F46F57" w14:textId="77777777" w:rsidR="004A1C14" w:rsidRPr="00C00335" w:rsidRDefault="004A1C14" w:rsidP="00F52C23">
            <w:pPr>
              <w:pStyle w:val="TableText"/>
              <w:spacing w:before="50" w:after="50"/>
              <w:rPr>
                <w:b/>
                <w:sz w:val="20"/>
              </w:rPr>
            </w:pPr>
            <w:r w:rsidRPr="00C00335">
              <w:rPr>
                <w:b/>
                <w:sz w:val="20"/>
              </w:rPr>
              <w:t>Greek Alphabet (continued)</w:t>
            </w:r>
          </w:p>
        </w:tc>
      </w:tr>
      <w:tr w:rsidR="008B0F71" w:rsidRPr="00C00335" w14:paraId="72360157" w14:textId="77777777" w:rsidTr="002A4EE6">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2773BFE7" w14:textId="25EA3860" w:rsidR="008B0F71" w:rsidRPr="006F5064" w:rsidRDefault="008B0F71" w:rsidP="008B0F71">
            <w:pPr>
              <w:pStyle w:val="TableText"/>
              <w:spacing w:before="40" w:after="40"/>
              <w:jc w:val="center"/>
              <w:rPr>
                <w:sz w:val="20"/>
              </w:rPr>
            </w:pPr>
            <w:r w:rsidRPr="00C00335">
              <w:rPr>
                <w:position w:val="-14"/>
                <w:sz w:val="20"/>
              </w:rPr>
              <w:object w:dxaOrig="620" w:dyaOrig="400" w14:anchorId="1736A1CF">
                <v:shape id="_x0000_i1091" type="#_x0000_t75" style="width:21.75pt;height:22.5pt" o:ole="">
                  <v:imagedata r:id="rId182" o:title=""/>
                </v:shape>
                <o:OLEObject Type="Embed" ProgID="Equation.3" ShapeID="_x0000_i1091" DrawAspect="Content" ObjectID="_1700043774" r:id="rId183"/>
              </w:object>
            </w:r>
          </w:p>
        </w:tc>
        <w:tc>
          <w:tcPr>
            <w:tcW w:w="4240" w:type="pct"/>
            <w:tcBorders>
              <w:top w:val="single" w:sz="4" w:space="0" w:color="808080" w:themeColor="background1" w:themeShade="80"/>
              <w:bottom w:val="single" w:sz="4" w:space="0" w:color="808080" w:themeColor="background1" w:themeShade="80"/>
            </w:tcBorders>
            <w:shd w:val="clear" w:color="auto" w:fill="auto"/>
          </w:tcPr>
          <w:p w14:paraId="25817ADE" w14:textId="77777777" w:rsidR="008B0F71" w:rsidRPr="00F03065" w:rsidRDefault="008B0F71" w:rsidP="008B0F71">
            <w:pPr>
              <w:pStyle w:val="Tabletext0"/>
              <w:spacing w:line="240" w:lineRule="auto"/>
              <w:rPr>
                <w:rFonts w:ascii="Verdana" w:hAnsi="Verdana"/>
                <w:i/>
                <w:iCs/>
                <w:sz w:val="20"/>
              </w:rPr>
            </w:pPr>
            <w:r w:rsidRPr="00F03065">
              <w:rPr>
                <w:rFonts w:ascii="Verdana" w:hAnsi="Verdana"/>
                <w:sz w:val="20"/>
              </w:rPr>
              <w:t xml:space="preserve">Force of HIV infection for non-HIV-infected individuals (across all sexual and needle-sharing risks) in subpopulation </w:t>
            </w:r>
            <w:proofErr w:type="spellStart"/>
            <w:r w:rsidRPr="00F03065">
              <w:rPr>
                <w:rFonts w:ascii="Verdana" w:hAnsi="Verdana"/>
                <w:i/>
                <w:iCs/>
                <w:sz w:val="20"/>
              </w:rPr>
              <w:t>p</w:t>
            </w:r>
            <w:r w:rsidRPr="00F03065">
              <w:rPr>
                <w:rFonts w:ascii="Verdana" w:hAnsi="Verdana"/>
                <w:sz w:val="20"/>
              </w:rPr>
              <w:t xml:space="preserve"> at</w:t>
            </w:r>
            <w:proofErr w:type="spellEnd"/>
            <w:r w:rsidRPr="00F03065">
              <w:rPr>
                <w:rFonts w:ascii="Verdana" w:hAnsi="Verdana"/>
                <w:sz w:val="20"/>
              </w:rPr>
              <w:t xml:space="preserve"> time </w:t>
            </w:r>
            <w:r w:rsidRPr="00F03065">
              <w:rPr>
                <w:rFonts w:ascii="Verdana" w:hAnsi="Verdana"/>
                <w:i/>
                <w:iCs/>
                <w:sz w:val="20"/>
              </w:rPr>
              <w:t>t</w:t>
            </w:r>
            <w:r w:rsidRPr="00F03065">
              <w:rPr>
                <w:rFonts w:ascii="Verdana" w:hAnsi="Verdana"/>
                <w:sz w:val="20"/>
              </w:rPr>
              <w:t>.</w:t>
            </w:r>
          </w:p>
          <w:p w14:paraId="73534EC4" w14:textId="77777777" w:rsidR="008B0F71" w:rsidRPr="00F03065" w:rsidRDefault="008B0F71" w:rsidP="008B0F71">
            <w:pPr>
              <w:pStyle w:val="Tabletext0"/>
              <w:spacing w:line="240" w:lineRule="auto"/>
              <w:rPr>
                <w:rFonts w:ascii="Verdana" w:hAnsi="Verdana"/>
                <w:i/>
                <w:iCs/>
                <w:sz w:val="20"/>
              </w:rPr>
            </w:pPr>
          </w:p>
          <w:p w14:paraId="1E95C1BC" w14:textId="5E01B747" w:rsidR="008B0F71" w:rsidRPr="00976E8B" w:rsidRDefault="008B0F71" w:rsidP="008B0F71">
            <w:pPr>
              <w:pStyle w:val="Tabletext0"/>
              <w:spacing w:line="240" w:lineRule="auto"/>
              <w:rPr>
                <w:rFonts w:ascii="Verdana" w:hAnsi="Verdana"/>
                <w:sz w:val="20"/>
              </w:rPr>
            </w:pPr>
            <w:r w:rsidRPr="00F03065">
              <w:rPr>
                <w:sz w:val="20"/>
              </w:rPr>
              <w:t>When allocati</w:t>
            </w:r>
            <w:r w:rsidRPr="006F5064">
              <w:rPr>
                <w:sz w:val="20"/>
              </w:rPr>
              <w:t xml:space="preserve">on-based progression is used, </w:t>
            </w:r>
            <w:r>
              <w:rPr>
                <w:sz w:val="20"/>
              </w:rPr>
              <w:t>the variable is</w:t>
            </w:r>
            <w:r w:rsidRPr="006F5064">
              <w:rPr>
                <w:sz w:val="20"/>
              </w:rPr>
              <w:t xml:space="preserve"> </w:t>
            </w:r>
            <w:r>
              <w:rPr>
                <w:sz w:val="20"/>
              </w:rPr>
              <w:t xml:space="preserve">represented by </w:t>
            </w:r>
            <m:oMath>
              <m:sSub>
                <m:sSubPr>
                  <m:ctrlPr>
                    <w:rPr>
                      <w:rFonts w:ascii="Cambria Math" w:hAnsi="Cambria Math"/>
                    </w:rPr>
                  </m:ctrlPr>
                </m:sSubPr>
                <m:e>
                  <m:r>
                    <w:rPr>
                      <w:rFonts w:ascii="Cambria Math" w:hAnsi="Cambria Math"/>
                    </w:rPr>
                    <m:t>λ</m:t>
                  </m:r>
                </m:e>
                <m:sub>
                  <m:r>
                    <w:rPr>
                      <w:rFonts w:ascii="Cambria Math" w:hAnsi="Cambria Math"/>
                    </w:rPr>
                    <m:t>p</m:t>
                  </m:r>
                </m:sub>
              </m:sSub>
              <m:d>
                <m:dPr>
                  <m:ctrlPr>
                    <w:rPr>
                      <w:rFonts w:ascii="Cambria Math" w:hAnsi="Cambria Math"/>
                    </w:rPr>
                  </m:ctrlPr>
                </m:dPr>
                <m:e>
                  <m:sSubSup>
                    <m:sSubSupPr>
                      <m:ctrlPr>
                        <w:rPr>
                          <w:rFonts w:ascii="Cambria Math" w:hAnsi="Cambria Math"/>
                          <w:b/>
                        </w:rPr>
                      </m:ctrlPr>
                    </m:sSubSupPr>
                    <m:e>
                      <m:r>
                        <m:rPr>
                          <m:sty m:val="b"/>
                        </m:rPr>
                        <w:rPr>
                          <w:rFonts w:ascii="Cambria Math" w:hAnsi="Cambria Math"/>
                        </w:rPr>
                        <m:t>ṅ</m:t>
                      </m:r>
                    </m:e>
                    <m:sub>
                      <m:sSup>
                        <m:sSupPr>
                          <m:ctrlPr>
                            <w:rPr>
                              <w:rFonts w:ascii="Cambria Math" w:hAnsi="Cambria Math"/>
                              <w:b/>
                            </w:rPr>
                          </m:ctrlPr>
                        </m:sSupPr>
                        <m:e>
                          <m:r>
                            <m:rPr>
                              <m:sty m:val="bi"/>
                            </m:rPr>
                            <w:rPr>
                              <w:rFonts w:ascii="Cambria Math" w:hAnsi="Cambria Math"/>
                            </w:rPr>
                            <m:t>j</m:t>
                          </m:r>
                        </m:e>
                        <m:sup>
                          <m:r>
                            <m:rPr>
                              <m:sty m:val="b"/>
                            </m:rPr>
                            <w:rPr>
                              <w:rFonts w:ascii="Cambria Math" w:hAnsi="Cambria Math"/>
                            </w:rPr>
                            <m:t>*</m:t>
                          </m:r>
                        </m:sup>
                      </m:sSup>
                    </m:sub>
                    <m:sup>
                      <m:r>
                        <m:rPr>
                          <m:sty m:val="bi"/>
                        </m:rPr>
                        <w:rPr>
                          <w:rFonts w:ascii="Cambria Math" w:hAnsi="Cambria Math"/>
                        </w:rPr>
                        <m:t>q</m:t>
                      </m:r>
                    </m:sup>
                  </m:sSubSup>
                  <m:r>
                    <m:rPr>
                      <m:sty m:val="p"/>
                    </m:rPr>
                    <w:rPr>
                      <w:rFonts w:ascii="Cambria Math" w:hAnsi="Cambria Math"/>
                    </w:rPr>
                    <m:t>,</m:t>
                  </m:r>
                  <m:r>
                    <w:rPr>
                      <w:rFonts w:ascii="Cambria Math" w:hAnsi="Cambria Math"/>
                    </w:rPr>
                    <m:t>t</m:t>
                  </m:r>
                </m:e>
              </m:d>
            </m:oMath>
            <w:r>
              <w:rPr>
                <w:sz w:val="20"/>
              </w:rPr>
              <w:t>, reflecting the same measure, but</w:t>
            </w:r>
            <w:r w:rsidRPr="00976E8B">
              <w:rPr>
                <w:sz w:val="20"/>
              </w:rPr>
              <w:t xml:space="preserve"> </w:t>
            </w:r>
            <w:r>
              <w:rPr>
                <w:sz w:val="20"/>
              </w:rPr>
              <w:t>dependent on</w:t>
            </w:r>
            <w:r w:rsidRPr="00976E8B">
              <w:rPr>
                <w:rFonts w:eastAsiaTheme="minorEastAsia"/>
                <w:sz w:val="20"/>
              </w:rPr>
              <w:t xml:space="preserve"> the annual funding allocation </w:t>
            </w:r>
            <m:oMath>
              <m:sSubSup>
                <m:sSubSupPr>
                  <m:ctrlPr>
                    <w:rPr>
                      <w:rFonts w:ascii="Cambria Math" w:hAnsi="Cambria Math"/>
                      <w:sz w:val="20"/>
                    </w:rPr>
                  </m:ctrlPr>
                </m:sSubSupPr>
                <m:e>
                  <m:r>
                    <m:rPr>
                      <m:sty m:val="p"/>
                    </m:rPr>
                    <w:rPr>
                      <w:rFonts w:ascii="Cambria Math" w:hAnsi="Cambria Math"/>
                      <w:sz w:val="20"/>
                    </w:rPr>
                    <m:t>ṅ</m:t>
                  </m:r>
                </m:e>
                <m:sub>
                  <m:sSup>
                    <m:sSupPr>
                      <m:ctrlPr>
                        <w:rPr>
                          <w:rFonts w:ascii="Cambria Math" w:hAnsi="Cambria Math"/>
                          <w:sz w:val="20"/>
                        </w:rPr>
                      </m:ctrlPr>
                    </m:sSupPr>
                    <m:e>
                      <m:r>
                        <m:rPr>
                          <m:sty m:val="bi"/>
                        </m:rPr>
                        <w:rPr>
                          <w:rFonts w:ascii="Cambria Math" w:hAnsi="Cambria Math"/>
                          <w:sz w:val="20"/>
                        </w:rPr>
                        <m:t>j</m:t>
                      </m:r>
                    </m:e>
                    <m:sup>
                      <m:r>
                        <m:rPr>
                          <m:sty m:val="p"/>
                        </m:rPr>
                        <w:rPr>
                          <w:rFonts w:ascii="Cambria Math" w:hAnsi="Cambria Math"/>
                          <w:sz w:val="20"/>
                        </w:rPr>
                        <m:t>*</m:t>
                      </m:r>
                    </m:sup>
                  </m:sSup>
                </m:sub>
                <m:sup>
                  <m:r>
                    <m:rPr>
                      <m:sty m:val="bi"/>
                    </m:rPr>
                    <w:rPr>
                      <w:rFonts w:ascii="Cambria Math" w:hAnsi="Cambria Math"/>
                      <w:sz w:val="20"/>
                    </w:rPr>
                    <m:t>q</m:t>
                  </m:r>
                </m:sup>
              </m:sSubSup>
            </m:oMath>
            <w:r>
              <w:rPr>
                <w:rFonts w:eastAsiaTheme="minorEastAsia"/>
                <w:sz w:val="20"/>
              </w:rPr>
              <w:t>.</w:t>
            </w:r>
          </w:p>
        </w:tc>
      </w:tr>
      <w:tr w:rsidR="002A4EE6" w:rsidRPr="00C00335" w14:paraId="6EE89742" w14:textId="77777777" w:rsidTr="002A4EE6">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78B6B28B" w14:textId="77777777" w:rsidR="002A4EE6" w:rsidRPr="006F5064" w:rsidRDefault="002A4EE6" w:rsidP="006911C6">
            <w:pPr>
              <w:pStyle w:val="TableText"/>
              <w:spacing w:before="40" w:after="40"/>
              <w:jc w:val="center"/>
              <w:rPr>
                <w:sz w:val="20"/>
              </w:rPr>
            </w:pPr>
            <w:r w:rsidRPr="006F5064">
              <w:rPr>
                <w:position w:val="-14"/>
                <w:sz w:val="20"/>
              </w:rPr>
              <w:object w:dxaOrig="660" w:dyaOrig="400" w14:anchorId="6533608A">
                <v:shape id="_x0000_i1092" type="#_x0000_t75" style="width:28.5pt;height:22.5pt" o:ole="">
                  <v:imagedata r:id="rId184" o:title=""/>
                </v:shape>
                <o:OLEObject Type="Embed" ProgID="Equation.3" ShapeID="_x0000_i1092" DrawAspect="Content" ObjectID="_1700043775" r:id="rId185"/>
              </w:object>
            </w:r>
          </w:p>
        </w:tc>
        <w:tc>
          <w:tcPr>
            <w:tcW w:w="4240" w:type="pct"/>
            <w:tcBorders>
              <w:top w:val="single" w:sz="4" w:space="0" w:color="808080" w:themeColor="background1" w:themeShade="80"/>
              <w:bottom w:val="single" w:sz="4" w:space="0" w:color="808080" w:themeColor="background1" w:themeShade="80"/>
            </w:tcBorders>
            <w:shd w:val="clear" w:color="auto" w:fill="auto"/>
          </w:tcPr>
          <w:p w14:paraId="3F5E292A" w14:textId="77777777" w:rsidR="00F2724B" w:rsidRPr="00976E8B" w:rsidRDefault="002A4EE6" w:rsidP="0010273D">
            <w:pPr>
              <w:pStyle w:val="Tabletext0"/>
              <w:spacing w:line="240" w:lineRule="auto"/>
              <w:rPr>
                <w:rFonts w:ascii="Verdana" w:hAnsi="Verdana"/>
                <w:i/>
                <w:iCs/>
                <w:sz w:val="20"/>
              </w:rPr>
            </w:pPr>
            <w:r w:rsidRPr="00976E8B">
              <w:rPr>
                <w:rFonts w:ascii="Verdana" w:hAnsi="Verdana"/>
                <w:sz w:val="20"/>
              </w:rPr>
              <w:t xml:space="preserve">Force of HIV infection from risk type </w:t>
            </w:r>
            <w:r w:rsidRPr="00976E8B">
              <w:rPr>
                <w:rFonts w:ascii="Verdana" w:hAnsi="Verdana"/>
                <w:i/>
                <w:iCs/>
                <w:sz w:val="20"/>
              </w:rPr>
              <w:t>z</w:t>
            </w:r>
            <w:r w:rsidRPr="00976E8B">
              <w:rPr>
                <w:rFonts w:ascii="Verdana" w:hAnsi="Verdana"/>
                <w:sz w:val="20"/>
              </w:rPr>
              <w:t xml:space="preserve"> for non-HIV infected individuals in subpopulation </w:t>
            </w:r>
            <w:r w:rsidRPr="00976E8B">
              <w:rPr>
                <w:rFonts w:ascii="Verdana" w:hAnsi="Verdana"/>
                <w:i/>
                <w:iCs/>
                <w:sz w:val="20"/>
              </w:rPr>
              <w:t>p</w:t>
            </w:r>
            <w:r w:rsidRPr="00976E8B">
              <w:rPr>
                <w:rFonts w:ascii="Verdana" w:hAnsi="Verdana"/>
                <w:sz w:val="20"/>
              </w:rPr>
              <w:t xml:space="preserve"> who participate in sexual transmission risk behaviors of each type x, at time </w:t>
            </w:r>
            <w:r w:rsidRPr="00976E8B">
              <w:rPr>
                <w:rFonts w:ascii="Verdana" w:hAnsi="Verdana"/>
                <w:i/>
                <w:iCs/>
                <w:sz w:val="20"/>
              </w:rPr>
              <w:t>t</w:t>
            </w:r>
            <w:r w:rsidR="006E471A" w:rsidRPr="00976E8B">
              <w:rPr>
                <w:rFonts w:ascii="Verdana" w:hAnsi="Verdana"/>
                <w:i/>
                <w:iCs/>
                <w:sz w:val="20"/>
              </w:rPr>
              <w:t xml:space="preserve">. </w:t>
            </w:r>
          </w:p>
          <w:p w14:paraId="24C4921C" w14:textId="77777777" w:rsidR="00F2724B" w:rsidRPr="00276B8E" w:rsidRDefault="00F2724B" w:rsidP="0010273D">
            <w:pPr>
              <w:pStyle w:val="Tabletext0"/>
              <w:spacing w:line="240" w:lineRule="auto"/>
              <w:rPr>
                <w:rFonts w:ascii="Verdana" w:hAnsi="Verdana"/>
                <w:i/>
                <w:iCs/>
                <w:sz w:val="20"/>
              </w:rPr>
            </w:pPr>
          </w:p>
          <w:p w14:paraId="13EC64ED" w14:textId="375BBAFF" w:rsidR="002A4EE6" w:rsidRPr="00976E8B" w:rsidRDefault="0010273D" w:rsidP="00976E8B">
            <w:pPr>
              <w:pStyle w:val="Tabletext0"/>
              <w:spacing w:line="240" w:lineRule="auto"/>
              <w:rPr>
                <w:rFonts w:ascii="Verdana" w:eastAsiaTheme="minorEastAsia" w:hAnsi="Verdana" w:cstheme="minorHAnsi"/>
                <w:sz w:val="20"/>
              </w:rPr>
            </w:pPr>
            <w:r w:rsidRPr="00276B8E">
              <w:rPr>
                <w:rFonts w:ascii="Verdana" w:hAnsi="Verdana"/>
                <w:sz w:val="20"/>
              </w:rPr>
              <w:t xml:space="preserve">When allocation-based progression is used, </w:t>
            </w:r>
            <w:r w:rsidR="004D624F" w:rsidRPr="00276B8E">
              <w:rPr>
                <w:rFonts w:ascii="Verdana" w:hAnsi="Verdana"/>
                <w:sz w:val="20"/>
              </w:rPr>
              <w:t xml:space="preserve">the variable is represented by </w:t>
            </w:r>
            <m:oMath>
              <m:sSubSup>
                <m:sSubSupPr>
                  <m:ctrlPr>
                    <w:rPr>
                      <w:rFonts w:ascii="Cambria Math" w:hAnsi="Cambria Math"/>
                      <w:sz w:val="20"/>
                    </w:rPr>
                  </m:ctrlPr>
                </m:sSubSupPr>
                <m:e>
                  <m:r>
                    <w:rPr>
                      <w:rFonts w:ascii="Cambria Math" w:hAnsi="Cambria Math"/>
                      <w:sz w:val="20"/>
                    </w:rPr>
                    <m:t>λ</m:t>
                  </m:r>
                </m:e>
                <m:sub>
                  <m:r>
                    <w:rPr>
                      <w:rFonts w:ascii="Cambria Math" w:hAnsi="Cambria Math"/>
                      <w:sz w:val="20"/>
                    </w:rPr>
                    <m:t>p</m:t>
                  </m:r>
                </m:sub>
                <m:sup>
                  <m:r>
                    <w:rPr>
                      <w:rFonts w:ascii="Cambria Math" w:hAnsi="Cambria Math"/>
                      <w:sz w:val="20"/>
                    </w:rPr>
                    <m:t>z</m:t>
                  </m:r>
                  <m:r>
                    <m:rPr>
                      <m:sty m:val="p"/>
                    </m:rPr>
                    <w:rPr>
                      <w:rFonts w:ascii="Cambria Math" w:hAnsi="Cambria Math"/>
                      <w:sz w:val="20"/>
                    </w:rPr>
                    <m:t>,</m:t>
                  </m:r>
                  <m:r>
                    <w:rPr>
                      <w:rFonts w:ascii="Cambria Math" w:hAnsi="Cambria Math"/>
                      <w:sz w:val="20"/>
                    </w:rPr>
                    <m:t>x</m:t>
                  </m:r>
                </m:sup>
              </m:sSubSup>
              <m:d>
                <m:dPr>
                  <m:ctrlPr>
                    <w:rPr>
                      <w:rFonts w:ascii="Cambria Math" w:hAnsi="Cambria Math"/>
                      <w:sz w:val="20"/>
                    </w:rPr>
                  </m:ctrlPr>
                </m:dPr>
                <m:e>
                  <m:sSubSup>
                    <m:sSubSupPr>
                      <m:ctrlPr>
                        <w:rPr>
                          <w:rFonts w:ascii="Cambria Math" w:hAnsi="Cambria Math"/>
                          <w:b/>
                          <w:sz w:val="20"/>
                        </w:rPr>
                      </m:ctrlPr>
                    </m:sSubSupPr>
                    <m:e>
                      <m:r>
                        <m:rPr>
                          <m:sty m:val="b"/>
                        </m:rPr>
                        <w:rPr>
                          <w:rFonts w:ascii="Cambria Math" w:hAnsi="Cambria Math"/>
                          <w:sz w:val="20"/>
                        </w:rPr>
                        <m:t>ṅ</m:t>
                      </m:r>
                    </m:e>
                    <m:sub>
                      <m:sSup>
                        <m:sSupPr>
                          <m:ctrlPr>
                            <w:rPr>
                              <w:rFonts w:ascii="Cambria Math" w:hAnsi="Cambria Math"/>
                              <w:b/>
                              <w:sz w:val="20"/>
                            </w:rPr>
                          </m:ctrlPr>
                        </m:sSupPr>
                        <m:e>
                          <m:r>
                            <m:rPr>
                              <m:sty m:val="bi"/>
                            </m:rPr>
                            <w:rPr>
                              <w:rFonts w:ascii="Cambria Math" w:hAnsi="Cambria Math"/>
                              <w:sz w:val="20"/>
                            </w:rPr>
                            <m:t>j</m:t>
                          </m:r>
                        </m:e>
                        <m:sup>
                          <m:r>
                            <m:rPr>
                              <m:sty m:val="b"/>
                            </m:rPr>
                            <w:rPr>
                              <w:rFonts w:ascii="Cambria Math" w:hAnsi="Cambria Math"/>
                              <w:sz w:val="20"/>
                            </w:rPr>
                            <m:t>*</m:t>
                          </m:r>
                        </m:sup>
                      </m:sSup>
                    </m:sub>
                    <m:sup>
                      <m:r>
                        <m:rPr>
                          <m:sty m:val="bi"/>
                        </m:rPr>
                        <w:rPr>
                          <w:rFonts w:ascii="Cambria Math" w:hAnsi="Cambria Math"/>
                          <w:sz w:val="20"/>
                        </w:rPr>
                        <m:t>q</m:t>
                      </m:r>
                    </m:sup>
                  </m:sSubSup>
                  <m:r>
                    <m:rPr>
                      <m:sty m:val="p"/>
                    </m:rPr>
                    <w:rPr>
                      <w:rFonts w:ascii="Cambria Math" w:hAnsi="Cambria Math"/>
                      <w:sz w:val="20"/>
                    </w:rPr>
                    <m:t>,</m:t>
                  </m:r>
                  <m:r>
                    <w:rPr>
                      <w:rFonts w:ascii="Cambria Math" w:hAnsi="Cambria Math"/>
                      <w:sz w:val="20"/>
                    </w:rPr>
                    <m:t>t</m:t>
                  </m:r>
                </m:e>
              </m:d>
            </m:oMath>
            <w:r w:rsidR="004D624F" w:rsidRPr="00276B8E">
              <w:rPr>
                <w:rFonts w:ascii="Verdana" w:hAnsi="Verdana"/>
                <w:sz w:val="20"/>
              </w:rPr>
              <w:t>, reflecting the same measure, but dependent on</w:t>
            </w:r>
            <w:r w:rsidR="004D624F" w:rsidRPr="00276B8E">
              <w:rPr>
                <w:rFonts w:ascii="Verdana" w:eastAsiaTheme="minorEastAsia" w:hAnsi="Verdana"/>
                <w:sz w:val="20"/>
              </w:rPr>
              <w:t xml:space="preserve"> the annual funding allocation </w:t>
            </w:r>
            <m:oMath>
              <m:sSubSup>
                <m:sSubSupPr>
                  <m:ctrlPr>
                    <w:rPr>
                      <w:rFonts w:ascii="Cambria Math" w:hAnsi="Cambria Math"/>
                      <w:sz w:val="20"/>
                    </w:rPr>
                  </m:ctrlPr>
                </m:sSubSupPr>
                <m:e>
                  <m:r>
                    <m:rPr>
                      <m:sty m:val="p"/>
                    </m:rPr>
                    <w:rPr>
                      <w:rFonts w:ascii="Cambria Math" w:hAnsi="Cambria Math"/>
                      <w:sz w:val="20"/>
                    </w:rPr>
                    <m:t>ṅ</m:t>
                  </m:r>
                </m:e>
                <m:sub>
                  <m:sSup>
                    <m:sSupPr>
                      <m:ctrlPr>
                        <w:rPr>
                          <w:rFonts w:ascii="Cambria Math" w:hAnsi="Cambria Math"/>
                          <w:sz w:val="20"/>
                        </w:rPr>
                      </m:ctrlPr>
                    </m:sSupPr>
                    <m:e>
                      <m:r>
                        <m:rPr>
                          <m:sty m:val="bi"/>
                        </m:rPr>
                        <w:rPr>
                          <w:rFonts w:ascii="Cambria Math" w:hAnsi="Cambria Math"/>
                          <w:sz w:val="20"/>
                        </w:rPr>
                        <m:t>j</m:t>
                      </m:r>
                    </m:e>
                    <m:sup>
                      <m:r>
                        <m:rPr>
                          <m:sty m:val="p"/>
                        </m:rPr>
                        <w:rPr>
                          <w:rFonts w:ascii="Cambria Math" w:hAnsi="Cambria Math"/>
                          <w:sz w:val="20"/>
                        </w:rPr>
                        <m:t>*</m:t>
                      </m:r>
                    </m:sup>
                  </m:sSup>
                </m:sub>
                <m:sup>
                  <m:r>
                    <m:rPr>
                      <m:sty m:val="bi"/>
                    </m:rPr>
                    <w:rPr>
                      <w:rFonts w:ascii="Cambria Math" w:hAnsi="Cambria Math"/>
                      <w:sz w:val="20"/>
                    </w:rPr>
                    <m:t>q</m:t>
                  </m:r>
                </m:sup>
              </m:sSubSup>
            </m:oMath>
            <w:r w:rsidR="004D624F" w:rsidRPr="00276B8E">
              <w:rPr>
                <w:rFonts w:ascii="Verdana" w:eastAsiaTheme="minorEastAsia" w:hAnsi="Verdana"/>
                <w:sz w:val="20"/>
              </w:rPr>
              <w:t>.</w:t>
            </w:r>
          </w:p>
        </w:tc>
      </w:tr>
      <w:tr w:rsidR="002A4EE6" w:rsidRPr="00C00335" w14:paraId="1E726CEC" w14:textId="77777777" w:rsidTr="002A4EE6">
        <w:trPr>
          <w:cantSplit/>
        </w:trPr>
        <w:tc>
          <w:tcPr>
            <w:tcW w:w="760" w:type="pct"/>
            <w:tcBorders>
              <w:top w:val="single" w:sz="4" w:space="0" w:color="808080" w:themeColor="background1" w:themeShade="80"/>
              <w:bottom w:val="single" w:sz="6" w:space="0" w:color="808080" w:themeColor="background1" w:themeShade="80"/>
            </w:tcBorders>
            <w:shd w:val="clear" w:color="auto" w:fill="auto"/>
          </w:tcPr>
          <w:p w14:paraId="6BFFC3E6" w14:textId="77777777" w:rsidR="002A4EE6" w:rsidRPr="00C00335" w:rsidRDefault="002A4EE6" w:rsidP="006911C6">
            <w:pPr>
              <w:pStyle w:val="TableText"/>
              <w:spacing w:before="40" w:after="40"/>
              <w:jc w:val="center"/>
              <w:rPr>
                <w:sz w:val="20"/>
              </w:rPr>
            </w:pPr>
            <w:r w:rsidRPr="00C00335">
              <w:rPr>
                <w:position w:val="-14"/>
                <w:sz w:val="20"/>
              </w:rPr>
              <w:object w:dxaOrig="320" w:dyaOrig="380" w14:anchorId="7F0B89E9">
                <v:shape id="_x0000_i1093" type="#_x0000_t75" style="width:22.5pt;height:14.25pt" o:ole="">
                  <v:imagedata r:id="rId186" o:title=""/>
                </v:shape>
                <o:OLEObject Type="Embed" ProgID="Equation.3" ShapeID="_x0000_i1093" DrawAspect="Content" ObjectID="_1700043776" r:id="rId187"/>
              </w:object>
            </w:r>
          </w:p>
        </w:tc>
        <w:tc>
          <w:tcPr>
            <w:tcW w:w="4240" w:type="pct"/>
            <w:tcBorders>
              <w:top w:val="single" w:sz="4" w:space="0" w:color="808080" w:themeColor="background1" w:themeShade="80"/>
              <w:bottom w:val="single" w:sz="6" w:space="0" w:color="808080" w:themeColor="background1" w:themeShade="80"/>
            </w:tcBorders>
            <w:shd w:val="clear" w:color="auto" w:fill="auto"/>
          </w:tcPr>
          <w:p w14:paraId="4E0B3162" w14:textId="020492D3" w:rsidR="002A4EE6" w:rsidRPr="00C00335" w:rsidRDefault="002A4EE6" w:rsidP="006911C6">
            <w:pPr>
              <w:pStyle w:val="TableText"/>
              <w:spacing w:before="40" w:after="40"/>
              <w:rPr>
                <w:sz w:val="20"/>
              </w:rPr>
            </w:pPr>
            <w:r w:rsidRPr="00C00335">
              <w:rPr>
                <w:sz w:val="20"/>
              </w:rPr>
              <w:t xml:space="preserve">Mortality rate from causes other than AIDS, if not prescribed ART, by demographic subpopulation </w:t>
            </w:r>
            <w:r w:rsidRPr="00C00335">
              <w:rPr>
                <w:i/>
                <w:sz w:val="20"/>
              </w:rPr>
              <w:t>p</w:t>
            </w:r>
          </w:p>
        </w:tc>
      </w:tr>
      <w:tr w:rsidR="00421CA0" w:rsidRPr="00C00335" w14:paraId="06AE36B0" w14:textId="77777777" w:rsidTr="0072308A">
        <w:trPr>
          <w:cantSplit/>
        </w:trPr>
        <w:tc>
          <w:tcPr>
            <w:tcW w:w="760" w:type="pct"/>
            <w:tcBorders>
              <w:top w:val="single" w:sz="6" w:space="0" w:color="808080" w:themeColor="background1" w:themeShade="80"/>
              <w:bottom w:val="single" w:sz="4" w:space="0" w:color="808080" w:themeColor="background1" w:themeShade="80"/>
            </w:tcBorders>
            <w:shd w:val="clear" w:color="auto" w:fill="auto"/>
          </w:tcPr>
          <w:p w14:paraId="36AAFBEB" w14:textId="0FDC6440" w:rsidR="00421CA0" w:rsidRPr="00C00335" w:rsidRDefault="00421CA0" w:rsidP="006911C6">
            <w:pPr>
              <w:pStyle w:val="TableText"/>
              <w:spacing w:before="40" w:after="40"/>
              <w:jc w:val="center"/>
              <w:rPr>
                <w:sz w:val="20"/>
              </w:rPr>
            </w:pPr>
            <w:r w:rsidRPr="00C00335">
              <w:rPr>
                <w:sz w:val="20"/>
              </w:rPr>
              <w:t xml:space="preserve">ξ </w:t>
            </w:r>
            <w:r w:rsidRPr="00C00335">
              <w:rPr>
                <w:sz w:val="20"/>
                <w:vertAlign w:val="subscript"/>
              </w:rPr>
              <w:t>z,y</w:t>
            </w:r>
            <w:r w:rsidRPr="00C00335">
              <w:rPr>
                <w:sz w:val="20"/>
              </w:rPr>
              <w:t>,</w:t>
            </w:r>
            <w:r w:rsidRPr="00C00335">
              <w:rPr>
                <w:sz w:val="20"/>
                <w:vertAlign w:val="subscript"/>
              </w:rPr>
              <w:t>p1,p2,c</w:t>
            </w:r>
          </w:p>
        </w:tc>
        <w:tc>
          <w:tcPr>
            <w:tcW w:w="4240" w:type="pct"/>
            <w:tcBorders>
              <w:top w:val="single" w:sz="6" w:space="0" w:color="808080" w:themeColor="background1" w:themeShade="80"/>
              <w:bottom w:val="single" w:sz="4" w:space="0" w:color="808080" w:themeColor="background1" w:themeShade="80"/>
            </w:tcBorders>
            <w:shd w:val="clear" w:color="auto" w:fill="auto"/>
          </w:tcPr>
          <w:p w14:paraId="115A3738" w14:textId="77777777" w:rsidR="00276B8E" w:rsidRDefault="00421CA0" w:rsidP="006E471A">
            <w:pPr>
              <w:pStyle w:val="Tabletext0"/>
              <w:spacing w:line="240" w:lineRule="auto"/>
              <w:rPr>
                <w:rFonts w:ascii="Verdana" w:hAnsi="Verdana"/>
                <w:iCs/>
                <w:sz w:val="20"/>
              </w:rPr>
            </w:pPr>
            <w:r w:rsidRPr="006E471A">
              <w:rPr>
                <w:rFonts w:ascii="Verdana" w:hAnsi="Verdana"/>
                <w:sz w:val="20"/>
              </w:rPr>
              <w:t xml:space="preserve">Number of partnerships of type y involving risk type </w:t>
            </w:r>
            <w:r w:rsidRPr="006E471A">
              <w:rPr>
                <w:rFonts w:ascii="Verdana" w:hAnsi="Verdana"/>
                <w:iCs/>
                <w:sz w:val="20"/>
              </w:rPr>
              <w:t>z</w:t>
            </w:r>
            <w:r w:rsidRPr="006E471A">
              <w:rPr>
                <w:rFonts w:ascii="Verdana" w:hAnsi="Verdana"/>
                <w:sz w:val="20"/>
              </w:rPr>
              <w:t xml:space="preserve"> per uninfected individual in subpopulation </w:t>
            </w:r>
            <w:r w:rsidRPr="006E471A">
              <w:rPr>
                <w:rFonts w:ascii="Verdana" w:hAnsi="Verdana"/>
                <w:iCs/>
                <w:sz w:val="20"/>
              </w:rPr>
              <w:t>p1</w:t>
            </w:r>
            <w:r w:rsidRPr="006E471A">
              <w:rPr>
                <w:rFonts w:ascii="Verdana" w:hAnsi="Verdana"/>
                <w:sz w:val="20"/>
              </w:rPr>
              <w:t xml:space="preserve"> with infected partners in subpopulation</w:t>
            </w:r>
            <w:r w:rsidRPr="006E471A">
              <w:rPr>
                <w:rFonts w:ascii="Verdana" w:hAnsi="Verdana"/>
                <w:iCs/>
                <w:sz w:val="20"/>
              </w:rPr>
              <w:t xml:space="preserve"> p2</w:t>
            </w:r>
            <w:r w:rsidRPr="006E471A">
              <w:rPr>
                <w:rFonts w:ascii="Verdana" w:hAnsi="Verdana"/>
                <w:sz w:val="20"/>
              </w:rPr>
              <w:t xml:space="preserve"> in compartment </w:t>
            </w:r>
            <w:r w:rsidRPr="006E471A">
              <w:rPr>
                <w:rFonts w:ascii="Verdana" w:hAnsi="Verdana"/>
                <w:iCs/>
                <w:sz w:val="20"/>
              </w:rPr>
              <w:t>c</w:t>
            </w:r>
            <w:r w:rsidR="006E471A" w:rsidRPr="006E471A">
              <w:rPr>
                <w:rFonts w:ascii="Verdana" w:hAnsi="Verdana"/>
                <w:iCs/>
                <w:sz w:val="20"/>
              </w:rPr>
              <w:t xml:space="preserve">. </w:t>
            </w:r>
          </w:p>
          <w:p w14:paraId="56AFD3F6" w14:textId="77777777" w:rsidR="00276B8E" w:rsidRDefault="00276B8E" w:rsidP="006E471A">
            <w:pPr>
              <w:pStyle w:val="Tabletext0"/>
              <w:spacing w:line="240" w:lineRule="auto"/>
              <w:rPr>
                <w:rFonts w:ascii="Verdana" w:hAnsi="Verdana"/>
                <w:iCs/>
                <w:sz w:val="20"/>
              </w:rPr>
            </w:pPr>
          </w:p>
          <w:p w14:paraId="588F25E9" w14:textId="43A0DD20" w:rsidR="00421CA0" w:rsidRPr="00C00335" w:rsidRDefault="006E471A" w:rsidP="00276B8E">
            <w:pPr>
              <w:pStyle w:val="Tabletext0"/>
              <w:spacing w:line="240" w:lineRule="auto"/>
              <w:rPr>
                <w:sz w:val="20"/>
              </w:rPr>
            </w:pPr>
            <w:r w:rsidRPr="006E471A">
              <w:rPr>
                <w:rFonts w:ascii="Verdana" w:hAnsi="Verdana"/>
                <w:iCs/>
                <w:sz w:val="20"/>
              </w:rPr>
              <w:t xml:space="preserve">When allocation-based progression is used, </w:t>
            </w:r>
            <w:r w:rsidR="00276B8E" w:rsidRPr="00276B8E">
              <w:rPr>
                <w:rFonts w:ascii="Verdana" w:hAnsi="Verdana"/>
                <w:sz w:val="20"/>
              </w:rPr>
              <w:t xml:space="preserve">the variable is represented by </w:t>
            </w:r>
            <m:oMath>
              <m:sSub>
                <m:sSubPr>
                  <m:ctrlPr>
                    <w:rPr>
                      <w:rFonts w:ascii="Cambria Math" w:hAnsi="Cambria Math" w:cstheme="minorHAnsi"/>
                      <w:i/>
                    </w:rPr>
                  </m:ctrlPr>
                </m:sSubPr>
                <m:e>
                  <m:r>
                    <w:rPr>
                      <w:rFonts w:ascii="Cambria Math" w:hAnsi="Cambria Math" w:cstheme="minorHAnsi"/>
                    </w:rPr>
                    <m:t>ξ</m:t>
                  </m:r>
                </m:e>
                <m:sub>
                  <m:r>
                    <w:rPr>
                      <w:rFonts w:ascii="Cambria Math" w:hAnsi="Cambria Math" w:cstheme="minorHAnsi"/>
                    </w:rPr>
                    <m:t>z,y,p,p2,c</m:t>
                  </m:r>
                </m:sub>
              </m:sSub>
              <m:d>
                <m:dPr>
                  <m:ctrlPr>
                    <w:rPr>
                      <w:rFonts w:ascii="Cambria Math" w:hAnsi="Cambria Math" w:cstheme="minorHAnsi"/>
                      <w:i/>
                    </w:rPr>
                  </m:ctrlPr>
                </m:dPr>
                <m:e>
                  <m:sSubSup>
                    <m:sSubSupPr>
                      <m:ctrlPr>
                        <w:rPr>
                          <w:rFonts w:ascii="Cambria Math" w:hAnsi="Cambria Math" w:cstheme="minorHAnsi"/>
                          <w:b/>
                          <w:szCs w:val="22"/>
                        </w:rPr>
                      </m:ctrlPr>
                    </m:sSubSupPr>
                    <m:e>
                      <m:r>
                        <m:rPr>
                          <m:sty m:val="b"/>
                        </m:rPr>
                        <w:rPr>
                          <w:rFonts w:ascii="Cambria Math" w:hAnsi="Cambria Math" w:cstheme="minorHAnsi"/>
                          <w:szCs w:val="22"/>
                        </w:rPr>
                        <m:t>ṅ</m:t>
                      </m:r>
                    </m:e>
                    <m:sub>
                      <m:sSup>
                        <m:sSupPr>
                          <m:ctrlPr>
                            <w:rPr>
                              <w:rFonts w:ascii="Cambria Math" w:hAnsi="Cambria Math" w:cstheme="minorHAnsi"/>
                              <w:b/>
                              <w:i/>
                              <w:szCs w:val="22"/>
                            </w:rPr>
                          </m:ctrlPr>
                        </m:sSupPr>
                        <m:e>
                          <m:r>
                            <m:rPr>
                              <m:sty m:val="bi"/>
                            </m:rPr>
                            <w:rPr>
                              <w:rFonts w:ascii="Cambria Math" w:hAnsi="Cambria Math" w:cstheme="minorHAnsi"/>
                              <w:szCs w:val="22"/>
                            </w:rPr>
                            <m:t>j</m:t>
                          </m:r>
                        </m:e>
                        <m:sup>
                          <m:r>
                            <m:rPr>
                              <m:sty m:val="bi"/>
                            </m:rPr>
                            <w:rPr>
                              <w:rFonts w:ascii="Cambria Math" w:hAnsi="Cambria Math" w:cstheme="minorHAnsi"/>
                              <w:szCs w:val="22"/>
                            </w:rPr>
                            <m:t>*</m:t>
                          </m:r>
                        </m:sup>
                      </m:sSup>
                    </m:sub>
                    <m:sup>
                      <m:r>
                        <m:rPr>
                          <m:sty m:val="bi"/>
                        </m:rPr>
                        <w:rPr>
                          <w:rFonts w:ascii="Cambria Math" w:hAnsi="Cambria Math" w:cstheme="minorHAnsi"/>
                          <w:szCs w:val="22"/>
                        </w:rPr>
                        <m:t>q</m:t>
                      </m:r>
                    </m:sup>
                  </m:sSubSup>
                  <m:r>
                    <w:rPr>
                      <w:rFonts w:ascii="Cambria Math" w:hAnsi="Cambria Math" w:cstheme="minorHAnsi"/>
                    </w:rPr>
                    <m:t>,t</m:t>
                  </m:r>
                </m:e>
              </m:d>
            </m:oMath>
            <w:r w:rsidR="00276B8E" w:rsidRPr="00276B8E">
              <w:rPr>
                <w:rFonts w:ascii="Verdana" w:hAnsi="Verdana"/>
                <w:sz w:val="20"/>
              </w:rPr>
              <w:t>, reflecting the same measure, but dependent on</w:t>
            </w:r>
            <w:r w:rsidR="00276B8E" w:rsidRPr="00276B8E">
              <w:rPr>
                <w:rFonts w:ascii="Verdana" w:eastAsiaTheme="minorEastAsia" w:hAnsi="Verdana"/>
                <w:sz w:val="20"/>
              </w:rPr>
              <w:t xml:space="preserve"> the annual funding allocation </w:t>
            </w:r>
            <m:oMath>
              <m:sSubSup>
                <m:sSubSupPr>
                  <m:ctrlPr>
                    <w:rPr>
                      <w:rFonts w:ascii="Cambria Math" w:hAnsi="Cambria Math"/>
                      <w:sz w:val="20"/>
                    </w:rPr>
                  </m:ctrlPr>
                </m:sSubSupPr>
                <m:e>
                  <m:r>
                    <m:rPr>
                      <m:sty m:val="p"/>
                    </m:rPr>
                    <w:rPr>
                      <w:rFonts w:ascii="Cambria Math" w:hAnsi="Cambria Math"/>
                      <w:sz w:val="20"/>
                    </w:rPr>
                    <m:t>ṅ</m:t>
                  </m:r>
                </m:e>
                <m:sub>
                  <m:sSup>
                    <m:sSupPr>
                      <m:ctrlPr>
                        <w:rPr>
                          <w:rFonts w:ascii="Cambria Math" w:hAnsi="Cambria Math"/>
                          <w:sz w:val="20"/>
                        </w:rPr>
                      </m:ctrlPr>
                    </m:sSupPr>
                    <m:e>
                      <m:r>
                        <m:rPr>
                          <m:sty m:val="bi"/>
                        </m:rPr>
                        <w:rPr>
                          <w:rFonts w:ascii="Cambria Math" w:hAnsi="Cambria Math"/>
                          <w:sz w:val="20"/>
                        </w:rPr>
                        <m:t>j</m:t>
                      </m:r>
                    </m:e>
                    <m:sup>
                      <m:r>
                        <m:rPr>
                          <m:sty m:val="p"/>
                        </m:rPr>
                        <w:rPr>
                          <w:rFonts w:ascii="Cambria Math" w:hAnsi="Cambria Math"/>
                          <w:sz w:val="20"/>
                        </w:rPr>
                        <m:t>*</m:t>
                      </m:r>
                    </m:sup>
                  </m:sSup>
                </m:sub>
                <m:sup>
                  <m:r>
                    <m:rPr>
                      <m:sty m:val="bi"/>
                    </m:rPr>
                    <w:rPr>
                      <w:rFonts w:ascii="Cambria Math" w:hAnsi="Cambria Math"/>
                      <w:sz w:val="20"/>
                    </w:rPr>
                    <m:t>q</m:t>
                  </m:r>
                </m:sup>
              </m:sSubSup>
            </m:oMath>
            <w:r w:rsidR="00276B8E" w:rsidRPr="00276B8E">
              <w:rPr>
                <w:rFonts w:ascii="Verdana" w:eastAsiaTheme="minorEastAsia" w:hAnsi="Verdana"/>
                <w:sz w:val="20"/>
              </w:rPr>
              <w:t>.</w:t>
            </w:r>
          </w:p>
        </w:tc>
      </w:tr>
      <w:tr w:rsidR="00833802" w:rsidRPr="00C00335" w14:paraId="652DC4DC" w14:textId="77777777" w:rsidTr="0072308A">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74DF208D" w14:textId="1432BE2F" w:rsidR="00833802" w:rsidRPr="00C00335" w:rsidRDefault="00747E9D" w:rsidP="006911C6">
            <w:pPr>
              <w:pStyle w:val="TableText"/>
              <w:spacing w:before="40" w:after="40"/>
              <w:jc w:val="center"/>
              <w:rPr>
                <w:sz w:val="20"/>
              </w:rPr>
            </w:pPr>
            <m:oMath>
              <m:sSubSup>
                <m:sSubSupPr>
                  <m:ctrlPr>
                    <w:rPr>
                      <w:rFonts w:ascii="Cambria Math" w:hAnsi="Cambria Math"/>
                      <w:i/>
                      <w:sz w:val="20"/>
                    </w:rPr>
                  </m:ctrlPr>
                </m:sSubSupPr>
                <m:e>
                  <m:r>
                    <m:rPr>
                      <m:nor/>
                    </m:rPr>
                    <w:rPr>
                      <w:sz w:val="20"/>
                    </w:rPr>
                    <m:t>π</m:t>
                  </m:r>
                </m:e>
                <m:sub>
                  <m:r>
                    <m:rPr>
                      <m:nor/>
                    </m:rPr>
                    <w:rPr>
                      <w:sz w:val="20"/>
                    </w:rPr>
                    <m:t>p</m:t>
                  </m:r>
                </m:sub>
                <m:sup>
                  <m:r>
                    <m:rPr>
                      <m:nor/>
                    </m:rPr>
                    <w:rPr>
                      <w:sz w:val="20"/>
                    </w:rPr>
                    <m:t>c</m:t>
                  </m:r>
                </m:sup>
              </m:sSubSup>
            </m:oMath>
            <w:r w:rsidR="00833802" w:rsidRPr="00C00335">
              <w:rPr>
                <w:sz w:val="20"/>
              </w:rPr>
              <w:t>(t)</w:t>
            </w:r>
          </w:p>
        </w:tc>
        <w:tc>
          <w:tcPr>
            <w:tcW w:w="4240" w:type="pct"/>
            <w:tcBorders>
              <w:top w:val="single" w:sz="4" w:space="0" w:color="808080" w:themeColor="background1" w:themeShade="80"/>
              <w:bottom w:val="single" w:sz="4" w:space="0" w:color="808080" w:themeColor="background1" w:themeShade="80"/>
            </w:tcBorders>
            <w:shd w:val="clear" w:color="auto" w:fill="auto"/>
          </w:tcPr>
          <w:p w14:paraId="2EF0C120" w14:textId="79B6BACE" w:rsidR="00833802" w:rsidRPr="00C00335" w:rsidRDefault="00833802" w:rsidP="006911C6">
            <w:pPr>
              <w:pStyle w:val="TableText"/>
              <w:spacing w:before="40" w:after="40"/>
              <w:rPr>
                <w:sz w:val="20"/>
              </w:rPr>
            </w:pPr>
            <w:r w:rsidRPr="00C00335">
              <w:rPr>
                <w:sz w:val="20"/>
              </w:rPr>
              <w:t xml:space="preserve">Rate of testing of undiagnosed individuals in compartment </w:t>
            </w:r>
            <w:r w:rsidRPr="00C00335">
              <w:rPr>
                <w:i/>
                <w:sz w:val="20"/>
              </w:rPr>
              <w:t>c</w:t>
            </w:r>
            <w:r w:rsidRPr="00C00335">
              <w:rPr>
                <w:sz w:val="20"/>
              </w:rPr>
              <w:t xml:space="preserve">, at time </w:t>
            </w:r>
            <w:r w:rsidRPr="00C00335">
              <w:rPr>
                <w:i/>
                <w:sz w:val="20"/>
              </w:rPr>
              <w:t>t</w:t>
            </w:r>
            <w:r w:rsidRPr="00C00335">
              <w:rPr>
                <w:sz w:val="20"/>
              </w:rPr>
              <w:t xml:space="preserve"> by demographic subpopulation </w:t>
            </w:r>
            <w:r w:rsidRPr="00C00335">
              <w:rPr>
                <w:i/>
                <w:sz w:val="20"/>
              </w:rPr>
              <w:t>p</w:t>
            </w:r>
          </w:p>
        </w:tc>
      </w:tr>
      <w:tr w:rsidR="00BF7CA2" w:rsidRPr="00C00335" w14:paraId="2920AEF4" w14:textId="77777777" w:rsidTr="0072308A">
        <w:trPr>
          <w:cantSplit/>
        </w:trPr>
        <w:tc>
          <w:tcPr>
            <w:tcW w:w="760" w:type="pct"/>
            <w:tcBorders>
              <w:top w:val="single" w:sz="6" w:space="0" w:color="808080" w:themeColor="background1" w:themeShade="80"/>
              <w:bottom w:val="single" w:sz="4" w:space="0" w:color="808080" w:themeColor="background1" w:themeShade="80"/>
            </w:tcBorders>
            <w:shd w:val="clear" w:color="auto" w:fill="auto"/>
          </w:tcPr>
          <w:p w14:paraId="2F358B01" w14:textId="4FBC46F9" w:rsidR="00BF7CA2" w:rsidRPr="00C00335" w:rsidRDefault="00747E9D" w:rsidP="006911C6">
            <w:pPr>
              <w:pStyle w:val="TableText"/>
              <w:spacing w:before="40" w:after="40"/>
              <w:jc w:val="center"/>
              <w:rPr>
                <w:sz w:val="20"/>
              </w:rPr>
            </w:pPr>
            <m:oMath>
              <m:sSub>
                <m:sSubPr>
                  <m:ctrlPr>
                    <w:rPr>
                      <w:rFonts w:ascii="Cambria Math" w:hAnsi="Cambria Math"/>
                      <w:i/>
                      <w:sz w:val="20"/>
                    </w:rPr>
                  </m:ctrlPr>
                </m:sSubPr>
                <m:e>
                  <m:r>
                    <m:rPr>
                      <m:nor/>
                    </m:rPr>
                    <w:rPr>
                      <w:rFonts w:ascii="Calibri" w:hAnsi="Calibri" w:cs="Calibri"/>
                      <w:sz w:val="20"/>
                    </w:rPr>
                    <m:t>ϖ</m:t>
                  </m:r>
                </m:e>
                <m:sub>
                  <w:proofErr w:type="spellStart"/>
                  <m:r>
                    <m:rPr>
                      <m:nor/>
                    </m:rPr>
                    <w:rPr>
                      <w:sz w:val="20"/>
                    </w:rPr>
                    <m:t>p,g</m:t>
                  </m:r>
                  <w:proofErr w:type="spellEnd"/>
                </m:sub>
              </m:sSub>
            </m:oMath>
            <w:r w:rsidR="00BF7CA2" w:rsidRPr="00C00335">
              <w:rPr>
                <w:sz w:val="20"/>
              </w:rPr>
              <w:t>(t)</w:t>
            </w:r>
          </w:p>
        </w:tc>
        <w:tc>
          <w:tcPr>
            <w:tcW w:w="4240" w:type="pct"/>
            <w:tcBorders>
              <w:top w:val="single" w:sz="6" w:space="0" w:color="808080" w:themeColor="background1" w:themeShade="80"/>
              <w:bottom w:val="single" w:sz="4" w:space="0" w:color="808080" w:themeColor="background1" w:themeShade="80"/>
            </w:tcBorders>
            <w:shd w:val="clear" w:color="auto" w:fill="auto"/>
          </w:tcPr>
          <w:p w14:paraId="34227649" w14:textId="6A2C36A0" w:rsidR="00BF7CA2" w:rsidRPr="00C00335" w:rsidRDefault="003168C5" w:rsidP="006911C6">
            <w:pPr>
              <w:pStyle w:val="TableText"/>
              <w:spacing w:before="40" w:after="40"/>
              <w:rPr>
                <w:sz w:val="20"/>
              </w:rPr>
            </w:pPr>
            <w:r w:rsidRPr="00C00335">
              <w:rPr>
                <w:sz w:val="20"/>
              </w:rPr>
              <w:t>P</w:t>
            </w:r>
            <w:r w:rsidR="00BF7CA2" w:rsidRPr="00C00335">
              <w:rPr>
                <w:sz w:val="20"/>
              </w:rPr>
              <w:t xml:space="preserve">robability of notification given a confirmed positive test result </w:t>
            </w:r>
            <w:r w:rsidRPr="00C00335">
              <w:rPr>
                <w:sz w:val="20"/>
              </w:rPr>
              <w:t xml:space="preserve">for a previously undiagnosed individual in </w:t>
            </w:r>
            <w:r w:rsidR="00BF7CA2" w:rsidRPr="00C00335">
              <w:rPr>
                <w:sz w:val="20"/>
              </w:rPr>
              <w:t xml:space="preserve">demographic subpopulation </w:t>
            </w:r>
            <w:r w:rsidR="00BF7CA2" w:rsidRPr="00C00335">
              <w:rPr>
                <w:i/>
                <w:sz w:val="20"/>
              </w:rPr>
              <w:t xml:space="preserve">p </w:t>
            </w:r>
            <w:r w:rsidR="00BF7CA2" w:rsidRPr="00C00335">
              <w:rPr>
                <w:sz w:val="20"/>
              </w:rPr>
              <w:t xml:space="preserve">and type of test </w:t>
            </w:r>
            <w:r w:rsidR="00BF7CA2" w:rsidRPr="00C00335">
              <w:rPr>
                <w:i/>
                <w:sz w:val="20"/>
              </w:rPr>
              <w:t xml:space="preserve">g </w:t>
            </w:r>
            <w:r w:rsidR="00BF7CA2" w:rsidRPr="00C00335">
              <w:rPr>
                <w:iCs/>
                <w:sz w:val="20"/>
              </w:rPr>
              <w:t>at time</w:t>
            </w:r>
            <w:r w:rsidR="00BF7CA2" w:rsidRPr="00C00335">
              <w:rPr>
                <w:i/>
                <w:sz w:val="20"/>
              </w:rPr>
              <w:t xml:space="preserve"> t</w:t>
            </w:r>
          </w:p>
        </w:tc>
      </w:tr>
      <w:tr w:rsidR="00EE0B68" w:rsidRPr="00C00335" w14:paraId="655E7ABB" w14:textId="77777777" w:rsidTr="0072308A">
        <w:trPr>
          <w:cantSplit/>
        </w:trPr>
        <w:tc>
          <w:tcPr>
            <w:tcW w:w="760" w:type="pct"/>
            <w:tcBorders>
              <w:top w:val="single" w:sz="4" w:space="0" w:color="808080" w:themeColor="background1" w:themeShade="80"/>
            </w:tcBorders>
            <w:shd w:val="clear" w:color="auto" w:fill="auto"/>
          </w:tcPr>
          <w:p w14:paraId="6709C64C" w14:textId="77777777" w:rsidR="00EE0B68" w:rsidRPr="00C00335" w:rsidRDefault="00747E9D" w:rsidP="006911C6">
            <w:pPr>
              <w:pStyle w:val="TableText"/>
              <w:spacing w:before="40" w:after="40"/>
              <w:jc w:val="center"/>
              <w:rPr>
                <w:b/>
                <w:sz w:val="20"/>
              </w:rPr>
            </w:pPr>
            <m:oMathPara>
              <m:oMath>
                <m:sSub>
                  <m:sSubPr>
                    <m:ctrlPr>
                      <w:rPr>
                        <w:rFonts w:ascii="Cambria Math" w:hAnsi="Cambria Math"/>
                        <w:i/>
                        <w:sz w:val="20"/>
                      </w:rPr>
                    </m:ctrlPr>
                  </m:sSubPr>
                  <m:e>
                    <m:r>
                      <w:rPr>
                        <w:rFonts w:ascii="Cambria Math" w:hAnsi="Cambria Math"/>
                        <w:sz w:val="20"/>
                      </w:rPr>
                      <m:t>ϱ</m:t>
                    </m:r>
                  </m:e>
                  <m:sub>
                    <m:r>
                      <w:rPr>
                        <w:rFonts w:ascii="Cambria Math" w:hAnsi="Cambria Math"/>
                        <w:sz w:val="20"/>
                      </w:rPr>
                      <m:t>p,x</m:t>
                    </m:r>
                  </m:sub>
                </m:sSub>
              </m:oMath>
            </m:oMathPara>
          </w:p>
        </w:tc>
        <w:tc>
          <w:tcPr>
            <w:tcW w:w="4240" w:type="pct"/>
            <w:tcBorders>
              <w:top w:val="single" w:sz="4" w:space="0" w:color="808080" w:themeColor="background1" w:themeShade="80"/>
            </w:tcBorders>
            <w:shd w:val="clear" w:color="auto" w:fill="auto"/>
          </w:tcPr>
          <w:p w14:paraId="7D0935B6" w14:textId="3F43593E" w:rsidR="00EE0B68" w:rsidRPr="00C00335" w:rsidRDefault="00EE0B68" w:rsidP="006911C6">
            <w:pPr>
              <w:pStyle w:val="TableText"/>
              <w:spacing w:before="40" w:after="40"/>
              <w:rPr>
                <w:b/>
                <w:i/>
                <w:iCs/>
                <w:sz w:val="20"/>
              </w:rPr>
            </w:pPr>
            <w:r w:rsidRPr="00C00335">
              <w:rPr>
                <w:sz w:val="20"/>
              </w:rPr>
              <w:t xml:space="preserve">Proportion of subpopulation p with transmission risk participation type </w:t>
            </w:r>
            <w:r w:rsidRPr="00C00335">
              <w:rPr>
                <w:iCs/>
                <w:sz w:val="20"/>
              </w:rPr>
              <w:t xml:space="preserve">x, which is defined by the </w:t>
            </w:r>
            <w:r w:rsidRPr="00C00335">
              <w:rPr>
                <w:sz w:val="20"/>
              </w:rPr>
              <w:t>percentage of people who have anal intercourse (AI) in their male-female partnerships as well as the assumptions that 100% of MSM have AI in their male-male partnerships and 100% of all transmission groups have vaginal intercourse (VI) in their male-female partnerships</w:t>
            </w:r>
          </w:p>
        </w:tc>
      </w:tr>
      <w:tr w:rsidR="00421CA0" w:rsidRPr="00C00335" w14:paraId="4DE314B5" w14:textId="77777777" w:rsidTr="0072308A">
        <w:trPr>
          <w:cantSplit/>
        </w:trPr>
        <w:tc>
          <w:tcPr>
            <w:tcW w:w="760" w:type="pct"/>
            <w:shd w:val="clear" w:color="auto" w:fill="auto"/>
          </w:tcPr>
          <w:p w14:paraId="36D3C095" w14:textId="3B57DD5E" w:rsidR="00421CA0" w:rsidRPr="00C00335" w:rsidRDefault="00421CA0" w:rsidP="006911C6">
            <w:pPr>
              <w:pStyle w:val="TableText"/>
              <w:spacing w:before="40" w:after="40"/>
              <w:jc w:val="center"/>
              <w:rPr>
                <w:sz w:val="20"/>
              </w:rPr>
            </w:pPr>
            <w:r w:rsidRPr="00C00335">
              <w:rPr>
                <w:position w:val="-14"/>
                <w:sz w:val="20"/>
              </w:rPr>
              <w:object w:dxaOrig="620" w:dyaOrig="400" w14:anchorId="00439280">
                <v:shape id="_x0000_i1094" type="#_x0000_t75" style="width:28.5pt;height:22.5pt" o:ole="">
                  <v:imagedata r:id="rId188" o:title=""/>
                </v:shape>
                <o:OLEObject Type="Embed" ProgID="Equation.3" ShapeID="_x0000_i1094" DrawAspect="Content" ObjectID="_1700043777" r:id="rId189"/>
              </w:object>
            </w:r>
          </w:p>
        </w:tc>
        <w:tc>
          <w:tcPr>
            <w:tcW w:w="4240" w:type="pct"/>
            <w:shd w:val="clear" w:color="auto" w:fill="auto"/>
          </w:tcPr>
          <w:p w14:paraId="748FDB75" w14:textId="5DC16786" w:rsidR="00421CA0" w:rsidRPr="00C00335" w:rsidRDefault="00421CA0" w:rsidP="006911C6">
            <w:pPr>
              <w:pStyle w:val="TableText"/>
              <w:spacing w:before="40" w:after="40"/>
              <w:rPr>
                <w:sz w:val="20"/>
              </w:rPr>
            </w:pPr>
            <w:r w:rsidRPr="00C00335">
              <w:rPr>
                <w:sz w:val="20"/>
              </w:rPr>
              <w:t xml:space="preserve">Mortality rate if </w:t>
            </w:r>
            <w:r w:rsidR="00751A9E" w:rsidRPr="00C00335">
              <w:rPr>
                <w:sz w:val="20"/>
              </w:rPr>
              <w:t>HIV-infected</w:t>
            </w:r>
            <w:r w:rsidRPr="00C00335">
              <w:rPr>
                <w:sz w:val="20"/>
              </w:rPr>
              <w:t xml:space="preserve">, by demographic subpopulation </w:t>
            </w:r>
            <w:r w:rsidRPr="00C00335">
              <w:rPr>
                <w:i/>
                <w:sz w:val="20"/>
              </w:rPr>
              <w:t>p</w:t>
            </w:r>
            <w:r w:rsidRPr="00C00335">
              <w:rPr>
                <w:sz w:val="20"/>
              </w:rPr>
              <w:t xml:space="preserve"> and </w:t>
            </w:r>
            <w:r w:rsidRPr="00C00335">
              <w:rPr>
                <w:iCs/>
                <w:sz w:val="20"/>
              </w:rPr>
              <w:t xml:space="preserve">compartment </w:t>
            </w:r>
            <w:r w:rsidRPr="00C00335">
              <w:rPr>
                <w:i/>
                <w:iCs/>
                <w:sz w:val="20"/>
              </w:rPr>
              <w:t xml:space="preserve">c, </w:t>
            </w:r>
            <w:r w:rsidRPr="00C00335">
              <w:rPr>
                <w:iCs/>
                <w:sz w:val="20"/>
              </w:rPr>
              <w:t xml:space="preserve">at time </w:t>
            </w:r>
            <w:r w:rsidRPr="00C00335">
              <w:rPr>
                <w:i/>
                <w:iCs/>
                <w:sz w:val="20"/>
              </w:rPr>
              <w:t>t</w:t>
            </w:r>
          </w:p>
        </w:tc>
      </w:tr>
      <w:tr w:rsidR="00EE0B68" w:rsidRPr="00C00335" w14:paraId="7D3DC49F" w14:textId="77777777" w:rsidTr="0072308A">
        <w:trPr>
          <w:cantSplit/>
        </w:trPr>
        <w:tc>
          <w:tcPr>
            <w:tcW w:w="760" w:type="pct"/>
            <w:shd w:val="clear" w:color="auto" w:fill="auto"/>
          </w:tcPr>
          <w:p w14:paraId="02E7B244" w14:textId="77777777" w:rsidR="00EE0B68" w:rsidRPr="00C00335" w:rsidRDefault="00452469" w:rsidP="006911C6">
            <w:pPr>
              <w:pStyle w:val="TableText"/>
              <w:spacing w:before="40" w:after="40"/>
              <w:jc w:val="center"/>
              <w:rPr>
                <w:sz w:val="20"/>
              </w:rPr>
            </w:pPr>
            <w:r w:rsidRPr="00C00335">
              <w:rPr>
                <w:position w:val="-14"/>
                <w:sz w:val="20"/>
              </w:rPr>
              <w:object w:dxaOrig="639" w:dyaOrig="400" w14:anchorId="42E2691F">
                <v:shape id="_x0000_i1095" type="#_x0000_t75" style="width:36pt;height:22.5pt" o:ole="">
                  <v:imagedata r:id="rId190" o:title=""/>
                </v:shape>
                <o:OLEObject Type="Embed" ProgID="Equation.3" ShapeID="_x0000_i1095" DrawAspect="Content" ObjectID="_1700043778" r:id="rId191"/>
              </w:object>
            </w:r>
          </w:p>
        </w:tc>
        <w:tc>
          <w:tcPr>
            <w:tcW w:w="4240" w:type="pct"/>
            <w:shd w:val="clear" w:color="auto" w:fill="auto"/>
          </w:tcPr>
          <w:p w14:paraId="0DAE92AE" w14:textId="0D9B5278" w:rsidR="00EE0B68" w:rsidRPr="00C00335" w:rsidRDefault="00EE0B68" w:rsidP="006911C6">
            <w:pPr>
              <w:pStyle w:val="TableText"/>
              <w:spacing w:before="40" w:after="40"/>
              <w:rPr>
                <w:i/>
                <w:iCs/>
                <w:sz w:val="20"/>
              </w:rPr>
            </w:pPr>
            <w:r w:rsidRPr="00C00335">
              <w:rPr>
                <w:sz w:val="20"/>
              </w:rPr>
              <w:t xml:space="preserve">Diagnosis rate based on test and notification of unaware infected individuals in compartment </w:t>
            </w:r>
            <w:r w:rsidRPr="00C00335">
              <w:rPr>
                <w:i/>
                <w:sz w:val="20"/>
              </w:rPr>
              <w:t>c</w:t>
            </w:r>
            <w:r w:rsidRPr="00C00335">
              <w:rPr>
                <w:iCs/>
                <w:sz w:val="20"/>
              </w:rPr>
              <w:t>, progressing them from unaware</w:t>
            </w:r>
            <w:r w:rsidRPr="00C00335">
              <w:rPr>
                <w:i/>
                <w:sz w:val="20"/>
              </w:rPr>
              <w:t xml:space="preserve"> </w:t>
            </w:r>
            <w:r w:rsidRPr="00C00335">
              <w:rPr>
                <w:sz w:val="20"/>
              </w:rPr>
              <w:t>(</w:t>
            </w:r>
            <w:r w:rsidRPr="00C00335">
              <w:rPr>
                <w:i/>
                <w:iCs/>
                <w:sz w:val="20"/>
              </w:rPr>
              <w:t>r</w:t>
            </w:r>
            <w:r w:rsidR="00E628BE" w:rsidRPr="00C00335">
              <w:rPr>
                <w:i/>
                <w:iCs/>
                <w:sz w:val="20"/>
              </w:rPr>
              <w:t> = </w:t>
            </w:r>
            <w:r w:rsidRPr="00C00335">
              <w:rPr>
                <w:sz w:val="20"/>
              </w:rPr>
              <w:t>1) to aware (</w:t>
            </w:r>
            <w:r w:rsidRPr="00C00335">
              <w:rPr>
                <w:i/>
                <w:iCs/>
                <w:sz w:val="20"/>
              </w:rPr>
              <w:t>r</w:t>
            </w:r>
            <w:r w:rsidR="00E628BE" w:rsidRPr="00C00335">
              <w:rPr>
                <w:sz w:val="20"/>
              </w:rPr>
              <w:t> = </w:t>
            </w:r>
            <w:r w:rsidRPr="00C00335">
              <w:rPr>
                <w:sz w:val="20"/>
              </w:rPr>
              <w:t xml:space="preserve">2 or </w:t>
            </w:r>
            <w:r w:rsidRPr="00C00335">
              <w:rPr>
                <w:i/>
                <w:sz w:val="20"/>
              </w:rPr>
              <w:t>r</w:t>
            </w:r>
            <w:r w:rsidR="00E628BE" w:rsidRPr="00C00335">
              <w:rPr>
                <w:i/>
                <w:sz w:val="20"/>
              </w:rPr>
              <w:t> = </w:t>
            </w:r>
            <w:r w:rsidRPr="00C00335">
              <w:rPr>
                <w:sz w:val="20"/>
              </w:rPr>
              <w:t xml:space="preserve">3), by subpopulation </w:t>
            </w:r>
            <w:r w:rsidRPr="00C00335">
              <w:rPr>
                <w:i/>
                <w:sz w:val="20"/>
              </w:rPr>
              <w:t>p</w:t>
            </w:r>
          </w:p>
        </w:tc>
      </w:tr>
    </w:tbl>
    <w:p w14:paraId="759A56FB" w14:textId="77777777" w:rsidR="004A1C14" w:rsidRPr="00C00335" w:rsidRDefault="004A1C14" w:rsidP="004A1C14">
      <w:pPr>
        <w:pStyle w:val="Tablecont"/>
        <w:rPr>
          <w:sz w:val="20"/>
        </w:rPr>
      </w:pPr>
      <w:r w:rsidRPr="00C00335">
        <w:rPr>
          <w:sz w:val="20"/>
        </w:rPr>
        <w:t>(continued)</w:t>
      </w:r>
    </w:p>
    <w:p w14:paraId="46386B80" w14:textId="77777777" w:rsidR="008B0F71" w:rsidRPr="00C00335" w:rsidRDefault="008B0F71" w:rsidP="008B0F71">
      <w:pPr>
        <w:pStyle w:val="TableTitlecont"/>
      </w:pPr>
      <w:r w:rsidRPr="00C00335">
        <w:lastRenderedPageBreak/>
        <w:t>Table A.1.</w:t>
      </w:r>
      <w:r w:rsidRPr="00C00335">
        <w:tab/>
        <w:t>Definitions of Symbols Applied in This Document (continued)</w:t>
      </w:r>
    </w:p>
    <w:tbl>
      <w:tblPr>
        <w:tblW w:w="5001" w:type="pct"/>
        <w:tblInd w:w="86" w:type="dxa"/>
        <w:tblBorders>
          <w:top w:val="single" w:sz="12" w:space="0" w:color="auto"/>
          <w:bottom w:val="single" w:sz="12" w:space="0" w:color="auto"/>
          <w:insideH w:val="single" w:sz="4" w:space="0" w:color="808080" w:themeColor="background1" w:themeShade="80"/>
        </w:tblBorders>
        <w:tblLayout w:type="fixed"/>
        <w:tblCellMar>
          <w:left w:w="115" w:type="dxa"/>
          <w:right w:w="115" w:type="dxa"/>
        </w:tblCellMar>
        <w:tblLook w:val="04A0" w:firstRow="1" w:lastRow="0" w:firstColumn="1" w:lastColumn="0" w:noHBand="0" w:noVBand="1"/>
      </w:tblPr>
      <w:tblGrid>
        <w:gridCol w:w="1970"/>
        <w:gridCol w:w="10993"/>
      </w:tblGrid>
      <w:tr w:rsidR="008B0F71" w:rsidRPr="00C00335" w14:paraId="6B018E08" w14:textId="77777777" w:rsidTr="00BA30F7">
        <w:trPr>
          <w:cantSplit/>
          <w:tblHeader/>
        </w:trPr>
        <w:tc>
          <w:tcPr>
            <w:tcW w:w="760" w:type="pct"/>
            <w:tcBorders>
              <w:top w:val="single" w:sz="12" w:space="0" w:color="auto"/>
              <w:bottom w:val="single" w:sz="6" w:space="0" w:color="auto"/>
            </w:tcBorders>
            <w:shd w:val="clear" w:color="auto" w:fill="auto"/>
          </w:tcPr>
          <w:p w14:paraId="7D80F892" w14:textId="77777777" w:rsidR="008B0F71" w:rsidRPr="00C00335" w:rsidRDefault="008B0F71" w:rsidP="00BA30F7">
            <w:pPr>
              <w:pStyle w:val="TableHeaders"/>
              <w:spacing w:before="50" w:after="50"/>
              <w:rPr>
                <w:sz w:val="20"/>
              </w:rPr>
            </w:pPr>
            <w:r w:rsidRPr="00C00335">
              <w:rPr>
                <w:sz w:val="20"/>
              </w:rPr>
              <w:t>Symbol</w:t>
            </w:r>
          </w:p>
        </w:tc>
        <w:tc>
          <w:tcPr>
            <w:tcW w:w="4240" w:type="pct"/>
            <w:tcBorders>
              <w:top w:val="single" w:sz="12" w:space="0" w:color="auto"/>
              <w:bottom w:val="single" w:sz="6" w:space="0" w:color="auto"/>
            </w:tcBorders>
            <w:shd w:val="clear" w:color="auto" w:fill="auto"/>
          </w:tcPr>
          <w:p w14:paraId="57CCE888" w14:textId="77777777" w:rsidR="008B0F71" w:rsidRPr="00C00335" w:rsidRDefault="008B0F71" w:rsidP="00BA30F7">
            <w:pPr>
              <w:pStyle w:val="TableHeaders"/>
              <w:spacing w:before="50" w:after="50"/>
              <w:jc w:val="left"/>
              <w:rPr>
                <w:sz w:val="20"/>
              </w:rPr>
            </w:pPr>
            <w:r w:rsidRPr="00C00335">
              <w:rPr>
                <w:sz w:val="20"/>
              </w:rPr>
              <w:t>Definition</w:t>
            </w:r>
          </w:p>
        </w:tc>
      </w:tr>
      <w:tr w:rsidR="008B0F71" w:rsidRPr="00C00335" w14:paraId="2686ACBF" w14:textId="77777777" w:rsidTr="00BA30F7">
        <w:trPr>
          <w:cantSplit/>
        </w:trPr>
        <w:tc>
          <w:tcPr>
            <w:tcW w:w="5000" w:type="pct"/>
            <w:gridSpan w:val="2"/>
            <w:tcBorders>
              <w:top w:val="single" w:sz="6" w:space="0" w:color="auto"/>
            </w:tcBorders>
            <w:shd w:val="clear" w:color="auto" w:fill="D9D9D9" w:themeFill="background1" w:themeFillShade="D9"/>
          </w:tcPr>
          <w:p w14:paraId="35B2C6F0" w14:textId="77777777" w:rsidR="008B0F71" w:rsidRPr="00C00335" w:rsidRDefault="008B0F71" w:rsidP="00BA30F7">
            <w:pPr>
              <w:pStyle w:val="TableText"/>
              <w:spacing w:before="50" w:after="50"/>
              <w:rPr>
                <w:b/>
                <w:sz w:val="20"/>
              </w:rPr>
            </w:pPr>
            <w:r w:rsidRPr="00C00335">
              <w:rPr>
                <w:b/>
                <w:sz w:val="20"/>
              </w:rPr>
              <w:t>Greek Alphabet (continued)</w:t>
            </w:r>
          </w:p>
        </w:tc>
      </w:tr>
      <w:tr w:rsidR="008B0F71" w:rsidRPr="00C00335" w14:paraId="286B6940" w14:textId="77777777" w:rsidTr="00BA30F7">
        <w:trPr>
          <w:cantSplit/>
        </w:trPr>
        <w:tc>
          <w:tcPr>
            <w:tcW w:w="760" w:type="pct"/>
            <w:shd w:val="clear" w:color="auto" w:fill="auto"/>
          </w:tcPr>
          <w:p w14:paraId="35EFCC0A" w14:textId="1C8ADEA8" w:rsidR="008B0F71" w:rsidRDefault="00747E9D" w:rsidP="008B0F71">
            <w:pPr>
              <w:pStyle w:val="TableText"/>
              <w:spacing w:before="40" w:after="40"/>
              <w:jc w:val="center"/>
              <w:rPr>
                <w:sz w:val="20"/>
              </w:rPr>
            </w:pPr>
            <m:oMathPara>
              <m:oMath>
                <m:sSub>
                  <m:sSubPr>
                    <m:ctrlPr>
                      <w:rPr>
                        <w:rFonts w:ascii="Cambria Math" w:hAnsi="Cambria Math"/>
                        <w:i/>
                        <w:sz w:val="20"/>
                      </w:rPr>
                    </m:ctrlPr>
                  </m:sSubPr>
                  <m:e>
                    <m:r>
                      <w:rPr>
                        <w:rFonts w:ascii="Cambria Math"/>
                        <w:sz w:val="20"/>
                      </w:rPr>
                      <m:t>Φ</m:t>
                    </m:r>
                  </m:e>
                  <m:sub>
                    <m:r>
                      <w:rPr>
                        <w:rFonts w:ascii="Cambria Math"/>
                        <w:sz w:val="20"/>
                      </w:rPr>
                      <m:t>c,z</m:t>
                    </m:r>
                  </m:sub>
                </m:sSub>
              </m:oMath>
            </m:oMathPara>
          </w:p>
        </w:tc>
        <w:tc>
          <w:tcPr>
            <w:tcW w:w="4240" w:type="pct"/>
            <w:shd w:val="clear" w:color="auto" w:fill="auto"/>
          </w:tcPr>
          <w:p w14:paraId="4B737C11" w14:textId="168C98A4" w:rsidR="008B0F71" w:rsidRPr="00E832D1" w:rsidRDefault="008B0F71" w:rsidP="008B0F71">
            <w:pPr>
              <w:pStyle w:val="TableText"/>
              <w:spacing w:before="40" w:after="40"/>
              <w:rPr>
                <w:sz w:val="20"/>
              </w:rPr>
            </w:pPr>
            <w:r w:rsidRPr="00C00335">
              <w:rPr>
                <w:sz w:val="20"/>
              </w:rPr>
              <w:t xml:space="preserve">Per-sex-act transmission probability for receptive </w:t>
            </w:r>
            <w:proofErr w:type="spellStart"/>
            <w:r>
              <w:rPr>
                <w:sz w:val="20"/>
              </w:rPr>
              <w:t>condomless</w:t>
            </w:r>
            <w:proofErr w:type="spellEnd"/>
            <w:r>
              <w:rPr>
                <w:sz w:val="20"/>
              </w:rPr>
              <w:t xml:space="preserve"> </w:t>
            </w:r>
            <w:r w:rsidRPr="00C00335">
              <w:rPr>
                <w:sz w:val="20"/>
              </w:rPr>
              <w:t xml:space="preserve">intercourse of type z (vaginal or anal intercourse) with infected partner in compartment </w:t>
            </w:r>
            <w:r w:rsidRPr="00C00335">
              <w:rPr>
                <w:i/>
                <w:sz w:val="20"/>
              </w:rPr>
              <w:t>c</w:t>
            </w:r>
          </w:p>
        </w:tc>
      </w:tr>
      <w:tr w:rsidR="008B0F71" w:rsidRPr="00C00335" w14:paraId="7087BFDC" w14:textId="77777777" w:rsidTr="00BA30F7">
        <w:trPr>
          <w:cantSplit/>
        </w:trPr>
        <w:tc>
          <w:tcPr>
            <w:tcW w:w="760" w:type="pct"/>
            <w:shd w:val="clear" w:color="auto" w:fill="auto"/>
          </w:tcPr>
          <w:p w14:paraId="613BAD32" w14:textId="77777777" w:rsidR="008B0F71" w:rsidRPr="00E832D1" w:rsidRDefault="00747E9D" w:rsidP="00BA30F7">
            <w:pPr>
              <w:pStyle w:val="TableText"/>
              <w:spacing w:before="40" w:after="40"/>
              <w:jc w:val="center"/>
              <w:rPr>
                <w:sz w:val="20"/>
              </w:rPr>
            </w:pPr>
            <m:oMathPara>
              <m:oMath>
                <m:sSub>
                  <m:sSubPr>
                    <m:ctrlPr>
                      <w:rPr>
                        <w:rFonts w:ascii="Cambria Math" w:hAnsi="Cambria Math"/>
                        <w:i/>
                        <w:sz w:val="20"/>
                      </w:rPr>
                    </m:ctrlPr>
                  </m:sSubPr>
                  <m:e>
                    <m:r>
                      <w:rPr>
                        <w:rFonts w:ascii="Cambria Math" w:hAnsi="Cambria Math"/>
                        <w:sz w:val="20"/>
                      </w:rPr>
                      <m:t>φ</m:t>
                    </m:r>
                  </m:e>
                  <m:sub>
                    <m:r>
                      <w:rPr>
                        <w:rFonts w:ascii="Cambria Math" w:hAnsi="Cambria Math"/>
                        <w:sz w:val="20"/>
                      </w:rPr>
                      <m:t>v</m:t>
                    </m:r>
                  </m:sub>
                </m:sSub>
              </m:oMath>
            </m:oMathPara>
          </w:p>
        </w:tc>
        <w:tc>
          <w:tcPr>
            <w:tcW w:w="4240" w:type="pct"/>
            <w:shd w:val="clear" w:color="auto" w:fill="auto"/>
          </w:tcPr>
          <w:p w14:paraId="49703400" w14:textId="77777777" w:rsidR="008B0F71" w:rsidRPr="00E832D1" w:rsidRDefault="008B0F71" w:rsidP="00BA30F7">
            <w:pPr>
              <w:pStyle w:val="TableText"/>
              <w:spacing w:before="40" w:after="40"/>
              <w:rPr>
                <w:sz w:val="20"/>
              </w:rPr>
            </w:pPr>
            <w:r w:rsidRPr="00E832D1">
              <w:rPr>
                <w:sz w:val="20"/>
              </w:rPr>
              <w:t xml:space="preserve">Percentage of screens that occur in setting </w:t>
            </w:r>
            <w:r w:rsidRPr="00E832D1">
              <w:rPr>
                <w:i/>
                <w:iCs/>
                <w:sz w:val="20"/>
              </w:rPr>
              <w:t>v</w:t>
            </w:r>
            <w:r w:rsidRPr="00E832D1">
              <w:rPr>
                <w:sz w:val="20"/>
              </w:rPr>
              <w:t xml:space="preserve"> (clinical or non-clinical)</w:t>
            </w:r>
          </w:p>
        </w:tc>
      </w:tr>
      <w:tr w:rsidR="008B0F71" w:rsidRPr="00C00335" w14:paraId="7A683E24" w14:textId="77777777" w:rsidTr="00BA30F7">
        <w:trPr>
          <w:cantSplit/>
        </w:trPr>
        <w:tc>
          <w:tcPr>
            <w:tcW w:w="760" w:type="pct"/>
            <w:tcBorders>
              <w:bottom w:val="single" w:sz="4" w:space="0" w:color="808080" w:themeColor="background1" w:themeShade="80"/>
            </w:tcBorders>
            <w:shd w:val="clear" w:color="auto" w:fill="auto"/>
          </w:tcPr>
          <w:p w14:paraId="22D84F4A" w14:textId="77777777" w:rsidR="008B0F71" w:rsidRPr="00E832D1" w:rsidRDefault="00747E9D" w:rsidP="00BA30F7">
            <w:pPr>
              <w:pStyle w:val="TableText"/>
              <w:spacing w:before="40" w:after="40"/>
              <w:jc w:val="center"/>
              <w:rPr>
                <w:sz w:val="20"/>
              </w:rPr>
            </w:pPr>
            <m:oMathPara>
              <m:oMath>
                <m:sSub>
                  <m:sSubPr>
                    <m:ctrlPr>
                      <w:rPr>
                        <w:rFonts w:ascii="Cambria Math" w:hAnsi="Cambria Math"/>
                        <w:i/>
                        <w:sz w:val="20"/>
                      </w:rPr>
                    </m:ctrlPr>
                  </m:sSubPr>
                  <m:e>
                    <m:r>
                      <m:rPr>
                        <m:sty m:val="p"/>
                      </m:rPr>
                      <w:rPr>
                        <w:rFonts w:ascii="Cambria Math" w:hAnsi="Cambria Math"/>
                        <w:sz w:val="20"/>
                      </w:rPr>
                      <m:t>Ψ</m:t>
                    </m:r>
                  </m:e>
                  <m:sub>
                    <m:r>
                      <w:rPr>
                        <w:rFonts w:ascii="Cambria Math" w:hAnsi="Cambria Math"/>
                        <w:sz w:val="20"/>
                      </w:rPr>
                      <m:t>p</m:t>
                    </m:r>
                  </m:sub>
                </m:sSub>
                <m:d>
                  <m:dPr>
                    <m:ctrlPr>
                      <w:rPr>
                        <w:rFonts w:ascii="Cambria Math" w:hAnsi="Cambria Math"/>
                        <w:i/>
                        <w:sz w:val="20"/>
                      </w:rPr>
                    </m:ctrlPr>
                  </m:dPr>
                  <m:e>
                    <m:r>
                      <w:rPr>
                        <w:rFonts w:ascii="Cambria Math" w:hAnsi="Cambria Math"/>
                        <w:sz w:val="20"/>
                      </w:rPr>
                      <m:t>t</m:t>
                    </m:r>
                  </m:e>
                </m:d>
              </m:oMath>
            </m:oMathPara>
          </w:p>
        </w:tc>
        <w:tc>
          <w:tcPr>
            <w:tcW w:w="4240" w:type="pct"/>
            <w:tcBorders>
              <w:bottom w:val="single" w:sz="4" w:space="0" w:color="808080" w:themeColor="background1" w:themeShade="80"/>
            </w:tcBorders>
            <w:shd w:val="clear" w:color="auto" w:fill="auto"/>
          </w:tcPr>
          <w:p w14:paraId="5F6680CE" w14:textId="77777777" w:rsidR="008B0F71" w:rsidRPr="00E832D1" w:rsidRDefault="008B0F71" w:rsidP="00BA30F7">
            <w:pPr>
              <w:pStyle w:val="TableText"/>
              <w:spacing w:before="40" w:after="40"/>
              <w:rPr>
                <w:sz w:val="20"/>
              </w:rPr>
            </w:pPr>
            <w:r w:rsidRPr="00E832D1">
              <w:rPr>
                <w:sz w:val="20"/>
              </w:rPr>
              <w:t xml:space="preserve">Annual probability of initiating </w:t>
            </w:r>
            <w:proofErr w:type="spellStart"/>
            <w:r w:rsidRPr="00E832D1">
              <w:rPr>
                <w:sz w:val="20"/>
              </w:rPr>
              <w:t>PrEP</w:t>
            </w:r>
            <w:proofErr w:type="spellEnd"/>
            <w:r w:rsidRPr="00E832D1">
              <w:rPr>
                <w:sz w:val="20"/>
              </w:rPr>
              <w:t xml:space="preserve">, given eligible, for subpopulation </w:t>
            </w:r>
            <w:proofErr w:type="spellStart"/>
            <w:r w:rsidRPr="00E832D1">
              <w:rPr>
                <w:i/>
                <w:iCs/>
                <w:sz w:val="20"/>
              </w:rPr>
              <w:t>p</w:t>
            </w:r>
            <w:r w:rsidRPr="00E832D1">
              <w:rPr>
                <w:sz w:val="20"/>
              </w:rPr>
              <w:t xml:space="preserve"> at</w:t>
            </w:r>
            <w:proofErr w:type="spellEnd"/>
            <w:r w:rsidRPr="00E832D1">
              <w:rPr>
                <w:sz w:val="20"/>
              </w:rPr>
              <w:t xml:space="preserve"> time </w:t>
            </w:r>
            <w:r w:rsidRPr="00E832D1">
              <w:rPr>
                <w:i/>
                <w:iCs/>
                <w:sz w:val="20"/>
              </w:rPr>
              <w:t>t</w:t>
            </w:r>
          </w:p>
        </w:tc>
      </w:tr>
      <w:tr w:rsidR="008B0F71" w:rsidRPr="00C00335" w14:paraId="69DA3DA6" w14:textId="77777777" w:rsidTr="00BA30F7">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0C24ED15" w14:textId="77777777" w:rsidR="008B0F71" w:rsidRPr="006F5064" w:rsidRDefault="00747E9D" w:rsidP="00BA30F7">
            <w:pPr>
              <w:pStyle w:val="TableText"/>
              <w:spacing w:before="40" w:after="40"/>
              <w:jc w:val="center"/>
              <w:rPr>
                <w:sz w:val="20"/>
              </w:rPr>
            </w:pPr>
            <m:oMathPara>
              <m:oMath>
                <m:sSubSup>
                  <m:sSubSupPr>
                    <m:ctrlPr>
                      <w:rPr>
                        <w:rFonts w:ascii="Cambria Math" w:hAnsi="Cambria Math"/>
                      </w:rPr>
                    </m:ctrlPr>
                  </m:sSubSupPr>
                  <m:e>
                    <m:r>
                      <m:rPr>
                        <m:sty m:val="p"/>
                      </m:rPr>
                      <w:rPr>
                        <w:rFonts w:ascii="Cambria Math" w:eastAsiaTheme="minorEastAsia" w:hAnsi="Cambria Math"/>
                        <w:sz w:val="22"/>
                      </w:rPr>
                      <m:t>ψ</m:t>
                    </m:r>
                  </m:e>
                  <m:sub>
                    <m:r>
                      <w:rPr>
                        <w:rFonts w:ascii="Cambria Math" w:hAnsi="Cambria Math"/>
                      </w:rPr>
                      <m:t>c</m:t>
                    </m:r>
                    <m:r>
                      <m:rPr>
                        <m:sty m:val="p"/>
                      </m:rPr>
                      <w:rPr>
                        <w:rFonts w:ascii="Cambria Math" w:hAnsi="Cambria Math"/>
                      </w:rPr>
                      <m:t>.</m:t>
                    </m:r>
                    <m:r>
                      <w:rPr>
                        <w:rFonts w:ascii="Cambria Math" w:hAnsi="Cambria Math"/>
                      </w:rPr>
                      <m:t>p</m:t>
                    </m:r>
                  </m:sub>
                  <m:sup>
                    <m:r>
                      <w:rPr>
                        <w:rFonts w:ascii="Cambria Math" w:hAnsi="Cambria Math"/>
                      </w:rPr>
                      <m:t>j</m:t>
                    </m:r>
                    <m:r>
                      <m:rPr>
                        <m:sty m:val="p"/>
                      </m:rPr>
                      <w:rPr>
                        <w:rFonts w:ascii="Cambria Math" w:hAnsi="Cambria Math"/>
                      </w:rPr>
                      <m:t>*,1</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j*,1</m:t>
                        </m:r>
                      </m:sub>
                      <m:sup>
                        <m:r>
                          <m:rPr>
                            <m:sty m:val="bi"/>
                          </m:rPr>
                          <w:rPr>
                            <w:rFonts w:ascii="Cambria Math" w:hAnsi="Cambria Math" w:cstheme="minorHAnsi"/>
                            <w:sz w:val="22"/>
                          </w:rPr>
                          <m:t>q</m:t>
                        </m:r>
                      </m:sup>
                    </m:sSubSup>
                    <m:r>
                      <m:rPr>
                        <m:sty m:val="p"/>
                      </m:rPr>
                      <w:rPr>
                        <w:rFonts w:ascii="Cambria Math" w:hAnsi="Cambria Math"/>
                      </w:rPr>
                      <m:t>,</m:t>
                    </m:r>
                    <m:r>
                      <m:rPr>
                        <m:sty m:val="bi"/>
                      </m:rPr>
                      <w:rPr>
                        <w:rFonts w:ascii="Cambria Math" w:hAnsi="Cambria Math"/>
                      </w:rPr>
                      <m:t>t</m:t>
                    </m:r>
                  </m:e>
                </m:d>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7FA7F7CC" w14:textId="77777777" w:rsidR="008B0F71" w:rsidRPr="006F5064" w:rsidRDefault="008B0F71" w:rsidP="00BA30F7">
            <w:pPr>
              <w:pStyle w:val="TableText"/>
              <w:spacing w:before="40" w:after="40"/>
              <w:rPr>
                <w:sz w:val="20"/>
                <w:szCs w:val="20"/>
              </w:rPr>
            </w:pPr>
            <w:r w:rsidRPr="006E471A">
              <w:rPr>
                <w:iCs/>
                <w:sz w:val="20"/>
              </w:rPr>
              <w:t xml:space="preserve">When allocation-based progression is </w:t>
            </w:r>
            <w:r w:rsidRPr="00276B8E">
              <w:rPr>
                <w:iCs/>
                <w:sz w:val="20"/>
                <w:szCs w:val="20"/>
              </w:rPr>
              <w:t xml:space="preserve">used, </w:t>
            </w:r>
            <w:r>
              <w:rPr>
                <w:iCs/>
                <w:sz w:val="20"/>
                <w:szCs w:val="20"/>
              </w:rPr>
              <w:t>r</w:t>
            </w:r>
            <w:r w:rsidRPr="006F5064">
              <w:rPr>
                <w:sz w:val="20"/>
                <w:szCs w:val="20"/>
              </w:rPr>
              <w:t xml:space="preserve">ate of progression targeted by intervention j* for subpopulation p in compartment </w:t>
            </w:r>
            <w:proofErr w:type="spellStart"/>
            <w:r w:rsidRPr="006F5064">
              <w:rPr>
                <w:sz w:val="20"/>
                <w:szCs w:val="20"/>
              </w:rPr>
              <w:t>c at</w:t>
            </w:r>
            <w:proofErr w:type="spellEnd"/>
            <w:r w:rsidRPr="006F5064">
              <w:rPr>
                <w:sz w:val="20"/>
                <w:szCs w:val="20"/>
              </w:rPr>
              <w:t xml:space="preserve"> time t, due to the amount of allocated funding </w:t>
            </w:r>
            <m:oMath>
              <m:sSubSup>
                <m:sSubSupPr>
                  <m:ctrlPr>
                    <w:rPr>
                      <w:rFonts w:ascii="Cambria Math" w:hAnsi="Cambria Math" w:cstheme="minorHAnsi"/>
                      <w:b/>
                      <w:sz w:val="20"/>
                      <w:szCs w:val="20"/>
                    </w:rPr>
                  </m:ctrlPr>
                </m:sSubSupPr>
                <m:e>
                  <m:r>
                    <m:rPr>
                      <m:sty m:val="b"/>
                    </m:rPr>
                    <w:rPr>
                      <w:rFonts w:ascii="Cambria Math" w:hAnsi="Cambria Math" w:cstheme="minorHAnsi"/>
                      <w:sz w:val="20"/>
                      <w:szCs w:val="20"/>
                    </w:rPr>
                    <m:t>ṅ</m:t>
                  </m:r>
                </m:e>
                <m:sub>
                  <m:r>
                    <m:rPr>
                      <m:sty m:val="bi"/>
                    </m:rPr>
                    <w:rPr>
                      <w:rFonts w:ascii="Cambria Math" w:hAnsi="Cambria Math" w:cstheme="minorHAnsi"/>
                      <w:sz w:val="20"/>
                      <w:szCs w:val="20"/>
                    </w:rPr>
                    <m:t>j*</m:t>
                  </m:r>
                </m:sub>
                <m:sup>
                  <m:r>
                    <m:rPr>
                      <m:sty m:val="bi"/>
                    </m:rPr>
                    <w:rPr>
                      <w:rFonts w:ascii="Cambria Math" w:hAnsi="Cambria Math" w:cstheme="minorHAnsi"/>
                      <w:sz w:val="20"/>
                      <w:szCs w:val="20"/>
                    </w:rPr>
                    <m:t>q</m:t>
                  </m:r>
                </m:sup>
              </m:sSubSup>
              <m:r>
                <m:rPr>
                  <m:sty m:val="bi"/>
                </m:rPr>
                <w:rPr>
                  <w:rFonts w:ascii="Cambria Math" w:hAnsi="Cambria Math" w:cstheme="minorHAnsi"/>
                  <w:sz w:val="20"/>
                  <w:szCs w:val="20"/>
                </w:rPr>
                <m:t xml:space="preserve"> </m:t>
              </m:r>
            </m:oMath>
            <w:r w:rsidRPr="006F5064">
              <w:rPr>
                <w:sz w:val="20"/>
                <w:szCs w:val="20"/>
              </w:rPr>
              <w:t>for intervention j* up to the time 2 funding level</w:t>
            </w:r>
          </w:p>
        </w:tc>
      </w:tr>
      <w:tr w:rsidR="008B0F71" w:rsidRPr="00C00335" w14:paraId="180697B8" w14:textId="77777777" w:rsidTr="00BA30F7">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747C02E9" w14:textId="77777777" w:rsidR="008B0F71" w:rsidRPr="006F5064" w:rsidRDefault="00747E9D" w:rsidP="00BA30F7">
            <w:pPr>
              <w:pStyle w:val="TableText"/>
              <w:spacing w:before="40" w:after="40"/>
              <w:jc w:val="center"/>
              <w:rPr>
                <w:sz w:val="20"/>
              </w:rPr>
            </w:pPr>
            <m:oMathPara>
              <m:oMath>
                <m:sSubSup>
                  <m:sSubSupPr>
                    <m:ctrlPr>
                      <w:rPr>
                        <w:rFonts w:ascii="Cambria Math" w:hAnsi="Cambria Math"/>
                      </w:rPr>
                    </m:ctrlPr>
                  </m:sSubSupPr>
                  <m:e>
                    <m:r>
                      <m:rPr>
                        <m:sty m:val="p"/>
                      </m:rPr>
                      <w:rPr>
                        <w:rFonts w:ascii="Cambria Math" w:eastAsiaTheme="minorEastAsia" w:hAnsi="Cambria Math"/>
                        <w:sz w:val="22"/>
                      </w:rPr>
                      <m:t>ψ</m:t>
                    </m:r>
                  </m:e>
                  <m:sub>
                    <m:r>
                      <w:rPr>
                        <w:rFonts w:ascii="Cambria Math" w:hAnsi="Cambria Math"/>
                      </w:rPr>
                      <m:t>c</m:t>
                    </m:r>
                    <m:r>
                      <m:rPr>
                        <m:sty m:val="p"/>
                      </m:rPr>
                      <w:rPr>
                        <w:rFonts w:ascii="Cambria Math" w:hAnsi="Cambria Math"/>
                      </w:rPr>
                      <m:t>.</m:t>
                    </m:r>
                    <m:r>
                      <w:rPr>
                        <w:rFonts w:ascii="Cambria Math" w:hAnsi="Cambria Math"/>
                      </w:rPr>
                      <m:t>p</m:t>
                    </m:r>
                  </m:sub>
                  <m:sup>
                    <m:r>
                      <w:rPr>
                        <w:rFonts w:ascii="Cambria Math" w:hAnsi="Cambria Math"/>
                      </w:rPr>
                      <m:t>j</m:t>
                    </m:r>
                    <m:r>
                      <m:rPr>
                        <m:sty m:val="p"/>
                      </m:rPr>
                      <w:rPr>
                        <w:rFonts w:ascii="Cambria Math" w:hAnsi="Cambria Math"/>
                      </w:rPr>
                      <m:t>*,</m:t>
                    </m:r>
                    <m:r>
                      <m:rPr>
                        <m:sty m:val="p"/>
                      </m:rPr>
                      <w:rPr>
                        <w:rFonts w:ascii="Cambria Math"/>
                      </w:rPr>
                      <m:t>2</m:t>
                    </m:r>
                  </m:sup>
                </m:sSubSup>
                <m:d>
                  <m:dPr>
                    <m:ctrlPr>
                      <w:rPr>
                        <w:rFonts w:ascii="Cambria Math" w:hAnsi="Cambria Math"/>
                      </w:rPr>
                    </m:ctrlPr>
                  </m:dPr>
                  <m:e>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r>
                      <m:rPr>
                        <m:sty m:val="p"/>
                      </m:rPr>
                      <w:rPr>
                        <w:rFonts w:ascii="Cambria Math" w:hAnsi="Cambria Math"/>
                      </w:rPr>
                      <m:t>,</m:t>
                    </m:r>
                    <m:r>
                      <m:rPr>
                        <m:sty m:val="bi"/>
                      </m:rPr>
                      <w:rPr>
                        <w:rFonts w:ascii="Cambria Math" w:hAnsi="Cambria Math"/>
                      </w:rPr>
                      <m:t>t</m:t>
                    </m:r>
                  </m:e>
                </m:d>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54889D47" w14:textId="77777777" w:rsidR="008B0F71" w:rsidRPr="006F5064" w:rsidRDefault="008B0F71" w:rsidP="00BA30F7">
            <w:pPr>
              <w:pStyle w:val="TableText"/>
              <w:spacing w:before="40" w:after="40"/>
              <w:rPr>
                <w:sz w:val="20"/>
                <w:szCs w:val="20"/>
              </w:rPr>
            </w:pPr>
            <w:r w:rsidRPr="006E471A">
              <w:rPr>
                <w:iCs/>
                <w:sz w:val="20"/>
              </w:rPr>
              <w:t xml:space="preserve">When allocation-based progression is </w:t>
            </w:r>
            <w:r w:rsidRPr="00276B8E">
              <w:rPr>
                <w:iCs/>
                <w:sz w:val="20"/>
                <w:szCs w:val="20"/>
              </w:rPr>
              <w:t xml:space="preserve">used, </w:t>
            </w:r>
            <w:r>
              <w:rPr>
                <w:iCs/>
                <w:sz w:val="20"/>
                <w:szCs w:val="20"/>
              </w:rPr>
              <w:t>r</w:t>
            </w:r>
            <w:r w:rsidRPr="006F5064">
              <w:rPr>
                <w:sz w:val="20"/>
                <w:szCs w:val="20"/>
              </w:rPr>
              <w:t xml:space="preserve">ate of progression targeted by intervention j* for subpopulation p in compartment </w:t>
            </w:r>
            <w:proofErr w:type="spellStart"/>
            <w:r w:rsidRPr="006F5064">
              <w:rPr>
                <w:sz w:val="20"/>
                <w:szCs w:val="20"/>
              </w:rPr>
              <w:t>c at</w:t>
            </w:r>
            <w:proofErr w:type="spellEnd"/>
            <w:r w:rsidRPr="006F5064">
              <w:rPr>
                <w:sz w:val="20"/>
                <w:szCs w:val="20"/>
              </w:rPr>
              <w:t xml:space="preserve"> time t, due to the amount of allocated funding </w:t>
            </w:r>
            <m:oMath>
              <m:sSubSup>
                <m:sSubSupPr>
                  <m:ctrlPr>
                    <w:rPr>
                      <w:rFonts w:ascii="Cambria Math" w:hAnsi="Cambria Math" w:cstheme="minorHAnsi"/>
                      <w:b/>
                      <w:sz w:val="20"/>
                      <w:szCs w:val="20"/>
                    </w:rPr>
                  </m:ctrlPr>
                </m:sSubSupPr>
                <m:e>
                  <m:r>
                    <m:rPr>
                      <m:sty m:val="b"/>
                    </m:rPr>
                    <w:rPr>
                      <w:rFonts w:ascii="Cambria Math" w:hAnsi="Cambria Math" w:cstheme="minorHAnsi"/>
                      <w:sz w:val="20"/>
                      <w:szCs w:val="20"/>
                    </w:rPr>
                    <m:t>ṅ</m:t>
                  </m:r>
                </m:e>
                <m:sub>
                  <m:r>
                    <m:rPr>
                      <m:sty m:val="bi"/>
                    </m:rPr>
                    <w:rPr>
                      <w:rFonts w:ascii="Cambria Math" w:hAnsi="Cambria Math" w:cstheme="minorHAnsi"/>
                      <w:sz w:val="20"/>
                      <w:szCs w:val="20"/>
                    </w:rPr>
                    <m:t>j*,u</m:t>
                  </m:r>
                </m:sub>
                <m:sup>
                  <m:r>
                    <m:rPr>
                      <m:sty m:val="bi"/>
                    </m:rPr>
                    <w:rPr>
                      <w:rFonts w:ascii="Cambria Math" w:hAnsi="Cambria Math" w:cstheme="minorHAnsi"/>
                      <w:sz w:val="20"/>
                      <w:szCs w:val="20"/>
                    </w:rPr>
                    <m:t>q</m:t>
                  </m:r>
                </m:sup>
              </m:sSubSup>
            </m:oMath>
            <w:r w:rsidRPr="006F5064">
              <w:rPr>
                <w:sz w:val="20"/>
                <w:szCs w:val="20"/>
              </w:rPr>
              <w:t xml:space="preserve"> for intervention j*, beyond the time 2 funding level</w:t>
            </w:r>
          </w:p>
        </w:tc>
      </w:tr>
      <w:tr w:rsidR="008B0F71" w:rsidRPr="00C00335" w14:paraId="66F9DAFE" w14:textId="77777777" w:rsidTr="00BA30F7">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4FF72909" w14:textId="77777777" w:rsidR="008B0F71" w:rsidRPr="00C00335" w:rsidRDefault="008B0F71" w:rsidP="00BA30F7">
            <w:pPr>
              <w:pStyle w:val="TableText"/>
              <w:spacing w:before="40" w:after="40"/>
              <w:jc w:val="center"/>
              <w:rPr>
                <w:sz w:val="20"/>
              </w:rPr>
            </w:pPr>
            <w:r w:rsidRPr="00C00335">
              <w:rPr>
                <w:sz w:val="20"/>
              </w:rPr>
              <w:t>Ω</w:t>
            </w:r>
            <w:r w:rsidRPr="00C00335">
              <w:rPr>
                <w:sz w:val="20"/>
                <w:vertAlign w:val="subscript"/>
              </w:rPr>
              <w:t>p1,p2,z,y</w:t>
            </w:r>
          </w:p>
        </w:tc>
        <w:tc>
          <w:tcPr>
            <w:tcW w:w="4240" w:type="pct"/>
            <w:tcBorders>
              <w:top w:val="single" w:sz="4" w:space="0" w:color="808080" w:themeColor="background1" w:themeShade="80"/>
              <w:bottom w:val="single" w:sz="4" w:space="0" w:color="808080" w:themeColor="background1" w:themeShade="80"/>
            </w:tcBorders>
            <w:shd w:val="clear" w:color="auto" w:fill="auto"/>
          </w:tcPr>
          <w:p w14:paraId="57EE2B24" w14:textId="77777777" w:rsidR="008B0F71" w:rsidRPr="00C00335" w:rsidRDefault="008B0F71" w:rsidP="00BA30F7">
            <w:pPr>
              <w:pStyle w:val="TableText"/>
              <w:spacing w:before="40" w:after="40"/>
              <w:rPr>
                <w:sz w:val="20"/>
              </w:rPr>
            </w:pPr>
            <w:r w:rsidRPr="00C00335">
              <w:rPr>
                <w:sz w:val="20"/>
              </w:rPr>
              <w:t xml:space="preserve">Proportion of sexual acts by individuals in subpopulation </w:t>
            </w:r>
            <w:r w:rsidRPr="00C00335">
              <w:rPr>
                <w:iCs/>
                <w:sz w:val="20"/>
              </w:rPr>
              <w:t>p1</w:t>
            </w:r>
            <w:r w:rsidRPr="00C00335">
              <w:rPr>
                <w:sz w:val="20"/>
              </w:rPr>
              <w:t xml:space="preserve"> in partnerships of type </w:t>
            </w:r>
            <w:r w:rsidRPr="00C00335">
              <w:rPr>
                <w:iCs/>
                <w:sz w:val="20"/>
              </w:rPr>
              <w:t>y</w:t>
            </w:r>
            <w:r w:rsidRPr="00C00335">
              <w:rPr>
                <w:sz w:val="20"/>
              </w:rPr>
              <w:t xml:space="preserve"> with individuals in subpopulation </w:t>
            </w:r>
            <w:r w:rsidRPr="00C00335">
              <w:rPr>
                <w:iCs/>
                <w:sz w:val="20"/>
              </w:rPr>
              <w:t>p2</w:t>
            </w:r>
            <w:r w:rsidRPr="00C00335">
              <w:rPr>
                <w:sz w:val="20"/>
              </w:rPr>
              <w:t xml:space="preserve"> that are risk type </w:t>
            </w:r>
            <w:r w:rsidRPr="00C00335">
              <w:rPr>
                <w:iCs/>
                <w:sz w:val="20"/>
              </w:rPr>
              <w:t>z</w:t>
            </w:r>
            <w:r w:rsidRPr="00C00335">
              <w:rPr>
                <w:sz w:val="20"/>
              </w:rPr>
              <w:t xml:space="preserve"> (where </w:t>
            </w:r>
            <w:r w:rsidRPr="00C00335">
              <w:rPr>
                <w:iCs/>
                <w:sz w:val="20"/>
              </w:rPr>
              <w:t>z</w:t>
            </w:r>
            <w:r w:rsidRPr="00C00335">
              <w:rPr>
                <w:sz w:val="20"/>
              </w:rPr>
              <w:t> = vaginal or anal)</w:t>
            </w:r>
          </w:p>
        </w:tc>
      </w:tr>
      <w:tr w:rsidR="008B0F71" w:rsidRPr="00C00335" w14:paraId="7A7EF147" w14:textId="77777777" w:rsidTr="00BA30F7">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1A533717" w14:textId="77777777" w:rsidR="008B0F71" w:rsidRPr="00C00335" w:rsidRDefault="00747E9D" w:rsidP="00BA30F7">
            <w:pPr>
              <w:pStyle w:val="TableText"/>
              <w:spacing w:before="40" w:after="40"/>
              <w:jc w:val="center"/>
              <w:rPr>
                <w:sz w:val="20"/>
              </w:rPr>
            </w:pPr>
            <m:oMathPara>
              <m:oMath>
                <m:sSubSup>
                  <m:sSubSupPr>
                    <m:ctrlPr>
                      <w:rPr>
                        <w:rFonts w:ascii="Cambria Math" w:hAnsi="Cambria Math"/>
                        <w:i/>
                        <w:sz w:val="20"/>
                      </w:rPr>
                    </m:ctrlPr>
                  </m:sSubSupPr>
                  <m:e>
                    <m:r>
                      <w:rPr>
                        <w:rFonts w:ascii="Cambria Math"/>
                      </w:rPr>
                      <m:t>ω</m:t>
                    </m:r>
                  </m:e>
                  <m:sub>
                    <m:r>
                      <w:rPr>
                        <w:rFonts w:ascii="Cambria Math"/>
                      </w:rPr>
                      <m:t>p</m:t>
                    </m:r>
                  </m:sub>
                  <m:sup>
                    <m:r>
                      <w:rPr>
                        <w:rFonts w:ascii="Cambria Math"/>
                      </w:rPr>
                      <m:t>c</m:t>
                    </m:r>
                  </m:sup>
                </m:sSubSup>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057527A7" w14:textId="77777777" w:rsidR="008B0F71" w:rsidRPr="00C00335" w:rsidRDefault="008B0F71" w:rsidP="00BA30F7">
            <w:pPr>
              <w:pStyle w:val="TableText"/>
              <w:spacing w:before="40" w:after="40"/>
              <w:rPr>
                <w:sz w:val="20"/>
              </w:rPr>
            </w:pPr>
            <w:r w:rsidRPr="00C00335">
              <w:rPr>
                <w:sz w:val="20"/>
              </w:rPr>
              <w:t xml:space="preserve">Rate </w:t>
            </w:r>
            <w:r>
              <w:rPr>
                <w:sz w:val="20"/>
              </w:rPr>
              <w:t xml:space="preserve">of </w:t>
            </w:r>
            <w:r w:rsidRPr="00C00335">
              <w:rPr>
                <w:sz w:val="20"/>
              </w:rPr>
              <w:t xml:space="preserve">HIV progression to the next disease stage from compartment </w:t>
            </w:r>
            <w:r w:rsidRPr="00C00335">
              <w:rPr>
                <w:i/>
                <w:sz w:val="20"/>
              </w:rPr>
              <w:t>c</w:t>
            </w:r>
            <w:r w:rsidRPr="00F7764A">
              <w:rPr>
                <w:sz w:val="20"/>
              </w:rPr>
              <w:t>, by subpopulation p</w:t>
            </w:r>
            <w:r w:rsidRPr="00C00335">
              <w:rPr>
                <w:sz w:val="20"/>
              </w:rPr>
              <w:t>; applies to individuals with HIV, CD4 ≥ 200, and not prescribed ART (</w:t>
            </w:r>
            <w:r w:rsidRPr="00C00335">
              <w:rPr>
                <w:i/>
                <w:sz w:val="20"/>
              </w:rPr>
              <w:t>c</w:t>
            </w:r>
            <w:r w:rsidRPr="00C00335">
              <w:rPr>
                <w:sz w:val="20"/>
              </w:rPr>
              <w:t> = 3 to 5, 6 to 8, 11 to 13, 16 to 18) only</w:t>
            </w:r>
          </w:p>
        </w:tc>
      </w:tr>
      <w:tr w:rsidR="008B0F71" w:rsidRPr="00C00335" w14:paraId="0D765E40" w14:textId="77777777" w:rsidTr="008B0F7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72FB3929" w14:textId="77777777" w:rsidR="008B0F71" w:rsidRPr="00C00335" w:rsidRDefault="00747E9D" w:rsidP="00BA30F7">
            <w:pPr>
              <w:pStyle w:val="TableText"/>
              <w:spacing w:before="40" w:after="40"/>
              <w:jc w:val="center"/>
              <w:rPr>
                <w:sz w:val="20"/>
              </w:rPr>
            </w:pPr>
            <m:oMathPara>
              <m:oMath>
                <m:sSub>
                  <m:sSubPr>
                    <m:ctrlPr>
                      <w:rPr>
                        <w:rFonts w:ascii="Cambria Math" w:hAnsi="Cambria Math"/>
                        <w:i/>
                      </w:rPr>
                    </m:ctrlPr>
                  </m:sSubPr>
                  <m:e>
                    <m:r>
                      <w:rPr>
                        <w:rFonts w:ascii="Cambria Math" w:hAnsi="Cambria Math"/>
                      </w:rPr>
                      <m:t>ζ</m:t>
                    </m:r>
                  </m:e>
                  <m:sub>
                    <m:r>
                      <w:rPr>
                        <w:rFonts w:ascii="Cambria Math" w:hAnsi="Cambria Math"/>
                      </w:rPr>
                      <m:t>p</m:t>
                    </m:r>
                  </m:sub>
                </m:sSub>
                <m:d>
                  <m:dPr>
                    <m:ctrlPr>
                      <w:rPr>
                        <w:rFonts w:ascii="Cambria Math" w:hAnsi="Cambria Math"/>
                        <w:i/>
                      </w:rPr>
                    </m:ctrlPr>
                  </m:dPr>
                  <m:e>
                    <m:r>
                      <w:rPr>
                        <w:rFonts w:ascii="Cambria Math" w:hAnsi="Cambria Math"/>
                      </w:rPr>
                      <m:t>t</m:t>
                    </m:r>
                  </m:e>
                </m:d>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2ACCCA37" w14:textId="77777777" w:rsidR="008B0F71" w:rsidRPr="00C00335" w:rsidRDefault="008B0F71" w:rsidP="00BA30F7">
            <w:pPr>
              <w:pStyle w:val="TableText"/>
              <w:spacing w:before="40" w:after="40"/>
              <w:rPr>
                <w:sz w:val="20"/>
              </w:rPr>
            </w:pPr>
            <w:r w:rsidRPr="00C00335">
              <w:rPr>
                <w:sz w:val="20"/>
              </w:rPr>
              <w:t xml:space="preserve">Annual rate of becoming VLS if ART-not-VLS, by demographic subpopulation </w:t>
            </w:r>
            <w:proofErr w:type="spellStart"/>
            <w:r w:rsidRPr="00C00335">
              <w:rPr>
                <w:i/>
                <w:sz w:val="20"/>
              </w:rPr>
              <w:t>p</w:t>
            </w:r>
            <w:r w:rsidRPr="00C00335">
              <w:rPr>
                <w:sz w:val="20"/>
              </w:rPr>
              <w:t xml:space="preserve"> at</w:t>
            </w:r>
            <w:proofErr w:type="spellEnd"/>
            <w:r w:rsidRPr="00C00335">
              <w:rPr>
                <w:sz w:val="20"/>
              </w:rPr>
              <w:t xml:space="preserve"> time </w:t>
            </w:r>
            <w:r w:rsidRPr="00C00335">
              <w:rPr>
                <w:i/>
                <w:sz w:val="20"/>
              </w:rPr>
              <w:t>t</w:t>
            </w:r>
          </w:p>
        </w:tc>
      </w:tr>
      <w:tr w:rsidR="008B0F71" w:rsidRPr="00C00335" w14:paraId="4F48F275" w14:textId="77777777" w:rsidTr="008B0F71">
        <w:trPr>
          <w:cantSplit/>
        </w:trPr>
        <w:tc>
          <w:tcPr>
            <w:tcW w:w="5000" w:type="pct"/>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8780448" w14:textId="25FEDA98" w:rsidR="008B0F71" w:rsidRPr="00C00335" w:rsidRDefault="008B0F71" w:rsidP="00BA30F7">
            <w:pPr>
              <w:pStyle w:val="TableText"/>
              <w:spacing w:before="40" w:after="40"/>
              <w:rPr>
                <w:sz w:val="20"/>
              </w:rPr>
            </w:pPr>
            <w:r w:rsidRPr="00C00335">
              <w:rPr>
                <w:b/>
                <w:sz w:val="20"/>
              </w:rPr>
              <w:t>Other Symbols</w:t>
            </w:r>
          </w:p>
        </w:tc>
      </w:tr>
      <w:tr w:rsidR="008B0F71" w:rsidRPr="00C00335" w14:paraId="4FD77FF4" w14:textId="77777777" w:rsidTr="008B0F71">
        <w:trPr>
          <w:cantSplit/>
        </w:trPr>
        <w:tc>
          <w:tcPr>
            <w:tcW w:w="760" w:type="pct"/>
            <w:tcBorders>
              <w:top w:val="single" w:sz="4" w:space="0" w:color="808080" w:themeColor="background1" w:themeShade="80"/>
              <w:bottom w:val="single" w:sz="4" w:space="0" w:color="808080" w:themeColor="background1" w:themeShade="80"/>
            </w:tcBorders>
            <w:shd w:val="clear" w:color="auto" w:fill="auto"/>
          </w:tcPr>
          <w:p w14:paraId="442DF5FF" w14:textId="1F3C83D8" w:rsidR="008B0F71" w:rsidRDefault="00747E9D" w:rsidP="008B0F71">
            <w:pPr>
              <w:pStyle w:val="TableText"/>
              <w:spacing w:before="40" w:after="40"/>
              <w:jc w:val="center"/>
            </w:pPr>
            <m:oMathPara>
              <m:oMath>
                <m:sSubSup>
                  <m:sSubSupPr>
                    <m:ctrlPr>
                      <w:rPr>
                        <w:rFonts w:ascii="Cambria Math" w:eastAsiaTheme="minorEastAsia" w:hAnsi="Cambria Math"/>
                        <w:sz w:val="20"/>
                      </w:rPr>
                    </m:ctrlPr>
                  </m:sSubSupPr>
                  <m:e>
                    <m:r>
                      <m:rPr>
                        <m:sty m:val="p"/>
                      </m:rPr>
                      <w:rPr>
                        <w:rFonts w:ascii="Cambria Math" w:eastAsiaTheme="minorEastAsia" w:hAnsi="Cambria Math"/>
                        <w:sz w:val="20"/>
                      </w:rPr>
                      <m:t>ℶ</m:t>
                    </m:r>
                  </m:e>
                  <m:sub>
                    <m:r>
                      <w:rPr>
                        <w:rFonts w:ascii="Cambria Math" w:eastAsiaTheme="minorEastAsia" w:hAnsi="Cambria Math"/>
                        <w:sz w:val="20"/>
                      </w:rPr>
                      <m:t>c,p</m:t>
                    </m:r>
                  </m:sub>
                  <m:sup>
                    <m:r>
                      <w:rPr>
                        <w:rFonts w:ascii="Cambria Math" w:eastAsiaTheme="minorEastAsia" w:hAnsi="Cambria Math"/>
                        <w:sz w:val="20"/>
                      </w:rPr>
                      <m:t>j*</m:t>
                    </m:r>
                  </m:sup>
                </m:sSubSup>
                <m:r>
                  <w:rPr>
                    <w:rFonts w:ascii="Cambria Math" w:eastAsiaTheme="minorEastAsia" w:hAnsi="Cambria Math"/>
                    <w:sz w:val="20"/>
                  </w:rPr>
                  <m:t>(t)</m:t>
                </m:r>
              </m:oMath>
            </m:oMathPara>
          </w:p>
        </w:tc>
        <w:tc>
          <w:tcPr>
            <w:tcW w:w="4240" w:type="pct"/>
            <w:tcBorders>
              <w:top w:val="single" w:sz="4" w:space="0" w:color="808080" w:themeColor="background1" w:themeShade="80"/>
              <w:bottom w:val="single" w:sz="4" w:space="0" w:color="808080" w:themeColor="background1" w:themeShade="80"/>
            </w:tcBorders>
            <w:shd w:val="clear" w:color="auto" w:fill="auto"/>
          </w:tcPr>
          <w:p w14:paraId="32430304" w14:textId="6F9AC39E" w:rsidR="008B0F71" w:rsidRPr="00C00335" w:rsidRDefault="008B0F71" w:rsidP="008B0F71">
            <w:pPr>
              <w:pStyle w:val="TableText"/>
              <w:spacing w:before="40" w:after="40"/>
              <w:rPr>
                <w:sz w:val="20"/>
              </w:rPr>
            </w:pPr>
            <w:r w:rsidRPr="00C00335">
              <w:rPr>
                <w:sz w:val="20"/>
              </w:rPr>
              <w:t xml:space="preserve">Rate (j* = {1,…5,7,…10}) or probability (j* = 6) of progression for the transition targeted by intervention j* in subpopulation p in compartment </w:t>
            </w:r>
            <w:proofErr w:type="spellStart"/>
            <w:r w:rsidRPr="00C00335">
              <w:rPr>
                <w:sz w:val="20"/>
              </w:rPr>
              <w:t>c at</w:t>
            </w:r>
            <w:proofErr w:type="spellEnd"/>
            <w:r w:rsidRPr="00C00335">
              <w:rPr>
                <w:sz w:val="20"/>
              </w:rPr>
              <w:t xml:space="preserve"> time t, given no allocated funding from CDC</w:t>
            </w:r>
          </w:p>
        </w:tc>
      </w:tr>
      <w:tr w:rsidR="008B0F71" w:rsidRPr="00C00335" w14:paraId="144FFF5B" w14:textId="77777777" w:rsidTr="00BA30F7">
        <w:trPr>
          <w:cantSplit/>
        </w:trPr>
        <w:tc>
          <w:tcPr>
            <w:tcW w:w="760" w:type="pct"/>
            <w:tcBorders>
              <w:top w:val="single" w:sz="4" w:space="0" w:color="808080" w:themeColor="background1" w:themeShade="80"/>
              <w:bottom w:val="single" w:sz="6" w:space="0" w:color="auto"/>
            </w:tcBorders>
            <w:shd w:val="clear" w:color="auto" w:fill="auto"/>
          </w:tcPr>
          <w:p w14:paraId="021B4B16" w14:textId="1F4F6F8C" w:rsidR="008B0F71" w:rsidRDefault="00747E9D" w:rsidP="008B0F71">
            <w:pPr>
              <w:pStyle w:val="TableText"/>
              <w:spacing w:before="40" w:after="40"/>
              <w:jc w:val="center"/>
            </w:pPr>
            <m:oMathPara>
              <m:oMath>
                <m:sSubSup>
                  <m:sSubSupPr>
                    <m:ctrlPr>
                      <w:rPr>
                        <w:rFonts w:ascii="Cambria Math" w:eastAsiaTheme="minorEastAsia" w:hAnsi="Cambria Math"/>
                        <w:sz w:val="22"/>
                      </w:rPr>
                    </m:ctrlPr>
                  </m:sSubSupPr>
                  <m:e>
                    <m:r>
                      <m:rPr>
                        <m:sty m:val="p"/>
                      </m:rPr>
                      <w:rPr>
                        <w:rFonts w:ascii="Cambria Math" w:eastAsiaTheme="minorEastAsia" w:hAnsi="Cambria Math"/>
                        <w:sz w:val="22"/>
                      </w:rPr>
                      <m:t>ℷ</m:t>
                    </m:r>
                  </m:e>
                  <m:sub>
                    <m:r>
                      <w:rPr>
                        <w:rFonts w:ascii="Cambria Math" w:eastAsiaTheme="minorEastAsia" w:hAnsi="Cambria Math"/>
                        <w:sz w:val="22"/>
                      </w:rPr>
                      <m:t>c,p</m:t>
                    </m:r>
                  </m:sub>
                  <m:sup>
                    <m:r>
                      <w:rPr>
                        <w:rFonts w:ascii="Cambria Math" w:eastAsiaTheme="minorEastAsia" w:hAnsi="Cambria Math"/>
                        <w:sz w:val="22"/>
                      </w:rPr>
                      <m:t>j*</m:t>
                    </m:r>
                  </m:sup>
                </m:sSubSup>
                <m:r>
                  <w:rPr>
                    <w:rFonts w:ascii="Cambria Math" w:eastAsiaTheme="minorEastAsia" w:hAnsi="Cambria Math"/>
                    <w:sz w:val="22"/>
                  </w:rPr>
                  <m:t>(</m:t>
                </m:r>
                <m:sSubSup>
                  <m:sSubSupPr>
                    <m:ctrlPr>
                      <w:rPr>
                        <w:rFonts w:ascii="Cambria Math" w:hAnsi="Cambria Math" w:cstheme="minorHAnsi"/>
                        <w:b/>
                        <w:sz w:val="22"/>
                      </w:rPr>
                    </m:ctrlPr>
                  </m:sSubSupPr>
                  <m:e>
                    <m:r>
                      <m:rPr>
                        <m:sty m:val="b"/>
                      </m:rPr>
                      <w:rPr>
                        <w:rFonts w:ascii="Cambria Math" w:hAnsi="Cambria Math" w:cstheme="minorHAnsi"/>
                        <w:sz w:val="22"/>
                      </w:rPr>
                      <m:t>ṅ</m:t>
                    </m:r>
                  </m:e>
                  <m:sub>
                    <m:r>
                      <m:rPr>
                        <m:sty m:val="bi"/>
                      </m:rPr>
                      <w:rPr>
                        <w:rFonts w:ascii="Cambria Math" w:hAnsi="Cambria Math" w:cstheme="minorHAnsi"/>
                        <w:sz w:val="22"/>
                      </w:rPr>
                      <m:t>j*</m:t>
                    </m:r>
                  </m:sub>
                  <m:sup>
                    <m:r>
                      <m:rPr>
                        <m:sty m:val="bi"/>
                      </m:rPr>
                      <w:rPr>
                        <w:rFonts w:ascii="Cambria Math" w:hAnsi="Cambria Math" w:cstheme="minorHAnsi"/>
                        <w:sz w:val="22"/>
                      </w:rPr>
                      <m:t>q</m:t>
                    </m:r>
                  </m:sup>
                </m:sSubSup>
                <m:r>
                  <w:rPr>
                    <w:rFonts w:ascii="Cambria Math" w:eastAsiaTheme="minorEastAsia" w:hAnsi="Cambria Math"/>
                    <w:sz w:val="22"/>
                  </w:rPr>
                  <m:t>,t)</m:t>
                </m:r>
              </m:oMath>
            </m:oMathPara>
          </w:p>
        </w:tc>
        <w:tc>
          <w:tcPr>
            <w:tcW w:w="4240" w:type="pct"/>
            <w:tcBorders>
              <w:top w:val="single" w:sz="4" w:space="0" w:color="808080" w:themeColor="background1" w:themeShade="80"/>
              <w:bottom w:val="single" w:sz="6" w:space="0" w:color="auto"/>
            </w:tcBorders>
            <w:shd w:val="clear" w:color="auto" w:fill="auto"/>
          </w:tcPr>
          <w:p w14:paraId="6C1C4A01" w14:textId="45771E1C" w:rsidR="008B0F71" w:rsidRPr="00C00335" w:rsidRDefault="008B0F71" w:rsidP="008B0F71">
            <w:pPr>
              <w:pStyle w:val="TableText"/>
              <w:spacing w:before="40" w:after="40"/>
              <w:rPr>
                <w:sz w:val="20"/>
              </w:rPr>
            </w:pPr>
            <w:r w:rsidRPr="006E471A">
              <w:rPr>
                <w:iCs/>
                <w:sz w:val="20"/>
              </w:rPr>
              <w:t xml:space="preserve">When allocation-based progression is </w:t>
            </w:r>
            <w:r w:rsidRPr="00276B8E">
              <w:rPr>
                <w:iCs/>
                <w:sz w:val="20"/>
                <w:szCs w:val="20"/>
              </w:rPr>
              <w:t xml:space="preserve">used, </w:t>
            </w:r>
            <w:r>
              <w:rPr>
                <w:iCs/>
                <w:sz w:val="20"/>
                <w:szCs w:val="20"/>
              </w:rPr>
              <w:t>r</w:t>
            </w:r>
            <w:r w:rsidRPr="00276B8E">
              <w:rPr>
                <w:sz w:val="20"/>
                <w:szCs w:val="20"/>
              </w:rPr>
              <w:t>ate (</w:t>
            </w:r>
            <w:r w:rsidRPr="00276B8E">
              <w:rPr>
                <w:i/>
                <w:iCs/>
                <w:sz w:val="20"/>
                <w:szCs w:val="20"/>
              </w:rPr>
              <w:t>j*</w:t>
            </w:r>
            <w:r w:rsidRPr="00276B8E">
              <w:rPr>
                <w:sz w:val="20"/>
                <w:szCs w:val="20"/>
              </w:rPr>
              <w:t xml:space="preserve"> = {1, …, 5, 7, …, 14}) or probability (</w:t>
            </w:r>
            <w:r w:rsidRPr="00276B8E">
              <w:rPr>
                <w:i/>
                <w:iCs/>
                <w:sz w:val="20"/>
                <w:szCs w:val="20"/>
              </w:rPr>
              <w:t>j*</w:t>
            </w:r>
            <w:r w:rsidRPr="00276B8E">
              <w:rPr>
                <w:sz w:val="20"/>
                <w:szCs w:val="20"/>
              </w:rPr>
              <w:t xml:space="preserve"> = 6) of progression for the transition addressed by intervention </w:t>
            </w:r>
            <w:r w:rsidRPr="00276B8E">
              <w:rPr>
                <w:i/>
                <w:iCs/>
                <w:sz w:val="20"/>
                <w:szCs w:val="20"/>
              </w:rPr>
              <w:t>j*</w:t>
            </w:r>
            <w:r w:rsidRPr="00276B8E">
              <w:rPr>
                <w:sz w:val="20"/>
                <w:szCs w:val="20"/>
              </w:rPr>
              <w:t xml:space="preserve"> in subpopulation </w:t>
            </w:r>
            <w:proofErr w:type="spellStart"/>
            <w:r w:rsidRPr="00276B8E">
              <w:rPr>
                <w:i/>
                <w:iCs/>
                <w:sz w:val="20"/>
                <w:szCs w:val="20"/>
              </w:rPr>
              <w:t>p</w:t>
            </w:r>
            <w:r w:rsidRPr="00276B8E">
              <w:rPr>
                <w:sz w:val="20"/>
                <w:szCs w:val="20"/>
              </w:rPr>
              <w:t xml:space="preserve"> at</w:t>
            </w:r>
            <w:proofErr w:type="spellEnd"/>
            <w:r w:rsidRPr="00276B8E">
              <w:rPr>
                <w:sz w:val="20"/>
                <w:szCs w:val="20"/>
              </w:rPr>
              <w:t xml:space="preserve"> time </w:t>
            </w:r>
            <w:r w:rsidRPr="00276B8E">
              <w:rPr>
                <w:i/>
                <w:iCs/>
                <w:sz w:val="20"/>
                <w:szCs w:val="20"/>
              </w:rPr>
              <w:t xml:space="preserve">t </w:t>
            </w:r>
            <w:r w:rsidRPr="00276B8E">
              <w:rPr>
                <w:sz w:val="20"/>
                <w:szCs w:val="20"/>
              </w:rPr>
              <w:t xml:space="preserve">given allocation </w:t>
            </w:r>
            <m:oMath>
              <m:sSubSup>
                <m:sSubSupPr>
                  <m:ctrlPr>
                    <w:rPr>
                      <w:rFonts w:ascii="Cambria Math" w:hAnsi="Cambria Math"/>
                      <w:b/>
                      <w:sz w:val="20"/>
                      <w:szCs w:val="20"/>
                    </w:rPr>
                  </m:ctrlPr>
                </m:sSubSupPr>
                <m:e>
                  <m:r>
                    <m:rPr>
                      <m:sty m:val="b"/>
                    </m:rPr>
                    <w:rPr>
                      <w:rFonts w:ascii="Cambria Math" w:hAnsi="Cambria Math"/>
                      <w:sz w:val="20"/>
                      <w:szCs w:val="20"/>
                    </w:rPr>
                    <m:t>ṅ</m:t>
                  </m:r>
                </m:e>
                <m:sub>
                  <m:sSup>
                    <m:sSupPr>
                      <m:ctrlPr>
                        <w:rPr>
                          <w:rFonts w:ascii="Cambria Math" w:hAnsi="Cambria Math"/>
                          <w:b/>
                          <w:i/>
                          <w:sz w:val="20"/>
                          <w:szCs w:val="20"/>
                        </w:rPr>
                      </m:ctrlPr>
                    </m:sSupPr>
                    <m:e>
                      <m:r>
                        <m:rPr>
                          <m:sty m:val="bi"/>
                        </m:rPr>
                        <w:rPr>
                          <w:rFonts w:ascii="Cambria Math" w:hAnsi="Cambria Math"/>
                          <w:sz w:val="20"/>
                          <w:szCs w:val="20"/>
                        </w:rPr>
                        <m:t>j</m:t>
                      </m:r>
                    </m:e>
                    <m:sup>
                      <m:r>
                        <m:rPr>
                          <m:sty m:val="bi"/>
                        </m:rPr>
                        <w:rPr>
                          <w:rFonts w:ascii="Cambria Math" w:hAnsi="Cambria Math"/>
                          <w:sz w:val="20"/>
                          <w:szCs w:val="20"/>
                        </w:rPr>
                        <m:t>*</m:t>
                      </m:r>
                    </m:sup>
                  </m:sSup>
                </m:sub>
                <m:sup>
                  <m:r>
                    <m:rPr>
                      <m:sty m:val="bi"/>
                    </m:rPr>
                    <w:rPr>
                      <w:rFonts w:ascii="Cambria Math" w:hAnsi="Cambria Math"/>
                      <w:sz w:val="20"/>
                      <w:szCs w:val="20"/>
                    </w:rPr>
                    <m:t>q</m:t>
                  </m:r>
                </m:sup>
              </m:sSubSup>
            </m:oMath>
            <w:r w:rsidRPr="00276B8E">
              <w:rPr>
                <w:sz w:val="20"/>
                <w:szCs w:val="20"/>
              </w:rPr>
              <w:t>, considering constraint on maximum reach of intervention</w:t>
            </w:r>
            <w:r w:rsidRPr="00276B8E">
              <w:rPr>
                <w:i/>
                <w:iCs/>
                <w:sz w:val="20"/>
                <w:szCs w:val="20"/>
              </w:rPr>
              <w:t xml:space="preserve"> j*</w:t>
            </w:r>
          </w:p>
        </w:tc>
      </w:tr>
    </w:tbl>
    <w:p w14:paraId="527AB4B6" w14:textId="596024A5" w:rsidR="00F50352" w:rsidRPr="00C00335" w:rsidRDefault="00112754" w:rsidP="00D4000F">
      <w:pPr>
        <w:pStyle w:val="Source1"/>
        <w:ind w:left="0" w:firstLine="0"/>
        <w:rPr>
          <w:sz w:val="20"/>
        </w:rPr>
      </w:pPr>
      <w:r w:rsidRPr="00C00335">
        <w:rPr>
          <w:sz w:val="20"/>
        </w:rPr>
        <w:t xml:space="preserve">Note: </w:t>
      </w:r>
      <w:r w:rsidR="00F50352" w:rsidRPr="00C00335">
        <w:rPr>
          <w:sz w:val="20"/>
        </w:rPr>
        <w:t>ART</w:t>
      </w:r>
      <w:r w:rsidR="00E628BE" w:rsidRPr="00C00335">
        <w:rPr>
          <w:sz w:val="20"/>
        </w:rPr>
        <w:t> = </w:t>
      </w:r>
      <w:r w:rsidR="00F50352" w:rsidRPr="00C00335">
        <w:rPr>
          <w:sz w:val="20"/>
        </w:rPr>
        <w:t xml:space="preserve">antiretroviral therapy; </w:t>
      </w:r>
      <w:proofErr w:type="spellStart"/>
      <w:r w:rsidR="00341EDC" w:rsidRPr="00C00335">
        <w:rPr>
          <w:sz w:val="20"/>
        </w:rPr>
        <w:t>PrEP</w:t>
      </w:r>
      <w:proofErr w:type="spellEnd"/>
      <w:r w:rsidR="00E628BE" w:rsidRPr="00C00335">
        <w:rPr>
          <w:sz w:val="20"/>
        </w:rPr>
        <w:t> = </w:t>
      </w:r>
      <w:r w:rsidR="00341EDC" w:rsidRPr="00C00335">
        <w:rPr>
          <w:sz w:val="20"/>
        </w:rPr>
        <w:t>pre-exposure prophylaxis</w:t>
      </w:r>
      <w:r w:rsidR="00AA5501" w:rsidRPr="00C00335">
        <w:rPr>
          <w:sz w:val="20"/>
        </w:rPr>
        <w:t>; PWID</w:t>
      </w:r>
      <w:r w:rsidR="006015C3" w:rsidRPr="00C00335">
        <w:rPr>
          <w:sz w:val="20"/>
        </w:rPr>
        <w:t xml:space="preserve"> =</w:t>
      </w:r>
      <w:r w:rsidR="00AA5501" w:rsidRPr="00C00335">
        <w:rPr>
          <w:sz w:val="20"/>
        </w:rPr>
        <w:t xml:space="preserve"> people who inject drugs</w:t>
      </w:r>
      <w:r w:rsidR="006015C3" w:rsidRPr="00C00335">
        <w:rPr>
          <w:sz w:val="20"/>
        </w:rPr>
        <w:t>.</w:t>
      </w:r>
    </w:p>
    <w:p w14:paraId="534B644B" w14:textId="77777777" w:rsidR="00C80F5B" w:rsidRPr="00C00335" w:rsidRDefault="00C80F5B">
      <w:pPr>
        <w:rPr>
          <w:b/>
        </w:rPr>
      </w:pPr>
      <w:r w:rsidRPr="00C00335">
        <w:br w:type="page"/>
      </w:r>
    </w:p>
    <w:p w14:paraId="04A461AE" w14:textId="6EDDEFF4" w:rsidR="00F50352" w:rsidRPr="00C00335" w:rsidRDefault="00F50352" w:rsidP="00C61197">
      <w:pPr>
        <w:pStyle w:val="TableTitle"/>
      </w:pPr>
      <w:bookmarkStart w:id="180" w:name="_Toc89257623"/>
      <w:r w:rsidRPr="00C00335">
        <w:lastRenderedPageBreak/>
        <w:t xml:space="preserve">Table </w:t>
      </w:r>
      <w:r w:rsidR="00052E04" w:rsidRPr="00C00335">
        <w:t>A.</w:t>
      </w:r>
      <w:r w:rsidRPr="00C00335">
        <w:t>2.</w:t>
      </w:r>
      <w:r w:rsidRPr="00C00335">
        <w:tab/>
        <w:t>Definitions of Indices Applied in This Document</w:t>
      </w:r>
      <w:bookmarkEnd w:id="180"/>
    </w:p>
    <w:tbl>
      <w:tblPr>
        <w:tblW w:w="5035"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902"/>
        <w:gridCol w:w="1778"/>
        <w:gridCol w:w="1522"/>
        <w:gridCol w:w="8849"/>
      </w:tblGrid>
      <w:tr w:rsidR="00F50352" w:rsidRPr="00C00335" w14:paraId="7C63E7CF" w14:textId="77777777" w:rsidTr="00F46463">
        <w:trPr>
          <w:cantSplit/>
          <w:tblHeader/>
        </w:trPr>
        <w:tc>
          <w:tcPr>
            <w:tcW w:w="346" w:type="pct"/>
            <w:tcBorders>
              <w:top w:val="single" w:sz="12" w:space="0" w:color="000000"/>
              <w:bottom w:val="single" w:sz="6" w:space="0" w:color="auto"/>
            </w:tcBorders>
            <w:shd w:val="clear" w:color="auto" w:fill="auto"/>
            <w:vAlign w:val="bottom"/>
          </w:tcPr>
          <w:p w14:paraId="3143F693" w14:textId="77777777" w:rsidR="00F50352" w:rsidRPr="00C00335" w:rsidRDefault="00F50352" w:rsidP="00D40CDC">
            <w:pPr>
              <w:pStyle w:val="TableHeaders"/>
              <w:rPr>
                <w:sz w:val="20"/>
              </w:rPr>
            </w:pPr>
            <w:r w:rsidRPr="00C00335">
              <w:rPr>
                <w:sz w:val="20"/>
              </w:rPr>
              <w:t>Index</w:t>
            </w:r>
          </w:p>
        </w:tc>
        <w:tc>
          <w:tcPr>
            <w:tcW w:w="681" w:type="pct"/>
            <w:tcBorders>
              <w:top w:val="single" w:sz="12" w:space="0" w:color="000000"/>
              <w:bottom w:val="single" w:sz="6" w:space="0" w:color="auto"/>
            </w:tcBorders>
            <w:shd w:val="clear" w:color="auto" w:fill="auto"/>
            <w:vAlign w:val="bottom"/>
          </w:tcPr>
          <w:p w14:paraId="17573F3F" w14:textId="77777777" w:rsidR="00F50352" w:rsidRPr="00C00335" w:rsidRDefault="00F50352" w:rsidP="00F50352">
            <w:pPr>
              <w:pStyle w:val="TableHeaders"/>
              <w:rPr>
                <w:sz w:val="20"/>
              </w:rPr>
            </w:pPr>
            <w:r w:rsidRPr="00C00335">
              <w:rPr>
                <w:sz w:val="20"/>
              </w:rPr>
              <w:t>Definition</w:t>
            </w:r>
          </w:p>
        </w:tc>
        <w:tc>
          <w:tcPr>
            <w:tcW w:w="583" w:type="pct"/>
            <w:tcBorders>
              <w:top w:val="single" w:sz="12" w:space="0" w:color="000000"/>
              <w:bottom w:val="single" w:sz="6" w:space="0" w:color="auto"/>
            </w:tcBorders>
            <w:shd w:val="clear" w:color="auto" w:fill="auto"/>
            <w:vAlign w:val="bottom"/>
          </w:tcPr>
          <w:p w14:paraId="0921FF33" w14:textId="77777777" w:rsidR="00F50352" w:rsidRPr="00C00335" w:rsidRDefault="00F50352" w:rsidP="00F50352">
            <w:pPr>
              <w:pStyle w:val="TableHeaders"/>
              <w:rPr>
                <w:sz w:val="20"/>
              </w:rPr>
            </w:pPr>
            <w:r w:rsidRPr="00C00335">
              <w:rPr>
                <w:sz w:val="20"/>
              </w:rPr>
              <w:t>Number of Categories</w:t>
            </w:r>
          </w:p>
        </w:tc>
        <w:tc>
          <w:tcPr>
            <w:tcW w:w="3389" w:type="pct"/>
            <w:tcBorders>
              <w:top w:val="single" w:sz="12" w:space="0" w:color="000000"/>
              <w:bottom w:val="single" w:sz="6" w:space="0" w:color="auto"/>
            </w:tcBorders>
            <w:shd w:val="clear" w:color="auto" w:fill="auto"/>
            <w:vAlign w:val="bottom"/>
          </w:tcPr>
          <w:p w14:paraId="7847FA8D" w14:textId="77777777" w:rsidR="00F50352" w:rsidRPr="00C00335" w:rsidRDefault="00F50352" w:rsidP="00F50352">
            <w:pPr>
              <w:pStyle w:val="TableHeaders"/>
              <w:rPr>
                <w:sz w:val="20"/>
              </w:rPr>
            </w:pPr>
            <w:r w:rsidRPr="00C00335">
              <w:rPr>
                <w:sz w:val="20"/>
              </w:rPr>
              <w:t>Categories (Represented by)</w:t>
            </w:r>
          </w:p>
        </w:tc>
      </w:tr>
      <w:tr w:rsidR="00F50352" w:rsidRPr="00C00335" w14:paraId="5034A240" w14:textId="77777777" w:rsidTr="00F46463">
        <w:tc>
          <w:tcPr>
            <w:tcW w:w="346" w:type="pct"/>
            <w:tcBorders>
              <w:top w:val="single" w:sz="6" w:space="0" w:color="auto"/>
              <w:bottom w:val="single" w:sz="6" w:space="0" w:color="808080" w:themeColor="background1" w:themeShade="80"/>
            </w:tcBorders>
            <w:shd w:val="clear" w:color="auto" w:fill="auto"/>
          </w:tcPr>
          <w:p w14:paraId="1FC0E251" w14:textId="77777777" w:rsidR="00F50352" w:rsidRPr="00C00335" w:rsidRDefault="00F50352" w:rsidP="00D40CDC">
            <w:pPr>
              <w:pStyle w:val="TableText"/>
              <w:jc w:val="center"/>
              <w:rPr>
                <w:sz w:val="20"/>
              </w:rPr>
            </w:pPr>
            <w:r w:rsidRPr="00C00335">
              <w:rPr>
                <w:sz w:val="20"/>
              </w:rPr>
              <w:t>c</w:t>
            </w:r>
          </w:p>
        </w:tc>
        <w:tc>
          <w:tcPr>
            <w:tcW w:w="681" w:type="pct"/>
            <w:tcBorders>
              <w:top w:val="single" w:sz="6" w:space="0" w:color="auto"/>
              <w:bottom w:val="single" w:sz="6" w:space="0" w:color="808080" w:themeColor="background1" w:themeShade="80"/>
            </w:tcBorders>
            <w:shd w:val="clear" w:color="auto" w:fill="auto"/>
          </w:tcPr>
          <w:p w14:paraId="45B7097A" w14:textId="77777777" w:rsidR="00F50352" w:rsidRPr="00C00335" w:rsidRDefault="00F50352" w:rsidP="00F50352">
            <w:pPr>
              <w:pStyle w:val="TableText"/>
              <w:rPr>
                <w:sz w:val="20"/>
              </w:rPr>
            </w:pPr>
            <w:r w:rsidRPr="00C00335">
              <w:rPr>
                <w:sz w:val="20"/>
              </w:rPr>
              <w:t>Compartment</w:t>
            </w:r>
          </w:p>
        </w:tc>
        <w:tc>
          <w:tcPr>
            <w:tcW w:w="583" w:type="pct"/>
            <w:tcBorders>
              <w:top w:val="single" w:sz="6" w:space="0" w:color="auto"/>
              <w:bottom w:val="single" w:sz="6" w:space="0" w:color="808080" w:themeColor="background1" w:themeShade="80"/>
            </w:tcBorders>
          </w:tcPr>
          <w:p w14:paraId="19F3752C" w14:textId="19070D7F" w:rsidR="00F50352" w:rsidRPr="00C00335" w:rsidRDefault="00710F65" w:rsidP="002739EC">
            <w:pPr>
              <w:pStyle w:val="TableText"/>
              <w:jc w:val="center"/>
              <w:rPr>
                <w:sz w:val="20"/>
              </w:rPr>
            </w:pPr>
            <w:r w:rsidRPr="00C00335">
              <w:rPr>
                <w:sz w:val="20"/>
              </w:rPr>
              <w:t>2</w:t>
            </w:r>
            <w:r w:rsidR="004935EA">
              <w:rPr>
                <w:sz w:val="20"/>
              </w:rPr>
              <w:t>7</w:t>
            </w:r>
          </w:p>
        </w:tc>
        <w:tc>
          <w:tcPr>
            <w:tcW w:w="3389" w:type="pct"/>
            <w:tcBorders>
              <w:top w:val="single" w:sz="6" w:space="0" w:color="auto"/>
              <w:bottom w:val="single" w:sz="6" w:space="0" w:color="808080" w:themeColor="background1" w:themeShade="80"/>
            </w:tcBorders>
          </w:tcPr>
          <w:p w14:paraId="2BE2E962" w14:textId="5664B155" w:rsidR="000F420A" w:rsidRPr="00C00335" w:rsidRDefault="00F50352" w:rsidP="002739EC">
            <w:pPr>
              <w:pStyle w:val="TableText"/>
              <w:rPr>
                <w:sz w:val="20"/>
              </w:rPr>
            </w:pPr>
            <w:r w:rsidRPr="00C00335">
              <w:rPr>
                <w:sz w:val="20"/>
              </w:rPr>
              <w:t>2</w:t>
            </w:r>
            <w:r w:rsidR="002739EC" w:rsidRPr="00C00335">
              <w:rPr>
                <w:sz w:val="20"/>
              </w:rPr>
              <w:t>5</w:t>
            </w:r>
            <w:r w:rsidRPr="00C00335">
              <w:rPr>
                <w:sz w:val="20"/>
              </w:rPr>
              <w:t xml:space="preserve"> main compartments for individuals actively moving through the model (further defined by disease stage [</w:t>
            </w:r>
            <w:r w:rsidRPr="00C00335">
              <w:rPr>
                <w:i/>
                <w:sz w:val="20"/>
              </w:rPr>
              <w:t>h</w:t>
            </w:r>
            <w:r w:rsidRPr="00C00335">
              <w:rPr>
                <w:sz w:val="20"/>
              </w:rPr>
              <w:t>] and continuum-of-care stage [</w:t>
            </w:r>
            <w:r w:rsidRPr="00C00335">
              <w:rPr>
                <w:i/>
                <w:sz w:val="20"/>
              </w:rPr>
              <w:t>r</w:t>
            </w:r>
            <w:r w:rsidRPr="00C00335">
              <w:rPr>
                <w:sz w:val="20"/>
              </w:rPr>
              <w:t xml:space="preserve">]) and </w:t>
            </w:r>
            <w:r w:rsidR="004935EA">
              <w:rPr>
                <w:sz w:val="20"/>
              </w:rPr>
              <w:t>2</w:t>
            </w:r>
            <w:r w:rsidR="004935EA" w:rsidRPr="00C00335">
              <w:rPr>
                <w:sz w:val="20"/>
              </w:rPr>
              <w:t xml:space="preserve"> </w:t>
            </w:r>
            <w:r w:rsidRPr="00C00335">
              <w:rPr>
                <w:sz w:val="20"/>
              </w:rPr>
              <w:t>compartments for individuals who were no longer actively followed in the model due to death due to causes other than AIDS</w:t>
            </w:r>
            <w:r w:rsidR="004935EA">
              <w:rPr>
                <w:sz w:val="20"/>
              </w:rPr>
              <w:t xml:space="preserve"> and</w:t>
            </w:r>
            <w:r w:rsidRPr="00C00335">
              <w:rPr>
                <w:sz w:val="20"/>
              </w:rPr>
              <w:t xml:space="preserve"> death due to AIDS.</w:t>
            </w:r>
          </w:p>
          <w:p w14:paraId="3B202A9F" w14:textId="77777777" w:rsidR="00710F65" w:rsidRPr="00C00335" w:rsidRDefault="002F71EB" w:rsidP="00710F65">
            <w:pPr>
              <w:pStyle w:val="TableText"/>
              <w:rPr>
                <w:sz w:val="20"/>
              </w:rPr>
            </w:pPr>
            <w:r w:rsidRPr="00C00335">
              <w:rPr>
                <w:sz w:val="20"/>
              </w:rPr>
              <w:t>1: Susceptible</w:t>
            </w:r>
            <w:r w:rsidR="002739EC" w:rsidRPr="00C00335">
              <w:rPr>
                <w:sz w:val="20"/>
              </w:rPr>
              <w:t xml:space="preserve"> / not on </w:t>
            </w:r>
            <w:proofErr w:type="spellStart"/>
            <w:r w:rsidR="002739EC" w:rsidRPr="00C00335">
              <w:rPr>
                <w:sz w:val="20"/>
              </w:rPr>
              <w:t>PrEP</w:t>
            </w:r>
            <w:proofErr w:type="spellEnd"/>
            <w:r w:rsidR="00710F65" w:rsidRPr="00C00335">
              <w:rPr>
                <w:sz w:val="20"/>
              </w:rPr>
              <w:t xml:space="preserve"> (</w:t>
            </w:r>
            <w:r w:rsidRPr="00C00335">
              <w:rPr>
                <w:sz w:val="20"/>
              </w:rPr>
              <w:t>A</w:t>
            </w:r>
            <w:r w:rsidR="00710F65" w:rsidRPr="00C00335">
              <w:rPr>
                <w:sz w:val="20"/>
              </w:rPr>
              <w:t>1)</w:t>
            </w:r>
          </w:p>
          <w:p w14:paraId="5C0FDD51" w14:textId="77777777" w:rsidR="002739EC" w:rsidRPr="00C00335" w:rsidRDefault="002739EC" w:rsidP="00710F65">
            <w:pPr>
              <w:pStyle w:val="TableText"/>
              <w:rPr>
                <w:sz w:val="20"/>
              </w:rPr>
            </w:pPr>
            <w:r w:rsidRPr="00C00335">
              <w:rPr>
                <w:sz w:val="20"/>
              </w:rPr>
              <w:t xml:space="preserve">2: Susceptible / on </w:t>
            </w:r>
            <w:proofErr w:type="spellStart"/>
            <w:r w:rsidRPr="00C00335">
              <w:rPr>
                <w:sz w:val="20"/>
              </w:rPr>
              <w:t>PrEP</w:t>
            </w:r>
            <w:proofErr w:type="spellEnd"/>
            <w:r w:rsidRPr="00C00335">
              <w:rPr>
                <w:sz w:val="20"/>
              </w:rPr>
              <w:t xml:space="preserve"> (A6)</w:t>
            </w:r>
          </w:p>
          <w:p w14:paraId="67AA582C" w14:textId="7AC5C685" w:rsidR="00710F65" w:rsidRPr="00C00335" w:rsidRDefault="002739EC" w:rsidP="002F71EB">
            <w:pPr>
              <w:pStyle w:val="TableText"/>
              <w:rPr>
                <w:sz w:val="20"/>
              </w:rPr>
            </w:pPr>
            <w:r w:rsidRPr="00C00335">
              <w:rPr>
                <w:sz w:val="20"/>
              </w:rPr>
              <w:t>3</w:t>
            </w:r>
            <w:r w:rsidR="002F71EB" w:rsidRPr="00C00335">
              <w:rPr>
                <w:sz w:val="20"/>
              </w:rPr>
              <w:t xml:space="preserve">: </w:t>
            </w:r>
            <w:r w:rsidR="005F5C70" w:rsidRPr="00C00335">
              <w:rPr>
                <w:sz w:val="20"/>
              </w:rPr>
              <w:t>HIV-infected</w:t>
            </w:r>
            <w:r w:rsidR="00710F65" w:rsidRPr="00C00335">
              <w:rPr>
                <w:sz w:val="20"/>
              </w:rPr>
              <w:t xml:space="preserve"> / acute stage / unaware of </w:t>
            </w:r>
            <w:r w:rsidR="000965E6" w:rsidRPr="00C00335">
              <w:rPr>
                <w:sz w:val="20"/>
              </w:rPr>
              <w:t>infection</w:t>
            </w:r>
            <w:r w:rsidR="00710F65" w:rsidRPr="00C00335">
              <w:rPr>
                <w:sz w:val="20"/>
              </w:rPr>
              <w:t xml:space="preserve"> (</w:t>
            </w:r>
            <w:r w:rsidR="002F71EB" w:rsidRPr="00C00335">
              <w:rPr>
                <w:sz w:val="20"/>
              </w:rPr>
              <w:t>B1</w:t>
            </w:r>
            <w:r w:rsidR="00710F65" w:rsidRPr="00C00335">
              <w:rPr>
                <w:sz w:val="20"/>
              </w:rPr>
              <w:t>)</w:t>
            </w:r>
          </w:p>
          <w:p w14:paraId="0D057178" w14:textId="59776191" w:rsidR="00710F65" w:rsidRPr="00C00335" w:rsidRDefault="002739EC" w:rsidP="002F71EB">
            <w:pPr>
              <w:pStyle w:val="TableText"/>
              <w:rPr>
                <w:sz w:val="20"/>
              </w:rPr>
            </w:pPr>
            <w:r w:rsidRPr="00C00335">
              <w:rPr>
                <w:sz w:val="20"/>
              </w:rPr>
              <w:t>4</w:t>
            </w:r>
            <w:r w:rsidR="002F71EB" w:rsidRPr="00C00335">
              <w:rPr>
                <w:sz w:val="20"/>
              </w:rPr>
              <w:t xml:space="preserve">: </w:t>
            </w:r>
            <w:r w:rsidR="005F5C70" w:rsidRPr="00C00335">
              <w:rPr>
                <w:sz w:val="20"/>
              </w:rPr>
              <w:t>HIV-infected</w:t>
            </w:r>
            <w:r w:rsidR="00710F65" w:rsidRPr="00C00335">
              <w:rPr>
                <w:sz w:val="20"/>
              </w:rPr>
              <w:t xml:space="preserve"> / acute stage / </w:t>
            </w:r>
            <w:r w:rsidR="000965E6" w:rsidRPr="00C00335">
              <w:rPr>
                <w:sz w:val="20"/>
              </w:rPr>
              <w:t>aware, but not linked to HIV care</w:t>
            </w:r>
            <w:r w:rsidR="00710F65" w:rsidRPr="00C00335">
              <w:rPr>
                <w:sz w:val="20"/>
              </w:rPr>
              <w:t xml:space="preserve"> (</w:t>
            </w:r>
            <w:r w:rsidR="002F71EB" w:rsidRPr="00C00335">
              <w:rPr>
                <w:sz w:val="20"/>
              </w:rPr>
              <w:t>B2</w:t>
            </w:r>
            <w:r w:rsidR="00710F65" w:rsidRPr="00C00335">
              <w:rPr>
                <w:sz w:val="20"/>
              </w:rPr>
              <w:t>)</w:t>
            </w:r>
          </w:p>
          <w:p w14:paraId="24DEC823" w14:textId="7728EAA7" w:rsidR="00710F65" w:rsidRPr="00C00335" w:rsidRDefault="002739EC" w:rsidP="002F71EB">
            <w:pPr>
              <w:pStyle w:val="TableText"/>
              <w:rPr>
                <w:sz w:val="20"/>
              </w:rPr>
            </w:pPr>
            <w:r w:rsidRPr="00C00335">
              <w:rPr>
                <w:sz w:val="20"/>
              </w:rPr>
              <w:t>5</w:t>
            </w:r>
            <w:r w:rsidR="002F71EB" w:rsidRPr="00C00335">
              <w:rPr>
                <w:sz w:val="20"/>
              </w:rPr>
              <w:t xml:space="preserve">: </w:t>
            </w:r>
            <w:r w:rsidR="005F5C70" w:rsidRPr="00C00335">
              <w:rPr>
                <w:sz w:val="20"/>
              </w:rPr>
              <w:t>HIV-infected</w:t>
            </w:r>
            <w:r w:rsidR="00710F65" w:rsidRPr="00C00335">
              <w:rPr>
                <w:sz w:val="20"/>
              </w:rPr>
              <w:t xml:space="preserve"> / acute stage / </w:t>
            </w:r>
            <w:r w:rsidR="000965E6" w:rsidRPr="00C00335">
              <w:rPr>
                <w:sz w:val="20"/>
              </w:rPr>
              <w:t>linked to HIV care, but not prescribed ART</w:t>
            </w:r>
            <w:r w:rsidR="00710F65" w:rsidRPr="00C00335">
              <w:rPr>
                <w:sz w:val="20"/>
              </w:rPr>
              <w:t xml:space="preserve"> (</w:t>
            </w:r>
            <w:r w:rsidR="002F71EB" w:rsidRPr="00C00335">
              <w:rPr>
                <w:sz w:val="20"/>
              </w:rPr>
              <w:t>B3</w:t>
            </w:r>
            <w:r w:rsidR="00710F65" w:rsidRPr="00C00335">
              <w:rPr>
                <w:sz w:val="20"/>
              </w:rPr>
              <w:t>)</w:t>
            </w:r>
          </w:p>
          <w:p w14:paraId="11B09B65" w14:textId="1B530B64" w:rsidR="00710F65" w:rsidRPr="00C00335" w:rsidRDefault="002739EC" w:rsidP="002F71EB">
            <w:pPr>
              <w:pStyle w:val="TableText"/>
              <w:rPr>
                <w:sz w:val="20"/>
              </w:rPr>
            </w:pPr>
            <w:r w:rsidRPr="00C00335">
              <w:rPr>
                <w:sz w:val="20"/>
              </w:rPr>
              <w:t>6</w:t>
            </w:r>
            <w:r w:rsidR="002F71EB" w:rsidRPr="00C00335">
              <w:rPr>
                <w:sz w:val="20"/>
              </w:rPr>
              <w:t xml:space="preserve">: </w:t>
            </w:r>
            <w:r w:rsidR="005F5C70" w:rsidRPr="00C00335">
              <w:rPr>
                <w:sz w:val="20"/>
              </w:rPr>
              <w:t>HIV-infected</w:t>
            </w:r>
            <w:r w:rsidR="00710F65" w:rsidRPr="00C00335">
              <w:rPr>
                <w:sz w:val="20"/>
              </w:rPr>
              <w:t xml:space="preserve"> / CD4&gt;500 / </w:t>
            </w:r>
            <w:r w:rsidR="000965E6" w:rsidRPr="00C00335">
              <w:rPr>
                <w:sz w:val="20"/>
              </w:rPr>
              <w:t xml:space="preserve">unaware of infection </w:t>
            </w:r>
            <w:r w:rsidR="00710F65" w:rsidRPr="00C00335">
              <w:rPr>
                <w:sz w:val="20"/>
              </w:rPr>
              <w:t>(</w:t>
            </w:r>
            <w:r w:rsidR="002F71EB" w:rsidRPr="00C00335">
              <w:rPr>
                <w:sz w:val="20"/>
              </w:rPr>
              <w:t>C1</w:t>
            </w:r>
            <w:r w:rsidR="00710F65" w:rsidRPr="00C00335">
              <w:rPr>
                <w:sz w:val="20"/>
              </w:rPr>
              <w:t>)</w:t>
            </w:r>
          </w:p>
          <w:p w14:paraId="3F461967" w14:textId="24AD1FA7" w:rsidR="00710F65" w:rsidRPr="00C00335" w:rsidRDefault="002739EC" w:rsidP="002F71EB">
            <w:pPr>
              <w:pStyle w:val="TableText"/>
              <w:rPr>
                <w:sz w:val="20"/>
              </w:rPr>
            </w:pPr>
            <w:r w:rsidRPr="00C00335">
              <w:rPr>
                <w:sz w:val="20"/>
              </w:rPr>
              <w:t>7</w:t>
            </w:r>
            <w:r w:rsidR="002F71EB" w:rsidRPr="00C00335">
              <w:rPr>
                <w:sz w:val="20"/>
              </w:rPr>
              <w:t xml:space="preserve">: </w:t>
            </w:r>
            <w:r w:rsidR="005F5C70" w:rsidRPr="00C00335">
              <w:rPr>
                <w:sz w:val="20"/>
              </w:rPr>
              <w:t>HIV-infected</w:t>
            </w:r>
            <w:r w:rsidR="00710F65" w:rsidRPr="00C00335">
              <w:rPr>
                <w:sz w:val="20"/>
              </w:rPr>
              <w:t xml:space="preserve"> / CD4&gt;500 / </w:t>
            </w:r>
            <w:r w:rsidR="000965E6" w:rsidRPr="00C00335">
              <w:rPr>
                <w:sz w:val="20"/>
              </w:rPr>
              <w:t>aware, but not linked to HIV care</w:t>
            </w:r>
            <w:r w:rsidR="000965E6" w:rsidRPr="00C00335" w:rsidDel="000965E6">
              <w:rPr>
                <w:sz w:val="20"/>
              </w:rPr>
              <w:t xml:space="preserve"> </w:t>
            </w:r>
            <w:r w:rsidR="00710F65" w:rsidRPr="00C00335">
              <w:rPr>
                <w:sz w:val="20"/>
              </w:rPr>
              <w:t>(</w:t>
            </w:r>
            <w:r w:rsidR="002F71EB" w:rsidRPr="00C00335">
              <w:rPr>
                <w:sz w:val="20"/>
              </w:rPr>
              <w:t>C2</w:t>
            </w:r>
            <w:r w:rsidR="00710F65" w:rsidRPr="00C00335">
              <w:rPr>
                <w:sz w:val="20"/>
              </w:rPr>
              <w:t>)</w:t>
            </w:r>
          </w:p>
          <w:p w14:paraId="7F496898" w14:textId="3BC9BB8F" w:rsidR="00710F65" w:rsidRPr="00C00335" w:rsidRDefault="002739EC" w:rsidP="002F71EB">
            <w:pPr>
              <w:pStyle w:val="TableText"/>
              <w:rPr>
                <w:sz w:val="20"/>
              </w:rPr>
            </w:pPr>
            <w:r w:rsidRPr="00C00335">
              <w:rPr>
                <w:sz w:val="20"/>
              </w:rPr>
              <w:t>8</w:t>
            </w:r>
            <w:r w:rsidR="002F71EB" w:rsidRPr="00C00335">
              <w:rPr>
                <w:sz w:val="20"/>
              </w:rPr>
              <w:t xml:space="preserve">: </w:t>
            </w:r>
            <w:r w:rsidR="005F5C70" w:rsidRPr="00C00335">
              <w:rPr>
                <w:sz w:val="20"/>
              </w:rPr>
              <w:t>HIV-infected</w:t>
            </w:r>
            <w:r w:rsidR="00710F65" w:rsidRPr="00C00335">
              <w:rPr>
                <w:sz w:val="20"/>
              </w:rPr>
              <w:t xml:space="preserve"> / CD4&gt;500 / </w:t>
            </w:r>
            <w:r w:rsidR="000965E6" w:rsidRPr="00C00335">
              <w:rPr>
                <w:sz w:val="20"/>
              </w:rPr>
              <w:t>linked to HIV care, but not prescribed ART</w:t>
            </w:r>
            <w:r w:rsidR="000965E6" w:rsidRPr="00C00335" w:rsidDel="000965E6">
              <w:rPr>
                <w:sz w:val="20"/>
              </w:rPr>
              <w:t xml:space="preserve"> </w:t>
            </w:r>
            <w:r w:rsidR="00710F65" w:rsidRPr="00C00335">
              <w:rPr>
                <w:sz w:val="20"/>
              </w:rPr>
              <w:t>(</w:t>
            </w:r>
            <w:r w:rsidR="002F71EB" w:rsidRPr="00C00335">
              <w:rPr>
                <w:sz w:val="20"/>
              </w:rPr>
              <w:t>C3</w:t>
            </w:r>
            <w:r w:rsidR="00710F65" w:rsidRPr="00C00335">
              <w:rPr>
                <w:sz w:val="20"/>
              </w:rPr>
              <w:t>)</w:t>
            </w:r>
          </w:p>
          <w:p w14:paraId="3E3E89CD" w14:textId="51691E19" w:rsidR="00710F65" w:rsidRPr="00C00335" w:rsidRDefault="002739EC" w:rsidP="002F71EB">
            <w:pPr>
              <w:pStyle w:val="TableText"/>
              <w:rPr>
                <w:sz w:val="20"/>
              </w:rPr>
            </w:pPr>
            <w:r w:rsidRPr="00C00335">
              <w:rPr>
                <w:sz w:val="20"/>
              </w:rPr>
              <w:t>9</w:t>
            </w:r>
            <w:r w:rsidR="002F71EB" w:rsidRPr="00C00335">
              <w:rPr>
                <w:sz w:val="20"/>
              </w:rPr>
              <w:t xml:space="preserve">: </w:t>
            </w:r>
            <w:r w:rsidR="005F5C70" w:rsidRPr="00C00335">
              <w:rPr>
                <w:sz w:val="20"/>
              </w:rPr>
              <w:t>HIV-infected</w:t>
            </w:r>
            <w:r w:rsidR="00710F65" w:rsidRPr="00C00335">
              <w:rPr>
                <w:sz w:val="20"/>
              </w:rPr>
              <w:t xml:space="preserve"> / CD4&gt;500 / </w:t>
            </w:r>
            <w:r w:rsidR="000965E6" w:rsidRPr="00C00335">
              <w:rPr>
                <w:sz w:val="20"/>
              </w:rPr>
              <w:t>prescribed ART</w:t>
            </w:r>
            <w:r w:rsidR="00710F65" w:rsidRPr="00C00335">
              <w:rPr>
                <w:sz w:val="20"/>
              </w:rPr>
              <w:t>, not VLS (</w:t>
            </w:r>
            <w:r w:rsidR="002F71EB" w:rsidRPr="00C00335">
              <w:rPr>
                <w:sz w:val="20"/>
              </w:rPr>
              <w:t>C4</w:t>
            </w:r>
            <w:r w:rsidR="00710F65" w:rsidRPr="00C00335">
              <w:rPr>
                <w:sz w:val="20"/>
              </w:rPr>
              <w:t>)</w:t>
            </w:r>
          </w:p>
          <w:p w14:paraId="00395D9C" w14:textId="67D0120A" w:rsidR="00710F65" w:rsidRPr="00C00335" w:rsidRDefault="002739EC" w:rsidP="002F71EB">
            <w:pPr>
              <w:pStyle w:val="TableText"/>
              <w:rPr>
                <w:sz w:val="20"/>
              </w:rPr>
            </w:pPr>
            <w:r w:rsidRPr="00C00335">
              <w:rPr>
                <w:sz w:val="20"/>
              </w:rPr>
              <w:t>10</w:t>
            </w:r>
            <w:r w:rsidR="002F71EB" w:rsidRPr="00C00335">
              <w:rPr>
                <w:sz w:val="20"/>
              </w:rPr>
              <w:t xml:space="preserve">: </w:t>
            </w:r>
            <w:r w:rsidR="005F5C70" w:rsidRPr="00C00335">
              <w:rPr>
                <w:sz w:val="20"/>
              </w:rPr>
              <w:t>HIV-infected</w:t>
            </w:r>
            <w:r w:rsidR="00710F65" w:rsidRPr="00C00335">
              <w:rPr>
                <w:sz w:val="20"/>
              </w:rPr>
              <w:t xml:space="preserve"> / CD4&gt;500 / VLS (</w:t>
            </w:r>
            <w:r w:rsidR="002F71EB" w:rsidRPr="00C00335">
              <w:rPr>
                <w:sz w:val="20"/>
              </w:rPr>
              <w:t>C5</w:t>
            </w:r>
            <w:r w:rsidR="00710F65" w:rsidRPr="00C00335">
              <w:rPr>
                <w:sz w:val="20"/>
              </w:rPr>
              <w:t>)</w:t>
            </w:r>
          </w:p>
          <w:p w14:paraId="33C8DEDF" w14:textId="7BDB97AB" w:rsidR="00710F65" w:rsidRPr="00C00335" w:rsidRDefault="002F71EB" w:rsidP="002739EC">
            <w:pPr>
              <w:pStyle w:val="TableText"/>
              <w:rPr>
                <w:sz w:val="20"/>
              </w:rPr>
            </w:pPr>
            <w:r w:rsidRPr="00C00335">
              <w:rPr>
                <w:sz w:val="20"/>
              </w:rPr>
              <w:t>1</w:t>
            </w:r>
            <w:r w:rsidR="002739EC" w:rsidRPr="00C00335">
              <w:rPr>
                <w:sz w:val="20"/>
              </w:rPr>
              <w:t>1</w:t>
            </w:r>
            <w:r w:rsidRPr="00C00335">
              <w:rPr>
                <w:sz w:val="20"/>
              </w:rPr>
              <w:t xml:space="preserve">: </w:t>
            </w:r>
            <w:r w:rsidR="005F5C70" w:rsidRPr="00C00335">
              <w:rPr>
                <w:sz w:val="20"/>
              </w:rPr>
              <w:t>HIV-infected</w:t>
            </w:r>
            <w:r w:rsidR="00710F65" w:rsidRPr="00C00335">
              <w:rPr>
                <w:sz w:val="20"/>
              </w:rPr>
              <w:t xml:space="preserve"> / CD4 350–500 / </w:t>
            </w:r>
            <w:r w:rsidR="000965E6" w:rsidRPr="00C00335">
              <w:rPr>
                <w:sz w:val="20"/>
              </w:rPr>
              <w:t xml:space="preserve">unaware of infection </w:t>
            </w:r>
            <w:r w:rsidR="00710F65" w:rsidRPr="00C00335">
              <w:rPr>
                <w:sz w:val="20"/>
              </w:rPr>
              <w:t>(</w:t>
            </w:r>
            <w:r w:rsidRPr="00C00335">
              <w:rPr>
                <w:sz w:val="20"/>
              </w:rPr>
              <w:t>D1</w:t>
            </w:r>
            <w:r w:rsidR="00710F65" w:rsidRPr="00C00335">
              <w:rPr>
                <w:sz w:val="20"/>
              </w:rPr>
              <w:t>)</w:t>
            </w:r>
          </w:p>
          <w:p w14:paraId="3C1AE981" w14:textId="0799F0AA" w:rsidR="00710F65" w:rsidRPr="00C00335" w:rsidRDefault="002F71EB" w:rsidP="002739EC">
            <w:pPr>
              <w:pStyle w:val="TableText"/>
              <w:rPr>
                <w:sz w:val="20"/>
              </w:rPr>
            </w:pPr>
            <w:r w:rsidRPr="00C00335">
              <w:rPr>
                <w:sz w:val="20"/>
              </w:rPr>
              <w:t>1</w:t>
            </w:r>
            <w:r w:rsidR="002739EC" w:rsidRPr="00C00335">
              <w:rPr>
                <w:sz w:val="20"/>
              </w:rPr>
              <w:t>2</w:t>
            </w:r>
            <w:r w:rsidRPr="00C00335">
              <w:rPr>
                <w:sz w:val="20"/>
              </w:rPr>
              <w:t xml:space="preserve">: </w:t>
            </w:r>
            <w:r w:rsidR="005F5C70" w:rsidRPr="00C00335">
              <w:rPr>
                <w:sz w:val="20"/>
              </w:rPr>
              <w:t>HIV-infected</w:t>
            </w:r>
            <w:r w:rsidR="00710F65" w:rsidRPr="00C00335">
              <w:rPr>
                <w:sz w:val="20"/>
              </w:rPr>
              <w:t xml:space="preserve"> / CD4 350–500 / </w:t>
            </w:r>
            <w:r w:rsidR="000965E6" w:rsidRPr="00C00335">
              <w:rPr>
                <w:sz w:val="20"/>
              </w:rPr>
              <w:t>aware, but not linked to HIV care</w:t>
            </w:r>
            <w:r w:rsidR="00710F65" w:rsidRPr="00C00335">
              <w:rPr>
                <w:sz w:val="20"/>
              </w:rPr>
              <w:t xml:space="preserve"> (</w:t>
            </w:r>
            <w:r w:rsidRPr="00C00335">
              <w:rPr>
                <w:sz w:val="20"/>
              </w:rPr>
              <w:t>D2</w:t>
            </w:r>
            <w:r w:rsidR="00710F65" w:rsidRPr="00C00335">
              <w:rPr>
                <w:sz w:val="20"/>
              </w:rPr>
              <w:t>)</w:t>
            </w:r>
          </w:p>
          <w:p w14:paraId="6F7CCF94" w14:textId="797952CB" w:rsidR="00710F65" w:rsidRPr="00C00335" w:rsidRDefault="002F71EB" w:rsidP="002739EC">
            <w:pPr>
              <w:pStyle w:val="TableText"/>
              <w:rPr>
                <w:sz w:val="20"/>
              </w:rPr>
            </w:pPr>
            <w:r w:rsidRPr="00C00335">
              <w:rPr>
                <w:sz w:val="20"/>
              </w:rPr>
              <w:t>1</w:t>
            </w:r>
            <w:r w:rsidR="002739EC" w:rsidRPr="00C00335">
              <w:rPr>
                <w:sz w:val="20"/>
              </w:rPr>
              <w:t>3</w:t>
            </w:r>
            <w:r w:rsidRPr="00C00335">
              <w:rPr>
                <w:sz w:val="20"/>
              </w:rPr>
              <w:t xml:space="preserve">: </w:t>
            </w:r>
            <w:r w:rsidR="005F5C70" w:rsidRPr="00C00335">
              <w:rPr>
                <w:sz w:val="20"/>
              </w:rPr>
              <w:t>HIV-infected</w:t>
            </w:r>
            <w:r w:rsidR="00710F65" w:rsidRPr="00C00335">
              <w:rPr>
                <w:sz w:val="20"/>
              </w:rPr>
              <w:t xml:space="preserve"> / CD4 350–500 / </w:t>
            </w:r>
            <w:r w:rsidR="000965E6" w:rsidRPr="00C00335">
              <w:rPr>
                <w:sz w:val="20"/>
              </w:rPr>
              <w:t>linked to HIV care, but not prescribed ART</w:t>
            </w:r>
            <w:r w:rsidR="000965E6" w:rsidRPr="00C00335" w:rsidDel="000965E6">
              <w:rPr>
                <w:sz w:val="20"/>
              </w:rPr>
              <w:t xml:space="preserve"> </w:t>
            </w:r>
            <w:r w:rsidR="00710F65" w:rsidRPr="00C00335">
              <w:rPr>
                <w:sz w:val="20"/>
              </w:rPr>
              <w:t>(</w:t>
            </w:r>
            <w:r w:rsidRPr="00C00335">
              <w:rPr>
                <w:sz w:val="20"/>
              </w:rPr>
              <w:t>D3</w:t>
            </w:r>
            <w:r w:rsidR="00710F65" w:rsidRPr="00C00335">
              <w:rPr>
                <w:sz w:val="20"/>
              </w:rPr>
              <w:t>)</w:t>
            </w:r>
          </w:p>
          <w:p w14:paraId="2234592D" w14:textId="123B90C6" w:rsidR="00710F65" w:rsidRPr="00C00335" w:rsidRDefault="002F71EB" w:rsidP="002739EC">
            <w:pPr>
              <w:pStyle w:val="TableText"/>
              <w:rPr>
                <w:sz w:val="20"/>
              </w:rPr>
            </w:pPr>
            <w:r w:rsidRPr="00C00335">
              <w:rPr>
                <w:sz w:val="20"/>
              </w:rPr>
              <w:t>1</w:t>
            </w:r>
            <w:r w:rsidR="002739EC" w:rsidRPr="00C00335">
              <w:rPr>
                <w:sz w:val="20"/>
              </w:rPr>
              <w:t>4</w:t>
            </w:r>
            <w:r w:rsidRPr="00C00335">
              <w:rPr>
                <w:sz w:val="20"/>
              </w:rPr>
              <w:t xml:space="preserve">: </w:t>
            </w:r>
            <w:r w:rsidR="005F5C70" w:rsidRPr="00C00335">
              <w:rPr>
                <w:sz w:val="20"/>
              </w:rPr>
              <w:t>HIV-infected</w:t>
            </w:r>
            <w:r w:rsidR="00710F65" w:rsidRPr="00C00335">
              <w:rPr>
                <w:sz w:val="20"/>
              </w:rPr>
              <w:t xml:space="preserve"> / CD4 350–500 / </w:t>
            </w:r>
            <w:r w:rsidR="000965E6" w:rsidRPr="00C00335">
              <w:rPr>
                <w:sz w:val="20"/>
              </w:rPr>
              <w:t>prescribed ART</w:t>
            </w:r>
            <w:r w:rsidR="00710F65" w:rsidRPr="00C00335">
              <w:rPr>
                <w:sz w:val="20"/>
              </w:rPr>
              <w:t>, not VLS (</w:t>
            </w:r>
            <w:r w:rsidRPr="00C00335">
              <w:rPr>
                <w:sz w:val="20"/>
              </w:rPr>
              <w:t>D4</w:t>
            </w:r>
            <w:r w:rsidR="00710F65" w:rsidRPr="00C00335">
              <w:rPr>
                <w:sz w:val="20"/>
              </w:rPr>
              <w:t>)</w:t>
            </w:r>
          </w:p>
          <w:p w14:paraId="4D4DE94A" w14:textId="47E29020" w:rsidR="00710F65" w:rsidRPr="00C00335" w:rsidRDefault="002F71EB" w:rsidP="002739EC">
            <w:pPr>
              <w:pStyle w:val="TableText"/>
              <w:rPr>
                <w:sz w:val="20"/>
              </w:rPr>
            </w:pPr>
            <w:r w:rsidRPr="00C00335">
              <w:rPr>
                <w:sz w:val="20"/>
              </w:rPr>
              <w:t>1</w:t>
            </w:r>
            <w:r w:rsidR="002739EC" w:rsidRPr="00C00335">
              <w:rPr>
                <w:sz w:val="20"/>
              </w:rPr>
              <w:t>5</w:t>
            </w:r>
            <w:r w:rsidRPr="00C00335">
              <w:rPr>
                <w:sz w:val="20"/>
              </w:rPr>
              <w:t xml:space="preserve">: </w:t>
            </w:r>
            <w:r w:rsidR="005F5C70" w:rsidRPr="00C00335">
              <w:rPr>
                <w:sz w:val="20"/>
              </w:rPr>
              <w:t>HIV-infected</w:t>
            </w:r>
            <w:r w:rsidR="00710F65" w:rsidRPr="00C00335">
              <w:rPr>
                <w:sz w:val="20"/>
              </w:rPr>
              <w:t xml:space="preserve"> / CD4 350–500 / VLS (</w:t>
            </w:r>
            <w:r w:rsidRPr="00C00335">
              <w:rPr>
                <w:sz w:val="20"/>
              </w:rPr>
              <w:t>D5</w:t>
            </w:r>
            <w:r w:rsidR="00710F65" w:rsidRPr="00C00335">
              <w:rPr>
                <w:sz w:val="20"/>
              </w:rPr>
              <w:t>)</w:t>
            </w:r>
          </w:p>
          <w:p w14:paraId="40FBA2D6" w14:textId="06634AD2" w:rsidR="00710F65" w:rsidRPr="00C00335" w:rsidRDefault="002F71EB" w:rsidP="002739EC">
            <w:pPr>
              <w:pStyle w:val="TableText"/>
              <w:rPr>
                <w:sz w:val="20"/>
              </w:rPr>
            </w:pPr>
            <w:r w:rsidRPr="00C00335">
              <w:rPr>
                <w:sz w:val="20"/>
              </w:rPr>
              <w:t>1</w:t>
            </w:r>
            <w:r w:rsidR="002739EC" w:rsidRPr="00C00335">
              <w:rPr>
                <w:sz w:val="20"/>
              </w:rPr>
              <w:t>6</w:t>
            </w:r>
            <w:r w:rsidRPr="00C00335">
              <w:rPr>
                <w:sz w:val="20"/>
              </w:rPr>
              <w:t xml:space="preserve">: </w:t>
            </w:r>
            <w:r w:rsidR="005F5C70" w:rsidRPr="00C00335">
              <w:rPr>
                <w:sz w:val="20"/>
              </w:rPr>
              <w:t>HIV-infected</w:t>
            </w:r>
            <w:r w:rsidR="00710F65" w:rsidRPr="00C00335">
              <w:rPr>
                <w:sz w:val="20"/>
              </w:rPr>
              <w:t xml:space="preserve"> / CD4 200–350 / </w:t>
            </w:r>
            <w:r w:rsidR="000965E6" w:rsidRPr="00C00335">
              <w:rPr>
                <w:sz w:val="20"/>
              </w:rPr>
              <w:t xml:space="preserve">unaware of infection </w:t>
            </w:r>
            <w:r w:rsidR="00710F65" w:rsidRPr="00C00335">
              <w:rPr>
                <w:sz w:val="20"/>
              </w:rPr>
              <w:t>(</w:t>
            </w:r>
            <w:r w:rsidRPr="00C00335">
              <w:rPr>
                <w:sz w:val="20"/>
              </w:rPr>
              <w:t>E1</w:t>
            </w:r>
            <w:r w:rsidR="00710F65" w:rsidRPr="00C00335">
              <w:rPr>
                <w:sz w:val="20"/>
              </w:rPr>
              <w:t>)</w:t>
            </w:r>
          </w:p>
          <w:p w14:paraId="10A2B540" w14:textId="491BA212" w:rsidR="00710F65" w:rsidRPr="00C00335" w:rsidRDefault="002F71EB" w:rsidP="002739EC">
            <w:pPr>
              <w:pStyle w:val="TableText"/>
              <w:rPr>
                <w:sz w:val="20"/>
              </w:rPr>
            </w:pPr>
            <w:r w:rsidRPr="00C00335">
              <w:rPr>
                <w:sz w:val="20"/>
              </w:rPr>
              <w:t>1</w:t>
            </w:r>
            <w:r w:rsidR="002739EC" w:rsidRPr="00C00335">
              <w:rPr>
                <w:sz w:val="20"/>
              </w:rPr>
              <w:t>7</w:t>
            </w:r>
            <w:r w:rsidRPr="00C00335">
              <w:rPr>
                <w:sz w:val="20"/>
              </w:rPr>
              <w:t xml:space="preserve">: </w:t>
            </w:r>
            <w:r w:rsidR="005F5C70" w:rsidRPr="00C00335">
              <w:rPr>
                <w:sz w:val="20"/>
              </w:rPr>
              <w:t>HIV-infected</w:t>
            </w:r>
            <w:r w:rsidR="00710F65" w:rsidRPr="00C00335">
              <w:rPr>
                <w:sz w:val="20"/>
              </w:rPr>
              <w:t xml:space="preserve"> / CD4 200–350 / </w:t>
            </w:r>
            <w:r w:rsidR="000965E6" w:rsidRPr="00C00335">
              <w:rPr>
                <w:sz w:val="20"/>
              </w:rPr>
              <w:t>aware, but not linked to HIV care</w:t>
            </w:r>
            <w:r w:rsidR="000965E6" w:rsidRPr="00C00335" w:rsidDel="000965E6">
              <w:rPr>
                <w:sz w:val="20"/>
              </w:rPr>
              <w:t xml:space="preserve"> </w:t>
            </w:r>
            <w:r w:rsidR="00710F65" w:rsidRPr="00C00335">
              <w:rPr>
                <w:sz w:val="20"/>
              </w:rPr>
              <w:t>(</w:t>
            </w:r>
            <w:r w:rsidRPr="00C00335">
              <w:rPr>
                <w:sz w:val="20"/>
              </w:rPr>
              <w:t>E2</w:t>
            </w:r>
            <w:r w:rsidR="00710F65" w:rsidRPr="00C00335">
              <w:rPr>
                <w:sz w:val="20"/>
              </w:rPr>
              <w:t>)</w:t>
            </w:r>
          </w:p>
          <w:p w14:paraId="4D1012FE" w14:textId="13A3F91E" w:rsidR="00710F65" w:rsidRPr="00C00335" w:rsidRDefault="002F71EB" w:rsidP="002739EC">
            <w:pPr>
              <w:pStyle w:val="TableText"/>
              <w:rPr>
                <w:sz w:val="20"/>
              </w:rPr>
            </w:pPr>
            <w:r w:rsidRPr="00C00335">
              <w:rPr>
                <w:sz w:val="20"/>
              </w:rPr>
              <w:t>1</w:t>
            </w:r>
            <w:r w:rsidR="002739EC" w:rsidRPr="00C00335">
              <w:rPr>
                <w:sz w:val="20"/>
              </w:rPr>
              <w:t>8</w:t>
            </w:r>
            <w:r w:rsidRPr="00C00335">
              <w:rPr>
                <w:sz w:val="20"/>
              </w:rPr>
              <w:t xml:space="preserve">: </w:t>
            </w:r>
            <w:r w:rsidR="005F5C70" w:rsidRPr="00C00335">
              <w:rPr>
                <w:sz w:val="20"/>
              </w:rPr>
              <w:t>HIV-infected</w:t>
            </w:r>
            <w:r w:rsidR="00710F65" w:rsidRPr="00C00335">
              <w:rPr>
                <w:sz w:val="20"/>
              </w:rPr>
              <w:t xml:space="preserve"> / CD4 200–350 / </w:t>
            </w:r>
            <w:r w:rsidR="000965E6" w:rsidRPr="00C00335">
              <w:rPr>
                <w:sz w:val="20"/>
              </w:rPr>
              <w:t>linked to HIV care, but not prescribed ART</w:t>
            </w:r>
            <w:r w:rsidR="000965E6" w:rsidRPr="00C00335" w:rsidDel="000965E6">
              <w:rPr>
                <w:sz w:val="20"/>
              </w:rPr>
              <w:t xml:space="preserve"> </w:t>
            </w:r>
            <w:r w:rsidR="00710F65" w:rsidRPr="00C00335">
              <w:rPr>
                <w:sz w:val="20"/>
              </w:rPr>
              <w:t>(</w:t>
            </w:r>
            <w:r w:rsidRPr="00C00335">
              <w:rPr>
                <w:sz w:val="20"/>
              </w:rPr>
              <w:t>E3</w:t>
            </w:r>
            <w:r w:rsidR="00710F65" w:rsidRPr="00C00335">
              <w:rPr>
                <w:sz w:val="20"/>
              </w:rPr>
              <w:t>)</w:t>
            </w:r>
          </w:p>
          <w:p w14:paraId="7CB583B2" w14:textId="536E5BD7" w:rsidR="00710F65" w:rsidRPr="00C00335" w:rsidRDefault="002F71EB" w:rsidP="002739EC">
            <w:pPr>
              <w:pStyle w:val="TableText"/>
              <w:rPr>
                <w:sz w:val="20"/>
              </w:rPr>
            </w:pPr>
            <w:r w:rsidRPr="00C00335">
              <w:rPr>
                <w:sz w:val="20"/>
              </w:rPr>
              <w:t>1</w:t>
            </w:r>
            <w:r w:rsidR="002739EC" w:rsidRPr="00C00335">
              <w:rPr>
                <w:sz w:val="20"/>
              </w:rPr>
              <w:t>9</w:t>
            </w:r>
            <w:r w:rsidRPr="00C00335">
              <w:rPr>
                <w:sz w:val="20"/>
              </w:rPr>
              <w:t xml:space="preserve">: </w:t>
            </w:r>
            <w:r w:rsidR="005F5C70" w:rsidRPr="00C00335">
              <w:rPr>
                <w:sz w:val="20"/>
              </w:rPr>
              <w:t>HIV-infected</w:t>
            </w:r>
            <w:r w:rsidR="00710F65" w:rsidRPr="00C00335">
              <w:rPr>
                <w:sz w:val="20"/>
              </w:rPr>
              <w:t xml:space="preserve"> / CD4 200–350 / </w:t>
            </w:r>
            <w:r w:rsidR="000965E6" w:rsidRPr="00C00335">
              <w:rPr>
                <w:sz w:val="20"/>
              </w:rPr>
              <w:t>prescribed ART</w:t>
            </w:r>
            <w:r w:rsidR="00710F65" w:rsidRPr="00C00335">
              <w:rPr>
                <w:sz w:val="20"/>
              </w:rPr>
              <w:t>, not VLS (</w:t>
            </w:r>
            <w:r w:rsidRPr="00C00335">
              <w:rPr>
                <w:sz w:val="20"/>
              </w:rPr>
              <w:t>E4</w:t>
            </w:r>
            <w:r w:rsidR="00710F65" w:rsidRPr="00C00335">
              <w:rPr>
                <w:sz w:val="20"/>
              </w:rPr>
              <w:t>)</w:t>
            </w:r>
          </w:p>
          <w:p w14:paraId="5A8A334E" w14:textId="54322197" w:rsidR="00710F65" w:rsidRPr="00C00335" w:rsidRDefault="002739EC" w:rsidP="002F71EB">
            <w:pPr>
              <w:pStyle w:val="TableText"/>
              <w:rPr>
                <w:sz w:val="20"/>
              </w:rPr>
            </w:pPr>
            <w:r w:rsidRPr="00C00335">
              <w:rPr>
                <w:sz w:val="20"/>
              </w:rPr>
              <w:t>20</w:t>
            </w:r>
            <w:r w:rsidR="002F71EB" w:rsidRPr="00C00335">
              <w:rPr>
                <w:sz w:val="20"/>
              </w:rPr>
              <w:t xml:space="preserve">: </w:t>
            </w:r>
            <w:r w:rsidR="005F5C70" w:rsidRPr="00C00335">
              <w:rPr>
                <w:sz w:val="20"/>
              </w:rPr>
              <w:t>HIV-infected</w:t>
            </w:r>
            <w:r w:rsidR="00710F65" w:rsidRPr="00C00335">
              <w:rPr>
                <w:sz w:val="20"/>
              </w:rPr>
              <w:t xml:space="preserve"> / CD4 200–350 / VLS (</w:t>
            </w:r>
            <w:r w:rsidR="002F71EB" w:rsidRPr="00C00335">
              <w:rPr>
                <w:sz w:val="20"/>
              </w:rPr>
              <w:t>E5</w:t>
            </w:r>
            <w:r w:rsidR="00710F65" w:rsidRPr="00C00335">
              <w:rPr>
                <w:sz w:val="20"/>
              </w:rPr>
              <w:t>)</w:t>
            </w:r>
          </w:p>
          <w:p w14:paraId="02DF2A0E" w14:textId="7ADC0298" w:rsidR="00710F65" w:rsidRPr="00C00335" w:rsidRDefault="002F71EB" w:rsidP="002739EC">
            <w:pPr>
              <w:pStyle w:val="TableText"/>
              <w:rPr>
                <w:sz w:val="20"/>
              </w:rPr>
            </w:pPr>
            <w:r w:rsidRPr="00C00335">
              <w:rPr>
                <w:sz w:val="20"/>
              </w:rPr>
              <w:t>2</w:t>
            </w:r>
            <w:r w:rsidR="002739EC" w:rsidRPr="00C00335">
              <w:rPr>
                <w:sz w:val="20"/>
              </w:rPr>
              <w:t>1</w:t>
            </w:r>
            <w:r w:rsidRPr="00C00335">
              <w:rPr>
                <w:sz w:val="20"/>
              </w:rPr>
              <w:t xml:space="preserve">: </w:t>
            </w:r>
            <w:r w:rsidR="005F5C70" w:rsidRPr="00C00335">
              <w:rPr>
                <w:sz w:val="20"/>
              </w:rPr>
              <w:t>HIV-infected</w:t>
            </w:r>
            <w:r w:rsidR="00710F65" w:rsidRPr="00C00335">
              <w:rPr>
                <w:sz w:val="20"/>
              </w:rPr>
              <w:t xml:space="preserve"> / CD4 &lt; 200 / </w:t>
            </w:r>
            <w:r w:rsidR="000965E6" w:rsidRPr="00C00335">
              <w:rPr>
                <w:sz w:val="20"/>
              </w:rPr>
              <w:t xml:space="preserve">unaware of infection </w:t>
            </w:r>
            <w:r w:rsidR="00710F65" w:rsidRPr="00C00335">
              <w:rPr>
                <w:sz w:val="20"/>
              </w:rPr>
              <w:t>(</w:t>
            </w:r>
            <w:r w:rsidRPr="00C00335">
              <w:rPr>
                <w:sz w:val="20"/>
              </w:rPr>
              <w:t>F1</w:t>
            </w:r>
            <w:r w:rsidR="00710F65" w:rsidRPr="00C00335">
              <w:rPr>
                <w:sz w:val="20"/>
              </w:rPr>
              <w:t>)</w:t>
            </w:r>
          </w:p>
          <w:p w14:paraId="068C520E" w14:textId="6797BFE8" w:rsidR="00D37A76" w:rsidRPr="00C00335" w:rsidRDefault="002F71EB" w:rsidP="00732A1D">
            <w:pPr>
              <w:pStyle w:val="TableText"/>
              <w:rPr>
                <w:sz w:val="20"/>
              </w:rPr>
            </w:pPr>
            <w:r w:rsidRPr="00C00335">
              <w:rPr>
                <w:sz w:val="20"/>
              </w:rPr>
              <w:t>2</w:t>
            </w:r>
            <w:r w:rsidR="002739EC" w:rsidRPr="00C00335">
              <w:rPr>
                <w:sz w:val="20"/>
              </w:rPr>
              <w:t>2</w:t>
            </w:r>
            <w:r w:rsidRPr="00C00335">
              <w:rPr>
                <w:sz w:val="20"/>
              </w:rPr>
              <w:t xml:space="preserve">: </w:t>
            </w:r>
            <w:r w:rsidR="005F5C70" w:rsidRPr="00C00335">
              <w:rPr>
                <w:sz w:val="20"/>
              </w:rPr>
              <w:t>HIV-infected</w:t>
            </w:r>
            <w:r w:rsidR="00710F65" w:rsidRPr="00C00335">
              <w:rPr>
                <w:sz w:val="20"/>
              </w:rPr>
              <w:t xml:space="preserve"> / CD4 &lt; 200 (AIDS) / </w:t>
            </w:r>
            <w:r w:rsidR="000965E6" w:rsidRPr="00C00335">
              <w:rPr>
                <w:sz w:val="20"/>
              </w:rPr>
              <w:t>aware, but not linked to HIV care</w:t>
            </w:r>
            <w:r w:rsidR="000965E6" w:rsidRPr="00C00335" w:rsidDel="000965E6">
              <w:rPr>
                <w:sz w:val="20"/>
              </w:rPr>
              <w:t xml:space="preserve"> </w:t>
            </w:r>
            <w:r w:rsidR="00710F65" w:rsidRPr="00C00335">
              <w:rPr>
                <w:sz w:val="20"/>
              </w:rPr>
              <w:t>(</w:t>
            </w:r>
            <w:r w:rsidRPr="00C00335">
              <w:rPr>
                <w:sz w:val="20"/>
              </w:rPr>
              <w:t>F2</w:t>
            </w:r>
            <w:r w:rsidR="00D40CDC" w:rsidRPr="00C00335">
              <w:rPr>
                <w:sz w:val="20"/>
              </w:rPr>
              <w:t>)</w:t>
            </w:r>
          </w:p>
        </w:tc>
      </w:tr>
    </w:tbl>
    <w:p w14:paraId="6ECE841A" w14:textId="77777777" w:rsidR="00D40CDC" w:rsidRPr="00C00335" w:rsidRDefault="00D40CDC" w:rsidP="00D40CDC">
      <w:pPr>
        <w:pStyle w:val="Tablecont"/>
        <w:rPr>
          <w:sz w:val="20"/>
        </w:rPr>
      </w:pPr>
      <w:r w:rsidRPr="00C00335">
        <w:rPr>
          <w:sz w:val="20"/>
        </w:rPr>
        <w:t>(continued)</w:t>
      </w:r>
    </w:p>
    <w:p w14:paraId="4E9B342E" w14:textId="5F9D4208" w:rsidR="00D40CDC" w:rsidRPr="00C00335" w:rsidRDefault="00D40CDC" w:rsidP="00D40CDC">
      <w:pPr>
        <w:pStyle w:val="TableTitlecont"/>
        <w:tabs>
          <w:tab w:val="left" w:pos="2520"/>
        </w:tabs>
      </w:pPr>
      <w:r w:rsidRPr="00C00335">
        <w:lastRenderedPageBreak/>
        <w:t>Table A.2.</w:t>
      </w:r>
      <w:r w:rsidRPr="00C00335">
        <w:tab/>
        <w:t>Definitions of Indices Applied in This Document (continued)</w:t>
      </w:r>
    </w:p>
    <w:tbl>
      <w:tblPr>
        <w:tblW w:w="5035"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902"/>
        <w:gridCol w:w="1778"/>
        <w:gridCol w:w="1522"/>
        <w:gridCol w:w="8849"/>
      </w:tblGrid>
      <w:tr w:rsidR="00D40CDC" w:rsidRPr="00C00335" w14:paraId="5BAEE53D" w14:textId="77777777" w:rsidTr="002A4EE6">
        <w:trPr>
          <w:cantSplit/>
          <w:tblHeader/>
        </w:trPr>
        <w:tc>
          <w:tcPr>
            <w:tcW w:w="346" w:type="pct"/>
            <w:tcBorders>
              <w:top w:val="single" w:sz="12" w:space="0" w:color="000000"/>
              <w:bottom w:val="single" w:sz="6" w:space="0" w:color="auto"/>
            </w:tcBorders>
            <w:shd w:val="clear" w:color="auto" w:fill="auto"/>
            <w:vAlign w:val="bottom"/>
          </w:tcPr>
          <w:p w14:paraId="332DB79B" w14:textId="77777777" w:rsidR="00D40CDC" w:rsidRPr="00C00335" w:rsidRDefault="00D40CDC" w:rsidP="00D40CDC">
            <w:pPr>
              <w:pStyle w:val="TableHeaders"/>
              <w:spacing w:before="50" w:after="50"/>
              <w:rPr>
                <w:sz w:val="20"/>
              </w:rPr>
            </w:pPr>
            <w:r w:rsidRPr="00C00335">
              <w:rPr>
                <w:sz w:val="20"/>
              </w:rPr>
              <w:t>Index</w:t>
            </w:r>
          </w:p>
        </w:tc>
        <w:tc>
          <w:tcPr>
            <w:tcW w:w="681" w:type="pct"/>
            <w:tcBorders>
              <w:top w:val="single" w:sz="12" w:space="0" w:color="000000"/>
              <w:bottom w:val="single" w:sz="6" w:space="0" w:color="auto"/>
            </w:tcBorders>
            <w:shd w:val="clear" w:color="auto" w:fill="auto"/>
            <w:vAlign w:val="bottom"/>
          </w:tcPr>
          <w:p w14:paraId="7BE9888D" w14:textId="77777777" w:rsidR="00D40CDC" w:rsidRPr="00C00335" w:rsidRDefault="00D40CDC" w:rsidP="00D40CDC">
            <w:pPr>
              <w:pStyle w:val="TableHeaders"/>
              <w:spacing w:before="50" w:after="50"/>
              <w:rPr>
                <w:sz w:val="20"/>
              </w:rPr>
            </w:pPr>
            <w:r w:rsidRPr="00C00335">
              <w:rPr>
                <w:sz w:val="20"/>
              </w:rPr>
              <w:t>Definition</w:t>
            </w:r>
          </w:p>
        </w:tc>
        <w:tc>
          <w:tcPr>
            <w:tcW w:w="583" w:type="pct"/>
            <w:tcBorders>
              <w:top w:val="single" w:sz="12" w:space="0" w:color="000000"/>
              <w:bottom w:val="single" w:sz="6" w:space="0" w:color="auto"/>
            </w:tcBorders>
            <w:shd w:val="clear" w:color="auto" w:fill="auto"/>
            <w:vAlign w:val="bottom"/>
          </w:tcPr>
          <w:p w14:paraId="492881DB" w14:textId="77777777" w:rsidR="00D40CDC" w:rsidRPr="00C00335" w:rsidRDefault="00D40CDC" w:rsidP="00D40CDC">
            <w:pPr>
              <w:pStyle w:val="TableHeaders"/>
              <w:spacing w:before="50" w:after="50"/>
              <w:rPr>
                <w:sz w:val="20"/>
              </w:rPr>
            </w:pPr>
            <w:r w:rsidRPr="00C00335">
              <w:rPr>
                <w:sz w:val="20"/>
              </w:rPr>
              <w:t>Number of Categories</w:t>
            </w:r>
          </w:p>
        </w:tc>
        <w:tc>
          <w:tcPr>
            <w:tcW w:w="3390" w:type="pct"/>
            <w:tcBorders>
              <w:top w:val="single" w:sz="12" w:space="0" w:color="000000"/>
              <w:bottom w:val="single" w:sz="6" w:space="0" w:color="auto"/>
            </w:tcBorders>
            <w:shd w:val="clear" w:color="auto" w:fill="auto"/>
            <w:vAlign w:val="bottom"/>
          </w:tcPr>
          <w:p w14:paraId="320A997C" w14:textId="77777777" w:rsidR="00D40CDC" w:rsidRPr="00C00335" w:rsidRDefault="00D40CDC" w:rsidP="00D40CDC">
            <w:pPr>
              <w:pStyle w:val="TableHeaders"/>
              <w:spacing w:before="50" w:after="50"/>
              <w:rPr>
                <w:sz w:val="20"/>
              </w:rPr>
            </w:pPr>
            <w:r w:rsidRPr="00C00335">
              <w:rPr>
                <w:sz w:val="20"/>
              </w:rPr>
              <w:t>Categories (Represented by)</w:t>
            </w:r>
          </w:p>
        </w:tc>
      </w:tr>
      <w:tr w:rsidR="00D40CDC" w:rsidRPr="00C00335" w14:paraId="6199E93C" w14:textId="77777777" w:rsidTr="002A4EE6">
        <w:tc>
          <w:tcPr>
            <w:tcW w:w="346" w:type="pct"/>
            <w:tcBorders>
              <w:top w:val="single" w:sz="6" w:space="0" w:color="auto"/>
              <w:bottom w:val="single" w:sz="6" w:space="0" w:color="808080" w:themeColor="background1" w:themeShade="80"/>
            </w:tcBorders>
            <w:shd w:val="clear" w:color="auto" w:fill="auto"/>
          </w:tcPr>
          <w:p w14:paraId="0E06DDA4" w14:textId="77777777" w:rsidR="00D40CDC" w:rsidRPr="00C00335" w:rsidRDefault="00D40CDC" w:rsidP="00D40CDC">
            <w:pPr>
              <w:pStyle w:val="TableText"/>
              <w:spacing w:before="50" w:after="50"/>
              <w:jc w:val="center"/>
              <w:rPr>
                <w:sz w:val="20"/>
              </w:rPr>
            </w:pPr>
          </w:p>
        </w:tc>
        <w:tc>
          <w:tcPr>
            <w:tcW w:w="681" w:type="pct"/>
            <w:tcBorders>
              <w:top w:val="single" w:sz="6" w:space="0" w:color="auto"/>
              <w:bottom w:val="single" w:sz="6" w:space="0" w:color="808080" w:themeColor="background1" w:themeShade="80"/>
            </w:tcBorders>
            <w:shd w:val="clear" w:color="auto" w:fill="auto"/>
          </w:tcPr>
          <w:p w14:paraId="38718F15" w14:textId="77777777" w:rsidR="00D40CDC" w:rsidRPr="00C00335" w:rsidRDefault="00D40CDC" w:rsidP="00D40CDC">
            <w:pPr>
              <w:pStyle w:val="TableText"/>
              <w:spacing w:before="50" w:after="50"/>
              <w:rPr>
                <w:sz w:val="20"/>
              </w:rPr>
            </w:pPr>
          </w:p>
        </w:tc>
        <w:tc>
          <w:tcPr>
            <w:tcW w:w="583" w:type="pct"/>
            <w:tcBorders>
              <w:top w:val="single" w:sz="6" w:space="0" w:color="auto"/>
              <w:bottom w:val="single" w:sz="6" w:space="0" w:color="808080" w:themeColor="background1" w:themeShade="80"/>
            </w:tcBorders>
          </w:tcPr>
          <w:p w14:paraId="778ADC70" w14:textId="77777777" w:rsidR="00D40CDC" w:rsidRPr="00C00335" w:rsidRDefault="00D40CDC" w:rsidP="00D40CDC">
            <w:pPr>
              <w:pStyle w:val="TableText"/>
              <w:spacing w:before="50" w:after="50"/>
              <w:jc w:val="center"/>
              <w:rPr>
                <w:sz w:val="20"/>
              </w:rPr>
            </w:pPr>
          </w:p>
        </w:tc>
        <w:tc>
          <w:tcPr>
            <w:tcW w:w="3390" w:type="pct"/>
            <w:tcBorders>
              <w:top w:val="single" w:sz="6" w:space="0" w:color="auto"/>
              <w:bottom w:val="single" w:sz="6" w:space="0" w:color="808080" w:themeColor="background1" w:themeShade="80"/>
            </w:tcBorders>
          </w:tcPr>
          <w:p w14:paraId="0AD461B6" w14:textId="65C9867D" w:rsidR="00D40CDC" w:rsidRPr="00C00335" w:rsidRDefault="00D40CDC" w:rsidP="00D40CDC">
            <w:pPr>
              <w:pStyle w:val="TableText"/>
              <w:spacing w:before="50" w:after="50"/>
              <w:rPr>
                <w:sz w:val="20"/>
              </w:rPr>
            </w:pPr>
            <w:r w:rsidRPr="00C00335">
              <w:rPr>
                <w:sz w:val="20"/>
              </w:rPr>
              <w:t xml:space="preserve">23: </w:t>
            </w:r>
            <w:r w:rsidR="005F5C70" w:rsidRPr="00C00335">
              <w:rPr>
                <w:sz w:val="20"/>
              </w:rPr>
              <w:t>HIV-infected</w:t>
            </w:r>
            <w:r w:rsidRPr="00C00335">
              <w:rPr>
                <w:sz w:val="20"/>
              </w:rPr>
              <w:t xml:space="preserve"> / CD4 &lt; 200 (AIDS) / </w:t>
            </w:r>
            <w:r w:rsidR="000965E6" w:rsidRPr="00C00335">
              <w:rPr>
                <w:sz w:val="20"/>
              </w:rPr>
              <w:t>linked to HIV care, but not prescribed ART</w:t>
            </w:r>
            <w:r w:rsidR="000965E6" w:rsidRPr="00C00335" w:rsidDel="000965E6">
              <w:rPr>
                <w:sz w:val="20"/>
              </w:rPr>
              <w:t xml:space="preserve"> </w:t>
            </w:r>
            <w:r w:rsidRPr="00C00335">
              <w:rPr>
                <w:sz w:val="20"/>
              </w:rPr>
              <w:t>(F3)</w:t>
            </w:r>
          </w:p>
          <w:p w14:paraId="10B526C9" w14:textId="7CCB3B7D" w:rsidR="00D40CDC" w:rsidRPr="00C00335" w:rsidRDefault="00D40CDC" w:rsidP="00D40CDC">
            <w:pPr>
              <w:pStyle w:val="TableText"/>
              <w:spacing w:before="50" w:after="50"/>
              <w:rPr>
                <w:sz w:val="20"/>
              </w:rPr>
            </w:pPr>
            <w:r w:rsidRPr="00C00335">
              <w:rPr>
                <w:sz w:val="20"/>
              </w:rPr>
              <w:t xml:space="preserve">24: </w:t>
            </w:r>
            <w:r w:rsidR="005F5C70" w:rsidRPr="00C00335">
              <w:rPr>
                <w:sz w:val="20"/>
              </w:rPr>
              <w:t>HIV-infected</w:t>
            </w:r>
            <w:r w:rsidRPr="00C00335">
              <w:rPr>
                <w:sz w:val="20"/>
              </w:rPr>
              <w:t xml:space="preserve"> / CD4 &lt; 200 (AIDS) / </w:t>
            </w:r>
            <w:r w:rsidR="000965E6" w:rsidRPr="00C00335">
              <w:rPr>
                <w:sz w:val="20"/>
              </w:rPr>
              <w:t>prescribed ART</w:t>
            </w:r>
            <w:r w:rsidRPr="00C00335">
              <w:rPr>
                <w:sz w:val="20"/>
              </w:rPr>
              <w:t>, not VLS (F4)</w:t>
            </w:r>
          </w:p>
          <w:p w14:paraId="109DB22E" w14:textId="2EB197EA" w:rsidR="00D40CDC" w:rsidRPr="00C00335" w:rsidRDefault="00D40CDC" w:rsidP="00D40CDC">
            <w:pPr>
              <w:pStyle w:val="TableText"/>
              <w:spacing w:before="50" w:after="50"/>
              <w:rPr>
                <w:sz w:val="20"/>
              </w:rPr>
            </w:pPr>
            <w:r w:rsidRPr="00C00335">
              <w:rPr>
                <w:sz w:val="20"/>
              </w:rPr>
              <w:t xml:space="preserve">25: </w:t>
            </w:r>
            <w:r w:rsidR="005F5C70" w:rsidRPr="00C00335">
              <w:rPr>
                <w:sz w:val="20"/>
              </w:rPr>
              <w:t>HIV-infected</w:t>
            </w:r>
            <w:r w:rsidRPr="00C00335">
              <w:rPr>
                <w:sz w:val="20"/>
              </w:rPr>
              <w:t xml:space="preserve"> / CD4 &lt; 200 (AIDS) / VLS (F5)</w:t>
            </w:r>
          </w:p>
          <w:p w14:paraId="0CC95B4B" w14:textId="77777777" w:rsidR="00D40CDC" w:rsidRPr="00C00335" w:rsidRDefault="00D40CDC" w:rsidP="00D40CDC">
            <w:pPr>
              <w:pStyle w:val="TableText"/>
              <w:spacing w:before="50" w:after="50"/>
              <w:rPr>
                <w:sz w:val="20"/>
              </w:rPr>
            </w:pPr>
            <w:r w:rsidRPr="00C00335">
              <w:rPr>
                <w:sz w:val="20"/>
              </w:rPr>
              <w:t>26: Non-AIDS death-related cause</w:t>
            </w:r>
          </w:p>
          <w:p w14:paraId="25379D4A" w14:textId="7EC689B9" w:rsidR="00D40CDC" w:rsidRPr="00C00335" w:rsidRDefault="00D40CDC" w:rsidP="00D40CDC">
            <w:pPr>
              <w:pStyle w:val="TableText"/>
              <w:spacing w:before="50" w:after="50"/>
              <w:rPr>
                <w:sz w:val="20"/>
              </w:rPr>
            </w:pPr>
            <w:r w:rsidRPr="00C00335">
              <w:rPr>
                <w:sz w:val="20"/>
              </w:rPr>
              <w:t>27: AIDS death</w:t>
            </w:r>
          </w:p>
        </w:tc>
      </w:tr>
      <w:tr w:rsidR="00E12D6A" w:rsidRPr="00C00335" w14:paraId="6C56083B"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5ED2FD72" w14:textId="77777777" w:rsidR="00E12D6A" w:rsidRPr="00C00335" w:rsidRDefault="00E12D6A" w:rsidP="00D40CDC">
            <w:pPr>
              <w:pStyle w:val="TableText"/>
              <w:spacing w:before="50" w:after="50"/>
              <w:jc w:val="center"/>
              <w:rPr>
                <w:sz w:val="20"/>
              </w:rPr>
            </w:pPr>
            <w:r w:rsidRPr="00C00335">
              <w:rPr>
                <w:sz w:val="20"/>
              </w:rPr>
              <w:t>g</w:t>
            </w:r>
          </w:p>
        </w:tc>
        <w:tc>
          <w:tcPr>
            <w:tcW w:w="681" w:type="pct"/>
            <w:tcBorders>
              <w:top w:val="single" w:sz="6" w:space="0" w:color="808080" w:themeColor="background1" w:themeShade="80"/>
              <w:bottom w:val="single" w:sz="6" w:space="0" w:color="808080" w:themeColor="background1" w:themeShade="80"/>
            </w:tcBorders>
            <w:shd w:val="clear" w:color="auto" w:fill="auto"/>
          </w:tcPr>
          <w:p w14:paraId="5F51F327" w14:textId="77777777" w:rsidR="00E12D6A" w:rsidRPr="00C00335" w:rsidRDefault="00E12D6A" w:rsidP="00D40CDC">
            <w:pPr>
              <w:pStyle w:val="TableText"/>
              <w:spacing w:before="50" w:after="50"/>
              <w:rPr>
                <w:sz w:val="20"/>
              </w:rPr>
            </w:pPr>
            <w:r w:rsidRPr="00C00335">
              <w:rPr>
                <w:sz w:val="20"/>
              </w:rPr>
              <w:t>Test type</w:t>
            </w:r>
          </w:p>
        </w:tc>
        <w:tc>
          <w:tcPr>
            <w:tcW w:w="583" w:type="pct"/>
            <w:tcBorders>
              <w:top w:val="single" w:sz="6" w:space="0" w:color="808080" w:themeColor="background1" w:themeShade="80"/>
              <w:bottom w:val="single" w:sz="6" w:space="0" w:color="808080" w:themeColor="background1" w:themeShade="80"/>
            </w:tcBorders>
          </w:tcPr>
          <w:p w14:paraId="65E9F8DB" w14:textId="77777777" w:rsidR="00E12D6A" w:rsidRPr="00C00335" w:rsidRDefault="00E12D6A" w:rsidP="00D40CDC">
            <w:pPr>
              <w:pStyle w:val="TableText"/>
              <w:spacing w:before="50" w:after="50"/>
              <w:jc w:val="center"/>
              <w:rPr>
                <w:sz w:val="20"/>
              </w:rPr>
            </w:pPr>
            <w:r w:rsidRPr="00C00335">
              <w:rPr>
                <w:sz w:val="20"/>
              </w:rPr>
              <w:t>2</w:t>
            </w:r>
          </w:p>
        </w:tc>
        <w:tc>
          <w:tcPr>
            <w:tcW w:w="3390" w:type="pct"/>
            <w:tcBorders>
              <w:top w:val="single" w:sz="6" w:space="0" w:color="808080" w:themeColor="background1" w:themeShade="80"/>
              <w:bottom w:val="single" w:sz="6" w:space="0" w:color="808080" w:themeColor="background1" w:themeShade="80"/>
            </w:tcBorders>
          </w:tcPr>
          <w:p w14:paraId="5BFCD3A8" w14:textId="77777777" w:rsidR="00E12D6A" w:rsidRPr="00C00335" w:rsidRDefault="00E12D6A" w:rsidP="00D40CDC">
            <w:pPr>
              <w:pStyle w:val="TableText"/>
              <w:spacing w:before="50" w:after="50"/>
              <w:rPr>
                <w:sz w:val="20"/>
              </w:rPr>
            </w:pPr>
            <w:r w:rsidRPr="00C00335">
              <w:rPr>
                <w:sz w:val="20"/>
              </w:rPr>
              <w:t>Rapid screen (1)</w:t>
            </w:r>
          </w:p>
          <w:p w14:paraId="0D50B5AB" w14:textId="77777777" w:rsidR="00E12D6A" w:rsidRPr="00C00335" w:rsidRDefault="00E12D6A" w:rsidP="00D40CDC">
            <w:pPr>
              <w:pStyle w:val="TableText"/>
              <w:spacing w:before="50" w:after="50"/>
              <w:rPr>
                <w:sz w:val="20"/>
              </w:rPr>
            </w:pPr>
            <w:r w:rsidRPr="00C00335">
              <w:rPr>
                <w:sz w:val="20"/>
              </w:rPr>
              <w:t>Conventional screen (2)</w:t>
            </w:r>
          </w:p>
        </w:tc>
      </w:tr>
      <w:tr w:rsidR="00F50352" w:rsidRPr="00C00335" w14:paraId="730DCAAA"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3B86B898" w14:textId="77777777" w:rsidR="00F50352" w:rsidRPr="00C00335" w:rsidRDefault="00F50352" w:rsidP="00D40CDC">
            <w:pPr>
              <w:pStyle w:val="TableText"/>
              <w:spacing w:before="50" w:after="50"/>
              <w:jc w:val="center"/>
              <w:rPr>
                <w:sz w:val="20"/>
              </w:rPr>
            </w:pPr>
            <w:r w:rsidRPr="00C00335">
              <w:rPr>
                <w:sz w:val="20"/>
              </w:rPr>
              <w:t>h</w:t>
            </w:r>
          </w:p>
        </w:tc>
        <w:tc>
          <w:tcPr>
            <w:tcW w:w="681" w:type="pct"/>
            <w:tcBorders>
              <w:top w:val="single" w:sz="6" w:space="0" w:color="808080" w:themeColor="background1" w:themeShade="80"/>
              <w:bottom w:val="single" w:sz="6" w:space="0" w:color="808080" w:themeColor="background1" w:themeShade="80"/>
            </w:tcBorders>
            <w:shd w:val="clear" w:color="auto" w:fill="auto"/>
          </w:tcPr>
          <w:p w14:paraId="3A646E1E" w14:textId="77777777" w:rsidR="00F50352" w:rsidRPr="00C00335" w:rsidRDefault="00F50352" w:rsidP="00D40CDC">
            <w:pPr>
              <w:pStyle w:val="TableText"/>
              <w:spacing w:before="50" w:after="50"/>
              <w:rPr>
                <w:sz w:val="20"/>
              </w:rPr>
            </w:pPr>
            <w:r w:rsidRPr="00C00335">
              <w:rPr>
                <w:sz w:val="20"/>
              </w:rPr>
              <w:t xml:space="preserve">Disease </w:t>
            </w:r>
            <w:r w:rsidR="00202678" w:rsidRPr="00C00335">
              <w:rPr>
                <w:sz w:val="20"/>
              </w:rPr>
              <w:t>status</w:t>
            </w:r>
          </w:p>
        </w:tc>
        <w:tc>
          <w:tcPr>
            <w:tcW w:w="583" w:type="pct"/>
            <w:tcBorders>
              <w:top w:val="single" w:sz="6" w:space="0" w:color="808080" w:themeColor="background1" w:themeShade="80"/>
              <w:bottom w:val="single" w:sz="6" w:space="0" w:color="808080" w:themeColor="background1" w:themeShade="80"/>
            </w:tcBorders>
          </w:tcPr>
          <w:p w14:paraId="39E15901" w14:textId="77777777" w:rsidR="00F50352" w:rsidRPr="00C00335" w:rsidRDefault="00726346" w:rsidP="00D40CDC">
            <w:pPr>
              <w:pStyle w:val="TableText"/>
              <w:spacing w:before="50" w:after="50"/>
              <w:jc w:val="center"/>
              <w:rPr>
                <w:sz w:val="20"/>
              </w:rPr>
            </w:pPr>
            <w:r w:rsidRPr="00C00335">
              <w:rPr>
                <w:sz w:val="20"/>
              </w:rPr>
              <w:t>6</w:t>
            </w:r>
          </w:p>
        </w:tc>
        <w:tc>
          <w:tcPr>
            <w:tcW w:w="3390" w:type="pct"/>
            <w:tcBorders>
              <w:top w:val="single" w:sz="6" w:space="0" w:color="808080" w:themeColor="background1" w:themeShade="80"/>
              <w:bottom w:val="single" w:sz="6" w:space="0" w:color="808080" w:themeColor="background1" w:themeShade="80"/>
            </w:tcBorders>
          </w:tcPr>
          <w:p w14:paraId="1520489E" w14:textId="77777777" w:rsidR="00E33B48" w:rsidRPr="00C00335" w:rsidRDefault="00E33B48" w:rsidP="00D40CDC">
            <w:pPr>
              <w:pStyle w:val="TableText"/>
              <w:spacing w:before="50" w:after="50"/>
              <w:rPr>
                <w:sz w:val="20"/>
              </w:rPr>
            </w:pPr>
            <w:r w:rsidRPr="00C00335">
              <w:rPr>
                <w:sz w:val="20"/>
              </w:rPr>
              <w:t>No HIV infection (0)</w:t>
            </w:r>
          </w:p>
          <w:p w14:paraId="128E934B" w14:textId="77777777" w:rsidR="00E33B48" w:rsidRPr="00C00335" w:rsidRDefault="00E33B48" w:rsidP="00D40CDC">
            <w:pPr>
              <w:pStyle w:val="TableText"/>
              <w:spacing w:before="50" w:after="50"/>
              <w:rPr>
                <w:sz w:val="20"/>
              </w:rPr>
            </w:pPr>
            <w:r w:rsidRPr="00C00335">
              <w:rPr>
                <w:sz w:val="20"/>
              </w:rPr>
              <w:t>Acute HIV infection (1)</w:t>
            </w:r>
          </w:p>
          <w:p w14:paraId="02B55913" w14:textId="77777777" w:rsidR="00E33B48" w:rsidRPr="00C00335" w:rsidRDefault="00E33B48" w:rsidP="00D40CDC">
            <w:pPr>
              <w:pStyle w:val="TableText"/>
              <w:spacing w:before="50" w:after="50"/>
              <w:rPr>
                <w:sz w:val="20"/>
              </w:rPr>
            </w:pPr>
            <w:r w:rsidRPr="00C00335">
              <w:rPr>
                <w:sz w:val="20"/>
              </w:rPr>
              <w:t>HIV infection with CD4 count greater than 500 cells/mm</w:t>
            </w:r>
            <w:r w:rsidRPr="00C00335">
              <w:rPr>
                <w:sz w:val="20"/>
                <w:vertAlign w:val="superscript"/>
              </w:rPr>
              <w:t>3</w:t>
            </w:r>
            <w:r w:rsidRPr="00C00335">
              <w:rPr>
                <w:sz w:val="20"/>
              </w:rPr>
              <w:t xml:space="preserve"> (2)</w:t>
            </w:r>
          </w:p>
          <w:p w14:paraId="0226E38E" w14:textId="77777777" w:rsidR="00E33B48" w:rsidRPr="00C00335" w:rsidRDefault="00E33B48" w:rsidP="00D40CDC">
            <w:pPr>
              <w:pStyle w:val="TableText"/>
              <w:spacing w:before="50" w:after="50"/>
              <w:rPr>
                <w:sz w:val="20"/>
              </w:rPr>
            </w:pPr>
            <w:r w:rsidRPr="00C00335">
              <w:rPr>
                <w:sz w:val="20"/>
              </w:rPr>
              <w:t>HIV infection with CD4 count between 350 cells/mm</w:t>
            </w:r>
            <w:r w:rsidRPr="00C00335">
              <w:rPr>
                <w:sz w:val="20"/>
                <w:vertAlign w:val="superscript"/>
              </w:rPr>
              <w:t>3</w:t>
            </w:r>
            <w:r w:rsidRPr="00C00335">
              <w:rPr>
                <w:sz w:val="20"/>
              </w:rPr>
              <w:t xml:space="preserve"> and 500 cells/mm3 (3)</w:t>
            </w:r>
          </w:p>
          <w:p w14:paraId="28F4742A" w14:textId="77777777" w:rsidR="00E33B48" w:rsidRPr="00C00335" w:rsidRDefault="00E33B48" w:rsidP="00D40CDC">
            <w:pPr>
              <w:pStyle w:val="TableText"/>
              <w:spacing w:before="50" w:after="50"/>
              <w:rPr>
                <w:sz w:val="20"/>
              </w:rPr>
            </w:pPr>
            <w:r w:rsidRPr="00C00335">
              <w:rPr>
                <w:sz w:val="20"/>
              </w:rPr>
              <w:t>HIV infection with CD4 count between 200 cells/mm</w:t>
            </w:r>
            <w:r w:rsidRPr="00C00335">
              <w:rPr>
                <w:sz w:val="20"/>
                <w:vertAlign w:val="superscript"/>
              </w:rPr>
              <w:t>3</w:t>
            </w:r>
            <w:r w:rsidRPr="00C00335">
              <w:rPr>
                <w:sz w:val="20"/>
              </w:rPr>
              <w:t xml:space="preserve"> and 350 cells/mm3 (4)</w:t>
            </w:r>
          </w:p>
          <w:p w14:paraId="451934DD" w14:textId="77777777" w:rsidR="00E33B48" w:rsidRPr="00C00335" w:rsidRDefault="00E33B48" w:rsidP="00D40CDC">
            <w:pPr>
              <w:pStyle w:val="TableText"/>
              <w:spacing w:before="50" w:after="50"/>
              <w:rPr>
                <w:sz w:val="20"/>
              </w:rPr>
            </w:pPr>
            <w:r w:rsidRPr="00C00335">
              <w:rPr>
                <w:sz w:val="20"/>
              </w:rPr>
              <w:t>AIDS with CD4 less than 200 cells/mm</w:t>
            </w:r>
            <w:r w:rsidRPr="00C00335">
              <w:rPr>
                <w:sz w:val="20"/>
                <w:vertAlign w:val="superscript"/>
              </w:rPr>
              <w:t>3</w:t>
            </w:r>
            <w:r w:rsidRPr="00C00335">
              <w:rPr>
                <w:sz w:val="20"/>
              </w:rPr>
              <w:t xml:space="preserve"> (5)</w:t>
            </w:r>
          </w:p>
        </w:tc>
      </w:tr>
      <w:tr w:rsidR="00F50352" w:rsidRPr="00C00335" w14:paraId="670D229B"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7324C76D" w14:textId="77777777" w:rsidR="00F50352" w:rsidRPr="00C00335" w:rsidRDefault="00F50352" w:rsidP="00D40CDC">
            <w:pPr>
              <w:pStyle w:val="TableText"/>
              <w:spacing w:before="50" w:after="50"/>
              <w:jc w:val="center"/>
              <w:rPr>
                <w:sz w:val="20"/>
              </w:rPr>
            </w:pPr>
            <w:r w:rsidRPr="00C00335">
              <w:rPr>
                <w:sz w:val="20"/>
              </w:rPr>
              <w:t>j</w:t>
            </w:r>
          </w:p>
        </w:tc>
        <w:tc>
          <w:tcPr>
            <w:tcW w:w="681" w:type="pct"/>
            <w:tcBorders>
              <w:top w:val="single" w:sz="6" w:space="0" w:color="808080" w:themeColor="background1" w:themeShade="80"/>
              <w:bottom w:val="single" w:sz="6" w:space="0" w:color="808080" w:themeColor="background1" w:themeShade="80"/>
            </w:tcBorders>
            <w:shd w:val="clear" w:color="auto" w:fill="auto"/>
          </w:tcPr>
          <w:p w14:paraId="6503A18C" w14:textId="77777777" w:rsidR="00F50352" w:rsidRPr="00C00335" w:rsidRDefault="00F50352" w:rsidP="00D40CDC">
            <w:pPr>
              <w:pStyle w:val="TableText"/>
              <w:spacing w:before="50" w:after="50"/>
              <w:rPr>
                <w:sz w:val="20"/>
              </w:rPr>
            </w:pPr>
            <w:r w:rsidRPr="00C00335">
              <w:rPr>
                <w:sz w:val="20"/>
              </w:rPr>
              <w:t xml:space="preserve">Age group </w:t>
            </w:r>
          </w:p>
        </w:tc>
        <w:tc>
          <w:tcPr>
            <w:tcW w:w="583" w:type="pct"/>
            <w:tcBorders>
              <w:top w:val="single" w:sz="6" w:space="0" w:color="808080" w:themeColor="background1" w:themeShade="80"/>
              <w:bottom w:val="single" w:sz="6" w:space="0" w:color="808080" w:themeColor="background1" w:themeShade="80"/>
            </w:tcBorders>
          </w:tcPr>
          <w:p w14:paraId="575968ED" w14:textId="219E7053" w:rsidR="00F50352" w:rsidRPr="00C00335" w:rsidRDefault="004935EA" w:rsidP="00D40CDC">
            <w:pPr>
              <w:pStyle w:val="TableText"/>
              <w:spacing w:before="50" w:after="50"/>
              <w:jc w:val="center"/>
              <w:rPr>
                <w:sz w:val="20"/>
              </w:rPr>
            </w:pPr>
            <w:r>
              <w:rPr>
                <w:sz w:val="20"/>
              </w:rPr>
              <w:t>7</w:t>
            </w:r>
          </w:p>
        </w:tc>
        <w:tc>
          <w:tcPr>
            <w:tcW w:w="3390" w:type="pct"/>
            <w:tcBorders>
              <w:top w:val="single" w:sz="6" w:space="0" w:color="808080" w:themeColor="background1" w:themeShade="80"/>
              <w:bottom w:val="single" w:sz="6" w:space="0" w:color="808080" w:themeColor="background1" w:themeShade="80"/>
            </w:tcBorders>
          </w:tcPr>
          <w:p w14:paraId="1C1B299C" w14:textId="77777777" w:rsidR="004138EB" w:rsidRPr="00C00335" w:rsidRDefault="00F50352" w:rsidP="00D40CDC">
            <w:pPr>
              <w:pStyle w:val="TableText"/>
              <w:spacing w:before="50" w:after="50"/>
              <w:rPr>
                <w:sz w:val="20"/>
              </w:rPr>
            </w:pPr>
            <w:r w:rsidRPr="00C00335">
              <w:rPr>
                <w:sz w:val="20"/>
              </w:rPr>
              <w:t>13</w:t>
            </w:r>
            <w:r w:rsidR="008E0A3C" w:rsidRPr="00C00335">
              <w:rPr>
                <w:sz w:val="20"/>
              </w:rPr>
              <w:t>–</w:t>
            </w:r>
            <w:r w:rsidRPr="00C00335">
              <w:rPr>
                <w:sz w:val="20"/>
              </w:rPr>
              <w:t>17</w:t>
            </w:r>
            <w:r w:rsidR="004138EB" w:rsidRPr="00C00335">
              <w:rPr>
                <w:sz w:val="20"/>
              </w:rPr>
              <w:t xml:space="preserve"> years (1)</w:t>
            </w:r>
          </w:p>
          <w:p w14:paraId="59181385" w14:textId="77777777" w:rsidR="004138EB" w:rsidRPr="00C00335" w:rsidRDefault="00F50352" w:rsidP="00D40CDC">
            <w:pPr>
              <w:pStyle w:val="TableText"/>
              <w:spacing w:before="50" w:after="50"/>
              <w:rPr>
                <w:sz w:val="20"/>
              </w:rPr>
            </w:pPr>
            <w:r w:rsidRPr="00C00335">
              <w:rPr>
                <w:sz w:val="20"/>
              </w:rPr>
              <w:t>18</w:t>
            </w:r>
            <w:r w:rsidR="008E0A3C" w:rsidRPr="00C00335">
              <w:rPr>
                <w:sz w:val="20"/>
              </w:rPr>
              <w:t>–</w:t>
            </w:r>
            <w:r w:rsidRPr="00C00335">
              <w:rPr>
                <w:sz w:val="20"/>
              </w:rPr>
              <w:t>24</w:t>
            </w:r>
            <w:r w:rsidR="004138EB" w:rsidRPr="00C00335">
              <w:rPr>
                <w:sz w:val="20"/>
              </w:rPr>
              <w:t xml:space="preserve"> years (2)</w:t>
            </w:r>
          </w:p>
          <w:p w14:paraId="0BB1CAF5" w14:textId="77777777" w:rsidR="004138EB" w:rsidRPr="00C00335" w:rsidRDefault="00F50352" w:rsidP="00D40CDC">
            <w:pPr>
              <w:pStyle w:val="TableText"/>
              <w:spacing w:before="50" w:after="50"/>
              <w:rPr>
                <w:sz w:val="20"/>
              </w:rPr>
            </w:pPr>
            <w:r w:rsidRPr="00C00335">
              <w:rPr>
                <w:sz w:val="20"/>
              </w:rPr>
              <w:t>25</w:t>
            </w:r>
            <w:r w:rsidR="008E0A3C" w:rsidRPr="00C00335">
              <w:rPr>
                <w:sz w:val="20"/>
              </w:rPr>
              <w:t>–</w:t>
            </w:r>
            <w:r w:rsidRPr="00C00335">
              <w:rPr>
                <w:sz w:val="20"/>
              </w:rPr>
              <w:t>34</w:t>
            </w:r>
            <w:r w:rsidR="004138EB" w:rsidRPr="00C00335">
              <w:rPr>
                <w:sz w:val="20"/>
              </w:rPr>
              <w:t xml:space="preserve"> years (3)</w:t>
            </w:r>
          </w:p>
          <w:p w14:paraId="3EC3D339" w14:textId="77777777" w:rsidR="004138EB" w:rsidRPr="00C00335" w:rsidRDefault="00F50352" w:rsidP="00D40CDC">
            <w:pPr>
              <w:pStyle w:val="TableText"/>
              <w:spacing w:before="50" w:after="50"/>
              <w:rPr>
                <w:sz w:val="20"/>
              </w:rPr>
            </w:pPr>
            <w:r w:rsidRPr="00C00335">
              <w:rPr>
                <w:sz w:val="20"/>
              </w:rPr>
              <w:t>35</w:t>
            </w:r>
            <w:r w:rsidR="008E0A3C" w:rsidRPr="00C00335">
              <w:rPr>
                <w:sz w:val="20"/>
              </w:rPr>
              <w:t>–</w:t>
            </w:r>
            <w:r w:rsidRPr="00C00335">
              <w:rPr>
                <w:sz w:val="20"/>
              </w:rPr>
              <w:t>44</w:t>
            </w:r>
            <w:r w:rsidR="004138EB" w:rsidRPr="00C00335">
              <w:rPr>
                <w:sz w:val="20"/>
              </w:rPr>
              <w:t xml:space="preserve"> years (4)</w:t>
            </w:r>
          </w:p>
          <w:p w14:paraId="33AB5049" w14:textId="77777777" w:rsidR="004935EA" w:rsidRPr="00D57988" w:rsidRDefault="00F50352" w:rsidP="004935EA">
            <w:pPr>
              <w:pStyle w:val="TableText"/>
              <w:spacing w:before="50" w:after="50"/>
              <w:rPr>
                <w:sz w:val="20"/>
              </w:rPr>
            </w:pPr>
            <w:r w:rsidRPr="00D57988">
              <w:rPr>
                <w:sz w:val="20"/>
              </w:rPr>
              <w:t>45</w:t>
            </w:r>
            <w:r w:rsidR="008E0A3C" w:rsidRPr="00D57988">
              <w:rPr>
                <w:sz w:val="20"/>
              </w:rPr>
              <w:t>–</w:t>
            </w:r>
            <w:r w:rsidR="004935EA" w:rsidRPr="00D57988">
              <w:rPr>
                <w:sz w:val="20"/>
              </w:rPr>
              <w:t>54 years (5)</w:t>
            </w:r>
          </w:p>
          <w:p w14:paraId="4E33BDE3" w14:textId="5647EC34" w:rsidR="004935EA" w:rsidRPr="00D57988" w:rsidRDefault="004935EA" w:rsidP="004935EA">
            <w:pPr>
              <w:pStyle w:val="TableText"/>
              <w:spacing w:before="50" w:after="50"/>
              <w:rPr>
                <w:sz w:val="20"/>
              </w:rPr>
            </w:pPr>
            <w:r w:rsidRPr="00D57988">
              <w:rPr>
                <w:sz w:val="20"/>
              </w:rPr>
              <w:t>55</w:t>
            </w:r>
            <w:r w:rsidR="00733831" w:rsidRPr="00D57988">
              <w:rPr>
                <w:sz w:val="20"/>
              </w:rPr>
              <w:t>–</w:t>
            </w:r>
            <w:r w:rsidRPr="00D57988">
              <w:rPr>
                <w:sz w:val="20"/>
              </w:rPr>
              <w:t>64 years (6)</w:t>
            </w:r>
          </w:p>
          <w:p w14:paraId="798B10B7" w14:textId="6FCE3F6B" w:rsidR="00F50352" w:rsidRPr="00C00335" w:rsidRDefault="004935EA" w:rsidP="004935EA">
            <w:pPr>
              <w:pStyle w:val="TableText"/>
              <w:spacing w:before="50" w:after="50"/>
              <w:rPr>
                <w:sz w:val="20"/>
              </w:rPr>
            </w:pPr>
            <w:r w:rsidRPr="00D57988">
              <w:rPr>
                <w:sz w:val="20"/>
              </w:rPr>
              <w:t>65+ years (7)</w:t>
            </w:r>
          </w:p>
        </w:tc>
      </w:tr>
    </w:tbl>
    <w:p w14:paraId="0195A211" w14:textId="77777777" w:rsidR="00741472" w:rsidRPr="00C00335" w:rsidRDefault="00741472" w:rsidP="00741472">
      <w:pPr>
        <w:pStyle w:val="Tablecont"/>
        <w:rPr>
          <w:sz w:val="20"/>
        </w:rPr>
      </w:pPr>
      <w:r w:rsidRPr="00C00335">
        <w:rPr>
          <w:sz w:val="20"/>
        </w:rPr>
        <w:t>(continued)</w:t>
      </w:r>
    </w:p>
    <w:p w14:paraId="6477068B" w14:textId="77777777" w:rsidR="00741472" w:rsidRPr="00C00335" w:rsidRDefault="00741472" w:rsidP="00741472">
      <w:pPr>
        <w:pStyle w:val="TableTitlecont"/>
        <w:tabs>
          <w:tab w:val="left" w:pos="2520"/>
        </w:tabs>
      </w:pPr>
      <w:r w:rsidRPr="00C00335">
        <w:lastRenderedPageBreak/>
        <w:t>Table A.2.</w:t>
      </w:r>
      <w:r w:rsidRPr="00C00335">
        <w:tab/>
        <w:t>Definitions of Indices Applied in This Document (continued)</w:t>
      </w:r>
    </w:p>
    <w:tbl>
      <w:tblPr>
        <w:tblW w:w="5035"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903"/>
        <w:gridCol w:w="1887"/>
        <w:gridCol w:w="1530"/>
        <w:gridCol w:w="8731"/>
      </w:tblGrid>
      <w:tr w:rsidR="00741472" w:rsidRPr="00C00335" w14:paraId="07B6A27F" w14:textId="77777777" w:rsidTr="002A4EE6">
        <w:trPr>
          <w:cantSplit/>
          <w:tblHeader/>
        </w:trPr>
        <w:tc>
          <w:tcPr>
            <w:tcW w:w="346" w:type="pct"/>
            <w:tcBorders>
              <w:top w:val="single" w:sz="12" w:space="0" w:color="000000"/>
              <w:bottom w:val="single" w:sz="6" w:space="0" w:color="auto"/>
            </w:tcBorders>
            <w:shd w:val="clear" w:color="auto" w:fill="auto"/>
            <w:vAlign w:val="bottom"/>
          </w:tcPr>
          <w:p w14:paraId="4542EE52" w14:textId="77777777" w:rsidR="00741472" w:rsidRPr="00C00335" w:rsidRDefault="00741472" w:rsidP="00741472">
            <w:pPr>
              <w:pStyle w:val="TableHeaders"/>
              <w:spacing w:before="50" w:after="50"/>
              <w:rPr>
                <w:sz w:val="20"/>
              </w:rPr>
            </w:pPr>
            <w:r w:rsidRPr="00C00335">
              <w:rPr>
                <w:sz w:val="20"/>
              </w:rPr>
              <w:t>Index</w:t>
            </w:r>
          </w:p>
        </w:tc>
        <w:tc>
          <w:tcPr>
            <w:tcW w:w="723" w:type="pct"/>
            <w:tcBorders>
              <w:top w:val="single" w:sz="12" w:space="0" w:color="000000"/>
              <w:bottom w:val="single" w:sz="6" w:space="0" w:color="auto"/>
            </w:tcBorders>
            <w:shd w:val="clear" w:color="auto" w:fill="auto"/>
            <w:vAlign w:val="bottom"/>
          </w:tcPr>
          <w:p w14:paraId="33BD8D57" w14:textId="77777777" w:rsidR="00741472" w:rsidRPr="00C00335" w:rsidRDefault="00741472" w:rsidP="00741472">
            <w:pPr>
              <w:pStyle w:val="TableHeaders"/>
              <w:spacing w:before="50" w:after="50"/>
              <w:rPr>
                <w:sz w:val="20"/>
              </w:rPr>
            </w:pPr>
            <w:r w:rsidRPr="00C00335">
              <w:rPr>
                <w:sz w:val="20"/>
              </w:rPr>
              <w:t>Definition</w:t>
            </w:r>
          </w:p>
        </w:tc>
        <w:tc>
          <w:tcPr>
            <w:tcW w:w="586" w:type="pct"/>
            <w:tcBorders>
              <w:top w:val="single" w:sz="12" w:space="0" w:color="000000"/>
              <w:bottom w:val="single" w:sz="6" w:space="0" w:color="auto"/>
            </w:tcBorders>
            <w:shd w:val="clear" w:color="auto" w:fill="auto"/>
            <w:vAlign w:val="bottom"/>
          </w:tcPr>
          <w:p w14:paraId="09E41C60" w14:textId="77777777" w:rsidR="00741472" w:rsidRPr="00C00335" w:rsidRDefault="00741472" w:rsidP="00741472">
            <w:pPr>
              <w:pStyle w:val="TableHeaders"/>
              <w:spacing w:before="50" w:after="50"/>
              <w:rPr>
                <w:sz w:val="20"/>
              </w:rPr>
            </w:pPr>
            <w:r w:rsidRPr="00C00335">
              <w:rPr>
                <w:sz w:val="20"/>
              </w:rPr>
              <w:t>Number of Categories</w:t>
            </w:r>
          </w:p>
        </w:tc>
        <w:tc>
          <w:tcPr>
            <w:tcW w:w="3345" w:type="pct"/>
            <w:tcBorders>
              <w:top w:val="single" w:sz="12" w:space="0" w:color="000000"/>
              <w:bottom w:val="single" w:sz="6" w:space="0" w:color="auto"/>
            </w:tcBorders>
            <w:shd w:val="clear" w:color="auto" w:fill="auto"/>
            <w:vAlign w:val="bottom"/>
          </w:tcPr>
          <w:p w14:paraId="0F213338" w14:textId="77777777" w:rsidR="00741472" w:rsidRPr="00C00335" w:rsidRDefault="00741472" w:rsidP="00741472">
            <w:pPr>
              <w:pStyle w:val="TableHeaders"/>
              <w:spacing w:before="50" w:after="50"/>
              <w:rPr>
                <w:sz w:val="20"/>
              </w:rPr>
            </w:pPr>
            <w:r w:rsidRPr="00C00335">
              <w:rPr>
                <w:sz w:val="20"/>
              </w:rPr>
              <w:t>Categories (Represented by)</w:t>
            </w:r>
          </w:p>
        </w:tc>
      </w:tr>
      <w:tr w:rsidR="002A4EE6" w:rsidRPr="00C00335" w14:paraId="29C32861"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7A894F87" w14:textId="77777777" w:rsidR="002A4EE6" w:rsidRPr="00C00335" w:rsidRDefault="002A4EE6" w:rsidP="00260D8A">
            <w:pPr>
              <w:pStyle w:val="TableText"/>
              <w:spacing w:before="50" w:after="50"/>
              <w:jc w:val="center"/>
              <w:rPr>
                <w:sz w:val="20"/>
              </w:rPr>
            </w:pPr>
            <w:r w:rsidRPr="00C00335">
              <w:rPr>
                <w:sz w:val="20"/>
              </w:rPr>
              <w:t>j*</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00BCE82E" w14:textId="77777777" w:rsidR="002A4EE6" w:rsidRPr="00C00335" w:rsidRDefault="002A4EE6" w:rsidP="00260D8A">
            <w:pPr>
              <w:pStyle w:val="TableText"/>
              <w:spacing w:before="50" w:after="50"/>
              <w:rPr>
                <w:sz w:val="20"/>
              </w:rPr>
            </w:pPr>
            <w:r w:rsidRPr="00C00335">
              <w:rPr>
                <w:sz w:val="20"/>
              </w:rPr>
              <w:t>Interventions aimed at increasing progression along the continuum of HIV care</w:t>
            </w:r>
          </w:p>
        </w:tc>
        <w:tc>
          <w:tcPr>
            <w:tcW w:w="586" w:type="pct"/>
            <w:tcBorders>
              <w:top w:val="single" w:sz="6" w:space="0" w:color="808080" w:themeColor="background1" w:themeShade="80"/>
              <w:bottom w:val="single" w:sz="6" w:space="0" w:color="808080" w:themeColor="background1" w:themeShade="80"/>
            </w:tcBorders>
          </w:tcPr>
          <w:p w14:paraId="6A23E32E" w14:textId="5663E840" w:rsidR="002A4EE6" w:rsidRPr="00C00335" w:rsidRDefault="002A4EE6" w:rsidP="00260D8A">
            <w:pPr>
              <w:pStyle w:val="TableText"/>
              <w:spacing w:before="50" w:after="50"/>
              <w:jc w:val="center"/>
              <w:rPr>
                <w:sz w:val="20"/>
              </w:rPr>
            </w:pPr>
            <w:r w:rsidRPr="00C00335">
              <w:rPr>
                <w:sz w:val="20"/>
              </w:rPr>
              <w:t>1</w:t>
            </w:r>
            <w:r w:rsidR="004935EA">
              <w:rPr>
                <w:sz w:val="20"/>
              </w:rPr>
              <w:t>4</w:t>
            </w:r>
          </w:p>
        </w:tc>
        <w:tc>
          <w:tcPr>
            <w:tcW w:w="3345" w:type="pct"/>
            <w:tcBorders>
              <w:top w:val="single" w:sz="6" w:space="0" w:color="808080" w:themeColor="background1" w:themeShade="80"/>
              <w:bottom w:val="single" w:sz="6" w:space="0" w:color="808080" w:themeColor="background1" w:themeShade="80"/>
            </w:tcBorders>
          </w:tcPr>
          <w:p w14:paraId="7DCF5DEF" w14:textId="77777777" w:rsidR="002A4EE6" w:rsidRPr="00C00335" w:rsidRDefault="002A4EE6" w:rsidP="00260D8A">
            <w:pPr>
              <w:pStyle w:val="TableText"/>
              <w:spacing w:before="50" w:after="50"/>
              <w:rPr>
                <w:sz w:val="20"/>
              </w:rPr>
            </w:pPr>
            <w:r w:rsidRPr="00C00335">
              <w:rPr>
                <w:sz w:val="20"/>
              </w:rPr>
              <w:t>Testing intervention targeted to low-risk HETs (1), high-risk HETs (2), low-risk MSM (3), high-risk MSM (4), PWIDs (5)</w:t>
            </w:r>
          </w:p>
          <w:p w14:paraId="175399A8" w14:textId="4C95768F" w:rsidR="002A4EE6" w:rsidRPr="00C00335" w:rsidRDefault="002A4EE6" w:rsidP="00260D8A">
            <w:pPr>
              <w:pStyle w:val="TableText"/>
              <w:spacing w:before="50" w:after="50"/>
              <w:rPr>
                <w:sz w:val="20"/>
              </w:rPr>
            </w:pPr>
            <w:r w:rsidRPr="00C00335">
              <w:rPr>
                <w:sz w:val="20"/>
              </w:rPr>
              <w:t>Linkage to HIV care at diagnosis intervention (6)</w:t>
            </w:r>
          </w:p>
          <w:p w14:paraId="7D3A7102" w14:textId="77777777" w:rsidR="002A4EE6" w:rsidRPr="00C00335" w:rsidRDefault="002A4EE6" w:rsidP="00260D8A">
            <w:pPr>
              <w:pStyle w:val="TableText"/>
              <w:spacing w:before="50" w:after="50"/>
              <w:rPr>
                <w:sz w:val="20"/>
              </w:rPr>
            </w:pPr>
            <w:r w:rsidRPr="00C00335">
              <w:rPr>
                <w:sz w:val="20"/>
              </w:rPr>
              <w:t>Linkage to HIV care later after diagnosis intervention (7)</w:t>
            </w:r>
          </w:p>
          <w:p w14:paraId="460E55A8" w14:textId="77777777" w:rsidR="002A4EE6" w:rsidRPr="00C00335" w:rsidRDefault="002A4EE6" w:rsidP="00260D8A">
            <w:pPr>
              <w:pStyle w:val="TableText"/>
              <w:spacing w:before="50" w:after="50"/>
              <w:rPr>
                <w:sz w:val="20"/>
              </w:rPr>
            </w:pPr>
            <w:r w:rsidRPr="00C00335">
              <w:rPr>
                <w:sz w:val="20"/>
              </w:rPr>
              <w:t>ART prescription intervention (8)</w:t>
            </w:r>
          </w:p>
          <w:p w14:paraId="2EF8F8A8" w14:textId="77E9116E" w:rsidR="002A4EE6" w:rsidRPr="00C00335" w:rsidRDefault="002A4EE6" w:rsidP="00260D8A">
            <w:pPr>
              <w:pStyle w:val="TableText"/>
              <w:spacing w:before="50" w:after="50"/>
              <w:rPr>
                <w:sz w:val="20"/>
              </w:rPr>
            </w:pPr>
            <w:r w:rsidRPr="00C00335">
              <w:rPr>
                <w:sz w:val="20"/>
              </w:rPr>
              <w:t>ART adherence</w:t>
            </w:r>
            <w:r w:rsidR="00DC3348">
              <w:rPr>
                <w:sz w:val="20"/>
              </w:rPr>
              <w:t xml:space="preserve"> to become VLS</w:t>
            </w:r>
            <w:r w:rsidRPr="00C00335">
              <w:rPr>
                <w:sz w:val="20"/>
              </w:rPr>
              <w:t xml:space="preserve"> </w:t>
            </w:r>
            <w:r w:rsidR="005B1915" w:rsidRPr="00C00335">
              <w:rPr>
                <w:sz w:val="20"/>
              </w:rPr>
              <w:t>(</w:t>
            </w:r>
            <w:r w:rsidR="005B1915">
              <w:rPr>
                <w:sz w:val="20"/>
              </w:rPr>
              <w:t>progress</w:t>
            </w:r>
            <w:r w:rsidR="005B1915" w:rsidRPr="00C00335">
              <w:rPr>
                <w:sz w:val="20"/>
              </w:rPr>
              <w:t xml:space="preserve"> from </w:t>
            </w:r>
            <w:r w:rsidR="00733831">
              <w:rPr>
                <w:sz w:val="20"/>
              </w:rPr>
              <w:t xml:space="preserve">on </w:t>
            </w:r>
            <w:r w:rsidR="00280171">
              <w:rPr>
                <w:sz w:val="20"/>
              </w:rPr>
              <w:t>ART-not-VLS</w:t>
            </w:r>
            <w:r w:rsidR="005B1915" w:rsidRPr="00C00335">
              <w:rPr>
                <w:sz w:val="20"/>
              </w:rPr>
              <w:t xml:space="preserve"> to VLS) </w:t>
            </w:r>
            <w:r w:rsidRPr="00C00335">
              <w:rPr>
                <w:sz w:val="20"/>
              </w:rPr>
              <w:t>intervention</w:t>
            </w:r>
            <w:r w:rsidR="005B1915">
              <w:rPr>
                <w:sz w:val="20"/>
              </w:rPr>
              <w:t xml:space="preserve"> </w:t>
            </w:r>
            <w:r w:rsidRPr="00C00335">
              <w:rPr>
                <w:sz w:val="20"/>
              </w:rPr>
              <w:t>(9)</w:t>
            </w:r>
          </w:p>
          <w:p w14:paraId="20680AB8" w14:textId="7E67A81C" w:rsidR="002A4EE6" w:rsidRDefault="002A4EE6" w:rsidP="00260D8A">
            <w:pPr>
              <w:pStyle w:val="TableText"/>
              <w:spacing w:before="50" w:after="50"/>
              <w:rPr>
                <w:sz w:val="20"/>
              </w:rPr>
            </w:pPr>
            <w:r w:rsidRPr="00C00335">
              <w:rPr>
                <w:sz w:val="20"/>
              </w:rPr>
              <w:t xml:space="preserve">ART adherence to remain VLS </w:t>
            </w:r>
            <w:r w:rsidR="005B1915" w:rsidRPr="00C00335">
              <w:rPr>
                <w:sz w:val="20"/>
              </w:rPr>
              <w:t>(</w:t>
            </w:r>
            <w:r w:rsidR="005B1915">
              <w:rPr>
                <w:sz w:val="20"/>
              </w:rPr>
              <w:t>reduce departure</w:t>
            </w:r>
            <w:r w:rsidR="005B1915" w:rsidRPr="00C00335">
              <w:rPr>
                <w:sz w:val="20"/>
              </w:rPr>
              <w:t xml:space="preserve"> from VLS) </w:t>
            </w:r>
            <w:r w:rsidRPr="00C00335">
              <w:rPr>
                <w:sz w:val="20"/>
              </w:rPr>
              <w:t>intervention (10)</w:t>
            </w:r>
          </w:p>
          <w:p w14:paraId="1844E797" w14:textId="40FB9D1C" w:rsidR="004935EA" w:rsidRPr="00C00335" w:rsidRDefault="004935EA" w:rsidP="00260D8A">
            <w:pPr>
              <w:pStyle w:val="TableText"/>
              <w:spacing w:before="50" w:after="50"/>
              <w:rPr>
                <w:sz w:val="20"/>
              </w:rPr>
            </w:pPr>
            <w:r w:rsidRPr="00DF0DDD">
              <w:rPr>
                <w:sz w:val="20"/>
              </w:rPr>
              <w:t>SEP targeted to PWID (11)</w:t>
            </w:r>
          </w:p>
          <w:p w14:paraId="526FE579" w14:textId="306A853F" w:rsidR="002A4EE6" w:rsidRPr="00C00335" w:rsidRDefault="002A4EE6" w:rsidP="00260D8A">
            <w:pPr>
              <w:pStyle w:val="TableText"/>
              <w:spacing w:before="50" w:after="50"/>
              <w:rPr>
                <w:sz w:val="20"/>
              </w:rPr>
            </w:pPr>
            <w:proofErr w:type="spellStart"/>
            <w:r w:rsidRPr="00DF0DDD">
              <w:rPr>
                <w:sz w:val="20"/>
              </w:rPr>
              <w:t>PrEP</w:t>
            </w:r>
            <w:proofErr w:type="spellEnd"/>
            <w:r w:rsidRPr="00DF0DDD">
              <w:rPr>
                <w:sz w:val="20"/>
              </w:rPr>
              <w:t xml:space="preserve"> targeted to high-risk HETs (</w:t>
            </w:r>
            <w:r w:rsidR="004935EA" w:rsidRPr="00DF0DDD">
              <w:rPr>
                <w:sz w:val="20"/>
              </w:rPr>
              <w:t>12</w:t>
            </w:r>
            <w:r w:rsidRPr="00DF0DDD">
              <w:rPr>
                <w:sz w:val="20"/>
              </w:rPr>
              <w:t>), high-risk MSM (</w:t>
            </w:r>
            <w:r w:rsidR="004935EA" w:rsidRPr="00DF0DDD">
              <w:rPr>
                <w:sz w:val="20"/>
              </w:rPr>
              <w:t>13</w:t>
            </w:r>
            <w:r w:rsidRPr="00DF0DDD">
              <w:rPr>
                <w:sz w:val="20"/>
              </w:rPr>
              <w:t>), PWID (</w:t>
            </w:r>
            <w:r w:rsidR="004935EA" w:rsidRPr="00DF0DDD">
              <w:rPr>
                <w:sz w:val="20"/>
              </w:rPr>
              <w:t>14</w:t>
            </w:r>
            <w:r w:rsidRPr="00DF0DDD">
              <w:rPr>
                <w:sz w:val="20"/>
              </w:rPr>
              <w:t>)</w:t>
            </w:r>
          </w:p>
        </w:tc>
      </w:tr>
      <w:tr w:rsidR="002A4EE6" w:rsidRPr="00C00335" w14:paraId="4C7BDF0E"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3EF0C769" w14:textId="77777777" w:rsidR="002A4EE6" w:rsidRPr="00C00335" w:rsidRDefault="002A4EE6" w:rsidP="00260D8A">
            <w:pPr>
              <w:pStyle w:val="TableText"/>
              <w:spacing w:before="50" w:after="50"/>
              <w:jc w:val="center"/>
              <w:rPr>
                <w:sz w:val="20"/>
              </w:rPr>
            </w:pPr>
            <w:r w:rsidRPr="00C00335">
              <w:rPr>
                <w:sz w:val="20"/>
              </w:rPr>
              <w:t>k</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361EED7F" w14:textId="77777777" w:rsidR="002A4EE6" w:rsidRPr="00C00335" w:rsidRDefault="002A4EE6" w:rsidP="00260D8A">
            <w:pPr>
              <w:pStyle w:val="TableText"/>
              <w:spacing w:before="50" w:after="50"/>
              <w:rPr>
                <w:sz w:val="20"/>
              </w:rPr>
            </w:pPr>
            <w:r w:rsidRPr="00C00335">
              <w:rPr>
                <w:sz w:val="20"/>
              </w:rPr>
              <w:t>Risk level</w:t>
            </w:r>
          </w:p>
        </w:tc>
        <w:tc>
          <w:tcPr>
            <w:tcW w:w="586" w:type="pct"/>
            <w:tcBorders>
              <w:top w:val="single" w:sz="6" w:space="0" w:color="808080" w:themeColor="background1" w:themeShade="80"/>
              <w:bottom w:val="single" w:sz="6" w:space="0" w:color="808080" w:themeColor="background1" w:themeShade="80"/>
            </w:tcBorders>
          </w:tcPr>
          <w:p w14:paraId="5B89FF9F" w14:textId="77777777" w:rsidR="002A4EE6" w:rsidRPr="00C00335" w:rsidRDefault="002A4EE6" w:rsidP="00260D8A">
            <w:pPr>
              <w:pStyle w:val="TableText"/>
              <w:spacing w:before="50" w:after="50"/>
              <w:jc w:val="center"/>
              <w:rPr>
                <w:sz w:val="20"/>
              </w:rPr>
            </w:pPr>
            <w:r w:rsidRPr="00C00335">
              <w:rPr>
                <w:sz w:val="20"/>
              </w:rPr>
              <w:t>2</w:t>
            </w:r>
          </w:p>
        </w:tc>
        <w:tc>
          <w:tcPr>
            <w:tcW w:w="3345" w:type="pct"/>
            <w:tcBorders>
              <w:top w:val="single" w:sz="6" w:space="0" w:color="808080" w:themeColor="background1" w:themeShade="80"/>
              <w:bottom w:val="single" w:sz="6" w:space="0" w:color="808080" w:themeColor="background1" w:themeShade="80"/>
            </w:tcBorders>
          </w:tcPr>
          <w:p w14:paraId="58205279" w14:textId="77777777" w:rsidR="002A4EE6" w:rsidRPr="00C00335" w:rsidRDefault="002A4EE6" w:rsidP="00260D8A">
            <w:pPr>
              <w:pStyle w:val="TableText"/>
              <w:spacing w:before="50" w:after="50"/>
              <w:rPr>
                <w:sz w:val="20"/>
              </w:rPr>
            </w:pPr>
            <w:r w:rsidRPr="00C00335">
              <w:rPr>
                <w:sz w:val="20"/>
              </w:rPr>
              <w:t>Low (1)</w:t>
            </w:r>
          </w:p>
          <w:p w14:paraId="6B08D262" w14:textId="77777777" w:rsidR="002A4EE6" w:rsidRPr="00C00335" w:rsidRDefault="002A4EE6" w:rsidP="00260D8A">
            <w:pPr>
              <w:pStyle w:val="TableText"/>
              <w:spacing w:before="50" w:after="50"/>
              <w:rPr>
                <w:sz w:val="20"/>
              </w:rPr>
            </w:pPr>
            <w:r w:rsidRPr="00C00335">
              <w:rPr>
                <w:sz w:val="20"/>
              </w:rPr>
              <w:t>High (2)</w:t>
            </w:r>
          </w:p>
        </w:tc>
      </w:tr>
      <w:tr w:rsidR="00D40CDC" w:rsidRPr="00C00335" w14:paraId="2A22C4E7" w14:textId="77777777" w:rsidTr="002A4EE6">
        <w:trPr>
          <w:cantSplit/>
        </w:trPr>
        <w:tc>
          <w:tcPr>
            <w:tcW w:w="346" w:type="pct"/>
            <w:tcBorders>
              <w:top w:val="single" w:sz="6" w:space="0" w:color="808080" w:themeColor="background1" w:themeShade="80"/>
              <w:bottom w:val="single" w:sz="4" w:space="0" w:color="808080" w:themeColor="background1" w:themeShade="80"/>
            </w:tcBorders>
            <w:shd w:val="clear" w:color="auto" w:fill="auto"/>
          </w:tcPr>
          <w:p w14:paraId="24A45088" w14:textId="243599F2" w:rsidR="00D40CDC" w:rsidRPr="00C00335" w:rsidRDefault="00D40CDC" w:rsidP="00D40CDC">
            <w:pPr>
              <w:pStyle w:val="TableText"/>
              <w:spacing w:before="50" w:after="50"/>
              <w:jc w:val="center"/>
              <w:rPr>
                <w:sz w:val="20"/>
              </w:rPr>
            </w:pPr>
            <w:r w:rsidRPr="00C00335">
              <w:rPr>
                <w:sz w:val="20"/>
              </w:rPr>
              <w:t>l</w:t>
            </w:r>
          </w:p>
        </w:tc>
        <w:tc>
          <w:tcPr>
            <w:tcW w:w="723" w:type="pct"/>
            <w:tcBorders>
              <w:top w:val="single" w:sz="6" w:space="0" w:color="808080" w:themeColor="background1" w:themeShade="80"/>
              <w:bottom w:val="single" w:sz="4" w:space="0" w:color="808080" w:themeColor="background1" w:themeShade="80"/>
            </w:tcBorders>
            <w:shd w:val="clear" w:color="auto" w:fill="auto"/>
          </w:tcPr>
          <w:p w14:paraId="4EB23CDC" w14:textId="375FB0BB" w:rsidR="00D40CDC" w:rsidRPr="00C00335" w:rsidRDefault="00D40CDC" w:rsidP="00D40CDC">
            <w:pPr>
              <w:pStyle w:val="TableText"/>
              <w:spacing w:before="50" w:after="50"/>
              <w:rPr>
                <w:sz w:val="20"/>
              </w:rPr>
            </w:pPr>
            <w:r w:rsidRPr="00C00335">
              <w:rPr>
                <w:sz w:val="20"/>
              </w:rPr>
              <w:t>Transmission group</w:t>
            </w:r>
          </w:p>
        </w:tc>
        <w:tc>
          <w:tcPr>
            <w:tcW w:w="586" w:type="pct"/>
            <w:tcBorders>
              <w:top w:val="single" w:sz="6" w:space="0" w:color="808080" w:themeColor="background1" w:themeShade="80"/>
              <w:bottom w:val="single" w:sz="4" w:space="0" w:color="808080" w:themeColor="background1" w:themeShade="80"/>
            </w:tcBorders>
          </w:tcPr>
          <w:p w14:paraId="26D59A64" w14:textId="6D0BCB46" w:rsidR="00D40CDC" w:rsidRPr="00C00335" w:rsidRDefault="00D40CDC" w:rsidP="00D40CDC">
            <w:pPr>
              <w:pStyle w:val="TableText"/>
              <w:spacing w:before="50" w:after="50"/>
              <w:jc w:val="center"/>
              <w:rPr>
                <w:sz w:val="20"/>
              </w:rPr>
            </w:pPr>
            <w:r w:rsidRPr="00C00335">
              <w:rPr>
                <w:sz w:val="20"/>
              </w:rPr>
              <w:t>3</w:t>
            </w:r>
          </w:p>
        </w:tc>
        <w:tc>
          <w:tcPr>
            <w:tcW w:w="3345" w:type="pct"/>
            <w:tcBorders>
              <w:top w:val="single" w:sz="6" w:space="0" w:color="808080" w:themeColor="background1" w:themeShade="80"/>
              <w:bottom w:val="single" w:sz="4" w:space="0" w:color="808080" w:themeColor="background1" w:themeShade="80"/>
            </w:tcBorders>
          </w:tcPr>
          <w:p w14:paraId="7882385C" w14:textId="77777777" w:rsidR="00D40CDC" w:rsidRPr="00C00335" w:rsidRDefault="00D40CDC" w:rsidP="00D40CDC">
            <w:pPr>
              <w:pStyle w:val="TableText"/>
              <w:spacing w:before="50" w:after="50"/>
              <w:rPr>
                <w:sz w:val="20"/>
              </w:rPr>
            </w:pPr>
            <w:r w:rsidRPr="00C00335">
              <w:rPr>
                <w:sz w:val="20"/>
              </w:rPr>
              <w:t>HETs (1)</w:t>
            </w:r>
          </w:p>
          <w:p w14:paraId="36B90C0C" w14:textId="77777777" w:rsidR="00D40CDC" w:rsidRPr="00C00335" w:rsidRDefault="00D40CDC" w:rsidP="00D40CDC">
            <w:pPr>
              <w:pStyle w:val="TableText"/>
              <w:spacing w:before="50" w:after="50"/>
              <w:rPr>
                <w:sz w:val="20"/>
              </w:rPr>
            </w:pPr>
            <w:r w:rsidRPr="00C00335">
              <w:rPr>
                <w:sz w:val="20"/>
              </w:rPr>
              <w:t>MSM (2)</w:t>
            </w:r>
          </w:p>
          <w:p w14:paraId="6B90B954" w14:textId="740FEE1D" w:rsidR="00D40CDC" w:rsidRPr="00C00335" w:rsidRDefault="00D40CDC" w:rsidP="00D40CDC">
            <w:pPr>
              <w:pStyle w:val="TableText"/>
              <w:spacing w:before="50" w:after="50"/>
              <w:rPr>
                <w:sz w:val="20"/>
              </w:rPr>
            </w:pPr>
            <w:r w:rsidRPr="00C00335">
              <w:rPr>
                <w:sz w:val="20"/>
              </w:rPr>
              <w:t xml:space="preserve">PWID (3) </w:t>
            </w:r>
          </w:p>
        </w:tc>
      </w:tr>
      <w:tr w:rsidR="00D37A76" w:rsidRPr="00C00335" w14:paraId="30D17946" w14:textId="77777777" w:rsidTr="002A4EE6">
        <w:trPr>
          <w:cantSplit/>
        </w:trPr>
        <w:tc>
          <w:tcPr>
            <w:tcW w:w="346" w:type="pct"/>
            <w:tcBorders>
              <w:top w:val="single" w:sz="4" w:space="0" w:color="808080" w:themeColor="background1" w:themeShade="80"/>
              <w:bottom w:val="single" w:sz="6" w:space="0" w:color="808080" w:themeColor="background1" w:themeShade="80"/>
            </w:tcBorders>
            <w:shd w:val="clear" w:color="auto" w:fill="auto"/>
          </w:tcPr>
          <w:p w14:paraId="2C7BDB2C" w14:textId="77777777" w:rsidR="00D37A76" w:rsidRPr="00C00335" w:rsidRDefault="00D37A76" w:rsidP="00D40CDC">
            <w:pPr>
              <w:pStyle w:val="TableText"/>
              <w:spacing w:before="50" w:after="50"/>
              <w:jc w:val="center"/>
              <w:rPr>
                <w:sz w:val="20"/>
              </w:rPr>
            </w:pPr>
            <w:r w:rsidRPr="00C00335">
              <w:rPr>
                <w:sz w:val="20"/>
              </w:rPr>
              <w:t>m</w:t>
            </w:r>
          </w:p>
        </w:tc>
        <w:tc>
          <w:tcPr>
            <w:tcW w:w="723" w:type="pct"/>
            <w:tcBorders>
              <w:top w:val="single" w:sz="4" w:space="0" w:color="808080" w:themeColor="background1" w:themeShade="80"/>
              <w:bottom w:val="single" w:sz="6" w:space="0" w:color="808080" w:themeColor="background1" w:themeShade="80"/>
            </w:tcBorders>
            <w:shd w:val="clear" w:color="auto" w:fill="auto"/>
          </w:tcPr>
          <w:p w14:paraId="2693EBC5" w14:textId="77777777" w:rsidR="00D37A76" w:rsidRPr="00C00335" w:rsidRDefault="00D37A76" w:rsidP="00D40CDC">
            <w:pPr>
              <w:pStyle w:val="TableText"/>
              <w:spacing w:before="50" w:after="50"/>
              <w:rPr>
                <w:sz w:val="20"/>
              </w:rPr>
            </w:pPr>
            <w:r w:rsidRPr="00C00335">
              <w:rPr>
                <w:sz w:val="20"/>
              </w:rPr>
              <w:t>Sex</w:t>
            </w:r>
          </w:p>
        </w:tc>
        <w:tc>
          <w:tcPr>
            <w:tcW w:w="586" w:type="pct"/>
            <w:tcBorders>
              <w:top w:val="single" w:sz="4" w:space="0" w:color="808080" w:themeColor="background1" w:themeShade="80"/>
              <w:bottom w:val="single" w:sz="6" w:space="0" w:color="808080" w:themeColor="background1" w:themeShade="80"/>
            </w:tcBorders>
          </w:tcPr>
          <w:p w14:paraId="13C8B4AB" w14:textId="77777777" w:rsidR="00D37A76" w:rsidRPr="00C00335" w:rsidRDefault="00D37A76" w:rsidP="00D40CDC">
            <w:pPr>
              <w:pStyle w:val="TableText"/>
              <w:tabs>
                <w:tab w:val="decimal" w:pos="-27"/>
              </w:tabs>
              <w:spacing w:before="50" w:after="50"/>
              <w:jc w:val="center"/>
              <w:rPr>
                <w:sz w:val="20"/>
              </w:rPr>
            </w:pPr>
            <w:r w:rsidRPr="00C00335">
              <w:rPr>
                <w:sz w:val="20"/>
              </w:rPr>
              <w:t>2</w:t>
            </w:r>
          </w:p>
        </w:tc>
        <w:tc>
          <w:tcPr>
            <w:tcW w:w="3345" w:type="pct"/>
            <w:tcBorders>
              <w:top w:val="single" w:sz="4" w:space="0" w:color="808080" w:themeColor="background1" w:themeShade="80"/>
              <w:bottom w:val="single" w:sz="6" w:space="0" w:color="808080" w:themeColor="background1" w:themeShade="80"/>
            </w:tcBorders>
          </w:tcPr>
          <w:p w14:paraId="15C7BE45" w14:textId="77777777" w:rsidR="00D37A76" w:rsidRPr="00C00335" w:rsidRDefault="00D37A76" w:rsidP="00D40CDC">
            <w:pPr>
              <w:pStyle w:val="TableText"/>
              <w:spacing w:before="50" w:after="50"/>
              <w:rPr>
                <w:sz w:val="20"/>
              </w:rPr>
            </w:pPr>
            <w:r w:rsidRPr="00C00335">
              <w:rPr>
                <w:sz w:val="20"/>
              </w:rPr>
              <w:t>Male (1)</w:t>
            </w:r>
          </w:p>
          <w:p w14:paraId="2ADB0EBF" w14:textId="77777777" w:rsidR="00D37A76" w:rsidRPr="00C00335" w:rsidRDefault="00D37A76" w:rsidP="00D40CDC">
            <w:pPr>
              <w:pStyle w:val="TableText"/>
              <w:spacing w:before="50" w:after="50"/>
              <w:rPr>
                <w:sz w:val="20"/>
              </w:rPr>
            </w:pPr>
            <w:r w:rsidRPr="00C00335">
              <w:rPr>
                <w:sz w:val="20"/>
              </w:rPr>
              <w:t>Female (2)</w:t>
            </w:r>
          </w:p>
        </w:tc>
      </w:tr>
      <w:tr w:rsidR="00551FA4" w:rsidRPr="00C00335" w14:paraId="7A5A4565"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00BE4378" w14:textId="77777777" w:rsidR="00551FA4" w:rsidRPr="00C00335" w:rsidRDefault="00551FA4" w:rsidP="00D40CDC">
            <w:pPr>
              <w:pStyle w:val="TableText"/>
              <w:spacing w:before="50" w:after="50"/>
              <w:jc w:val="center"/>
              <w:rPr>
                <w:sz w:val="20"/>
              </w:rPr>
            </w:pPr>
            <w:r w:rsidRPr="00C00335">
              <w:rPr>
                <w:sz w:val="20"/>
              </w:rPr>
              <w:t>n</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1E2F13A2" w14:textId="77777777" w:rsidR="00551FA4" w:rsidRPr="00C00335" w:rsidRDefault="00551FA4" w:rsidP="00D40CDC">
            <w:pPr>
              <w:pStyle w:val="TableText"/>
              <w:spacing w:before="50" w:after="50"/>
              <w:rPr>
                <w:sz w:val="20"/>
              </w:rPr>
            </w:pPr>
            <w:r w:rsidRPr="00C00335">
              <w:rPr>
                <w:sz w:val="20"/>
              </w:rPr>
              <w:t>Circumcision status</w:t>
            </w:r>
          </w:p>
        </w:tc>
        <w:tc>
          <w:tcPr>
            <w:tcW w:w="586" w:type="pct"/>
            <w:tcBorders>
              <w:top w:val="single" w:sz="6" w:space="0" w:color="808080" w:themeColor="background1" w:themeShade="80"/>
              <w:bottom w:val="single" w:sz="6" w:space="0" w:color="808080" w:themeColor="background1" w:themeShade="80"/>
            </w:tcBorders>
          </w:tcPr>
          <w:p w14:paraId="0F10FACF" w14:textId="77777777" w:rsidR="00551FA4" w:rsidRPr="00C00335" w:rsidRDefault="00551FA4" w:rsidP="00D40CDC">
            <w:pPr>
              <w:pStyle w:val="TableText"/>
              <w:tabs>
                <w:tab w:val="decimal" w:pos="693"/>
              </w:tabs>
              <w:spacing w:before="50" w:after="50"/>
              <w:rPr>
                <w:sz w:val="20"/>
              </w:rPr>
            </w:pPr>
            <w:r w:rsidRPr="00C00335">
              <w:rPr>
                <w:sz w:val="20"/>
              </w:rPr>
              <w:t>2</w:t>
            </w:r>
          </w:p>
        </w:tc>
        <w:tc>
          <w:tcPr>
            <w:tcW w:w="3345" w:type="pct"/>
            <w:tcBorders>
              <w:top w:val="single" w:sz="6" w:space="0" w:color="808080" w:themeColor="background1" w:themeShade="80"/>
              <w:bottom w:val="single" w:sz="6" w:space="0" w:color="808080" w:themeColor="background1" w:themeShade="80"/>
            </w:tcBorders>
          </w:tcPr>
          <w:p w14:paraId="197284B9" w14:textId="77777777" w:rsidR="00551FA4" w:rsidRPr="00C00335" w:rsidRDefault="00551FA4" w:rsidP="00D40CDC">
            <w:pPr>
              <w:pStyle w:val="TableText"/>
              <w:spacing w:before="50" w:after="50"/>
              <w:rPr>
                <w:sz w:val="20"/>
              </w:rPr>
            </w:pPr>
            <w:r w:rsidRPr="00C00335">
              <w:rPr>
                <w:sz w:val="20"/>
              </w:rPr>
              <w:t>Uncircumcised (1)</w:t>
            </w:r>
          </w:p>
          <w:p w14:paraId="595A5ACD" w14:textId="77777777" w:rsidR="00551FA4" w:rsidRPr="00C00335" w:rsidRDefault="00551FA4" w:rsidP="00D40CDC">
            <w:pPr>
              <w:pStyle w:val="TableText"/>
              <w:spacing w:before="50" w:after="50"/>
              <w:rPr>
                <w:sz w:val="20"/>
              </w:rPr>
            </w:pPr>
            <w:r w:rsidRPr="00C00335">
              <w:rPr>
                <w:sz w:val="20"/>
              </w:rPr>
              <w:t>Circumcised (2)</w:t>
            </w:r>
          </w:p>
        </w:tc>
      </w:tr>
      <w:tr w:rsidR="00551FA4" w:rsidRPr="00C00335" w14:paraId="10B2D777"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742530D2" w14:textId="77777777" w:rsidR="00551FA4" w:rsidRPr="00C00335" w:rsidRDefault="00551FA4" w:rsidP="00D40CDC">
            <w:pPr>
              <w:pStyle w:val="TableText"/>
              <w:spacing w:before="50" w:after="50"/>
              <w:jc w:val="center"/>
              <w:rPr>
                <w:sz w:val="20"/>
              </w:rPr>
            </w:pPr>
            <w:r w:rsidRPr="00C00335">
              <w:rPr>
                <w:sz w:val="20"/>
              </w:rPr>
              <w:t>o</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51CECF51" w14:textId="77777777" w:rsidR="00551FA4" w:rsidRPr="00C00335" w:rsidRDefault="00551FA4" w:rsidP="00D40CDC">
            <w:pPr>
              <w:pStyle w:val="TableText"/>
              <w:spacing w:before="50" w:after="50"/>
              <w:rPr>
                <w:sz w:val="20"/>
              </w:rPr>
            </w:pPr>
            <w:r w:rsidRPr="00C00335">
              <w:rPr>
                <w:sz w:val="20"/>
              </w:rPr>
              <w:t>Race</w:t>
            </w:r>
            <w:r w:rsidR="00710F65" w:rsidRPr="00C00335">
              <w:rPr>
                <w:sz w:val="20"/>
              </w:rPr>
              <w:t>/ethnicity</w:t>
            </w:r>
          </w:p>
        </w:tc>
        <w:tc>
          <w:tcPr>
            <w:tcW w:w="586" w:type="pct"/>
            <w:tcBorders>
              <w:top w:val="single" w:sz="6" w:space="0" w:color="808080" w:themeColor="background1" w:themeShade="80"/>
              <w:bottom w:val="single" w:sz="6" w:space="0" w:color="808080" w:themeColor="background1" w:themeShade="80"/>
            </w:tcBorders>
          </w:tcPr>
          <w:p w14:paraId="05F426FA" w14:textId="77777777" w:rsidR="00551FA4" w:rsidRPr="00C00335" w:rsidRDefault="00551FA4" w:rsidP="00D40CDC">
            <w:pPr>
              <w:pStyle w:val="TableText"/>
              <w:tabs>
                <w:tab w:val="decimal" w:pos="693"/>
              </w:tabs>
              <w:spacing w:before="50" w:after="50"/>
              <w:rPr>
                <w:sz w:val="20"/>
              </w:rPr>
            </w:pPr>
            <w:r w:rsidRPr="00C00335">
              <w:rPr>
                <w:sz w:val="20"/>
              </w:rPr>
              <w:t>3</w:t>
            </w:r>
          </w:p>
        </w:tc>
        <w:tc>
          <w:tcPr>
            <w:tcW w:w="3345" w:type="pct"/>
            <w:tcBorders>
              <w:top w:val="single" w:sz="6" w:space="0" w:color="808080" w:themeColor="background1" w:themeShade="80"/>
              <w:bottom w:val="single" w:sz="6" w:space="0" w:color="808080" w:themeColor="background1" w:themeShade="80"/>
            </w:tcBorders>
          </w:tcPr>
          <w:p w14:paraId="0288026A" w14:textId="77777777" w:rsidR="00551FA4" w:rsidRPr="00C00335" w:rsidRDefault="00551FA4" w:rsidP="00D40CDC">
            <w:pPr>
              <w:pStyle w:val="TableText"/>
              <w:spacing w:before="50" w:after="50"/>
              <w:rPr>
                <w:sz w:val="20"/>
              </w:rPr>
            </w:pPr>
            <w:r w:rsidRPr="00C00335">
              <w:rPr>
                <w:sz w:val="20"/>
              </w:rPr>
              <w:t>Black (1)</w:t>
            </w:r>
          </w:p>
          <w:p w14:paraId="36D15BD3" w14:textId="77777777" w:rsidR="00551FA4" w:rsidRPr="00C00335" w:rsidRDefault="00551FA4" w:rsidP="00D40CDC">
            <w:pPr>
              <w:pStyle w:val="TableText"/>
              <w:spacing w:before="50" w:after="50"/>
              <w:rPr>
                <w:sz w:val="20"/>
              </w:rPr>
            </w:pPr>
            <w:r w:rsidRPr="00C00335">
              <w:rPr>
                <w:sz w:val="20"/>
              </w:rPr>
              <w:t>Hispanic/Latino (2)</w:t>
            </w:r>
          </w:p>
          <w:p w14:paraId="18BC73CA" w14:textId="01868E3E" w:rsidR="00551FA4" w:rsidRPr="00C00335" w:rsidRDefault="00896735" w:rsidP="00D40CDC">
            <w:pPr>
              <w:pStyle w:val="TableText"/>
              <w:spacing w:before="50" w:after="50"/>
              <w:rPr>
                <w:sz w:val="20"/>
              </w:rPr>
            </w:pPr>
            <w:r>
              <w:rPr>
                <w:sz w:val="20"/>
              </w:rPr>
              <w:t>White/other</w:t>
            </w:r>
            <w:r w:rsidR="00551FA4" w:rsidRPr="00C00335">
              <w:rPr>
                <w:sz w:val="20"/>
              </w:rPr>
              <w:t xml:space="preserve"> (3)</w:t>
            </w:r>
          </w:p>
        </w:tc>
      </w:tr>
      <w:tr w:rsidR="00551FA4" w:rsidRPr="00C00335" w14:paraId="71197734"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3800A3DB" w14:textId="77777777" w:rsidR="00551FA4" w:rsidRPr="00C00335" w:rsidRDefault="00551FA4" w:rsidP="00D40CDC">
            <w:pPr>
              <w:pStyle w:val="TableText"/>
              <w:spacing w:before="50" w:after="50"/>
              <w:jc w:val="center"/>
              <w:rPr>
                <w:sz w:val="20"/>
              </w:rPr>
            </w:pPr>
            <w:r w:rsidRPr="00C00335">
              <w:rPr>
                <w:sz w:val="20"/>
              </w:rPr>
              <w:t>p</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0B9AE82C" w14:textId="77777777" w:rsidR="00551FA4" w:rsidRPr="00C00335" w:rsidRDefault="00551FA4" w:rsidP="00D40CDC">
            <w:pPr>
              <w:pStyle w:val="TableText"/>
              <w:spacing w:before="50" w:after="50"/>
              <w:rPr>
                <w:sz w:val="20"/>
              </w:rPr>
            </w:pPr>
            <w:r w:rsidRPr="00C00335">
              <w:rPr>
                <w:sz w:val="20"/>
              </w:rPr>
              <w:t>Subpopulation</w:t>
            </w:r>
          </w:p>
        </w:tc>
        <w:tc>
          <w:tcPr>
            <w:tcW w:w="586" w:type="pct"/>
            <w:tcBorders>
              <w:top w:val="single" w:sz="6" w:space="0" w:color="808080" w:themeColor="background1" w:themeShade="80"/>
              <w:bottom w:val="single" w:sz="6" w:space="0" w:color="808080" w:themeColor="background1" w:themeShade="80"/>
            </w:tcBorders>
          </w:tcPr>
          <w:p w14:paraId="50C98AC5" w14:textId="220B9786" w:rsidR="00551FA4" w:rsidRPr="00C00335" w:rsidRDefault="00EA7B46" w:rsidP="00D40CDC">
            <w:pPr>
              <w:pStyle w:val="TableText"/>
              <w:tabs>
                <w:tab w:val="decimal" w:pos="693"/>
              </w:tabs>
              <w:spacing w:before="50" w:after="50"/>
              <w:rPr>
                <w:sz w:val="20"/>
              </w:rPr>
            </w:pPr>
            <w:r>
              <w:rPr>
                <w:sz w:val="20"/>
              </w:rPr>
              <w:t>273</w:t>
            </w:r>
          </w:p>
        </w:tc>
        <w:tc>
          <w:tcPr>
            <w:tcW w:w="3345" w:type="pct"/>
            <w:tcBorders>
              <w:top w:val="single" w:sz="6" w:space="0" w:color="808080" w:themeColor="background1" w:themeShade="80"/>
              <w:bottom w:val="single" w:sz="6" w:space="0" w:color="808080" w:themeColor="background1" w:themeShade="80"/>
            </w:tcBorders>
          </w:tcPr>
          <w:p w14:paraId="5EDD768A" w14:textId="034495D1" w:rsidR="00551FA4" w:rsidRPr="00C00335" w:rsidRDefault="00551FA4" w:rsidP="00D40CDC">
            <w:pPr>
              <w:pStyle w:val="TableText"/>
              <w:spacing w:before="50" w:after="50"/>
              <w:rPr>
                <w:sz w:val="20"/>
              </w:rPr>
            </w:pPr>
            <w:r w:rsidRPr="00C00335">
              <w:rPr>
                <w:sz w:val="20"/>
              </w:rPr>
              <w:t xml:space="preserve">Combinations defined by age group (j), risk level (k), transmission group (l), sex (m), circumcision status (n), and race/ethnicity (o). </w:t>
            </w:r>
            <w:r w:rsidR="00341EDC" w:rsidRPr="00C00335">
              <w:rPr>
                <w:sz w:val="20"/>
              </w:rPr>
              <w:t>PWID</w:t>
            </w:r>
            <w:r w:rsidRPr="00C00335">
              <w:rPr>
                <w:sz w:val="20"/>
              </w:rPr>
              <w:t xml:space="preserve"> are all high-risk, MSM are all male, and only males are stratified by circumcision status, therefore not all combinations of these stratifications are represented.</w:t>
            </w:r>
          </w:p>
        </w:tc>
      </w:tr>
    </w:tbl>
    <w:p w14:paraId="77EA052F" w14:textId="77777777" w:rsidR="002A4EE6" w:rsidRPr="00C00335" w:rsidRDefault="002A4EE6" w:rsidP="002A4EE6">
      <w:pPr>
        <w:pStyle w:val="Tablecont"/>
        <w:rPr>
          <w:sz w:val="20"/>
        </w:rPr>
      </w:pPr>
      <w:r w:rsidRPr="00C00335">
        <w:rPr>
          <w:sz w:val="20"/>
        </w:rPr>
        <w:t>(continued)</w:t>
      </w:r>
    </w:p>
    <w:p w14:paraId="66B8D52D" w14:textId="77777777" w:rsidR="002A4EE6" w:rsidRPr="00C00335" w:rsidRDefault="002A4EE6" w:rsidP="002A4EE6">
      <w:pPr>
        <w:pStyle w:val="TableTitlecont"/>
        <w:tabs>
          <w:tab w:val="left" w:pos="2520"/>
        </w:tabs>
      </w:pPr>
      <w:r w:rsidRPr="00C00335">
        <w:br w:type="page"/>
      </w:r>
      <w:r w:rsidRPr="00C00335">
        <w:lastRenderedPageBreak/>
        <w:t>Table A.2.</w:t>
      </w:r>
      <w:r w:rsidRPr="00C00335">
        <w:tab/>
        <w:t>Definitions of Indices Applied in This Document (continued)</w:t>
      </w:r>
    </w:p>
    <w:tbl>
      <w:tblPr>
        <w:tblW w:w="5035" w:type="pct"/>
        <w:tblBorders>
          <w:top w:val="single" w:sz="12" w:space="0" w:color="000000"/>
          <w:bottom w:val="single" w:sz="12" w:space="0" w:color="000000"/>
          <w:insideH w:val="single" w:sz="2" w:space="0" w:color="DDDDDD"/>
        </w:tblBorders>
        <w:tblLayout w:type="fixed"/>
        <w:tblCellMar>
          <w:left w:w="115" w:type="dxa"/>
          <w:right w:w="115" w:type="dxa"/>
        </w:tblCellMar>
        <w:tblLook w:val="04A0" w:firstRow="1" w:lastRow="0" w:firstColumn="1" w:lastColumn="0" w:noHBand="0" w:noVBand="1"/>
      </w:tblPr>
      <w:tblGrid>
        <w:gridCol w:w="903"/>
        <w:gridCol w:w="1887"/>
        <w:gridCol w:w="1530"/>
        <w:gridCol w:w="8731"/>
      </w:tblGrid>
      <w:tr w:rsidR="002A4EE6" w:rsidRPr="00C00335" w14:paraId="334A294A" w14:textId="77777777" w:rsidTr="00260D8A">
        <w:trPr>
          <w:cantSplit/>
          <w:tblHeader/>
        </w:trPr>
        <w:tc>
          <w:tcPr>
            <w:tcW w:w="346" w:type="pct"/>
            <w:tcBorders>
              <w:top w:val="single" w:sz="12" w:space="0" w:color="000000"/>
              <w:bottom w:val="single" w:sz="6" w:space="0" w:color="auto"/>
            </w:tcBorders>
            <w:shd w:val="clear" w:color="auto" w:fill="auto"/>
            <w:vAlign w:val="bottom"/>
          </w:tcPr>
          <w:p w14:paraId="5BD71FD9" w14:textId="77777777" w:rsidR="002A4EE6" w:rsidRPr="00E832D1" w:rsidRDefault="002A4EE6" w:rsidP="00260D8A">
            <w:pPr>
              <w:pStyle w:val="TableHeaders"/>
              <w:spacing w:before="50" w:after="50"/>
              <w:rPr>
                <w:sz w:val="20"/>
              </w:rPr>
            </w:pPr>
            <w:r w:rsidRPr="00E832D1">
              <w:rPr>
                <w:sz w:val="20"/>
              </w:rPr>
              <w:t>Index</w:t>
            </w:r>
          </w:p>
        </w:tc>
        <w:tc>
          <w:tcPr>
            <w:tcW w:w="723" w:type="pct"/>
            <w:tcBorders>
              <w:top w:val="single" w:sz="12" w:space="0" w:color="000000"/>
              <w:bottom w:val="single" w:sz="6" w:space="0" w:color="auto"/>
            </w:tcBorders>
            <w:shd w:val="clear" w:color="auto" w:fill="auto"/>
            <w:vAlign w:val="bottom"/>
          </w:tcPr>
          <w:p w14:paraId="66EDB560" w14:textId="77777777" w:rsidR="002A4EE6" w:rsidRPr="00E832D1" w:rsidRDefault="002A4EE6" w:rsidP="00260D8A">
            <w:pPr>
              <w:pStyle w:val="TableHeaders"/>
              <w:spacing w:before="50" w:after="50"/>
              <w:rPr>
                <w:sz w:val="20"/>
              </w:rPr>
            </w:pPr>
            <w:r w:rsidRPr="00E832D1">
              <w:rPr>
                <w:sz w:val="20"/>
              </w:rPr>
              <w:t>Definition</w:t>
            </w:r>
          </w:p>
        </w:tc>
        <w:tc>
          <w:tcPr>
            <w:tcW w:w="586" w:type="pct"/>
            <w:tcBorders>
              <w:top w:val="single" w:sz="12" w:space="0" w:color="000000"/>
              <w:bottom w:val="single" w:sz="6" w:space="0" w:color="auto"/>
            </w:tcBorders>
            <w:shd w:val="clear" w:color="auto" w:fill="auto"/>
            <w:vAlign w:val="bottom"/>
          </w:tcPr>
          <w:p w14:paraId="48541325" w14:textId="77777777" w:rsidR="002A4EE6" w:rsidRPr="00E832D1" w:rsidRDefault="002A4EE6" w:rsidP="00260D8A">
            <w:pPr>
              <w:pStyle w:val="TableHeaders"/>
              <w:spacing w:before="50" w:after="50"/>
              <w:rPr>
                <w:sz w:val="20"/>
              </w:rPr>
            </w:pPr>
            <w:r w:rsidRPr="00E832D1">
              <w:rPr>
                <w:sz w:val="20"/>
              </w:rPr>
              <w:t>Number of Categories</w:t>
            </w:r>
          </w:p>
        </w:tc>
        <w:tc>
          <w:tcPr>
            <w:tcW w:w="3345" w:type="pct"/>
            <w:tcBorders>
              <w:top w:val="single" w:sz="12" w:space="0" w:color="000000"/>
              <w:bottom w:val="single" w:sz="6" w:space="0" w:color="auto"/>
            </w:tcBorders>
            <w:shd w:val="clear" w:color="auto" w:fill="auto"/>
            <w:vAlign w:val="bottom"/>
          </w:tcPr>
          <w:p w14:paraId="5C6F422A" w14:textId="77777777" w:rsidR="002A4EE6" w:rsidRPr="00E832D1" w:rsidRDefault="002A4EE6" w:rsidP="00260D8A">
            <w:pPr>
              <w:pStyle w:val="TableHeaders"/>
              <w:spacing w:before="50" w:after="50"/>
              <w:rPr>
                <w:sz w:val="20"/>
              </w:rPr>
            </w:pPr>
            <w:r w:rsidRPr="00E832D1">
              <w:rPr>
                <w:sz w:val="20"/>
              </w:rPr>
              <w:t>Categories (Represented by)</w:t>
            </w:r>
          </w:p>
        </w:tc>
      </w:tr>
      <w:tr w:rsidR="00E37B44" w:rsidRPr="00C00335" w14:paraId="60156CBB" w14:textId="77777777" w:rsidTr="00E37B44">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7049905D" w14:textId="77777777" w:rsidR="00E37B44" w:rsidRPr="00E832D1" w:rsidRDefault="00E37B44" w:rsidP="00E37B44">
            <w:pPr>
              <w:pStyle w:val="TableText"/>
              <w:spacing w:before="50" w:after="50"/>
              <w:jc w:val="center"/>
              <w:rPr>
                <w:sz w:val="20"/>
              </w:rPr>
            </w:pPr>
            <w:r w:rsidRPr="00E832D1">
              <w:rPr>
                <w:sz w:val="20"/>
              </w:rPr>
              <w:t>q</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513443E2" w14:textId="77777777" w:rsidR="00E37B44" w:rsidRPr="00E832D1" w:rsidRDefault="00E37B44" w:rsidP="00E37B44">
            <w:pPr>
              <w:pStyle w:val="TableText"/>
              <w:spacing w:before="50" w:after="50"/>
              <w:rPr>
                <w:sz w:val="20"/>
              </w:rPr>
            </w:pPr>
            <w:r w:rsidRPr="00E832D1">
              <w:rPr>
                <w:sz w:val="20"/>
              </w:rPr>
              <w:t>Allocation period</w:t>
            </w:r>
          </w:p>
        </w:tc>
        <w:tc>
          <w:tcPr>
            <w:tcW w:w="586" w:type="pct"/>
            <w:tcBorders>
              <w:top w:val="single" w:sz="6" w:space="0" w:color="808080" w:themeColor="background1" w:themeShade="80"/>
              <w:bottom w:val="single" w:sz="6" w:space="0" w:color="808080" w:themeColor="background1" w:themeShade="80"/>
            </w:tcBorders>
          </w:tcPr>
          <w:p w14:paraId="5D1D17EE" w14:textId="77777777" w:rsidR="00E37B44" w:rsidRPr="00E832D1" w:rsidRDefault="00E37B44" w:rsidP="00E37B44">
            <w:pPr>
              <w:pStyle w:val="TableText"/>
              <w:tabs>
                <w:tab w:val="decimal" w:pos="693"/>
              </w:tabs>
              <w:spacing w:before="50" w:after="50"/>
              <w:rPr>
                <w:sz w:val="20"/>
              </w:rPr>
            </w:pPr>
            <w:r w:rsidRPr="00E832D1">
              <w:rPr>
                <w:sz w:val="20"/>
              </w:rPr>
              <w:t>3</w:t>
            </w:r>
          </w:p>
        </w:tc>
        <w:tc>
          <w:tcPr>
            <w:tcW w:w="3345" w:type="pct"/>
            <w:tcBorders>
              <w:top w:val="single" w:sz="6" w:space="0" w:color="808080" w:themeColor="background1" w:themeShade="80"/>
              <w:bottom w:val="single" w:sz="6" w:space="0" w:color="808080" w:themeColor="background1" w:themeShade="80"/>
            </w:tcBorders>
          </w:tcPr>
          <w:p w14:paraId="402BF5B4" w14:textId="77777777" w:rsidR="00E37B44" w:rsidRPr="00E832D1" w:rsidRDefault="00E37B44" w:rsidP="00E37B44">
            <w:pPr>
              <w:pStyle w:val="TableText"/>
              <w:spacing w:before="50" w:after="50"/>
              <w:rPr>
                <w:sz w:val="20"/>
              </w:rPr>
            </w:pPr>
            <w:r w:rsidRPr="00E832D1">
              <w:rPr>
                <w:sz w:val="20"/>
              </w:rPr>
              <w:t>Allocation period 1 (1)</w:t>
            </w:r>
          </w:p>
          <w:p w14:paraId="717DD7F9" w14:textId="77777777" w:rsidR="00E37B44" w:rsidRPr="00E832D1" w:rsidRDefault="00E37B44" w:rsidP="00E37B44">
            <w:pPr>
              <w:pStyle w:val="TableText"/>
              <w:spacing w:before="50" w:after="50"/>
              <w:rPr>
                <w:sz w:val="20"/>
              </w:rPr>
            </w:pPr>
            <w:r w:rsidRPr="00E832D1">
              <w:rPr>
                <w:sz w:val="20"/>
              </w:rPr>
              <w:t>Allocation period 2 (2)</w:t>
            </w:r>
          </w:p>
          <w:p w14:paraId="03D366A5" w14:textId="77777777" w:rsidR="00E37B44" w:rsidRPr="00E832D1" w:rsidRDefault="00E37B44" w:rsidP="00E37B44">
            <w:pPr>
              <w:pStyle w:val="TableText"/>
              <w:spacing w:before="50" w:after="50"/>
              <w:rPr>
                <w:sz w:val="20"/>
              </w:rPr>
            </w:pPr>
            <w:r w:rsidRPr="00E832D1">
              <w:rPr>
                <w:sz w:val="20"/>
              </w:rPr>
              <w:t>Allocation period 3 (3)</w:t>
            </w:r>
          </w:p>
        </w:tc>
      </w:tr>
      <w:tr w:rsidR="00F50352" w:rsidRPr="00C00335" w14:paraId="7C126CC1"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78FEF561" w14:textId="69BD2045" w:rsidR="00F50352" w:rsidRPr="00C00335" w:rsidRDefault="00F50352" w:rsidP="00D40CDC">
            <w:pPr>
              <w:pStyle w:val="TableText"/>
              <w:spacing w:before="50" w:after="50"/>
              <w:jc w:val="center"/>
              <w:rPr>
                <w:sz w:val="20"/>
              </w:rPr>
            </w:pPr>
            <w:r w:rsidRPr="00C00335">
              <w:rPr>
                <w:sz w:val="20"/>
              </w:rPr>
              <w:t>r</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6818953A" w14:textId="6A603268" w:rsidR="00F50352" w:rsidRPr="00C00335" w:rsidRDefault="006015C3" w:rsidP="00D40CDC">
            <w:pPr>
              <w:pStyle w:val="TableText"/>
              <w:spacing w:before="50" w:after="50"/>
              <w:rPr>
                <w:sz w:val="20"/>
              </w:rPr>
            </w:pPr>
            <w:r w:rsidRPr="00C00335">
              <w:rPr>
                <w:sz w:val="20"/>
              </w:rPr>
              <w:t xml:space="preserve">Care </w:t>
            </w:r>
            <w:r w:rsidR="00F50352" w:rsidRPr="00C00335">
              <w:rPr>
                <w:sz w:val="20"/>
              </w:rPr>
              <w:t>Continuum stage</w:t>
            </w:r>
          </w:p>
        </w:tc>
        <w:tc>
          <w:tcPr>
            <w:tcW w:w="586" w:type="pct"/>
            <w:tcBorders>
              <w:top w:val="single" w:sz="6" w:space="0" w:color="808080" w:themeColor="background1" w:themeShade="80"/>
              <w:bottom w:val="single" w:sz="6" w:space="0" w:color="808080" w:themeColor="background1" w:themeShade="80"/>
            </w:tcBorders>
          </w:tcPr>
          <w:p w14:paraId="1221D02E" w14:textId="77777777" w:rsidR="00F50352" w:rsidRPr="00C00335" w:rsidRDefault="00726346" w:rsidP="00D40CDC">
            <w:pPr>
              <w:pStyle w:val="TableText"/>
              <w:tabs>
                <w:tab w:val="decimal" w:pos="693"/>
              </w:tabs>
              <w:spacing w:before="50" w:after="50"/>
              <w:rPr>
                <w:sz w:val="20"/>
              </w:rPr>
            </w:pPr>
            <w:r w:rsidRPr="00C00335">
              <w:rPr>
                <w:sz w:val="20"/>
              </w:rPr>
              <w:t>5</w:t>
            </w:r>
          </w:p>
        </w:tc>
        <w:tc>
          <w:tcPr>
            <w:tcW w:w="3345" w:type="pct"/>
            <w:tcBorders>
              <w:top w:val="single" w:sz="6" w:space="0" w:color="808080" w:themeColor="background1" w:themeShade="80"/>
              <w:bottom w:val="single" w:sz="6" w:space="0" w:color="808080" w:themeColor="background1" w:themeShade="80"/>
            </w:tcBorders>
          </w:tcPr>
          <w:p w14:paraId="363C1CB9" w14:textId="77777777" w:rsidR="00F50352" w:rsidRPr="00C00335" w:rsidRDefault="00FE21DC" w:rsidP="00D40CDC">
            <w:pPr>
              <w:pStyle w:val="TableText"/>
              <w:spacing w:before="50" w:after="50"/>
              <w:rPr>
                <w:rFonts w:cs="Arial"/>
                <w:sz w:val="20"/>
              </w:rPr>
            </w:pPr>
            <w:r w:rsidRPr="00C00335">
              <w:rPr>
                <w:rFonts w:cs="Arial"/>
                <w:sz w:val="20"/>
              </w:rPr>
              <w:t xml:space="preserve">Uninfected or unaware </w:t>
            </w:r>
            <w:r w:rsidR="00F50352" w:rsidRPr="00C00335">
              <w:rPr>
                <w:rFonts w:cs="Arial"/>
                <w:sz w:val="20"/>
              </w:rPr>
              <w:t>of infection (1)</w:t>
            </w:r>
          </w:p>
          <w:p w14:paraId="3B26BEE6" w14:textId="1EAD10FD" w:rsidR="00F50352" w:rsidRPr="00C00335" w:rsidRDefault="0052684D" w:rsidP="00D40CDC">
            <w:pPr>
              <w:pStyle w:val="TableText"/>
              <w:spacing w:before="50" w:after="50"/>
              <w:rPr>
                <w:rFonts w:cs="Arial"/>
                <w:sz w:val="20"/>
              </w:rPr>
            </w:pPr>
            <w:r w:rsidRPr="00C00335">
              <w:rPr>
                <w:rFonts w:cs="Arial"/>
                <w:sz w:val="20"/>
              </w:rPr>
              <w:t>A</w:t>
            </w:r>
            <w:r w:rsidR="00F50352" w:rsidRPr="00C00335">
              <w:rPr>
                <w:rFonts w:cs="Arial"/>
                <w:sz w:val="20"/>
              </w:rPr>
              <w:t xml:space="preserve">ware of infection, not </w:t>
            </w:r>
            <w:r w:rsidR="000965E6" w:rsidRPr="00C00335">
              <w:rPr>
                <w:rFonts w:cs="Arial"/>
                <w:sz w:val="20"/>
              </w:rPr>
              <w:t>prescribed ART</w:t>
            </w:r>
            <w:r w:rsidR="00FE21DC" w:rsidRPr="00C00335">
              <w:rPr>
                <w:rFonts w:cs="Arial"/>
                <w:sz w:val="20"/>
              </w:rPr>
              <w:t xml:space="preserve"> or </w:t>
            </w:r>
            <w:r w:rsidR="00F50352" w:rsidRPr="00C00335">
              <w:rPr>
                <w:rFonts w:cs="Arial"/>
                <w:sz w:val="20"/>
              </w:rPr>
              <w:t>in HIV care (2)</w:t>
            </w:r>
          </w:p>
          <w:p w14:paraId="5876414A" w14:textId="5504B6FE" w:rsidR="00F50352" w:rsidRPr="00C00335" w:rsidRDefault="00710F65" w:rsidP="00D40CDC">
            <w:pPr>
              <w:pStyle w:val="TableText"/>
              <w:spacing w:before="50" w:after="50"/>
              <w:rPr>
                <w:rFonts w:cs="Arial"/>
                <w:sz w:val="20"/>
              </w:rPr>
            </w:pPr>
            <w:r w:rsidRPr="00C00335">
              <w:rPr>
                <w:rFonts w:cs="Arial"/>
                <w:sz w:val="20"/>
              </w:rPr>
              <w:t xml:space="preserve">Linked to </w:t>
            </w:r>
            <w:r w:rsidR="00F50352" w:rsidRPr="00C00335">
              <w:rPr>
                <w:rFonts w:cs="Arial"/>
                <w:sz w:val="20"/>
              </w:rPr>
              <w:t>HIV care, not</w:t>
            </w:r>
            <w:r w:rsidR="00FE21DC" w:rsidRPr="00C00335">
              <w:rPr>
                <w:rFonts w:cs="Arial"/>
                <w:sz w:val="20"/>
              </w:rPr>
              <w:t xml:space="preserve"> </w:t>
            </w:r>
            <w:r w:rsidR="000965E6" w:rsidRPr="00C00335">
              <w:rPr>
                <w:rFonts w:cs="Arial"/>
                <w:sz w:val="20"/>
              </w:rPr>
              <w:t>prescribed ART</w:t>
            </w:r>
            <w:r w:rsidR="00F50352" w:rsidRPr="00C00335">
              <w:rPr>
                <w:rFonts w:cs="Arial"/>
                <w:sz w:val="20"/>
              </w:rPr>
              <w:t xml:space="preserve"> (3)</w:t>
            </w:r>
          </w:p>
          <w:p w14:paraId="4BB39584" w14:textId="2092D2C3" w:rsidR="00F50352" w:rsidRPr="00C00335" w:rsidRDefault="000965E6" w:rsidP="00D40CDC">
            <w:pPr>
              <w:pStyle w:val="TableText"/>
              <w:spacing w:before="50" w:after="50"/>
              <w:rPr>
                <w:rFonts w:cs="Arial"/>
                <w:sz w:val="20"/>
              </w:rPr>
            </w:pPr>
            <w:r w:rsidRPr="00C00335">
              <w:rPr>
                <w:rFonts w:cs="Arial"/>
                <w:sz w:val="20"/>
              </w:rPr>
              <w:t xml:space="preserve">Prescribed </w:t>
            </w:r>
            <w:r w:rsidR="00F50352" w:rsidRPr="00C00335">
              <w:rPr>
                <w:rFonts w:cs="Arial"/>
                <w:sz w:val="20"/>
              </w:rPr>
              <w:t>ART</w:t>
            </w:r>
            <w:r w:rsidR="00FE21DC" w:rsidRPr="00C00335">
              <w:rPr>
                <w:rFonts w:cs="Arial"/>
                <w:sz w:val="20"/>
              </w:rPr>
              <w:t>, not VLS</w:t>
            </w:r>
            <w:r w:rsidR="00F50352" w:rsidRPr="00C00335">
              <w:rPr>
                <w:rFonts w:cs="Arial"/>
                <w:sz w:val="20"/>
              </w:rPr>
              <w:t xml:space="preserve"> (4)</w:t>
            </w:r>
          </w:p>
          <w:p w14:paraId="437BB66E" w14:textId="77777777" w:rsidR="00FE21DC" w:rsidRPr="00C00335" w:rsidRDefault="00FE21DC" w:rsidP="00D40CDC">
            <w:pPr>
              <w:pStyle w:val="TableText"/>
              <w:spacing w:before="50" w:after="50"/>
              <w:rPr>
                <w:sz w:val="20"/>
              </w:rPr>
            </w:pPr>
            <w:r w:rsidRPr="00C00335">
              <w:rPr>
                <w:rFonts w:cs="Arial"/>
                <w:sz w:val="20"/>
              </w:rPr>
              <w:t>VLS (5)</w:t>
            </w:r>
          </w:p>
        </w:tc>
      </w:tr>
      <w:tr w:rsidR="00220142" w:rsidRPr="00C00335" w14:paraId="7A1B2110"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12673FDD" w14:textId="7DD06F13" w:rsidR="00220142" w:rsidRPr="00C00335" w:rsidRDefault="00220142" w:rsidP="00D40CDC">
            <w:pPr>
              <w:pStyle w:val="TableText"/>
              <w:spacing w:before="50" w:after="50"/>
              <w:jc w:val="center"/>
              <w:rPr>
                <w:sz w:val="20"/>
              </w:rPr>
            </w:pPr>
            <w:r w:rsidRPr="00C00335">
              <w:rPr>
                <w:sz w:val="20"/>
              </w:rPr>
              <w:t>t</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1E09B0F1" w14:textId="12A40A18" w:rsidR="00220142" w:rsidRPr="00C00335" w:rsidRDefault="006C2B53" w:rsidP="00D40CDC">
            <w:pPr>
              <w:pStyle w:val="TableText"/>
              <w:spacing w:before="50" w:after="50"/>
              <w:rPr>
                <w:sz w:val="20"/>
              </w:rPr>
            </w:pPr>
            <w:r w:rsidRPr="00C00335">
              <w:rPr>
                <w:sz w:val="20"/>
              </w:rPr>
              <w:t>T</w:t>
            </w:r>
            <w:r w:rsidR="00220142" w:rsidRPr="00C00335">
              <w:rPr>
                <w:sz w:val="20"/>
              </w:rPr>
              <w:t>ime</w:t>
            </w:r>
            <w:r w:rsidRPr="00C00335">
              <w:rPr>
                <w:sz w:val="20"/>
              </w:rPr>
              <w:t>/timestep</w:t>
            </w:r>
          </w:p>
        </w:tc>
        <w:tc>
          <w:tcPr>
            <w:tcW w:w="586" w:type="pct"/>
            <w:tcBorders>
              <w:top w:val="single" w:sz="6" w:space="0" w:color="808080" w:themeColor="background1" w:themeShade="80"/>
              <w:bottom w:val="single" w:sz="6" w:space="0" w:color="808080" w:themeColor="background1" w:themeShade="80"/>
            </w:tcBorders>
          </w:tcPr>
          <w:p w14:paraId="74D5D51B" w14:textId="45D0D77C" w:rsidR="00220142" w:rsidRPr="00C00335" w:rsidRDefault="00220142" w:rsidP="00D40CDC">
            <w:pPr>
              <w:pStyle w:val="TableText"/>
              <w:tabs>
                <w:tab w:val="decimal" w:pos="693"/>
              </w:tabs>
              <w:spacing w:before="50" w:after="50"/>
              <w:rPr>
                <w:sz w:val="20"/>
              </w:rPr>
            </w:pPr>
            <w:r w:rsidRPr="00C00335">
              <w:rPr>
                <w:sz w:val="20"/>
              </w:rPr>
              <w:t>1</w:t>
            </w:r>
          </w:p>
        </w:tc>
        <w:tc>
          <w:tcPr>
            <w:tcW w:w="3345" w:type="pct"/>
            <w:tcBorders>
              <w:top w:val="single" w:sz="6" w:space="0" w:color="808080" w:themeColor="background1" w:themeShade="80"/>
              <w:bottom w:val="single" w:sz="6" w:space="0" w:color="808080" w:themeColor="background1" w:themeShade="80"/>
            </w:tcBorders>
          </w:tcPr>
          <w:p w14:paraId="4A5D588E" w14:textId="77E79B31" w:rsidR="00220142" w:rsidRPr="00C00335" w:rsidRDefault="00220142" w:rsidP="00D40CDC">
            <w:pPr>
              <w:pStyle w:val="TableText"/>
              <w:spacing w:before="50" w:after="50"/>
              <w:rPr>
                <w:rFonts w:cs="Arial"/>
                <w:sz w:val="20"/>
              </w:rPr>
            </w:pPr>
            <w:r w:rsidRPr="00C00335">
              <w:rPr>
                <w:rFonts w:cs="Arial"/>
                <w:sz w:val="20"/>
              </w:rPr>
              <w:t>--</w:t>
            </w:r>
          </w:p>
        </w:tc>
      </w:tr>
      <w:tr w:rsidR="000741DE" w:rsidRPr="00C00335" w14:paraId="384EA2E9"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7B59EA7A" w14:textId="3BCCA30E" w:rsidR="000741DE" w:rsidRPr="00E37B44" w:rsidRDefault="000741DE" w:rsidP="00D40CDC">
            <w:pPr>
              <w:pStyle w:val="TableText"/>
              <w:spacing w:before="50" w:after="50"/>
              <w:jc w:val="center"/>
              <w:rPr>
                <w:sz w:val="20"/>
              </w:rPr>
            </w:pPr>
            <w:r w:rsidRPr="00E37B44">
              <w:rPr>
                <w:sz w:val="20"/>
              </w:rPr>
              <w:t>v</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43853279" w14:textId="37EFAF20" w:rsidR="000741DE" w:rsidRPr="00E37B44" w:rsidRDefault="000741DE" w:rsidP="00D40CDC">
            <w:pPr>
              <w:pStyle w:val="TableText"/>
              <w:spacing w:before="50" w:after="50"/>
              <w:rPr>
                <w:sz w:val="20"/>
              </w:rPr>
            </w:pPr>
            <w:r w:rsidRPr="00E37B44">
              <w:rPr>
                <w:sz w:val="20"/>
              </w:rPr>
              <w:t>Setting for HIV screen</w:t>
            </w:r>
          </w:p>
        </w:tc>
        <w:tc>
          <w:tcPr>
            <w:tcW w:w="586" w:type="pct"/>
            <w:tcBorders>
              <w:top w:val="single" w:sz="6" w:space="0" w:color="808080" w:themeColor="background1" w:themeShade="80"/>
              <w:bottom w:val="single" w:sz="6" w:space="0" w:color="808080" w:themeColor="background1" w:themeShade="80"/>
            </w:tcBorders>
          </w:tcPr>
          <w:p w14:paraId="67EE1203" w14:textId="011E3FBC" w:rsidR="000741DE" w:rsidRPr="00E37B44" w:rsidRDefault="000741DE" w:rsidP="00D40CDC">
            <w:pPr>
              <w:pStyle w:val="TableText"/>
              <w:tabs>
                <w:tab w:val="decimal" w:pos="693"/>
              </w:tabs>
              <w:spacing w:before="50" w:after="50"/>
              <w:rPr>
                <w:sz w:val="20"/>
              </w:rPr>
            </w:pPr>
            <w:r w:rsidRPr="00E37B44">
              <w:rPr>
                <w:sz w:val="20"/>
              </w:rPr>
              <w:t>2</w:t>
            </w:r>
          </w:p>
        </w:tc>
        <w:tc>
          <w:tcPr>
            <w:tcW w:w="3345" w:type="pct"/>
            <w:tcBorders>
              <w:top w:val="single" w:sz="6" w:space="0" w:color="808080" w:themeColor="background1" w:themeShade="80"/>
              <w:bottom w:val="single" w:sz="6" w:space="0" w:color="808080" w:themeColor="background1" w:themeShade="80"/>
            </w:tcBorders>
          </w:tcPr>
          <w:p w14:paraId="7E9569F3" w14:textId="77777777" w:rsidR="000741DE" w:rsidRPr="00E37B44" w:rsidRDefault="000741DE" w:rsidP="00D40CDC">
            <w:pPr>
              <w:pStyle w:val="TableText"/>
              <w:spacing w:before="50" w:after="50"/>
              <w:rPr>
                <w:rFonts w:cs="Arial"/>
                <w:sz w:val="20"/>
              </w:rPr>
            </w:pPr>
            <w:r w:rsidRPr="00E37B44">
              <w:rPr>
                <w:rFonts w:cs="Arial"/>
                <w:sz w:val="20"/>
              </w:rPr>
              <w:t>Clinical (1)</w:t>
            </w:r>
          </w:p>
          <w:p w14:paraId="3335F6ED" w14:textId="39374A14" w:rsidR="000741DE" w:rsidRPr="00E37B44" w:rsidRDefault="000741DE" w:rsidP="00D40CDC">
            <w:pPr>
              <w:pStyle w:val="TableText"/>
              <w:spacing w:before="50" w:after="50"/>
              <w:rPr>
                <w:rFonts w:cs="Arial"/>
                <w:sz w:val="20"/>
              </w:rPr>
            </w:pPr>
            <w:r w:rsidRPr="00E37B44">
              <w:rPr>
                <w:rFonts w:cs="Arial"/>
                <w:sz w:val="20"/>
              </w:rPr>
              <w:t>Nonclinical (2)</w:t>
            </w:r>
          </w:p>
        </w:tc>
      </w:tr>
      <w:tr w:rsidR="00F50352" w:rsidRPr="00C00335" w14:paraId="64EE7D10"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69E31D4D" w14:textId="77777777" w:rsidR="00F50352" w:rsidRPr="00C00335" w:rsidRDefault="00F50352" w:rsidP="00D40CDC">
            <w:pPr>
              <w:pStyle w:val="TableText"/>
              <w:spacing w:before="50" w:after="50"/>
              <w:jc w:val="center"/>
              <w:rPr>
                <w:sz w:val="20"/>
                <w:lang w:eastAsia="ja-JP"/>
              </w:rPr>
            </w:pPr>
            <w:r w:rsidRPr="00C00335">
              <w:rPr>
                <w:sz w:val="20"/>
              </w:rPr>
              <w:t>x</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48E7F01C" w14:textId="77777777" w:rsidR="00F50352" w:rsidRPr="00C00335" w:rsidRDefault="00F50352" w:rsidP="00D40CDC">
            <w:pPr>
              <w:pStyle w:val="TableText"/>
              <w:spacing w:before="50" w:after="50"/>
              <w:rPr>
                <w:sz w:val="20"/>
              </w:rPr>
            </w:pPr>
            <w:r w:rsidRPr="00C00335">
              <w:rPr>
                <w:sz w:val="20"/>
              </w:rPr>
              <w:t>Sexual transmission risk participation type</w:t>
            </w:r>
          </w:p>
        </w:tc>
        <w:tc>
          <w:tcPr>
            <w:tcW w:w="586" w:type="pct"/>
            <w:tcBorders>
              <w:top w:val="single" w:sz="6" w:space="0" w:color="808080" w:themeColor="background1" w:themeShade="80"/>
              <w:bottom w:val="single" w:sz="6" w:space="0" w:color="808080" w:themeColor="background1" w:themeShade="80"/>
            </w:tcBorders>
          </w:tcPr>
          <w:p w14:paraId="04F3338C" w14:textId="77777777" w:rsidR="00F50352" w:rsidRPr="00C00335" w:rsidRDefault="00F50352" w:rsidP="00D40CDC">
            <w:pPr>
              <w:pStyle w:val="TableText"/>
              <w:tabs>
                <w:tab w:val="decimal" w:pos="693"/>
              </w:tabs>
              <w:spacing w:before="50" w:after="50"/>
              <w:rPr>
                <w:sz w:val="20"/>
              </w:rPr>
            </w:pPr>
            <w:r w:rsidRPr="00C00335">
              <w:rPr>
                <w:sz w:val="20"/>
              </w:rPr>
              <w:t>3</w:t>
            </w:r>
          </w:p>
        </w:tc>
        <w:tc>
          <w:tcPr>
            <w:tcW w:w="3345" w:type="pct"/>
            <w:tcBorders>
              <w:top w:val="single" w:sz="6" w:space="0" w:color="808080" w:themeColor="background1" w:themeShade="80"/>
              <w:bottom w:val="single" w:sz="6" w:space="0" w:color="808080" w:themeColor="background1" w:themeShade="80"/>
            </w:tcBorders>
          </w:tcPr>
          <w:p w14:paraId="010D3F61" w14:textId="77777777" w:rsidR="00E33B48" w:rsidRPr="00C00335" w:rsidRDefault="00F50352" w:rsidP="00D40CDC">
            <w:pPr>
              <w:pStyle w:val="TableText"/>
              <w:spacing w:before="50" w:after="50"/>
              <w:rPr>
                <w:sz w:val="20"/>
              </w:rPr>
            </w:pPr>
            <w:r w:rsidRPr="00C00335">
              <w:rPr>
                <w:sz w:val="20"/>
              </w:rPr>
              <w:t>Vaginal intercourse only</w:t>
            </w:r>
            <w:r w:rsidR="00E33B48" w:rsidRPr="00C00335">
              <w:rPr>
                <w:sz w:val="20"/>
              </w:rPr>
              <w:t xml:space="preserve"> </w:t>
            </w:r>
            <w:r w:rsidR="0007469E" w:rsidRPr="00C00335">
              <w:rPr>
                <w:sz w:val="20"/>
              </w:rPr>
              <w:t xml:space="preserve">in male-female partnerships </w:t>
            </w:r>
            <w:r w:rsidR="00E33B48" w:rsidRPr="00C00335">
              <w:rPr>
                <w:sz w:val="20"/>
              </w:rPr>
              <w:t>(1)</w:t>
            </w:r>
          </w:p>
          <w:p w14:paraId="74452495" w14:textId="77777777" w:rsidR="00E33B48" w:rsidRPr="00C00335" w:rsidRDefault="00E33B48" w:rsidP="00D40CDC">
            <w:pPr>
              <w:pStyle w:val="TableText"/>
              <w:spacing w:before="50" w:after="50"/>
              <w:rPr>
                <w:sz w:val="20"/>
              </w:rPr>
            </w:pPr>
            <w:r w:rsidRPr="00C00335">
              <w:rPr>
                <w:sz w:val="20"/>
              </w:rPr>
              <w:t>A</w:t>
            </w:r>
            <w:r w:rsidR="00F50352" w:rsidRPr="00C00335">
              <w:rPr>
                <w:sz w:val="20"/>
              </w:rPr>
              <w:t>nal intercourse only</w:t>
            </w:r>
            <w:r w:rsidR="0007469E" w:rsidRPr="00C00335">
              <w:rPr>
                <w:sz w:val="20"/>
              </w:rPr>
              <w:t xml:space="preserve"> in male-male partnerships</w:t>
            </w:r>
            <w:r w:rsidRPr="00C00335">
              <w:rPr>
                <w:sz w:val="20"/>
              </w:rPr>
              <w:t xml:space="preserve"> (2)</w:t>
            </w:r>
          </w:p>
          <w:p w14:paraId="1B9958C0" w14:textId="77777777" w:rsidR="00F50352" w:rsidRPr="00C00335" w:rsidRDefault="0007469E" w:rsidP="00D40CDC">
            <w:pPr>
              <w:pStyle w:val="TableText"/>
              <w:spacing w:before="50" w:after="50"/>
              <w:rPr>
                <w:sz w:val="20"/>
              </w:rPr>
            </w:pPr>
            <w:r w:rsidRPr="00C00335">
              <w:rPr>
                <w:sz w:val="20"/>
              </w:rPr>
              <w:t>A</w:t>
            </w:r>
            <w:r w:rsidR="00F50352" w:rsidRPr="00C00335">
              <w:rPr>
                <w:sz w:val="20"/>
              </w:rPr>
              <w:t>nal intercourse</w:t>
            </w:r>
            <w:r w:rsidR="00E33B48" w:rsidRPr="00C00335">
              <w:rPr>
                <w:sz w:val="20"/>
              </w:rPr>
              <w:t xml:space="preserve"> </w:t>
            </w:r>
            <w:r w:rsidRPr="00C00335">
              <w:rPr>
                <w:sz w:val="20"/>
              </w:rPr>
              <w:t xml:space="preserve">in male-female partnerships </w:t>
            </w:r>
            <w:r w:rsidR="00E33B48" w:rsidRPr="00C00335">
              <w:rPr>
                <w:sz w:val="20"/>
              </w:rPr>
              <w:t>(3)</w:t>
            </w:r>
          </w:p>
        </w:tc>
      </w:tr>
      <w:tr w:rsidR="00F50352" w:rsidRPr="00C00335" w14:paraId="0408BDF6" w14:textId="77777777" w:rsidTr="002A4EE6">
        <w:trPr>
          <w:cantSplit/>
        </w:trPr>
        <w:tc>
          <w:tcPr>
            <w:tcW w:w="346" w:type="pct"/>
            <w:tcBorders>
              <w:top w:val="single" w:sz="6" w:space="0" w:color="808080" w:themeColor="background1" w:themeShade="80"/>
              <w:bottom w:val="single" w:sz="6" w:space="0" w:color="808080" w:themeColor="background1" w:themeShade="80"/>
            </w:tcBorders>
            <w:shd w:val="clear" w:color="auto" w:fill="auto"/>
          </w:tcPr>
          <w:p w14:paraId="2C40BB4F" w14:textId="77777777" w:rsidR="00F50352" w:rsidRPr="00C00335" w:rsidRDefault="00F50352" w:rsidP="00D40CDC">
            <w:pPr>
              <w:pStyle w:val="TableText"/>
              <w:spacing w:before="50" w:after="50"/>
              <w:jc w:val="center"/>
              <w:rPr>
                <w:sz w:val="20"/>
              </w:rPr>
            </w:pPr>
            <w:r w:rsidRPr="00C00335">
              <w:rPr>
                <w:sz w:val="20"/>
              </w:rPr>
              <w:t>y</w:t>
            </w:r>
          </w:p>
        </w:tc>
        <w:tc>
          <w:tcPr>
            <w:tcW w:w="723" w:type="pct"/>
            <w:tcBorders>
              <w:top w:val="single" w:sz="6" w:space="0" w:color="808080" w:themeColor="background1" w:themeShade="80"/>
              <w:bottom w:val="single" w:sz="6" w:space="0" w:color="808080" w:themeColor="background1" w:themeShade="80"/>
            </w:tcBorders>
            <w:shd w:val="clear" w:color="auto" w:fill="auto"/>
          </w:tcPr>
          <w:p w14:paraId="4A5EA023" w14:textId="77777777" w:rsidR="00F50352" w:rsidRPr="00C00335" w:rsidRDefault="00F50352" w:rsidP="00D40CDC">
            <w:pPr>
              <w:pStyle w:val="TableText"/>
              <w:spacing w:before="50" w:after="50"/>
              <w:rPr>
                <w:sz w:val="20"/>
              </w:rPr>
            </w:pPr>
            <w:r w:rsidRPr="00C00335">
              <w:rPr>
                <w:sz w:val="20"/>
              </w:rPr>
              <w:t>Partnership type</w:t>
            </w:r>
          </w:p>
        </w:tc>
        <w:tc>
          <w:tcPr>
            <w:tcW w:w="586" w:type="pct"/>
            <w:tcBorders>
              <w:top w:val="single" w:sz="6" w:space="0" w:color="808080" w:themeColor="background1" w:themeShade="80"/>
              <w:bottom w:val="single" w:sz="6" w:space="0" w:color="808080" w:themeColor="background1" w:themeShade="80"/>
            </w:tcBorders>
          </w:tcPr>
          <w:p w14:paraId="2B3241C6" w14:textId="77777777" w:rsidR="00F50352" w:rsidRPr="00C00335" w:rsidRDefault="00F50352" w:rsidP="00D40CDC">
            <w:pPr>
              <w:pStyle w:val="TableText"/>
              <w:tabs>
                <w:tab w:val="decimal" w:pos="693"/>
              </w:tabs>
              <w:spacing w:before="50" w:after="50"/>
              <w:rPr>
                <w:sz w:val="20"/>
              </w:rPr>
            </w:pPr>
            <w:r w:rsidRPr="00C00335">
              <w:rPr>
                <w:sz w:val="20"/>
              </w:rPr>
              <w:t>4</w:t>
            </w:r>
          </w:p>
        </w:tc>
        <w:tc>
          <w:tcPr>
            <w:tcW w:w="3345" w:type="pct"/>
            <w:tcBorders>
              <w:top w:val="single" w:sz="6" w:space="0" w:color="808080" w:themeColor="background1" w:themeShade="80"/>
              <w:bottom w:val="single" w:sz="6" w:space="0" w:color="808080" w:themeColor="background1" w:themeShade="80"/>
            </w:tcBorders>
          </w:tcPr>
          <w:p w14:paraId="4212015A" w14:textId="77777777" w:rsidR="00E33B48" w:rsidRPr="00C00335" w:rsidRDefault="00B47D1E" w:rsidP="00D40CDC">
            <w:pPr>
              <w:pStyle w:val="TableText"/>
              <w:spacing w:before="50" w:after="50"/>
              <w:rPr>
                <w:sz w:val="20"/>
              </w:rPr>
            </w:pPr>
            <w:r w:rsidRPr="00C00335">
              <w:rPr>
                <w:sz w:val="20"/>
              </w:rPr>
              <w:t>Male-female partnership that only includes v</w:t>
            </w:r>
            <w:r w:rsidR="00E33B48" w:rsidRPr="00C00335">
              <w:rPr>
                <w:sz w:val="20"/>
              </w:rPr>
              <w:t>aginal intercourse (1)</w:t>
            </w:r>
          </w:p>
          <w:p w14:paraId="47CAAAEB" w14:textId="77777777" w:rsidR="00E33B48" w:rsidRPr="00C00335" w:rsidRDefault="00B47D1E" w:rsidP="00D40CDC">
            <w:pPr>
              <w:pStyle w:val="TableText"/>
              <w:spacing w:before="50" w:after="50"/>
              <w:rPr>
                <w:sz w:val="20"/>
              </w:rPr>
            </w:pPr>
            <w:r w:rsidRPr="00C00335">
              <w:rPr>
                <w:sz w:val="20"/>
              </w:rPr>
              <w:t>Male-male partnership that only includes a</w:t>
            </w:r>
            <w:r w:rsidR="00E33B48" w:rsidRPr="00C00335">
              <w:rPr>
                <w:sz w:val="20"/>
              </w:rPr>
              <w:t>nal intercourse (2)</w:t>
            </w:r>
          </w:p>
          <w:p w14:paraId="450BCF50" w14:textId="77777777" w:rsidR="00E33B48" w:rsidRPr="00C00335" w:rsidRDefault="00B47D1E" w:rsidP="00D40CDC">
            <w:pPr>
              <w:pStyle w:val="TableText"/>
              <w:spacing w:before="50" w:after="50"/>
              <w:rPr>
                <w:sz w:val="20"/>
              </w:rPr>
            </w:pPr>
            <w:r w:rsidRPr="00C00335">
              <w:rPr>
                <w:sz w:val="20"/>
              </w:rPr>
              <w:t xml:space="preserve">Male-female partnership that includes </w:t>
            </w:r>
            <w:r w:rsidR="00E33B48" w:rsidRPr="00C00335">
              <w:rPr>
                <w:sz w:val="20"/>
              </w:rPr>
              <w:t>anal intercourse (3)</w:t>
            </w:r>
          </w:p>
          <w:p w14:paraId="711D1703" w14:textId="77777777" w:rsidR="00F50352" w:rsidRPr="00C00335" w:rsidRDefault="00E33B48" w:rsidP="00D40CDC">
            <w:pPr>
              <w:pStyle w:val="TableText"/>
              <w:spacing w:before="50" w:after="50"/>
              <w:rPr>
                <w:sz w:val="20"/>
              </w:rPr>
            </w:pPr>
            <w:r w:rsidRPr="00C00335">
              <w:rPr>
                <w:sz w:val="20"/>
              </w:rPr>
              <w:t>N</w:t>
            </w:r>
            <w:r w:rsidR="00F50352" w:rsidRPr="00C00335">
              <w:rPr>
                <w:sz w:val="20"/>
              </w:rPr>
              <w:t>eedle-sharing</w:t>
            </w:r>
            <w:r w:rsidRPr="00C00335">
              <w:rPr>
                <w:sz w:val="20"/>
              </w:rPr>
              <w:t xml:space="preserve"> (4)</w:t>
            </w:r>
          </w:p>
        </w:tc>
      </w:tr>
      <w:tr w:rsidR="00F50352" w:rsidRPr="00C00335" w14:paraId="10207793" w14:textId="77777777" w:rsidTr="002A4EE6">
        <w:trPr>
          <w:cantSplit/>
        </w:trPr>
        <w:tc>
          <w:tcPr>
            <w:tcW w:w="346" w:type="pct"/>
            <w:tcBorders>
              <w:top w:val="single" w:sz="6" w:space="0" w:color="808080" w:themeColor="background1" w:themeShade="80"/>
              <w:bottom w:val="single" w:sz="12" w:space="0" w:color="000000"/>
            </w:tcBorders>
            <w:shd w:val="clear" w:color="auto" w:fill="auto"/>
          </w:tcPr>
          <w:p w14:paraId="5E6C412F" w14:textId="77777777" w:rsidR="00F50352" w:rsidRPr="00C00335" w:rsidRDefault="00F50352" w:rsidP="00D40CDC">
            <w:pPr>
              <w:pStyle w:val="TableText"/>
              <w:spacing w:before="50" w:after="50"/>
              <w:jc w:val="center"/>
              <w:rPr>
                <w:sz w:val="20"/>
              </w:rPr>
            </w:pPr>
            <w:r w:rsidRPr="00C00335">
              <w:rPr>
                <w:sz w:val="20"/>
              </w:rPr>
              <w:t>z</w:t>
            </w:r>
          </w:p>
        </w:tc>
        <w:tc>
          <w:tcPr>
            <w:tcW w:w="723" w:type="pct"/>
            <w:tcBorders>
              <w:top w:val="single" w:sz="6" w:space="0" w:color="808080" w:themeColor="background1" w:themeShade="80"/>
              <w:bottom w:val="single" w:sz="12" w:space="0" w:color="000000"/>
            </w:tcBorders>
            <w:shd w:val="clear" w:color="auto" w:fill="auto"/>
          </w:tcPr>
          <w:p w14:paraId="7A0D9877" w14:textId="77777777" w:rsidR="00F50352" w:rsidRPr="00C00335" w:rsidRDefault="00F50352" w:rsidP="00D40CDC">
            <w:pPr>
              <w:pStyle w:val="TableText"/>
              <w:spacing w:before="50" w:after="50"/>
              <w:rPr>
                <w:sz w:val="20"/>
              </w:rPr>
            </w:pPr>
            <w:r w:rsidRPr="00C00335">
              <w:rPr>
                <w:sz w:val="20"/>
              </w:rPr>
              <w:t>Transmission risk type</w:t>
            </w:r>
          </w:p>
        </w:tc>
        <w:tc>
          <w:tcPr>
            <w:tcW w:w="586" w:type="pct"/>
            <w:tcBorders>
              <w:top w:val="single" w:sz="6" w:space="0" w:color="808080" w:themeColor="background1" w:themeShade="80"/>
              <w:bottom w:val="single" w:sz="12" w:space="0" w:color="000000"/>
            </w:tcBorders>
          </w:tcPr>
          <w:p w14:paraId="769EF8C0" w14:textId="77777777" w:rsidR="00F50352" w:rsidRPr="00C00335" w:rsidRDefault="00F50352" w:rsidP="00D40CDC">
            <w:pPr>
              <w:pStyle w:val="TableText"/>
              <w:tabs>
                <w:tab w:val="decimal" w:pos="693"/>
              </w:tabs>
              <w:spacing w:before="50" w:after="50"/>
              <w:rPr>
                <w:sz w:val="20"/>
              </w:rPr>
            </w:pPr>
            <w:r w:rsidRPr="00C00335">
              <w:rPr>
                <w:sz w:val="20"/>
              </w:rPr>
              <w:t>3</w:t>
            </w:r>
          </w:p>
        </w:tc>
        <w:tc>
          <w:tcPr>
            <w:tcW w:w="3345" w:type="pct"/>
            <w:tcBorders>
              <w:top w:val="single" w:sz="6" w:space="0" w:color="808080" w:themeColor="background1" w:themeShade="80"/>
              <w:bottom w:val="single" w:sz="12" w:space="0" w:color="000000"/>
            </w:tcBorders>
          </w:tcPr>
          <w:p w14:paraId="4BB9D0C4" w14:textId="77777777" w:rsidR="00E33B48" w:rsidRPr="00C00335" w:rsidRDefault="00E33B48" w:rsidP="00D40CDC">
            <w:pPr>
              <w:pStyle w:val="TableText"/>
              <w:spacing w:before="50" w:after="50"/>
              <w:rPr>
                <w:sz w:val="20"/>
              </w:rPr>
            </w:pPr>
            <w:r w:rsidRPr="00C00335">
              <w:rPr>
                <w:sz w:val="20"/>
              </w:rPr>
              <w:t xml:space="preserve">Vaginal </w:t>
            </w:r>
            <w:r w:rsidR="00112754" w:rsidRPr="00C00335">
              <w:rPr>
                <w:sz w:val="20"/>
              </w:rPr>
              <w:t>intercourse</w:t>
            </w:r>
            <w:r w:rsidRPr="00C00335">
              <w:rPr>
                <w:sz w:val="20"/>
              </w:rPr>
              <w:t xml:space="preserve"> (1)</w:t>
            </w:r>
          </w:p>
          <w:p w14:paraId="328AC226" w14:textId="77777777" w:rsidR="00E33B48" w:rsidRPr="00C00335" w:rsidRDefault="00E33B48" w:rsidP="00D40CDC">
            <w:pPr>
              <w:pStyle w:val="TableText"/>
              <w:spacing w:before="50" w:after="50"/>
              <w:rPr>
                <w:sz w:val="20"/>
              </w:rPr>
            </w:pPr>
            <w:r w:rsidRPr="00C00335">
              <w:rPr>
                <w:sz w:val="20"/>
              </w:rPr>
              <w:t xml:space="preserve">Anal </w:t>
            </w:r>
            <w:r w:rsidR="00112754" w:rsidRPr="00C00335">
              <w:rPr>
                <w:sz w:val="20"/>
              </w:rPr>
              <w:t>intercourse</w:t>
            </w:r>
            <w:r w:rsidRPr="00C00335">
              <w:rPr>
                <w:sz w:val="20"/>
              </w:rPr>
              <w:t xml:space="preserve"> (2)</w:t>
            </w:r>
          </w:p>
          <w:p w14:paraId="10470892" w14:textId="77777777" w:rsidR="00F50352" w:rsidRPr="00C00335" w:rsidRDefault="00F50352" w:rsidP="00D40CDC">
            <w:pPr>
              <w:pStyle w:val="TableText"/>
              <w:spacing w:before="50" w:after="50"/>
              <w:rPr>
                <w:sz w:val="20"/>
              </w:rPr>
            </w:pPr>
            <w:r w:rsidRPr="00C00335">
              <w:rPr>
                <w:sz w:val="20"/>
              </w:rPr>
              <w:t>Needle-sharing</w:t>
            </w:r>
            <w:r w:rsidR="00E33B48" w:rsidRPr="00C00335">
              <w:rPr>
                <w:sz w:val="20"/>
              </w:rPr>
              <w:t xml:space="preserve"> (3)</w:t>
            </w:r>
          </w:p>
        </w:tc>
      </w:tr>
    </w:tbl>
    <w:p w14:paraId="4601897A" w14:textId="375565AA" w:rsidR="001D7F8F" w:rsidRPr="002A4EE6" w:rsidRDefault="00112754" w:rsidP="00112754">
      <w:pPr>
        <w:pStyle w:val="Source1"/>
        <w:rPr>
          <w:sz w:val="20"/>
        </w:rPr>
      </w:pPr>
      <w:r w:rsidRPr="00C00335">
        <w:rPr>
          <w:sz w:val="20"/>
        </w:rPr>
        <w:t xml:space="preserve">Note: </w:t>
      </w:r>
      <w:r w:rsidR="00F50352" w:rsidRPr="00C00335">
        <w:rPr>
          <w:sz w:val="20"/>
        </w:rPr>
        <w:t>ART</w:t>
      </w:r>
      <w:r w:rsidR="00E628BE" w:rsidRPr="00C00335">
        <w:rPr>
          <w:sz w:val="20"/>
        </w:rPr>
        <w:t> = </w:t>
      </w:r>
      <w:r w:rsidR="00F50352" w:rsidRPr="00C00335">
        <w:rPr>
          <w:sz w:val="20"/>
        </w:rPr>
        <w:t>antiretroviral therapy;</w:t>
      </w:r>
      <w:r w:rsidR="00341EDC" w:rsidRPr="00C00335">
        <w:rPr>
          <w:sz w:val="20"/>
        </w:rPr>
        <w:t xml:space="preserve"> </w:t>
      </w:r>
      <w:proofErr w:type="spellStart"/>
      <w:r w:rsidR="00341EDC" w:rsidRPr="00C00335">
        <w:rPr>
          <w:sz w:val="20"/>
        </w:rPr>
        <w:t>PrEP</w:t>
      </w:r>
      <w:proofErr w:type="spellEnd"/>
      <w:r w:rsidR="00E628BE" w:rsidRPr="00C00335">
        <w:rPr>
          <w:sz w:val="20"/>
        </w:rPr>
        <w:t> = </w:t>
      </w:r>
      <w:r w:rsidR="00341EDC" w:rsidRPr="00C00335">
        <w:rPr>
          <w:sz w:val="20"/>
        </w:rPr>
        <w:t>pre-exposure prophylaxis; PWID</w:t>
      </w:r>
      <w:r w:rsidR="00E628BE" w:rsidRPr="00C00335">
        <w:rPr>
          <w:sz w:val="20"/>
        </w:rPr>
        <w:t> = </w:t>
      </w:r>
      <w:r w:rsidR="00341EDC" w:rsidRPr="00C00335">
        <w:rPr>
          <w:sz w:val="20"/>
        </w:rPr>
        <w:t>people who inject drugs</w:t>
      </w:r>
      <w:r w:rsidR="006015C3" w:rsidRPr="00C00335">
        <w:rPr>
          <w:sz w:val="20"/>
        </w:rPr>
        <w:t>.</w:t>
      </w:r>
    </w:p>
    <w:sectPr w:rsidR="001D7F8F" w:rsidRPr="002A4EE6" w:rsidSect="00786484">
      <w:headerReference w:type="even" r:id="rId192"/>
      <w:headerReference w:type="default" r:id="rId193"/>
      <w:footerReference w:type="even" r:id="rId194"/>
      <w:footerReference w:type="default" r:id="rId195"/>
      <w:endnotePr>
        <w:numFmt w:val="decimal"/>
      </w:endnotePr>
      <w:type w:val="oddPage"/>
      <w:pgSz w:w="15840" w:h="12240" w:orient="landscape"/>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DA431" w14:textId="77777777" w:rsidR="002A6683" w:rsidRDefault="002A6683">
      <w:r>
        <w:separator/>
      </w:r>
    </w:p>
  </w:endnote>
  <w:endnote w:type="continuationSeparator" w:id="0">
    <w:p w14:paraId="71043DC0" w14:textId="77777777" w:rsidR="002A6683" w:rsidRDefault="002A6683">
      <w:r>
        <w:continuationSeparator/>
      </w:r>
    </w:p>
  </w:endnote>
  <w:endnote w:type="continuationNotice" w:id="1">
    <w:p w14:paraId="087B0C1F" w14:textId="77777777" w:rsidR="002A6683" w:rsidRDefault="002A6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DD088" w14:textId="3EFD9419" w:rsidR="002A6683" w:rsidRPr="00D071F2" w:rsidRDefault="002A6683" w:rsidP="0003517F">
    <w:pPr>
      <w:pStyle w:val="Footer"/>
      <w:spacing w:line="240" w:lineRule="exact"/>
      <w:jc w:val="right"/>
      <w:rPr>
        <w:b w:val="0"/>
        <w:bCs/>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239F" w14:textId="5BE9FE0F" w:rsidR="002A6683" w:rsidRPr="00F30D67" w:rsidRDefault="002A6683">
    <w:pPr>
      <w:pStyle w:val="Footer"/>
    </w:pPr>
    <w:r w:rsidRPr="00F30D67">
      <w:fldChar w:fldCharType="begin"/>
    </w:r>
    <w:r w:rsidRPr="00F30D67">
      <w:instrText xml:space="preserve"> PAGE </w:instrText>
    </w:r>
    <w:r w:rsidRPr="00F30D67">
      <w:fldChar w:fldCharType="separate"/>
    </w:r>
    <w:r>
      <w:rPr>
        <w:noProof/>
      </w:rPr>
      <w:t>3-4</w:t>
    </w:r>
    <w:r w:rsidRPr="00F30D67">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0C82" w14:textId="08DD18A9" w:rsidR="002A6683" w:rsidRPr="006471F0" w:rsidRDefault="002A6683" w:rsidP="006471F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2C63C" w14:textId="77777777" w:rsidR="002A6683" w:rsidRDefault="002A668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73CA2" w14:textId="77777777" w:rsidR="002A6683" w:rsidRPr="00686BDD" w:rsidRDefault="002A6683" w:rsidP="00ED02F2">
    <w:pPr>
      <w:pStyle w:val="Header"/>
      <w:pBdr>
        <w:bottom w:val="none" w:sz="0" w:space="0" w:color="auto"/>
      </w:pBdr>
      <w:ind w:right="360"/>
      <w:jc w:val="right"/>
      <w:rPr>
        <w:i w:val="0"/>
        <w:iCs/>
        <w:sz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E4EF9" w14:textId="54EB9DA6" w:rsidR="002A6683" w:rsidRDefault="002A6683">
    <w:pPr>
      <w:pStyle w:val="Footer"/>
    </w:pPr>
    <w:r>
      <w:fldChar w:fldCharType="begin"/>
    </w:r>
    <w:r>
      <w:instrText xml:space="preserve"> PAGE   \* MERGEFORMAT </w:instrText>
    </w:r>
    <w:r>
      <w:fldChar w:fldCharType="separate"/>
    </w:r>
    <w:r>
      <w:rPr>
        <w:noProof/>
      </w:rPr>
      <w:t>4-8</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C9402" w14:textId="56074BA0" w:rsidR="002A6683" w:rsidRDefault="002A6683" w:rsidP="00395AB8">
    <w:pPr>
      <w:pStyle w:val="Footer"/>
      <w:jc w:val="right"/>
    </w:pPr>
    <w:r>
      <w:fldChar w:fldCharType="begin"/>
    </w:r>
    <w:r>
      <w:instrText xml:space="preserve"> PAGE   \* MERGEFORMAT </w:instrText>
    </w:r>
    <w:r>
      <w:fldChar w:fldCharType="separate"/>
    </w:r>
    <w:r>
      <w:rPr>
        <w:noProof/>
      </w:rPr>
      <w:t>4-7</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C9BD" w14:textId="77777777" w:rsidR="002A6683" w:rsidRDefault="002A6683" w:rsidP="00395AB8">
    <w:pPr>
      <w:pStyle w:val="Footer"/>
    </w:pPr>
    <w:r>
      <w:pgNum/>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BB736" w14:textId="77777777" w:rsidR="002A6683" w:rsidRDefault="002A6683" w:rsidP="00526BBA">
    <w:pPr>
      <w:pStyle w:val="Footer"/>
      <w:jc w:val="right"/>
    </w:pPr>
    <w:r>
      <w:fldChar w:fldCharType="begin"/>
    </w:r>
    <w:r>
      <w:instrText xml:space="preserve"> PAGE   \* MERGEFORMAT </w:instrText>
    </w:r>
    <w:r>
      <w:fldChar w:fldCharType="separate"/>
    </w:r>
    <w:r>
      <w:rPr>
        <w:noProof/>
      </w:rPr>
      <w:t>5-3</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C5625" w14:textId="5FA2C60F" w:rsidR="002A6683" w:rsidRDefault="002A6683" w:rsidP="00610AD9">
    <w:pPr>
      <w:pStyle w:val="Footer"/>
      <w:jc w:val="right"/>
    </w:pPr>
    <w:r>
      <w:fldChar w:fldCharType="begin"/>
    </w:r>
    <w:r>
      <w:instrText xml:space="preserve"> PAGE   \* MERGEFORMAT </w:instrText>
    </w:r>
    <w:r>
      <w:fldChar w:fldCharType="separate"/>
    </w:r>
    <w:r>
      <w:rPr>
        <w:noProof/>
      </w:rPr>
      <w:t>6-1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1F0E9" w14:textId="77777777" w:rsidR="002A6683" w:rsidRDefault="002A6683" w:rsidP="00610AD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1D7D" w14:textId="77777777" w:rsidR="002A6683" w:rsidRDefault="002A6683">
    <w:pPr>
      <w:pStyle w:val="Footer"/>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327AF" w14:textId="77777777" w:rsidR="002A6683" w:rsidRDefault="002A6683" w:rsidP="00526BBA">
    <w:pPr>
      <w:pStyle w:val="Footer"/>
      <w:jc w:val="righ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9BC4D" w14:textId="726E7902" w:rsidR="002A6683" w:rsidRDefault="002A6683" w:rsidP="001A6C07">
    <w:pPr>
      <w:pStyle w:val="Footer"/>
    </w:pPr>
    <w:r>
      <w:fldChar w:fldCharType="begin"/>
    </w:r>
    <w:r>
      <w:instrText xml:space="preserve"> PAGE   \* MERGEFORMAT </w:instrText>
    </w:r>
    <w:r>
      <w:fldChar w:fldCharType="separate"/>
    </w:r>
    <w:r>
      <w:rPr>
        <w:noProof/>
      </w:rPr>
      <w:t>6-2</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4708" w14:textId="1411FF3C" w:rsidR="002A6683" w:rsidRDefault="002A6683" w:rsidP="001A6C07">
    <w:pPr>
      <w:pStyle w:val="Footer"/>
      <w:jc w:val="right"/>
    </w:pPr>
    <w:r>
      <w:fldChar w:fldCharType="begin"/>
    </w:r>
    <w:r>
      <w:instrText xml:space="preserve"> PAGE   \* MERGEFORMAT </w:instrText>
    </w:r>
    <w:r>
      <w:fldChar w:fldCharType="separate"/>
    </w:r>
    <w:r>
      <w:rPr>
        <w:noProof/>
      </w:rPr>
      <w:t>6-3</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2A6683" w:rsidRPr="00E1788E" w14:paraId="0E714652" w14:textId="77777777" w:rsidTr="00315F8D">
      <w:trPr>
        <w:cantSplit/>
        <w:trHeight w:hRule="exact" w:val="9216"/>
      </w:trPr>
      <w:tc>
        <w:tcPr>
          <w:tcW w:w="504" w:type="dxa"/>
          <w:tcMar>
            <w:left w:w="0" w:type="dxa"/>
            <w:right w:w="0" w:type="dxa"/>
          </w:tcMar>
          <w:textDirection w:val="tbRl"/>
        </w:tcPr>
        <w:p w14:paraId="58C81242" w14:textId="10FBC51C" w:rsidR="002A6683" w:rsidRPr="00E1788E" w:rsidRDefault="002A6683" w:rsidP="006A4DEA">
          <w:pPr>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6-10</w:t>
          </w:r>
          <w:r w:rsidRPr="00A620EE">
            <w:rPr>
              <w:rStyle w:val="PageNumber"/>
            </w:rPr>
            <w:fldChar w:fldCharType="end"/>
          </w:r>
        </w:p>
      </w:tc>
    </w:tr>
  </w:tbl>
  <w:p w14:paraId="2AA37130" w14:textId="77777777" w:rsidR="002A6683" w:rsidRPr="00BD0512" w:rsidRDefault="002A6683" w:rsidP="00BD051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2A6683" w:rsidRPr="00E1788E" w14:paraId="1161D06F" w14:textId="77777777" w:rsidTr="00F259E1">
      <w:trPr>
        <w:cantSplit/>
        <w:trHeight w:hRule="exact" w:val="9216"/>
      </w:trPr>
      <w:tc>
        <w:tcPr>
          <w:tcW w:w="504" w:type="dxa"/>
          <w:tcMar>
            <w:left w:w="0" w:type="dxa"/>
            <w:right w:w="0" w:type="dxa"/>
          </w:tcMar>
          <w:textDirection w:val="tbRl"/>
        </w:tcPr>
        <w:p w14:paraId="2192A21C" w14:textId="56E2D0AD" w:rsidR="002A6683" w:rsidRPr="00E1788E" w:rsidRDefault="002A6683" w:rsidP="00F259E1">
          <w:pPr>
            <w:jc w:val="right"/>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6-9</w:t>
          </w:r>
          <w:r w:rsidRPr="00A620EE">
            <w:rPr>
              <w:rStyle w:val="PageNumber"/>
            </w:rPr>
            <w:fldChar w:fldCharType="end"/>
          </w:r>
        </w:p>
      </w:tc>
    </w:tr>
  </w:tbl>
  <w:p w14:paraId="7085F801" w14:textId="77777777" w:rsidR="002A6683" w:rsidRDefault="002A6683" w:rsidP="00526BBA">
    <w:pPr>
      <w:pStyle w:val="Footer"/>
      <w:jc w:val="righ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3C75F" w14:textId="686E62B3" w:rsidR="002A6683" w:rsidRDefault="002A6683" w:rsidP="00610AD9">
    <w:pPr>
      <w:pStyle w:val="Footer"/>
      <w:jc w:val="right"/>
    </w:pPr>
    <w:r>
      <w:fldChar w:fldCharType="begin"/>
    </w:r>
    <w:r>
      <w:instrText xml:space="preserve"> PAGE   \* MERGEFORMAT </w:instrText>
    </w:r>
    <w:r>
      <w:fldChar w:fldCharType="separate"/>
    </w:r>
    <w:r>
      <w:rPr>
        <w:noProof/>
      </w:rPr>
      <w:t>12-1</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6222C" w14:textId="43296ACF" w:rsidR="002A6683" w:rsidRPr="00BD0512" w:rsidRDefault="002A6683" w:rsidP="00315F8D">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6-14</w:t>
    </w:r>
    <w:r w:rsidRPr="00A620EE">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19D39" w14:textId="6168B39B" w:rsidR="002A6683" w:rsidRDefault="002A6683" w:rsidP="00315F8D">
    <w:pPr>
      <w:jc w:val="right"/>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6-15</w:t>
    </w:r>
    <w:r w:rsidRPr="00A620EE">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DEB89" w14:textId="7073939B" w:rsidR="002A6683" w:rsidRPr="00BD0512" w:rsidRDefault="002A6683" w:rsidP="00BD0512">
    <w:pPr>
      <w:pStyle w:val="Footer"/>
    </w:pPr>
    <w:r>
      <w:fldChar w:fldCharType="begin"/>
    </w:r>
    <w:r>
      <w:instrText xml:space="preserve"> PAGE   \* MERGEFORMAT </w:instrText>
    </w:r>
    <w:r>
      <w:fldChar w:fldCharType="separate"/>
    </w:r>
    <w:r>
      <w:rPr>
        <w:noProof/>
      </w:rPr>
      <w:t>12-12</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5CDE" w14:textId="20ACCD0D" w:rsidR="002A6683" w:rsidRDefault="002A6683" w:rsidP="00526BBA">
    <w:pPr>
      <w:pStyle w:val="Footer"/>
      <w:jc w:val="right"/>
    </w:pPr>
    <w:r>
      <w:fldChar w:fldCharType="begin"/>
    </w:r>
    <w:r>
      <w:instrText xml:space="preserve"> PAGE   \* MERGEFORMAT </w:instrText>
    </w:r>
    <w:r>
      <w:fldChar w:fldCharType="separate"/>
    </w:r>
    <w:r>
      <w:rPr>
        <w:noProof/>
      </w:rPr>
      <w:t>12-13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B63E4" w14:textId="627CB04F" w:rsidR="002A6683" w:rsidRDefault="002A6683" w:rsidP="00A0143E">
    <w:pPr>
      <w:pStyle w:val="Footer"/>
      <w:jc w:val="righ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494F4" w14:textId="2CDC4F80" w:rsidR="002A6683" w:rsidRPr="00FC1821" w:rsidRDefault="002A6683" w:rsidP="00FC1821">
    <w:pPr>
      <w:pStyle w:val="Footer"/>
      <w:rPr>
        <w:bCs/>
      </w:rPr>
    </w:pPr>
    <w:r w:rsidRPr="00FC1821">
      <w:rPr>
        <w:bCs/>
      </w:rPr>
      <w:t>R-</w:t>
    </w:r>
    <w:r w:rsidRPr="00FC1821">
      <w:rPr>
        <w:bCs/>
      </w:rPr>
      <w:fldChar w:fldCharType="begin"/>
    </w:r>
    <w:r w:rsidRPr="00FC1821">
      <w:rPr>
        <w:bCs/>
      </w:rPr>
      <w:instrText xml:space="preserve"> PAGE </w:instrText>
    </w:r>
    <w:r w:rsidRPr="00FC1821">
      <w:rPr>
        <w:bCs/>
      </w:rPr>
      <w:fldChar w:fldCharType="separate"/>
    </w:r>
    <w:r>
      <w:rPr>
        <w:bCs/>
        <w:noProof/>
      </w:rPr>
      <w:t>10</w:t>
    </w:r>
    <w:r w:rsidRPr="00FC1821">
      <w:rPr>
        <w:bCs/>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8DF7B" w14:textId="4EBA7894" w:rsidR="002A6683" w:rsidRDefault="002A6683">
    <w:pPr>
      <w:pStyle w:val="Footer"/>
      <w:jc w:val="right"/>
    </w:pPr>
    <w:r>
      <w:t>R-</w:t>
    </w:r>
    <w:r>
      <w:fldChar w:fldCharType="begin"/>
    </w:r>
    <w:r>
      <w:instrText xml:space="preserve"> PAGE   \* MERGEFORMAT </w:instrText>
    </w:r>
    <w:r>
      <w:fldChar w:fldCharType="separate"/>
    </w:r>
    <w:r>
      <w:rPr>
        <w:noProof/>
      </w:rPr>
      <w:t>9</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9B86" w14:textId="2094816C" w:rsidR="002A6683" w:rsidRDefault="002A6683">
    <w:pPr>
      <w:pStyle w:val="Footer"/>
      <w:jc w:val="right"/>
    </w:pPr>
    <w:r>
      <w:t>R-</w:t>
    </w:r>
    <w:r>
      <w:fldChar w:fldCharType="begin"/>
    </w:r>
    <w:r>
      <w:instrText xml:space="preserve"> PAGE   \* MERGEFORMAT </w:instrText>
    </w:r>
    <w:r>
      <w:fldChar w:fldCharType="separate"/>
    </w:r>
    <w:r>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224F3" w14:textId="77777777" w:rsidR="002A6683" w:rsidRPr="00467D83" w:rsidRDefault="002A6683" w:rsidP="00B91CDB">
    <w:pPr>
      <w:pStyle w:val="Footer"/>
      <w:rPr>
        <w:b w:val="0"/>
        <w:bCs/>
      </w:rPr>
    </w:pPr>
    <w:r w:rsidRPr="00467D83">
      <w:rPr>
        <w:rStyle w:val="PageNumber"/>
        <w:b/>
        <w:bCs/>
      </w:rPr>
      <w:t>A-</w:t>
    </w:r>
    <w:r w:rsidRPr="00467D83">
      <w:rPr>
        <w:rStyle w:val="PageNumber"/>
        <w:b/>
        <w:bCs/>
      </w:rPr>
      <w:fldChar w:fldCharType="begin"/>
    </w:r>
    <w:r w:rsidRPr="00467D83">
      <w:rPr>
        <w:rStyle w:val="PageNumber"/>
        <w:b/>
        <w:bCs/>
      </w:rPr>
      <w:instrText xml:space="preserve"> PAGE </w:instrText>
    </w:r>
    <w:r w:rsidRPr="00467D83">
      <w:rPr>
        <w:rStyle w:val="PageNumber"/>
        <w:b/>
        <w:bCs/>
      </w:rPr>
      <w:fldChar w:fldCharType="separate"/>
    </w:r>
    <w:r>
      <w:rPr>
        <w:rStyle w:val="PageNumber"/>
        <w:b/>
        <w:bCs/>
        <w:noProof/>
      </w:rPr>
      <w:t>2</w:t>
    </w:r>
    <w:r w:rsidRPr="00467D83">
      <w:rPr>
        <w:rStyle w:val="PageNumber"/>
        <w:b/>
        <w:bCs/>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60F8E" w14:textId="77777777" w:rsidR="002A6683" w:rsidRDefault="002A6683">
    <w:pPr>
      <w:pStyle w:val="Footer"/>
      <w:jc w:val="right"/>
    </w:pPr>
    <w:r>
      <w:t>A-</w:t>
    </w:r>
    <w:r>
      <w:fldChar w:fldCharType="begin"/>
    </w:r>
    <w:r>
      <w:instrText xml:space="preserve"> PAGE   \* MERGEFORMAT </w:instrText>
    </w:r>
    <w:r>
      <w:fldChar w:fldCharType="separate"/>
    </w:r>
    <w:r>
      <w:rPr>
        <w:noProof/>
      </w:rPr>
      <w:t>3</w:t>
    </w:r>
    <w:r>
      <w:rPr>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7793D" w14:textId="03E130D2" w:rsidR="002A6683" w:rsidRDefault="002A6683">
    <w:pPr>
      <w:pStyle w:val="Footer"/>
      <w:jc w:val="right"/>
    </w:pPr>
    <w:r w:rsidRPr="00467D83">
      <w:rPr>
        <w:rStyle w:val="PageNumber"/>
        <w:b/>
        <w:bCs/>
      </w:rPr>
      <w:t>A-</w:t>
    </w:r>
    <w:r w:rsidRPr="00467D83">
      <w:rPr>
        <w:rStyle w:val="PageNumber"/>
        <w:b/>
        <w:bCs/>
      </w:rPr>
      <w:fldChar w:fldCharType="begin"/>
    </w:r>
    <w:r w:rsidRPr="00467D83">
      <w:rPr>
        <w:rStyle w:val="PageNumber"/>
        <w:b/>
        <w:bCs/>
      </w:rPr>
      <w:instrText xml:space="preserve"> PAGE </w:instrText>
    </w:r>
    <w:r w:rsidRPr="00467D83">
      <w:rPr>
        <w:rStyle w:val="PageNumber"/>
        <w:b/>
        <w:bCs/>
      </w:rPr>
      <w:fldChar w:fldCharType="separate"/>
    </w:r>
    <w:r>
      <w:rPr>
        <w:rStyle w:val="PageNumber"/>
        <w:b/>
        <w:bCs/>
        <w:noProof/>
      </w:rPr>
      <w:t>1</w:t>
    </w:r>
    <w:r w:rsidRPr="00467D83">
      <w:rPr>
        <w:rStyle w:val="PageNumber"/>
        <w:b/>
        <w:bC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B43C9" w14:textId="77777777" w:rsidR="002A6683" w:rsidRPr="005A22AE" w:rsidRDefault="002A6683" w:rsidP="005A22A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63863" w14:textId="77777777" w:rsidR="002A6683" w:rsidRPr="005A22AE" w:rsidRDefault="002A6683" w:rsidP="005A22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E83D4" w14:textId="485FFB01" w:rsidR="002A6683" w:rsidRPr="00CB73F1" w:rsidRDefault="002A6683">
    <w:pPr>
      <w:pStyle w:val="Footer"/>
    </w:pPr>
    <w:r w:rsidRPr="00CB73F1">
      <w:fldChar w:fldCharType="begin"/>
    </w:r>
    <w:r w:rsidRPr="00CB73F1">
      <w:instrText xml:space="preserve"> PAGE </w:instrText>
    </w:r>
    <w:r w:rsidRPr="00CB73F1">
      <w:fldChar w:fldCharType="separate"/>
    </w:r>
    <w:r>
      <w:rPr>
        <w:noProof/>
      </w:rPr>
      <w:t>viii</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5EB5B" w14:textId="53DCF404" w:rsidR="002A6683" w:rsidRPr="00CB73F1" w:rsidRDefault="002A6683">
    <w:pPr>
      <w:pStyle w:val="Footer"/>
      <w:jc w:val="right"/>
    </w:pPr>
    <w:r w:rsidRPr="00CB73F1">
      <w:fldChar w:fldCharType="begin"/>
    </w:r>
    <w:r w:rsidRPr="00CB73F1">
      <w:instrText xml:space="preserve"> PAGE </w:instrText>
    </w:r>
    <w:r w:rsidRPr="00CB73F1">
      <w:fldChar w:fldCharType="separate"/>
    </w:r>
    <w:r>
      <w:rPr>
        <w:noProof/>
      </w:rPr>
      <w:t>ix</w:t>
    </w:r>
    <w:r w:rsidRPr="00CB73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B501A" w14:textId="7C3B789E" w:rsidR="002A6683" w:rsidRPr="00CB73F1" w:rsidRDefault="002A6683">
    <w:pPr>
      <w:pStyle w:val="Footer"/>
      <w:jc w:val="right"/>
    </w:pPr>
    <w:r w:rsidRPr="00CB73F1">
      <w:fldChar w:fldCharType="begin"/>
    </w:r>
    <w:r w:rsidRPr="00CB73F1">
      <w:instrText xml:space="preserve"> PAGE </w:instrText>
    </w:r>
    <w:r w:rsidRPr="00CB73F1">
      <w:fldChar w:fldCharType="separate"/>
    </w:r>
    <w:r>
      <w:rPr>
        <w:noProof/>
      </w:rPr>
      <w:t>iii</w:t>
    </w:r>
    <w:r w:rsidRPr="00CB73F1">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2E96" w14:textId="249DFEF6" w:rsidR="002A6683" w:rsidRPr="00F30D67" w:rsidRDefault="002A6683">
    <w:pPr>
      <w:pStyle w:val="Footer"/>
    </w:pPr>
    <w:r w:rsidRPr="00F30D67">
      <w:fldChar w:fldCharType="begin"/>
    </w:r>
    <w:r w:rsidRPr="00F30D67">
      <w:instrText xml:space="preserve"> PAGE </w:instrText>
    </w:r>
    <w:r w:rsidRPr="00F30D67">
      <w:fldChar w:fldCharType="separate"/>
    </w:r>
    <w:r>
      <w:rPr>
        <w:noProof/>
      </w:rPr>
      <w:t>3-2</w:t>
    </w:r>
    <w:r w:rsidRPr="00F30D6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F7C44" w14:textId="3FE9F994" w:rsidR="002A6683" w:rsidRDefault="002A6683">
    <w:pPr>
      <w:pStyle w:val="Footer"/>
      <w:jc w:val="right"/>
    </w:pPr>
    <w:r>
      <w:fldChar w:fldCharType="begin"/>
    </w:r>
    <w:r>
      <w:instrText xml:space="preserve"> PAGE   \* MERGEFORMAT </w:instrText>
    </w:r>
    <w:r>
      <w:fldChar w:fldCharType="separate"/>
    </w:r>
    <w:r>
      <w:rPr>
        <w:noProof/>
      </w:rPr>
      <w:t>3-3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9EE1" w14:textId="248C05D1" w:rsidR="002A6683" w:rsidRDefault="002A6683">
    <w:pPr>
      <w:pStyle w:val="Footer"/>
      <w:jc w:val="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F5F51" w14:textId="77777777" w:rsidR="002A6683" w:rsidRDefault="002A6683">
      <w:r>
        <w:separator/>
      </w:r>
    </w:p>
  </w:footnote>
  <w:footnote w:type="continuationSeparator" w:id="0">
    <w:p w14:paraId="15E08DC2" w14:textId="77777777" w:rsidR="002A6683" w:rsidRDefault="002A6683">
      <w:r>
        <w:continuationSeparator/>
      </w:r>
    </w:p>
  </w:footnote>
  <w:footnote w:type="continuationNotice" w:id="1">
    <w:p w14:paraId="578D4B15" w14:textId="77777777" w:rsidR="002A6683" w:rsidRDefault="002A6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8B5A" w14:textId="77777777" w:rsidR="002A6683" w:rsidRDefault="002A6683" w:rsidP="00D071F2">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4" w:rightFromText="144" w:horzAnchor="page" w:tblpX="14905" w:tblpY="1"/>
      <w:tblOverlap w:val="never"/>
      <w:tblW w:w="0" w:type="auto"/>
      <w:tblLayout w:type="fixed"/>
      <w:tblCellMar>
        <w:left w:w="72" w:type="dxa"/>
        <w:right w:w="72" w:type="dxa"/>
      </w:tblCellMar>
      <w:tblLook w:val="01E0" w:firstRow="1" w:lastRow="1" w:firstColumn="1" w:lastColumn="1" w:noHBand="0" w:noVBand="0"/>
    </w:tblPr>
    <w:tblGrid>
      <w:gridCol w:w="504"/>
    </w:tblGrid>
    <w:tr w:rsidR="002A6683" w:rsidRPr="00E1788E" w14:paraId="7F673BD5" w14:textId="77777777" w:rsidTr="00F31D98">
      <w:trPr>
        <w:cantSplit/>
        <w:trHeight w:val="9216"/>
      </w:trPr>
      <w:tc>
        <w:tcPr>
          <w:tcW w:w="504" w:type="dxa"/>
          <w:tcMar>
            <w:left w:w="0" w:type="dxa"/>
            <w:right w:w="0" w:type="dxa"/>
          </w:tcMar>
          <w:textDirection w:val="tbRl"/>
          <w:vAlign w:val="bottom"/>
        </w:tcPr>
        <w:p w14:paraId="22A71898" w14:textId="4E7055A5" w:rsidR="002A6683" w:rsidRPr="008D74EC" w:rsidRDefault="002A6683" w:rsidP="00CA2896">
          <w:pPr>
            <w:pStyle w:val="Header"/>
            <w:jc w:val="right"/>
            <w:rPr>
              <w:iCs/>
              <w:sz w:val="22"/>
            </w:rPr>
          </w:pPr>
          <w:r w:rsidRPr="006471F0">
            <w:t>Section 3 — Model Population and Compartments</w:t>
          </w: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2A6683" w:rsidRPr="00E1788E" w14:paraId="39A2F728" w14:textId="77777777" w:rsidTr="00F31D98">
      <w:trPr>
        <w:cantSplit/>
        <w:trHeight w:val="9216"/>
      </w:trPr>
      <w:tc>
        <w:tcPr>
          <w:tcW w:w="504" w:type="dxa"/>
          <w:tcMar>
            <w:left w:w="0" w:type="dxa"/>
            <w:right w:w="0" w:type="dxa"/>
          </w:tcMar>
          <w:textDirection w:val="tbRl"/>
        </w:tcPr>
        <w:p w14:paraId="7F1A93BF" w14:textId="271CDBE6" w:rsidR="002A6683" w:rsidRPr="00E1788E" w:rsidRDefault="002A6683" w:rsidP="00DF1AFE">
          <w:pPr>
            <w:jc w:val="right"/>
            <w:rPr>
              <w:i/>
              <w:iCs/>
            </w:rPr>
          </w:pPr>
          <w:r w:rsidRPr="006471F0">
            <w:rPr>
              <w:rStyle w:val="PageNumber"/>
              <w:rFonts w:cs="Arial"/>
            </w:rPr>
            <w:fldChar w:fldCharType="begin"/>
          </w:r>
          <w:r w:rsidRPr="006471F0">
            <w:rPr>
              <w:rStyle w:val="PageNumber"/>
              <w:rFonts w:cs="Arial"/>
            </w:rPr>
            <w:instrText xml:space="preserve"> PAGE   \* MERGEFORMAT </w:instrText>
          </w:r>
          <w:r w:rsidRPr="006471F0">
            <w:rPr>
              <w:rStyle w:val="PageNumber"/>
              <w:rFonts w:cs="Arial"/>
            </w:rPr>
            <w:fldChar w:fldCharType="separate"/>
          </w:r>
          <w:r>
            <w:rPr>
              <w:rStyle w:val="PageNumber"/>
              <w:rFonts w:cs="Arial"/>
              <w:noProof/>
            </w:rPr>
            <w:t>3-5</w:t>
          </w:r>
          <w:r w:rsidRPr="006471F0">
            <w:rPr>
              <w:rStyle w:val="PageNumber"/>
              <w:rFonts w:cs="Arial"/>
            </w:rPr>
            <w:fldChar w:fldCharType="end"/>
          </w:r>
        </w:p>
      </w:tc>
    </w:tr>
  </w:tbl>
  <w:p w14:paraId="6839B3EE" w14:textId="4196842C" w:rsidR="002A6683" w:rsidRDefault="002A6683" w:rsidP="006471F0">
    <w:pPr>
      <w:pStyle w:val="Header"/>
      <w:pBdr>
        <w:bottom w:val="none" w:sz="0" w:space="0" w:color="auto"/>
      </w:pBd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61817" w14:textId="77777777" w:rsidR="002A6683" w:rsidRDefault="002A6683" w:rsidP="00C47A13">
    <w:pPr>
      <w:pStyle w:val="Header"/>
      <w:jc w:val="right"/>
    </w:pPr>
    <w:r>
      <w:t>Section 4 —</w:t>
    </w:r>
    <w:r w:rsidRPr="005A22AE">
      <w:t>Initial Population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2A6683" w:rsidRPr="00E1788E" w14:paraId="29814EFC" w14:textId="77777777" w:rsidTr="003B19DD">
      <w:trPr>
        <w:cantSplit/>
        <w:trHeight w:hRule="exact" w:val="9216"/>
      </w:trPr>
      <w:tc>
        <w:tcPr>
          <w:tcW w:w="504" w:type="dxa"/>
          <w:tcMar>
            <w:left w:w="0" w:type="dxa"/>
            <w:right w:w="0" w:type="dxa"/>
          </w:tcMar>
          <w:textDirection w:val="tbRl"/>
        </w:tcPr>
        <w:p w14:paraId="1F1FFEDE" w14:textId="532D9369" w:rsidR="002A6683" w:rsidRPr="00E1788E" w:rsidRDefault="002A6683" w:rsidP="00526BBA">
          <w:pPr>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4-2</w:t>
          </w:r>
          <w:r w:rsidRPr="00A620EE">
            <w:rPr>
              <w:rStyle w:val="PageNumber"/>
            </w:rPr>
            <w:fldChar w:fldCharType="end"/>
          </w: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2A6683" w:rsidRPr="00E1788E" w14:paraId="3CEF0566" w14:textId="77777777" w:rsidTr="005F5498">
      <w:trPr>
        <w:cantSplit/>
        <w:trHeight w:hRule="exact" w:val="9216"/>
      </w:trPr>
      <w:tc>
        <w:tcPr>
          <w:tcW w:w="504" w:type="dxa"/>
          <w:tcMar>
            <w:left w:w="0" w:type="dxa"/>
            <w:right w:w="0" w:type="dxa"/>
          </w:tcMar>
          <w:textDirection w:val="tbRl"/>
          <w:vAlign w:val="bottom"/>
        </w:tcPr>
        <w:p w14:paraId="60BFE632" w14:textId="13CF78BB" w:rsidR="002A6683" w:rsidRPr="00E1788E" w:rsidRDefault="002A6683" w:rsidP="005F5498">
          <w:pPr>
            <w:pStyle w:val="Header"/>
          </w:pPr>
          <w:r w:rsidRPr="001B1470">
            <w:t>Technical Report for the HIV Optimization and Prevention Effectiveness (HOPE) Model</w:t>
          </w:r>
        </w:p>
      </w:tc>
    </w:tr>
  </w:tbl>
  <w:p w14:paraId="38AEEFD9" w14:textId="77777777" w:rsidR="002A6683" w:rsidRDefault="002A6683" w:rsidP="00526BBA">
    <w:pPr>
      <w:pStyle w:val="Header"/>
      <w:pBdr>
        <w:bottom w:val="none" w:sz="0" w:space="0" w:color="auto"/>
      </w:pBdr>
      <w:ind w:right="36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2A6683" w:rsidRPr="00E1788E" w14:paraId="2FC8FC20" w14:textId="77777777" w:rsidTr="003B19DD">
      <w:trPr>
        <w:cantSplit/>
        <w:trHeight w:hRule="exact" w:val="9216"/>
      </w:trPr>
      <w:tc>
        <w:tcPr>
          <w:tcW w:w="504" w:type="dxa"/>
          <w:tcMar>
            <w:left w:w="0" w:type="dxa"/>
            <w:right w:w="0" w:type="dxa"/>
          </w:tcMar>
          <w:textDirection w:val="tbRl"/>
        </w:tcPr>
        <w:p w14:paraId="2F42C695" w14:textId="57042934" w:rsidR="002A6683" w:rsidRPr="00E1788E" w:rsidRDefault="002A6683" w:rsidP="00526BBA">
          <w:pPr>
            <w:jc w:val="right"/>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4-3</w:t>
          </w:r>
          <w:r w:rsidRPr="00A620EE">
            <w:rPr>
              <w:rStyle w:val="PageNumber"/>
            </w:rPr>
            <w:fldChar w:fldCharType="end"/>
          </w: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2A6683" w:rsidRPr="00E1788E" w14:paraId="7783CF0F" w14:textId="77777777" w:rsidTr="005F5498">
      <w:trPr>
        <w:cantSplit/>
        <w:trHeight w:hRule="exact" w:val="9216"/>
      </w:trPr>
      <w:tc>
        <w:tcPr>
          <w:tcW w:w="504" w:type="dxa"/>
          <w:tcMar>
            <w:left w:w="0" w:type="dxa"/>
            <w:right w:w="0" w:type="dxa"/>
          </w:tcMar>
          <w:textDirection w:val="tbRl"/>
          <w:vAlign w:val="bottom"/>
        </w:tcPr>
        <w:p w14:paraId="4C7D21BB" w14:textId="77777777" w:rsidR="002A6683" w:rsidRPr="00E1788E" w:rsidRDefault="002A6683" w:rsidP="00395AB8">
          <w:pPr>
            <w:pStyle w:val="Header"/>
            <w:jc w:val="right"/>
          </w:pPr>
          <w:r>
            <w:t xml:space="preserve">Section 4 — </w:t>
          </w:r>
          <w:r w:rsidRPr="00987319">
            <w:t>Initial Population</w:t>
          </w:r>
        </w:p>
      </w:tc>
    </w:tr>
  </w:tbl>
  <w:p w14:paraId="16AB6145" w14:textId="77777777" w:rsidR="002A6683" w:rsidRPr="002B7803" w:rsidRDefault="002A6683" w:rsidP="00ED02F2">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409B4" w14:textId="16F7CA89" w:rsidR="002A6683" w:rsidRPr="00E1788E" w:rsidRDefault="002A6683" w:rsidP="00072F57">
    <w:pPr>
      <w:pStyle w:val="Header"/>
    </w:pPr>
    <w:r w:rsidRPr="001B1470">
      <w:t>Technical Report for the HIV Optimization and Prevention Effectiveness (HOPE) Model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FA8AC" w14:textId="77777777" w:rsidR="002A6683" w:rsidRDefault="002A6683" w:rsidP="00395AB8">
    <w:pPr>
      <w:pStyle w:val="Header"/>
      <w:jc w:val="right"/>
    </w:pPr>
    <w:r>
      <w:t xml:space="preserve">Section 4 — </w:t>
    </w:r>
    <w:r w:rsidRPr="00987319">
      <w:t>Initial Population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32ABE" w14:textId="77777777" w:rsidR="002A6683" w:rsidRDefault="002A6683" w:rsidP="00EA6FDC">
    <w:pPr>
      <w:pStyle w:val="Header"/>
    </w:pPr>
    <w:r>
      <w:t>Technical Report</w:t>
    </w:r>
    <w:r w:rsidRPr="00987319">
      <w:t xml:space="preserve"> for the CDC-RTI National HIV Epidemic Model</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8BEF" w14:textId="0EFAE8BA" w:rsidR="002A6683" w:rsidRDefault="002A6683" w:rsidP="00395AB8">
    <w:pPr>
      <w:pStyle w:val="Header"/>
      <w:jc w:val="right"/>
    </w:pPr>
    <w:r>
      <w:t xml:space="preserve">Section 5 — </w:t>
    </w:r>
    <w:r w:rsidRPr="005A22AE">
      <w:t xml:space="preserve">Movement into and out of Model, Between Subpopulations, </w:t>
    </w:r>
    <w:r>
      <w:br/>
    </w:r>
    <w:r w:rsidRPr="005A22AE">
      <w:t>Between Compartments (Except Due to Infection), and Within Compartments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F376" w14:textId="77777777" w:rsidR="002A6683" w:rsidRPr="00610AD9" w:rsidRDefault="002A6683" w:rsidP="00610AD9">
    <w:pPr>
      <w:pStyle w:val="Header"/>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2A6683" w:rsidRPr="00E1788E" w14:paraId="7DF972E9" w14:textId="77777777" w:rsidTr="003B19DD">
      <w:trPr>
        <w:cantSplit/>
        <w:trHeight w:hRule="exact" w:val="9216"/>
      </w:trPr>
      <w:tc>
        <w:tcPr>
          <w:tcW w:w="504" w:type="dxa"/>
          <w:tcMar>
            <w:left w:w="0" w:type="dxa"/>
            <w:right w:w="0" w:type="dxa"/>
          </w:tcMar>
          <w:textDirection w:val="tbRl"/>
        </w:tcPr>
        <w:p w14:paraId="40CFC65B" w14:textId="2052F107" w:rsidR="002A6683" w:rsidRPr="00E1788E" w:rsidRDefault="002A6683" w:rsidP="00610AD9">
          <w:pPr>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5-10</w:t>
          </w:r>
          <w:r w:rsidRPr="00A620EE">
            <w:rPr>
              <w:rStyle w:val="PageNumber"/>
            </w:rPr>
            <w:fldChar w:fldCharType="end"/>
          </w: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2A6683" w:rsidRPr="00E1788E" w14:paraId="399D8BD6" w14:textId="77777777" w:rsidTr="005F5498">
      <w:trPr>
        <w:cantSplit/>
        <w:trHeight w:hRule="exact" w:val="9216"/>
      </w:trPr>
      <w:tc>
        <w:tcPr>
          <w:tcW w:w="504" w:type="dxa"/>
          <w:tcMar>
            <w:left w:w="0" w:type="dxa"/>
            <w:right w:w="0" w:type="dxa"/>
          </w:tcMar>
          <w:textDirection w:val="tbRl"/>
          <w:vAlign w:val="bottom"/>
        </w:tcPr>
        <w:p w14:paraId="65BA5D63" w14:textId="404F46DF" w:rsidR="002A6683" w:rsidRPr="00E1788E" w:rsidRDefault="002A6683" w:rsidP="005F5498">
          <w:pPr>
            <w:pStyle w:val="Header"/>
          </w:pPr>
          <w:r w:rsidRPr="001B1470">
            <w:t>Technical Report for the HIV Optimization and Prevention Effectiveness (HOPE) Model</w:t>
          </w:r>
        </w:p>
      </w:tc>
    </w:tr>
  </w:tbl>
  <w:p w14:paraId="6C0A67A8" w14:textId="77777777" w:rsidR="002A6683" w:rsidRDefault="002A6683" w:rsidP="00526BBA">
    <w:pPr>
      <w:pStyle w:val="Header"/>
      <w:pBdr>
        <w:bottom w:val="none" w:sz="0" w:space="0" w:color="auto"/>
      </w:pBdr>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253C" w14:textId="77777777" w:rsidR="002A6683" w:rsidRDefault="002A6683">
    <w:pPr>
      <w:pStyle w:val="Header"/>
      <w:pBdr>
        <w:bottom w:val="none" w:sz="0" w:space="0" w:color="auto"/>
      </w:pBd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2A6683" w:rsidRPr="00E1788E" w14:paraId="69D76079" w14:textId="77777777" w:rsidTr="003B19DD">
      <w:trPr>
        <w:cantSplit/>
        <w:trHeight w:hRule="exact" w:val="9216"/>
      </w:trPr>
      <w:tc>
        <w:tcPr>
          <w:tcW w:w="504" w:type="dxa"/>
          <w:tcMar>
            <w:left w:w="0" w:type="dxa"/>
            <w:right w:w="0" w:type="dxa"/>
          </w:tcMar>
          <w:textDirection w:val="tbRl"/>
        </w:tcPr>
        <w:p w14:paraId="7C231B33" w14:textId="5CF11158" w:rsidR="002A6683" w:rsidRPr="00E1788E" w:rsidRDefault="002A6683" w:rsidP="00610AD9">
          <w:pPr>
            <w:jc w:val="right"/>
            <w:rPr>
              <w:i/>
              <w:iCs/>
            </w:rPr>
          </w:pPr>
          <w:r w:rsidRPr="00A620EE">
            <w:rPr>
              <w:rStyle w:val="PageNumber"/>
            </w:rPr>
            <w:fldChar w:fldCharType="begin"/>
          </w:r>
          <w:r w:rsidRPr="00A620EE">
            <w:rPr>
              <w:rStyle w:val="PageNumber"/>
            </w:rPr>
            <w:instrText xml:space="preserve"> PAGE   \* MERGEFORMAT </w:instrText>
          </w:r>
          <w:r w:rsidRPr="00A620EE">
            <w:rPr>
              <w:rStyle w:val="PageNumber"/>
            </w:rPr>
            <w:fldChar w:fldCharType="separate"/>
          </w:r>
          <w:r>
            <w:rPr>
              <w:rStyle w:val="PageNumber"/>
              <w:noProof/>
            </w:rPr>
            <w:t>5-11</w:t>
          </w:r>
          <w:r w:rsidRPr="00A620EE">
            <w:rPr>
              <w:rStyle w:val="PageNumber"/>
            </w:rPr>
            <w:fldChar w:fldCharType="end"/>
          </w:r>
        </w:p>
      </w:tc>
    </w:tr>
  </w:tbl>
  <w:tbl>
    <w:tblPr>
      <w:tblpPr w:leftFromText="72" w:rightFromText="72" w:horzAnchor="page" w:tblpX="14905"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504"/>
    </w:tblGrid>
    <w:tr w:rsidR="002A6683" w:rsidRPr="00E1788E" w14:paraId="4B49EB8A" w14:textId="77777777" w:rsidTr="005B3C7F">
      <w:trPr>
        <w:cantSplit/>
        <w:trHeight w:hRule="exact" w:val="9216"/>
      </w:trPr>
      <w:tc>
        <w:tcPr>
          <w:tcW w:w="504" w:type="dxa"/>
          <w:tcMar>
            <w:left w:w="0" w:type="dxa"/>
            <w:right w:w="0" w:type="dxa"/>
          </w:tcMar>
          <w:textDirection w:val="tbRl"/>
          <w:vAlign w:val="bottom"/>
        </w:tcPr>
        <w:p w14:paraId="069CDFFF" w14:textId="076526E6" w:rsidR="002A6683" w:rsidRPr="00E1788E" w:rsidRDefault="002A6683" w:rsidP="00610AD9">
          <w:pPr>
            <w:pStyle w:val="Header"/>
            <w:jc w:val="right"/>
          </w:pPr>
          <w:r>
            <w:t xml:space="preserve">Section 5 — </w:t>
          </w:r>
          <w:r w:rsidRPr="009D5AF4">
            <w:t xml:space="preserve">Movement into and out of </w:t>
          </w:r>
          <w:r>
            <w:t>the Model, b</w:t>
          </w:r>
          <w:r w:rsidRPr="009D5AF4">
            <w:t xml:space="preserve">etween Subpopulations, </w:t>
          </w:r>
          <w:r>
            <w:br/>
            <w:t>b</w:t>
          </w:r>
          <w:r w:rsidRPr="009D5AF4">
            <w:t xml:space="preserve">etween Compartments </w:t>
          </w:r>
          <w:r>
            <w:t>(Except Due to Infection), and w</w:t>
          </w:r>
          <w:r w:rsidRPr="009D5AF4">
            <w:t>ithin Compartments</w:t>
          </w:r>
        </w:p>
      </w:tc>
    </w:tr>
  </w:tbl>
  <w:p w14:paraId="6DDDE5EC" w14:textId="77777777" w:rsidR="002A6683" w:rsidRPr="002B7803" w:rsidRDefault="002A6683" w:rsidP="00ED02F2">
    <w:pPr>
      <w:pStyle w:val="Header"/>
      <w:pBdr>
        <w:bottom w:val="none" w:sz="0"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9F81A" w14:textId="56330EFA" w:rsidR="002A6683" w:rsidRDefault="002A6683" w:rsidP="001A6C07">
    <w:pPr>
      <w:pStyle w:val="Header"/>
    </w:pPr>
    <w:r w:rsidRPr="001B1470">
      <w:t>Technical Report for the HIV Optimization and Prevention Effectiveness (HOPE) Model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B4AD" w14:textId="55296A46" w:rsidR="002A6683" w:rsidRPr="009508BA" w:rsidRDefault="002A6683" w:rsidP="009508BA">
    <w:pPr>
      <w:pStyle w:val="Header"/>
      <w:jc w:val="right"/>
    </w:pPr>
    <w:r>
      <w:t xml:space="preserve">Section 5 — </w:t>
    </w:r>
    <w:r w:rsidRPr="009D5AF4">
      <w:t xml:space="preserve">Movement into and out of </w:t>
    </w:r>
    <w:r>
      <w:t>the Model, b</w:t>
    </w:r>
    <w:r w:rsidRPr="009D5AF4">
      <w:t xml:space="preserve">etween Subpopulations, </w:t>
    </w:r>
    <w:r>
      <w:br/>
      <w:t>b</w:t>
    </w:r>
    <w:r w:rsidRPr="009D5AF4">
      <w:t xml:space="preserve">etween Compartments </w:t>
    </w:r>
    <w:r>
      <w:t>(Except Due to Infection), and w</w:t>
    </w:r>
    <w:r w:rsidRPr="009D5AF4">
      <w:t>ithin Compartments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1610A" w14:textId="63213B8E" w:rsidR="002A6683" w:rsidRPr="009508BA" w:rsidRDefault="002A6683" w:rsidP="009508BA">
    <w:pPr>
      <w:pStyle w:val="Header"/>
      <w:jc w:val="right"/>
    </w:pPr>
    <w:r>
      <w:t xml:space="preserve">Section 6 — </w:t>
    </w:r>
    <w:r w:rsidRPr="005A22AE">
      <w:t>Force of Infection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2A6683" w:rsidRPr="00E1788E" w14:paraId="63EA0BCF" w14:textId="77777777" w:rsidTr="005F5498">
      <w:trPr>
        <w:cantSplit/>
        <w:trHeight w:hRule="exact" w:val="9216"/>
      </w:trPr>
      <w:tc>
        <w:tcPr>
          <w:tcW w:w="504" w:type="dxa"/>
          <w:tcMar>
            <w:left w:w="0" w:type="dxa"/>
            <w:right w:w="0" w:type="dxa"/>
          </w:tcMar>
          <w:textDirection w:val="tbRl"/>
          <w:vAlign w:val="bottom"/>
        </w:tcPr>
        <w:p w14:paraId="6DBC17CD" w14:textId="40CEC10B" w:rsidR="002A6683" w:rsidRPr="00E1788E" w:rsidRDefault="002A6683" w:rsidP="005F5498">
          <w:pPr>
            <w:pStyle w:val="Header"/>
          </w:pPr>
          <w:r w:rsidRPr="001B1470">
            <w:t>Technical Report for the HIV Optimization and Prevention Effectiveness (HOPE) Model</w:t>
          </w:r>
        </w:p>
      </w:tc>
    </w:tr>
  </w:tbl>
  <w:p w14:paraId="24D3EA2E" w14:textId="77777777" w:rsidR="002A6683" w:rsidRDefault="002A6683" w:rsidP="005A22AE">
    <w:pPr>
      <w:pStyle w:val="Header"/>
      <w:pBdr>
        <w:bottom w:val="none" w:sz="0" w:space="0" w:color="auto"/>
      </w:pBdr>
      <w:ind w:right="36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2A6683" w:rsidRPr="00E1788E" w14:paraId="228BC073" w14:textId="77777777" w:rsidTr="00F259E1">
      <w:trPr>
        <w:cantSplit/>
        <w:trHeight w:hRule="exact" w:val="9216"/>
      </w:trPr>
      <w:tc>
        <w:tcPr>
          <w:tcW w:w="504" w:type="dxa"/>
          <w:tcMar>
            <w:left w:w="0" w:type="dxa"/>
            <w:right w:w="0" w:type="dxa"/>
          </w:tcMar>
          <w:textDirection w:val="tbRl"/>
          <w:vAlign w:val="bottom"/>
        </w:tcPr>
        <w:p w14:paraId="40589CFF" w14:textId="77777777" w:rsidR="002A6683" w:rsidRPr="00E1788E" w:rsidRDefault="002A6683" w:rsidP="00F259E1">
          <w:pPr>
            <w:pStyle w:val="Header"/>
            <w:jc w:val="right"/>
          </w:pPr>
          <w:r>
            <w:t xml:space="preserve">Section 6 — </w:t>
          </w:r>
          <w:r w:rsidRPr="005F623A">
            <w:t>Force of Infection</w:t>
          </w:r>
        </w:p>
      </w:tc>
    </w:tr>
  </w:tbl>
  <w:p w14:paraId="6662BF23" w14:textId="77777777" w:rsidR="002A6683" w:rsidRPr="00C277F4" w:rsidRDefault="002A6683" w:rsidP="00C277F4">
    <w:pPr>
      <w:pStyle w:val="Header"/>
      <w:pBdr>
        <w:bottom w:val="none" w:sz="0"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06941" w14:textId="77777777" w:rsidR="002A6683" w:rsidRPr="00E47989" w:rsidRDefault="002A6683" w:rsidP="00E47989">
    <w:pPr>
      <w:pStyle w:val="Header"/>
      <w:pBdr>
        <w:bottom w:val="none" w:sz="0"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769F" w14:textId="6C1179B2" w:rsidR="002A6683" w:rsidRDefault="002A6683" w:rsidP="00315F8D">
    <w:pPr>
      <w:pStyle w:val="Header"/>
    </w:pPr>
    <w:r w:rsidRPr="001B1470">
      <w:t>Technical Report for the HIV Optimization and Prevention Effectiveness (HOPE) Model</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6D665" w14:textId="5CF29F40" w:rsidR="002A6683" w:rsidRPr="00C277F4" w:rsidRDefault="002A6683" w:rsidP="00315F8D">
    <w:pPr>
      <w:pStyle w:val="Header"/>
      <w:jc w:val="right"/>
    </w:pPr>
    <w:r>
      <w:t xml:space="preserve">Section 6 — </w:t>
    </w:r>
    <w:r w:rsidRPr="005F623A">
      <w:t>Force of Infection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C030" w14:textId="77AF23C1" w:rsidR="002A6683" w:rsidRPr="006A4DEA" w:rsidRDefault="002A6683" w:rsidP="006A4DEA">
    <w:pPr>
      <w:pStyle w:val="Header"/>
      <w:jc w:val="right"/>
    </w:pPr>
    <w:r>
      <w:t xml:space="preserve">Section 7 — </w:t>
    </w:r>
    <w:r w:rsidRPr="005A22AE">
      <w:t>Differential Equations that Define the Model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CC01B" w14:textId="77777777" w:rsidR="002A6683" w:rsidRDefault="002A6683">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101B7" w14:textId="14FBA5F1" w:rsidR="002A6683" w:rsidRDefault="002A6683" w:rsidP="00FF381E">
    <w:pPr>
      <w:pStyle w:val="Header"/>
      <w:jc w:val="right"/>
    </w:pPr>
    <w:r>
      <w:t xml:space="preserve">Section 8 — Interventions Aimed at Increasing Progression </w:t>
    </w:r>
    <w:r>
      <w:br/>
      <w:t>along the Continuum of Care (Allocation-Based Progression Only)</w:t>
    </w:r>
  </w:p>
  <w:p w14:paraId="3BDCC75B" w14:textId="77777777" w:rsidR="002A6683" w:rsidRDefault="002A668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23D22" w14:textId="1BB0E06C" w:rsidR="002A6683" w:rsidRDefault="002A6683" w:rsidP="00FF381E">
    <w:pPr>
      <w:pStyle w:val="Header"/>
      <w:jc w:val="right"/>
    </w:pPr>
    <w:r>
      <w:t xml:space="preserve">Section 10 — </w:t>
    </w:r>
    <w:r w:rsidRPr="00D869AD">
      <w:t>Calculation of Model Outcomes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1FB7C" w14:textId="1D1B4AE1" w:rsidR="002A6683" w:rsidRDefault="002A6683" w:rsidP="00FF381E">
    <w:pPr>
      <w:pStyle w:val="Header"/>
      <w:jc w:val="right"/>
    </w:pPr>
    <w:r>
      <w:t xml:space="preserve">Section 11 — </w:t>
    </w:r>
    <w:r w:rsidRPr="00752CC5">
      <w:t xml:space="preserve">Model </w:t>
    </w:r>
    <w:r>
      <w:t>Sensitivity and Uncertainty Analyses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2F2B" w14:textId="77777777" w:rsidR="002A6683" w:rsidRDefault="002A6683" w:rsidP="00984B00">
    <w:pPr>
      <w:pStyle w:val="Header"/>
      <w:pBdr>
        <w:bottom w:val="single" w:sz="2" w:space="1" w:color="auto"/>
      </w:pBdr>
      <w:jc w:val="right"/>
    </w:pPr>
    <w:r>
      <w:t>References</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334A1" w14:textId="77777777" w:rsidR="002A6683" w:rsidRDefault="002A6683" w:rsidP="00984B00">
    <w:pPr>
      <w:pStyle w:val="Header"/>
      <w:pBdr>
        <w:bottom w:val="single" w:sz="2" w:space="1" w:color="auto"/>
      </w:pBdr>
      <w:jc w:val="right"/>
    </w:pPr>
    <w:r>
      <w:t>Appendix A — Definitions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519" w:tblpYSpec="top"/>
      <w:tblOverlap w:val="never"/>
      <w:tblW w:w="0" w:type="auto"/>
      <w:tblLayout w:type="fixed"/>
      <w:tblCellMar>
        <w:left w:w="0" w:type="dxa"/>
        <w:right w:w="0" w:type="dxa"/>
      </w:tblCellMar>
      <w:tblLook w:val="01E0" w:firstRow="1" w:lastRow="1" w:firstColumn="1" w:lastColumn="1" w:noHBand="0" w:noVBand="0"/>
    </w:tblPr>
    <w:tblGrid>
      <w:gridCol w:w="504"/>
    </w:tblGrid>
    <w:tr w:rsidR="002A6683" w:rsidRPr="00E1788E" w14:paraId="69097AD5" w14:textId="77777777" w:rsidTr="00F31D98">
      <w:trPr>
        <w:cantSplit/>
        <w:trHeight w:hRule="exact" w:val="9360"/>
      </w:trPr>
      <w:tc>
        <w:tcPr>
          <w:tcW w:w="504" w:type="dxa"/>
          <w:tcMar>
            <w:left w:w="0" w:type="dxa"/>
            <w:right w:w="0" w:type="dxa"/>
          </w:tcMar>
          <w:textDirection w:val="tbRl"/>
        </w:tcPr>
        <w:p w14:paraId="031573D6" w14:textId="164CF637" w:rsidR="002A6683" w:rsidRPr="00551FA4" w:rsidRDefault="002A6683" w:rsidP="00F31D98">
          <w:pPr>
            <w:rPr>
              <w:b/>
              <w:bCs/>
              <w:i/>
              <w:iCs/>
            </w:rPr>
          </w:pPr>
          <w:r w:rsidRPr="00551FA4">
            <w:rPr>
              <w:b/>
              <w:bCs/>
            </w:rPr>
            <w:t>A-</w:t>
          </w:r>
          <w:r w:rsidRPr="00D74FFB">
            <w:rPr>
              <w:b/>
              <w:bCs/>
            </w:rPr>
            <w:fldChar w:fldCharType="begin"/>
          </w:r>
          <w:r w:rsidRPr="00D74FFB">
            <w:rPr>
              <w:b/>
              <w:bCs/>
            </w:rPr>
            <w:instrText xml:space="preserve"> PAGE   \* MERGEFORMAT </w:instrText>
          </w:r>
          <w:r w:rsidRPr="00D74FFB">
            <w:rPr>
              <w:b/>
              <w:bCs/>
            </w:rPr>
            <w:fldChar w:fldCharType="separate"/>
          </w:r>
          <w:r>
            <w:rPr>
              <w:b/>
              <w:bCs/>
              <w:noProof/>
            </w:rPr>
            <w:t>6</w:t>
          </w:r>
          <w:r w:rsidRPr="00D74FFB">
            <w:rPr>
              <w:b/>
              <w:bCs/>
              <w:noProof/>
            </w:rPr>
            <w:fldChar w:fldCharType="end"/>
          </w: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2A6683" w:rsidRPr="00E1788E" w14:paraId="20D11D37" w14:textId="77777777" w:rsidTr="005F5498">
      <w:trPr>
        <w:cantSplit/>
        <w:trHeight w:hRule="exact" w:val="9216"/>
      </w:trPr>
      <w:tc>
        <w:tcPr>
          <w:tcW w:w="504" w:type="dxa"/>
          <w:tcMar>
            <w:left w:w="0" w:type="dxa"/>
            <w:right w:w="0" w:type="dxa"/>
          </w:tcMar>
          <w:textDirection w:val="tbRl"/>
          <w:vAlign w:val="bottom"/>
        </w:tcPr>
        <w:p w14:paraId="2BBA3006" w14:textId="66950356" w:rsidR="002A6683" w:rsidRPr="00E1788E" w:rsidRDefault="002A6683" w:rsidP="005F5498">
          <w:pPr>
            <w:pStyle w:val="Header"/>
          </w:pPr>
          <w:r w:rsidRPr="001B1470">
            <w:t>Technical Report for the HIV Optimization and Prevention Effectiveness (HOPE) Model</w:t>
          </w:r>
        </w:p>
      </w:tc>
    </w:tr>
  </w:tbl>
  <w:p w14:paraId="115A81F4" w14:textId="77777777" w:rsidR="002A6683" w:rsidRPr="005A22AE" w:rsidRDefault="002A6683" w:rsidP="005A22AE">
    <w:pPr>
      <w:pStyle w:val="Header"/>
      <w:pBdr>
        <w:bottom w:val="none" w:sz="0" w:space="0"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72" w:rightFromText="72" w:horzAnchor="page" w:tblpX="519" w:tblpYSpec="top"/>
      <w:tblOverlap w:val="never"/>
      <w:tblW w:w="0" w:type="auto"/>
      <w:tblLayout w:type="fixed"/>
      <w:tblCellMar>
        <w:left w:w="0" w:type="dxa"/>
        <w:right w:w="0" w:type="dxa"/>
      </w:tblCellMar>
      <w:tblLook w:val="01E0" w:firstRow="1" w:lastRow="1" w:firstColumn="1" w:lastColumn="1" w:noHBand="0" w:noVBand="0"/>
    </w:tblPr>
    <w:tblGrid>
      <w:gridCol w:w="504"/>
    </w:tblGrid>
    <w:tr w:rsidR="002A6683" w:rsidRPr="00E1788E" w14:paraId="10DB5C2A" w14:textId="77777777" w:rsidTr="00F31D98">
      <w:trPr>
        <w:cantSplit/>
        <w:trHeight w:hRule="exact" w:val="9216"/>
      </w:trPr>
      <w:tc>
        <w:tcPr>
          <w:tcW w:w="504" w:type="dxa"/>
          <w:tcMar>
            <w:left w:w="0" w:type="dxa"/>
            <w:right w:w="0" w:type="dxa"/>
          </w:tcMar>
          <w:textDirection w:val="tbRl"/>
        </w:tcPr>
        <w:p w14:paraId="7C1370CD" w14:textId="1470A96F" w:rsidR="002A6683" w:rsidRPr="00551FA4" w:rsidRDefault="002A6683" w:rsidP="00F31D98">
          <w:pPr>
            <w:jc w:val="right"/>
            <w:rPr>
              <w:b/>
              <w:bCs/>
              <w:i/>
              <w:iCs/>
            </w:rPr>
          </w:pPr>
          <w:r w:rsidRPr="00551FA4">
            <w:rPr>
              <w:b/>
              <w:bCs/>
            </w:rPr>
            <w:t>A-</w:t>
          </w:r>
          <w:r w:rsidRPr="00D74FFB">
            <w:rPr>
              <w:b/>
              <w:bCs/>
            </w:rPr>
            <w:fldChar w:fldCharType="begin"/>
          </w:r>
          <w:r w:rsidRPr="00D74FFB">
            <w:rPr>
              <w:b/>
              <w:bCs/>
            </w:rPr>
            <w:instrText xml:space="preserve"> PAGE   \* MERGEFORMAT </w:instrText>
          </w:r>
          <w:r w:rsidRPr="00D74FFB">
            <w:rPr>
              <w:b/>
              <w:bCs/>
            </w:rPr>
            <w:fldChar w:fldCharType="separate"/>
          </w:r>
          <w:r>
            <w:rPr>
              <w:b/>
              <w:bCs/>
              <w:noProof/>
            </w:rPr>
            <w:t>5</w:t>
          </w:r>
          <w:r w:rsidRPr="00D74FFB">
            <w:rPr>
              <w:b/>
              <w:bCs/>
              <w:noProof/>
            </w:rPr>
            <w:fldChar w:fldCharType="end"/>
          </w: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2A6683" w:rsidRPr="00E1788E" w14:paraId="188561F8" w14:textId="77777777" w:rsidTr="005F5498">
      <w:trPr>
        <w:cantSplit/>
        <w:trHeight w:hRule="exact" w:val="9216"/>
      </w:trPr>
      <w:tc>
        <w:tcPr>
          <w:tcW w:w="504" w:type="dxa"/>
          <w:tcMar>
            <w:left w:w="0" w:type="dxa"/>
            <w:right w:w="0" w:type="dxa"/>
          </w:tcMar>
          <w:textDirection w:val="tbRl"/>
          <w:vAlign w:val="bottom"/>
        </w:tcPr>
        <w:p w14:paraId="4A6B7C1E" w14:textId="77777777" w:rsidR="002A6683" w:rsidRPr="00E1788E" w:rsidRDefault="002A6683" w:rsidP="005A22AE">
          <w:pPr>
            <w:pStyle w:val="Header"/>
            <w:jc w:val="right"/>
          </w:pPr>
          <w:r>
            <w:t>Appendix A — Definitions</w:t>
          </w:r>
        </w:p>
      </w:tc>
    </w:tr>
  </w:tbl>
  <w:p w14:paraId="500C1D1E" w14:textId="77777777" w:rsidR="002A6683" w:rsidRDefault="002A6683" w:rsidP="005A22AE">
    <w:pPr>
      <w:pStyle w:val="Header"/>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2116F" w14:textId="77777777" w:rsidR="002A6683" w:rsidRDefault="002A6683">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8109" w14:textId="4BD3499B" w:rsidR="002A6683" w:rsidRDefault="002A6683">
    <w:pPr>
      <w:pStyle w:val="Header"/>
    </w:pPr>
    <w:r w:rsidRPr="001B1470">
      <w:t>Technical Report for the HIV Optimization and Prevention Effectiveness (HOPE) Model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DFB28" w14:textId="77777777" w:rsidR="002A6683" w:rsidRDefault="002A6683">
    <w:pPr>
      <w:pStyle w:val="Header"/>
      <w:jc w:val="right"/>
    </w:pPr>
    <w:r>
      <w:t xml:space="preserve">Section 1 — </w:t>
    </w:r>
    <w:r w:rsidRPr="005A22AE">
      <w:t>Introduction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00856" w14:textId="77777777" w:rsidR="002A6683" w:rsidRDefault="002A6683">
    <w:pPr>
      <w:pStyle w:val="Header"/>
      <w:jc w:val="right"/>
    </w:pPr>
    <w:r>
      <w:t xml:space="preserve">Section 2 — </w:t>
    </w:r>
    <w:r w:rsidRPr="005A22AE">
      <w:t>Model Overview and Purpose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7AA0E" w14:textId="77777777" w:rsidR="002A6683" w:rsidRDefault="002A6683" w:rsidP="00C47A13">
    <w:pPr>
      <w:pStyle w:val="Header"/>
      <w:jc w:val="right"/>
    </w:pPr>
    <w:r>
      <w:t>Section 3 — Model Population and Compartments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535E" w14:textId="77777777" w:rsidR="002A6683" w:rsidRDefault="002A6683">
    <w:pPr>
      <w:pStyle w:val="Header"/>
    </w:pPr>
    <w:r>
      <w:t>Technical Report</w:t>
    </w:r>
    <w:r w:rsidRPr="00987319">
      <w:t xml:space="preserve"> for the CDC-RTI National HIV Epidemic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AA16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0101C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BBA32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8E79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462B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B408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8E91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F23C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EA27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15:restartNumberingAfterBreak="0">
    <w:nsid w:val="0CF074DB"/>
    <w:multiLevelType w:val="hybridMultilevel"/>
    <w:tmpl w:val="AF34D43A"/>
    <w:lvl w:ilvl="0" w:tplc="35B23B00">
      <w:start w:val="1"/>
      <w:numFmt w:val="bullet"/>
      <w:pStyle w:val="Bullet2"/>
      <w:lvlText w:val="-"/>
      <w:lvlJc w:val="left"/>
      <w:pPr>
        <w:tabs>
          <w:tab w:val="num" w:pos="2520"/>
        </w:tabs>
        <w:ind w:left="2520" w:hanging="360"/>
      </w:pPr>
      <w:rPr>
        <w:rFonts w:ascii="Courier New" w:hAnsi="Courier New" w:hint="default"/>
      </w:rPr>
    </w:lvl>
    <w:lvl w:ilvl="1" w:tplc="0C486EFC">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99B0AED"/>
    <w:multiLevelType w:val="multilevel"/>
    <w:tmpl w:val="EF704066"/>
    <w:styleLink w:val="Format4"/>
    <w:lvl w:ilvl="0">
      <w:start w:val="1"/>
      <w:numFmt w:val="decimal"/>
      <w:lvlText w:val="%1."/>
      <w:lvlJc w:val="left"/>
      <w:pPr>
        <w:ind w:left="48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F2148D"/>
    <w:multiLevelType w:val="hybridMultilevel"/>
    <w:tmpl w:val="45B8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15142"/>
    <w:multiLevelType w:val="hybridMultilevel"/>
    <w:tmpl w:val="4AF299A2"/>
    <w:lvl w:ilvl="0" w:tplc="FFFFFFFF">
      <w:numFmt w:val="bullet"/>
      <w:pStyle w:val="Tablebullet1"/>
      <w:lvlText w:val=""/>
      <w:lvlJc w:val="left"/>
      <w:pPr>
        <w:tabs>
          <w:tab w:val="num" w:pos="765"/>
        </w:tabs>
        <w:ind w:left="765" w:hanging="405"/>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D34897"/>
    <w:multiLevelType w:val="hybridMultilevel"/>
    <w:tmpl w:val="0ACEF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D202F5"/>
    <w:multiLevelType w:val="hybridMultilevel"/>
    <w:tmpl w:val="7D3A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41F3E"/>
    <w:multiLevelType w:val="hybridMultilevel"/>
    <w:tmpl w:val="E92E3F34"/>
    <w:lvl w:ilvl="0" w:tplc="9780B25C">
      <w:start w:val="1"/>
      <w:numFmt w:val="decimal"/>
      <w:pStyle w:val="Format4508"/>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A27CE7"/>
    <w:multiLevelType w:val="hybridMultilevel"/>
    <w:tmpl w:val="E07C8958"/>
    <w:lvl w:ilvl="0" w:tplc="9C526E44">
      <w:start w:val="1"/>
      <w:numFmt w:val="bullet"/>
      <w:pStyle w:val="bullets"/>
      <w:lvlText w:val="▪"/>
      <w:lvlJc w:val="left"/>
      <w:pPr>
        <w:ind w:left="720" w:hanging="360"/>
      </w:pPr>
      <w:rPr>
        <w:rFonts w:ascii="Arial" w:hAnsi="Arial" w:hint="default"/>
        <w:sz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B4B219E"/>
    <w:multiLevelType w:val="hybridMultilevel"/>
    <w:tmpl w:val="63925560"/>
    <w:lvl w:ilvl="0" w:tplc="B1EC28A8">
      <w:start w:val="1"/>
      <w:numFmt w:val="bullet"/>
      <w:lvlText w:val="■"/>
      <w:lvlJc w:val="left"/>
      <w:pPr>
        <w:tabs>
          <w:tab w:val="num" w:pos="720"/>
        </w:tabs>
        <w:ind w:left="720" w:hanging="360"/>
      </w:pPr>
      <w:rPr>
        <w:rFonts w:ascii="Times New Roman" w:hAnsi="Times New Roman" w:cs="Times New Roman" w:hint="default"/>
      </w:rPr>
    </w:lvl>
    <w:lvl w:ilvl="1" w:tplc="67687D5A">
      <w:start w:val="543"/>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730B9"/>
    <w:multiLevelType w:val="multilevel"/>
    <w:tmpl w:val="4F7A5FFC"/>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3F00B9"/>
    <w:multiLevelType w:val="hybridMultilevel"/>
    <w:tmpl w:val="B846F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C3024E"/>
    <w:multiLevelType w:val="hybridMultilevel"/>
    <w:tmpl w:val="3B604BD6"/>
    <w:lvl w:ilvl="0" w:tplc="E4AAFD7A">
      <w:start w:val="1"/>
      <w:numFmt w:val="decimal"/>
      <w:lvlText w:val="%1."/>
      <w:lvlJc w:val="left"/>
      <w:pPr>
        <w:ind w:left="720" w:hanging="360"/>
      </w:pPr>
      <w:rPr>
        <w:rFonts w:ascii="Verdana" w:hAnsi="Verdana"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16A95"/>
    <w:multiLevelType w:val="hybridMultilevel"/>
    <w:tmpl w:val="8FECF0E4"/>
    <w:lvl w:ilvl="0" w:tplc="128CDC60">
      <w:start w:val="1"/>
      <w:numFmt w:val="bullet"/>
      <w:pStyle w:val="Bullet1"/>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92F17"/>
    <w:multiLevelType w:val="hybridMultilevel"/>
    <w:tmpl w:val="C20CD94C"/>
    <w:lvl w:ilvl="0" w:tplc="C93EE198">
      <w:start w:val="1"/>
      <w:numFmt w:val="bullet"/>
      <w:lvlText w:val=""/>
      <w:lvlJc w:val="left"/>
      <w:pPr>
        <w:tabs>
          <w:tab w:val="num" w:pos="4500"/>
        </w:tabs>
        <w:ind w:left="450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819C7"/>
    <w:multiLevelType w:val="multilevel"/>
    <w:tmpl w:val="3B00DDE8"/>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1E2852"/>
    <w:multiLevelType w:val="hybridMultilevel"/>
    <w:tmpl w:val="5DAAA6B8"/>
    <w:lvl w:ilvl="0" w:tplc="A3744B1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515B37"/>
    <w:multiLevelType w:val="hybridMultilevel"/>
    <w:tmpl w:val="886056CE"/>
    <w:lvl w:ilvl="0" w:tplc="A634B508">
      <w:start w:val="1"/>
      <w:numFmt w:val="bullet"/>
      <w:pStyle w:val="bullets3rd-level"/>
      <w:lvlText w:val="•"/>
      <w:lvlJc w:val="left"/>
      <w:pPr>
        <w:ind w:left="144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1"/>
  </w:num>
  <w:num w:numId="4">
    <w:abstractNumId w:val="23"/>
  </w:num>
  <w:num w:numId="5">
    <w:abstractNumId w:val="24"/>
  </w:num>
  <w:num w:numId="6">
    <w:abstractNumId w:val="10"/>
  </w:num>
  <w:num w:numId="7">
    <w:abstractNumId w:val="13"/>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7"/>
  </w:num>
  <w:num w:numId="19">
    <w:abstractNumId w:val="19"/>
  </w:num>
  <w:num w:numId="20">
    <w:abstractNumId w:val="29"/>
  </w:num>
  <w:num w:numId="21">
    <w:abstractNumId w:val="16"/>
  </w:num>
  <w:num w:numId="22">
    <w:abstractNumId w:val="20"/>
  </w:num>
  <w:num w:numId="23">
    <w:abstractNumId w:val="26"/>
  </w:num>
  <w:num w:numId="24">
    <w:abstractNumId w:val="27"/>
  </w:num>
  <w:num w:numId="25">
    <w:abstractNumId w:val="28"/>
  </w:num>
  <w:num w:numId="26">
    <w:abstractNumId w:val="21"/>
  </w:num>
  <w:num w:numId="27">
    <w:abstractNumId w:val="14"/>
  </w:num>
  <w:num w:numId="28">
    <w:abstractNumId w:val="15"/>
  </w:num>
  <w:num w:numId="29">
    <w:abstractNumId w:val="18"/>
  </w:num>
  <w:num w:numId="3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drawingGridHorizontalSpacing w:val="100"/>
  <w:drawingGridVerticalSpacing w:val="299"/>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87"/>
    <w:rsid w:val="0000135C"/>
    <w:rsid w:val="0000199B"/>
    <w:rsid w:val="00002DEB"/>
    <w:rsid w:val="00002FEA"/>
    <w:rsid w:val="000042F3"/>
    <w:rsid w:val="00005520"/>
    <w:rsid w:val="000063C2"/>
    <w:rsid w:val="000066E8"/>
    <w:rsid w:val="000068ED"/>
    <w:rsid w:val="000078FB"/>
    <w:rsid w:val="00010216"/>
    <w:rsid w:val="00011204"/>
    <w:rsid w:val="000122E6"/>
    <w:rsid w:val="000133BE"/>
    <w:rsid w:val="000141DA"/>
    <w:rsid w:val="0001579D"/>
    <w:rsid w:val="00016965"/>
    <w:rsid w:val="00016D0E"/>
    <w:rsid w:val="0001709F"/>
    <w:rsid w:val="00017354"/>
    <w:rsid w:val="00020D77"/>
    <w:rsid w:val="00021759"/>
    <w:rsid w:val="000219CA"/>
    <w:rsid w:val="00021B86"/>
    <w:rsid w:val="00022033"/>
    <w:rsid w:val="0002226E"/>
    <w:rsid w:val="000229FE"/>
    <w:rsid w:val="00023B7D"/>
    <w:rsid w:val="000244EC"/>
    <w:rsid w:val="000247F7"/>
    <w:rsid w:val="00024B80"/>
    <w:rsid w:val="00024DF3"/>
    <w:rsid w:val="00024FE5"/>
    <w:rsid w:val="000268B4"/>
    <w:rsid w:val="00026CEB"/>
    <w:rsid w:val="00027013"/>
    <w:rsid w:val="00027A9D"/>
    <w:rsid w:val="000300BF"/>
    <w:rsid w:val="00030D01"/>
    <w:rsid w:val="00032AC9"/>
    <w:rsid w:val="00032C70"/>
    <w:rsid w:val="00033702"/>
    <w:rsid w:val="00034290"/>
    <w:rsid w:val="00034F27"/>
    <w:rsid w:val="0003517F"/>
    <w:rsid w:val="00035DE7"/>
    <w:rsid w:val="00035E2A"/>
    <w:rsid w:val="000373EB"/>
    <w:rsid w:val="000400FE"/>
    <w:rsid w:val="00040371"/>
    <w:rsid w:val="000404FF"/>
    <w:rsid w:val="000407EA"/>
    <w:rsid w:val="000409A2"/>
    <w:rsid w:val="00040F16"/>
    <w:rsid w:val="00041CE9"/>
    <w:rsid w:val="00042460"/>
    <w:rsid w:val="00043000"/>
    <w:rsid w:val="000441D8"/>
    <w:rsid w:val="000441EA"/>
    <w:rsid w:val="000443D0"/>
    <w:rsid w:val="00044BA9"/>
    <w:rsid w:val="00044F97"/>
    <w:rsid w:val="000450CB"/>
    <w:rsid w:val="0004696B"/>
    <w:rsid w:val="000471CD"/>
    <w:rsid w:val="00050407"/>
    <w:rsid w:val="00050751"/>
    <w:rsid w:val="000507A1"/>
    <w:rsid w:val="0005114B"/>
    <w:rsid w:val="000513FF"/>
    <w:rsid w:val="00051B41"/>
    <w:rsid w:val="00051B8B"/>
    <w:rsid w:val="00051F8F"/>
    <w:rsid w:val="0005232E"/>
    <w:rsid w:val="00052401"/>
    <w:rsid w:val="0005253B"/>
    <w:rsid w:val="000525AF"/>
    <w:rsid w:val="00052981"/>
    <w:rsid w:val="00052E04"/>
    <w:rsid w:val="0005328A"/>
    <w:rsid w:val="0005392E"/>
    <w:rsid w:val="00053F18"/>
    <w:rsid w:val="00054580"/>
    <w:rsid w:val="00054A68"/>
    <w:rsid w:val="00054F41"/>
    <w:rsid w:val="00055E53"/>
    <w:rsid w:val="00055F14"/>
    <w:rsid w:val="00056A62"/>
    <w:rsid w:val="00056E6A"/>
    <w:rsid w:val="0006025F"/>
    <w:rsid w:val="000612A9"/>
    <w:rsid w:val="000635E0"/>
    <w:rsid w:val="00064571"/>
    <w:rsid w:val="00064B29"/>
    <w:rsid w:val="0006550C"/>
    <w:rsid w:val="00066130"/>
    <w:rsid w:val="000677DE"/>
    <w:rsid w:val="00067A1D"/>
    <w:rsid w:val="000723F7"/>
    <w:rsid w:val="000727D1"/>
    <w:rsid w:val="00072BE8"/>
    <w:rsid w:val="00072F57"/>
    <w:rsid w:val="0007322B"/>
    <w:rsid w:val="00073E1A"/>
    <w:rsid w:val="000741DE"/>
    <w:rsid w:val="0007469E"/>
    <w:rsid w:val="000747D6"/>
    <w:rsid w:val="00074A97"/>
    <w:rsid w:val="00074C1B"/>
    <w:rsid w:val="00074E8A"/>
    <w:rsid w:val="0007563D"/>
    <w:rsid w:val="00077A8B"/>
    <w:rsid w:val="00080654"/>
    <w:rsid w:val="00080A43"/>
    <w:rsid w:val="00081110"/>
    <w:rsid w:val="00083309"/>
    <w:rsid w:val="000838B0"/>
    <w:rsid w:val="00083AB9"/>
    <w:rsid w:val="00086184"/>
    <w:rsid w:val="00087186"/>
    <w:rsid w:val="0008723C"/>
    <w:rsid w:val="00087DA7"/>
    <w:rsid w:val="00090075"/>
    <w:rsid w:val="000901DD"/>
    <w:rsid w:val="00090302"/>
    <w:rsid w:val="000914E3"/>
    <w:rsid w:val="00091548"/>
    <w:rsid w:val="000951F7"/>
    <w:rsid w:val="00095359"/>
    <w:rsid w:val="000958A9"/>
    <w:rsid w:val="00095B8D"/>
    <w:rsid w:val="000965E6"/>
    <w:rsid w:val="00097301"/>
    <w:rsid w:val="000A17A6"/>
    <w:rsid w:val="000A312E"/>
    <w:rsid w:val="000A3211"/>
    <w:rsid w:val="000A3F3A"/>
    <w:rsid w:val="000A409D"/>
    <w:rsid w:val="000A4132"/>
    <w:rsid w:val="000A4C16"/>
    <w:rsid w:val="000A537D"/>
    <w:rsid w:val="000A562B"/>
    <w:rsid w:val="000A5653"/>
    <w:rsid w:val="000A5893"/>
    <w:rsid w:val="000A6265"/>
    <w:rsid w:val="000A6528"/>
    <w:rsid w:val="000A688B"/>
    <w:rsid w:val="000A713A"/>
    <w:rsid w:val="000B0022"/>
    <w:rsid w:val="000B1690"/>
    <w:rsid w:val="000B1C51"/>
    <w:rsid w:val="000B270A"/>
    <w:rsid w:val="000B305C"/>
    <w:rsid w:val="000B49AF"/>
    <w:rsid w:val="000B5739"/>
    <w:rsid w:val="000B5AE4"/>
    <w:rsid w:val="000B5EEA"/>
    <w:rsid w:val="000B6475"/>
    <w:rsid w:val="000B68B7"/>
    <w:rsid w:val="000B6B04"/>
    <w:rsid w:val="000B7100"/>
    <w:rsid w:val="000B71BD"/>
    <w:rsid w:val="000B74D8"/>
    <w:rsid w:val="000B7EF7"/>
    <w:rsid w:val="000C03C4"/>
    <w:rsid w:val="000C040D"/>
    <w:rsid w:val="000C08BE"/>
    <w:rsid w:val="000C13CC"/>
    <w:rsid w:val="000C15F8"/>
    <w:rsid w:val="000C1970"/>
    <w:rsid w:val="000C1AB9"/>
    <w:rsid w:val="000C1F0C"/>
    <w:rsid w:val="000C2107"/>
    <w:rsid w:val="000C2422"/>
    <w:rsid w:val="000C2714"/>
    <w:rsid w:val="000C279F"/>
    <w:rsid w:val="000C286B"/>
    <w:rsid w:val="000C2D5B"/>
    <w:rsid w:val="000C39BD"/>
    <w:rsid w:val="000C3E90"/>
    <w:rsid w:val="000C3E94"/>
    <w:rsid w:val="000C49BF"/>
    <w:rsid w:val="000C57A4"/>
    <w:rsid w:val="000C5C78"/>
    <w:rsid w:val="000C5E51"/>
    <w:rsid w:val="000C6047"/>
    <w:rsid w:val="000C6CED"/>
    <w:rsid w:val="000C6ECF"/>
    <w:rsid w:val="000C763E"/>
    <w:rsid w:val="000C77F6"/>
    <w:rsid w:val="000C7D90"/>
    <w:rsid w:val="000C7F07"/>
    <w:rsid w:val="000D21B1"/>
    <w:rsid w:val="000D2313"/>
    <w:rsid w:val="000D39CF"/>
    <w:rsid w:val="000D3F2B"/>
    <w:rsid w:val="000D460B"/>
    <w:rsid w:val="000D486A"/>
    <w:rsid w:val="000D4909"/>
    <w:rsid w:val="000D5EB4"/>
    <w:rsid w:val="000D648F"/>
    <w:rsid w:val="000D6507"/>
    <w:rsid w:val="000D6E53"/>
    <w:rsid w:val="000E01BA"/>
    <w:rsid w:val="000E0212"/>
    <w:rsid w:val="000E11F2"/>
    <w:rsid w:val="000E24DE"/>
    <w:rsid w:val="000E34E8"/>
    <w:rsid w:val="000E3A83"/>
    <w:rsid w:val="000E5D98"/>
    <w:rsid w:val="000E6D70"/>
    <w:rsid w:val="000E7333"/>
    <w:rsid w:val="000E77C1"/>
    <w:rsid w:val="000E78F7"/>
    <w:rsid w:val="000E7901"/>
    <w:rsid w:val="000E7EEC"/>
    <w:rsid w:val="000F06C9"/>
    <w:rsid w:val="000F0E6D"/>
    <w:rsid w:val="000F139F"/>
    <w:rsid w:val="000F18C8"/>
    <w:rsid w:val="000F1A8B"/>
    <w:rsid w:val="000F2BCD"/>
    <w:rsid w:val="000F3209"/>
    <w:rsid w:val="000F3379"/>
    <w:rsid w:val="000F3582"/>
    <w:rsid w:val="000F3E48"/>
    <w:rsid w:val="000F405F"/>
    <w:rsid w:val="000F420A"/>
    <w:rsid w:val="000F48EE"/>
    <w:rsid w:val="000F515B"/>
    <w:rsid w:val="000F52F1"/>
    <w:rsid w:val="001005C1"/>
    <w:rsid w:val="00101006"/>
    <w:rsid w:val="0010154C"/>
    <w:rsid w:val="0010273D"/>
    <w:rsid w:val="0010276F"/>
    <w:rsid w:val="001047F9"/>
    <w:rsid w:val="00104917"/>
    <w:rsid w:val="00104A6A"/>
    <w:rsid w:val="001050A4"/>
    <w:rsid w:val="00105AA4"/>
    <w:rsid w:val="001063EA"/>
    <w:rsid w:val="001065B9"/>
    <w:rsid w:val="00106CB6"/>
    <w:rsid w:val="0010772E"/>
    <w:rsid w:val="001077F7"/>
    <w:rsid w:val="00110283"/>
    <w:rsid w:val="00110E98"/>
    <w:rsid w:val="001115CB"/>
    <w:rsid w:val="00111FCA"/>
    <w:rsid w:val="00112754"/>
    <w:rsid w:val="001139EE"/>
    <w:rsid w:val="00113C3E"/>
    <w:rsid w:val="001143E2"/>
    <w:rsid w:val="001143F3"/>
    <w:rsid w:val="00116715"/>
    <w:rsid w:val="001168A6"/>
    <w:rsid w:val="001214DB"/>
    <w:rsid w:val="00121507"/>
    <w:rsid w:val="0012168B"/>
    <w:rsid w:val="001218DE"/>
    <w:rsid w:val="00122714"/>
    <w:rsid w:val="00122857"/>
    <w:rsid w:val="00123C23"/>
    <w:rsid w:val="00123D7D"/>
    <w:rsid w:val="00124570"/>
    <w:rsid w:val="00124A14"/>
    <w:rsid w:val="00124B2F"/>
    <w:rsid w:val="00124E46"/>
    <w:rsid w:val="001251F3"/>
    <w:rsid w:val="00125F43"/>
    <w:rsid w:val="00126BDD"/>
    <w:rsid w:val="0012753B"/>
    <w:rsid w:val="0013027E"/>
    <w:rsid w:val="00130572"/>
    <w:rsid w:val="001309A5"/>
    <w:rsid w:val="00130BF4"/>
    <w:rsid w:val="00130D7A"/>
    <w:rsid w:val="00131049"/>
    <w:rsid w:val="00132248"/>
    <w:rsid w:val="001328EB"/>
    <w:rsid w:val="0013329F"/>
    <w:rsid w:val="00133D0B"/>
    <w:rsid w:val="00134203"/>
    <w:rsid w:val="0013475B"/>
    <w:rsid w:val="00134851"/>
    <w:rsid w:val="00135091"/>
    <w:rsid w:val="001353FB"/>
    <w:rsid w:val="00136D77"/>
    <w:rsid w:val="00136F03"/>
    <w:rsid w:val="00140426"/>
    <w:rsid w:val="00140583"/>
    <w:rsid w:val="00141318"/>
    <w:rsid w:val="0014169A"/>
    <w:rsid w:val="001417B2"/>
    <w:rsid w:val="00143653"/>
    <w:rsid w:val="0014376C"/>
    <w:rsid w:val="00144D56"/>
    <w:rsid w:val="00144F82"/>
    <w:rsid w:val="00146B23"/>
    <w:rsid w:val="001500A2"/>
    <w:rsid w:val="00150290"/>
    <w:rsid w:val="00150D22"/>
    <w:rsid w:val="00152441"/>
    <w:rsid w:val="00155674"/>
    <w:rsid w:val="00156CB0"/>
    <w:rsid w:val="00156EC1"/>
    <w:rsid w:val="00157230"/>
    <w:rsid w:val="001572C3"/>
    <w:rsid w:val="00157D0F"/>
    <w:rsid w:val="0016071E"/>
    <w:rsid w:val="00160FE1"/>
    <w:rsid w:val="001626E5"/>
    <w:rsid w:val="00163264"/>
    <w:rsid w:val="0016640D"/>
    <w:rsid w:val="00166590"/>
    <w:rsid w:val="00167283"/>
    <w:rsid w:val="00170A3B"/>
    <w:rsid w:val="00170C2B"/>
    <w:rsid w:val="00171085"/>
    <w:rsid w:val="001718B7"/>
    <w:rsid w:val="00171980"/>
    <w:rsid w:val="00172248"/>
    <w:rsid w:val="00172A1C"/>
    <w:rsid w:val="00173721"/>
    <w:rsid w:val="00173A2F"/>
    <w:rsid w:val="00173FFE"/>
    <w:rsid w:val="0017479F"/>
    <w:rsid w:val="00174B34"/>
    <w:rsid w:val="00175D94"/>
    <w:rsid w:val="00176058"/>
    <w:rsid w:val="00176A62"/>
    <w:rsid w:val="001775FB"/>
    <w:rsid w:val="001778BD"/>
    <w:rsid w:val="00177A1C"/>
    <w:rsid w:val="001803DB"/>
    <w:rsid w:val="00181BDA"/>
    <w:rsid w:val="00181DB4"/>
    <w:rsid w:val="00184438"/>
    <w:rsid w:val="001845D0"/>
    <w:rsid w:val="0018472F"/>
    <w:rsid w:val="00184A8A"/>
    <w:rsid w:val="001857D5"/>
    <w:rsid w:val="00185C6C"/>
    <w:rsid w:val="0018645D"/>
    <w:rsid w:val="00186AEF"/>
    <w:rsid w:val="001904BE"/>
    <w:rsid w:val="00190AC5"/>
    <w:rsid w:val="00191BBC"/>
    <w:rsid w:val="00192A14"/>
    <w:rsid w:val="00194198"/>
    <w:rsid w:val="00194CDB"/>
    <w:rsid w:val="00194D97"/>
    <w:rsid w:val="00195187"/>
    <w:rsid w:val="00195B7D"/>
    <w:rsid w:val="00196921"/>
    <w:rsid w:val="00196972"/>
    <w:rsid w:val="0019707E"/>
    <w:rsid w:val="0019710B"/>
    <w:rsid w:val="001A08B3"/>
    <w:rsid w:val="001A0AF1"/>
    <w:rsid w:val="001A1111"/>
    <w:rsid w:val="001A13EA"/>
    <w:rsid w:val="001A2554"/>
    <w:rsid w:val="001A40E1"/>
    <w:rsid w:val="001A415D"/>
    <w:rsid w:val="001A4ED1"/>
    <w:rsid w:val="001A6C07"/>
    <w:rsid w:val="001A72D1"/>
    <w:rsid w:val="001A7FD1"/>
    <w:rsid w:val="001B00EF"/>
    <w:rsid w:val="001B02BE"/>
    <w:rsid w:val="001B058D"/>
    <w:rsid w:val="001B0B07"/>
    <w:rsid w:val="001B11C7"/>
    <w:rsid w:val="001B1470"/>
    <w:rsid w:val="001B1BB7"/>
    <w:rsid w:val="001B26CF"/>
    <w:rsid w:val="001B428A"/>
    <w:rsid w:val="001B4C6E"/>
    <w:rsid w:val="001B4D37"/>
    <w:rsid w:val="001B58D4"/>
    <w:rsid w:val="001B60B6"/>
    <w:rsid w:val="001B660F"/>
    <w:rsid w:val="001B7864"/>
    <w:rsid w:val="001C0009"/>
    <w:rsid w:val="001C0E99"/>
    <w:rsid w:val="001C1078"/>
    <w:rsid w:val="001C1776"/>
    <w:rsid w:val="001C37EA"/>
    <w:rsid w:val="001C430D"/>
    <w:rsid w:val="001C43C5"/>
    <w:rsid w:val="001C58CD"/>
    <w:rsid w:val="001C5DC3"/>
    <w:rsid w:val="001C5EE3"/>
    <w:rsid w:val="001C7201"/>
    <w:rsid w:val="001C72C1"/>
    <w:rsid w:val="001C75FF"/>
    <w:rsid w:val="001C76F0"/>
    <w:rsid w:val="001D00CA"/>
    <w:rsid w:val="001D02D5"/>
    <w:rsid w:val="001D0CE5"/>
    <w:rsid w:val="001D16B3"/>
    <w:rsid w:val="001D2E72"/>
    <w:rsid w:val="001D3624"/>
    <w:rsid w:val="001D3866"/>
    <w:rsid w:val="001D43C3"/>
    <w:rsid w:val="001D44B7"/>
    <w:rsid w:val="001D471D"/>
    <w:rsid w:val="001D47C7"/>
    <w:rsid w:val="001D4CB7"/>
    <w:rsid w:val="001D51D7"/>
    <w:rsid w:val="001D7F8F"/>
    <w:rsid w:val="001E06A5"/>
    <w:rsid w:val="001E0727"/>
    <w:rsid w:val="001E0A32"/>
    <w:rsid w:val="001E0D54"/>
    <w:rsid w:val="001E11CA"/>
    <w:rsid w:val="001E12C1"/>
    <w:rsid w:val="001E18FF"/>
    <w:rsid w:val="001E1DE1"/>
    <w:rsid w:val="001E2203"/>
    <w:rsid w:val="001E28BE"/>
    <w:rsid w:val="001E40B0"/>
    <w:rsid w:val="001E414D"/>
    <w:rsid w:val="001E43D4"/>
    <w:rsid w:val="001E46A1"/>
    <w:rsid w:val="001E52FE"/>
    <w:rsid w:val="001E5694"/>
    <w:rsid w:val="001E6979"/>
    <w:rsid w:val="001E69E4"/>
    <w:rsid w:val="001E6F8B"/>
    <w:rsid w:val="001E77C7"/>
    <w:rsid w:val="001E7D42"/>
    <w:rsid w:val="001F07C4"/>
    <w:rsid w:val="001F0C93"/>
    <w:rsid w:val="001F0F51"/>
    <w:rsid w:val="001F1C46"/>
    <w:rsid w:val="001F1DB1"/>
    <w:rsid w:val="001F3580"/>
    <w:rsid w:val="001F3E43"/>
    <w:rsid w:val="001F48CB"/>
    <w:rsid w:val="001F493D"/>
    <w:rsid w:val="001F5372"/>
    <w:rsid w:val="001F687E"/>
    <w:rsid w:val="00201442"/>
    <w:rsid w:val="0020192F"/>
    <w:rsid w:val="00201B81"/>
    <w:rsid w:val="00202595"/>
    <w:rsid w:val="00202678"/>
    <w:rsid w:val="00202D0C"/>
    <w:rsid w:val="0020313D"/>
    <w:rsid w:val="00203786"/>
    <w:rsid w:val="00203AED"/>
    <w:rsid w:val="0020439A"/>
    <w:rsid w:val="00205E10"/>
    <w:rsid w:val="00206180"/>
    <w:rsid w:val="00206EB1"/>
    <w:rsid w:val="0020712D"/>
    <w:rsid w:val="002073BB"/>
    <w:rsid w:val="00207582"/>
    <w:rsid w:val="0021012F"/>
    <w:rsid w:val="00211C96"/>
    <w:rsid w:val="00212815"/>
    <w:rsid w:val="002129F5"/>
    <w:rsid w:val="002149FF"/>
    <w:rsid w:val="00214F7F"/>
    <w:rsid w:val="00215251"/>
    <w:rsid w:val="002158D8"/>
    <w:rsid w:val="00215FA8"/>
    <w:rsid w:val="00216974"/>
    <w:rsid w:val="00220142"/>
    <w:rsid w:val="00221084"/>
    <w:rsid w:val="00222581"/>
    <w:rsid w:val="00222C77"/>
    <w:rsid w:val="0022374F"/>
    <w:rsid w:val="002249C6"/>
    <w:rsid w:val="00224BC9"/>
    <w:rsid w:val="00224BD5"/>
    <w:rsid w:val="00225058"/>
    <w:rsid w:val="00225A19"/>
    <w:rsid w:val="00225D32"/>
    <w:rsid w:val="00225DFF"/>
    <w:rsid w:val="00227B32"/>
    <w:rsid w:val="0023072B"/>
    <w:rsid w:val="002321A1"/>
    <w:rsid w:val="00232474"/>
    <w:rsid w:val="00232B80"/>
    <w:rsid w:val="0023306D"/>
    <w:rsid w:val="0023337F"/>
    <w:rsid w:val="00233661"/>
    <w:rsid w:val="00233976"/>
    <w:rsid w:val="00233EA9"/>
    <w:rsid w:val="00236060"/>
    <w:rsid w:val="0023643C"/>
    <w:rsid w:val="0023665F"/>
    <w:rsid w:val="00236A75"/>
    <w:rsid w:val="00241BC9"/>
    <w:rsid w:val="002423FA"/>
    <w:rsid w:val="002433B3"/>
    <w:rsid w:val="002433CD"/>
    <w:rsid w:val="002436B6"/>
    <w:rsid w:val="00244751"/>
    <w:rsid w:val="00244B91"/>
    <w:rsid w:val="00244C0D"/>
    <w:rsid w:val="00244D0D"/>
    <w:rsid w:val="00245779"/>
    <w:rsid w:val="00246174"/>
    <w:rsid w:val="002465F5"/>
    <w:rsid w:val="0024779E"/>
    <w:rsid w:val="002478B4"/>
    <w:rsid w:val="00251497"/>
    <w:rsid w:val="00251AFF"/>
    <w:rsid w:val="0025345C"/>
    <w:rsid w:val="00254E31"/>
    <w:rsid w:val="002555C3"/>
    <w:rsid w:val="002558F6"/>
    <w:rsid w:val="00255C08"/>
    <w:rsid w:val="00255E9C"/>
    <w:rsid w:val="00256551"/>
    <w:rsid w:val="00256F42"/>
    <w:rsid w:val="00256F7E"/>
    <w:rsid w:val="00260498"/>
    <w:rsid w:val="00260D8A"/>
    <w:rsid w:val="00261303"/>
    <w:rsid w:val="00261FE3"/>
    <w:rsid w:val="00266243"/>
    <w:rsid w:val="0026640E"/>
    <w:rsid w:val="0027096D"/>
    <w:rsid w:val="00270B67"/>
    <w:rsid w:val="00270DD7"/>
    <w:rsid w:val="002710BD"/>
    <w:rsid w:val="00272323"/>
    <w:rsid w:val="002739EC"/>
    <w:rsid w:val="00274102"/>
    <w:rsid w:val="00274916"/>
    <w:rsid w:val="00274F07"/>
    <w:rsid w:val="00275405"/>
    <w:rsid w:val="00276903"/>
    <w:rsid w:val="00276B12"/>
    <w:rsid w:val="00276B8E"/>
    <w:rsid w:val="00276E85"/>
    <w:rsid w:val="00280171"/>
    <w:rsid w:val="0028041E"/>
    <w:rsid w:val="00281139"/>
    <w:rsid w:val="002814AC"/>
    <w:rsid w:val="00282784"/>
    <w:rsid w:val="002844F2"/>
    <w:rsid w:val="002857F4"/>
    <w:rsid w:val="002867F8"/>
    <w:rsid w:val="0028683D"/>
    <w:rsid w:val="00286C4B"/>
    <w:rsid w:val="00286DAE"/>
    <w:rsid w:val="00286FFB"/>
    <w:rsid w:val="00287130"/>
    <w:rsid w:val="00287EF4"/>
    <w:rsid w:val="00287FD0"/>
    <w:rsid w:val="00292AB1"/>
    <w:rsid w:val="0029353D"/>
    <w:rsid w:val="00293B36"/>
    <w:rsid w:val="00294FB4"/>
    <w:rsid w:val="00295112"/>
    <w:rsid w:val="002952F5"/>
    <w:rsid w:val="0029589B"/>
    <w:rsid w:val="00295F92"/>
    <w:rsid w:val="00296F77"/>
    <w:rsid w:val="00297A23"/>
    <w:rsid w:val="002A08CE"/>
    <w:rsid w:val="002A1795"/>
    <w:rsid w:val="002A1B33"/>
    <w:rsid w:val="002A1E55"/>
    <w:rsid w:val="002A213D"/>
    <w:rsid w:val="002A2D08"/>
    <w:rsid w:val="002A2F4D"/>
    <w:rsid w:val="002A2F74"/>
    <w:rsid w:val="002A3373"/>
    <w:rsid w:val="002A37A7"/>
    <w:rsid w:val="002A388E"/>
    <w:rsid w:val="002A3893"/>
    <w:rsid w:val="002A4EE6"/>
    <w:rsid w:val="002A5660"/>
    <w:rsid w:val="002A6683"/>
    <w:rsid w:val="002A6F50"/>
    <w:rsid w:val="002A6F9D"/>
    <w:rsid w:val="002A7DFC"/>
    <w:rsid w:val="002B0B9A"/>
    <w:rsid w:val="002B1372"/>
    <w:rsid w:val="002B1529"/>
    <w:rsid w:val="002B180E"/>
    <w:rsid w:val="002B1F7E"/>
    <w:rsid w:val="002B270F"/>
    <w:rsid w:val="002B2CDB"/>
    <w:rsid w:val="002B3D70"/>
    <w:rsid w:val="002B3F0A"/>
    <w:rsid w:val="002B424D"/>
    <w:rsid w:val="002B54F6"/>
    <w:rsid w:val="002B55B2"/>
    <w:rsid w:val="002B5D24"/>
    <w:rsid w:val="002B6861"/>
    <w:rsid w:val="002B7472"/>
    <w:rsid w:val="002C016A"/>
    <w:rsid w:val="002C0467"/>
    <w:rsid w:val="002C11D8"/>
    <w:rsid w:val="002C1BE8"/>
    <w:rsid w:val="002C2794"/>
    <w:rsid w:val="002C3139"/>
    <w:rsid w:val="002C3707"/>
    <w:rsid w:val="002C3BB3"/>
    <w:rsid w:val="002C3C88"/>
    <w:rsid w:val="002C41E9"/>
    <w:rsid w:val="002C4E79"/>
    <w:rsid w:val="002C623C"/>
    <w:rsid w:val="002C6521"/>
    <w:rsid w:val="002C691B"/>
    <w:rsid w:val="002D05F2"/>
    <w:rsid w:val="002D1629"/>
    <w:rsid w:val="002D18B6"/>
    <w:rsid w:val="002D2779"/>
    <w:rsid w:val="002D2F94"/>
    <w:rsid w:val="002D3868"/>
    <w:rsid w:val="002D42EA"/>
    <w:rsid w:val="002D4C41"/>
    <w:rsid w:val="002D5642"/>
    <w:rsid w:val="002D5A51"/>
    <w:rsid w:val="002D5C5C"/>
    <w:rsid w:val="002D6495"/>
    <w:rsid w:val="002D6933"/>
    <w:rsid w:val="002D7037"/>
    <w:rsid w:val="002E04B7"/>
    <w:rsid w:val="002E0E4E"/>
    <w:rsid w:val="002E120F"/>
    <w:rsid w:val="002E1377"/>
    <w:rsid w:val="002E2A71"/>
    <w:rsid w:val="002E417F"/>
    <w:rsid w:val="002E4508"/>
    <w:rsid w:val="002E4906"/>
    <w:rsid w:val="002E5111"/>
    <w:rsid w:val="002E5808"/>
    <w:rsid w:val="002E6113"/>
    <w:rsid w:val="002E6462"/>
    <w:rsid w:val="002E6786"/>
    <w:rsid w:val="002E6C05"/>
    <w:rsid w:val="002E7F7F"/>
    <w:rsid w:val="002F0073"/>
    <w:rsid w:val="002F0353"/>
    <w:rsid w:val="002F0FFB"/>
    <w:rsid w:val="002F133E"/>
    <w:rsid w:val="002F1342"/>
    <w:rsid w:val="002F1D47"/>
    <w:rsid w:val="002F2332"/>
    <w:rsid w:val="002F2B6F"/>
    <w:rsid w:val="002F34B7"/>
    <w:rsid w:val="002F3574"/>
    <w:rsid w:val="002F417D"/>
    <w:rsid w:val="002F4BF7"/>
    <w:rsid w:val="002F5F01"/>
    <w:rsid w:val="002F6226"/>
    <w:rsid w:val="002F6834"/>
    <w:rsid w:val="002F70D9"/>
    <w:rsid w:val="002F71EB"/>
    <w:rsid w:val="002F7220"/>
    <w:rsid w:val="002F7514"/>
    <w:rsid w:val="003002FB"/>
    <w:rsid w:val="00301D9B"/>
    <w:rsid w:val="0030355F"/>
    <w:rsid w:val="003035A6"/>
    <w:rsid w:val="00304177"/>
    <w:rsid w:val="00304B71"/>
    <w:rsid w:val="00304CAE"/>
    <w:rsid w:val="00304ECA"/>
    <w:rsid w:val="003050A5"/>
    <w:rsid w:val="0030594F"/>
    <w:rsid w:val="00307944"/>
    <w:rsid w:val="00307FCF"/>
    <w:rsid w:val="0031066A"/>
    <w:rsid w:val="00312230"/>
    <w:rsid w:val="00312968"/>
    <w:rsid w:val="00313023"/>
    <w:rsid w:val="00313E65"/>
    <w:rsid w:val="0031418F"/>
    <w:rsid w:val="003142FD"/>
    <w:rsid w:val="00314E78"/>
    <w:rsid w:val="003154ED"/>
    <w:rsid w:val="00315C31"/>
    <w:rsid w:val="00315F8D"/>
    <w:rsid w:val="003168C5"/>
    <w:rsid w:val="00316D00"/>
    <w:rsid w:val="00316E91"/>
    <w:rsid w:val="00317D06"/>
    <w:rsid w:val="003207B2"/>
    <w:rsid w:val="003222D9"/>
    <w:rsid w:val="00322369"/>
    <w:rsid w:val="00322914"/>
    <w:rsid w:val="003229A1"/>
    <w:rsid w:val="00323667"/>
    <w:rsid w:val="0032369D"/>
    <w:rsid w:val="00323B0D"/>
    <w:rsid w:val="00323EF1"/>
    <w:rsid w:val="0032537A"/>
    <w:rsid w:val="0032547C"/>
    <w:rsid w:val="003255E4"/>
    <w:rsid w:val="0032663A"/>
    <w:rsid w:val="00326904"/>
    <w:rsid w:val="00326DD9"/>
    <w:rsid w:val="00327F84"/>
    <w:rsid w:val="003303A2"/>
    <w:rsid w:val="00330775"/>
    <w:rsid w:val="00330DC3"/>
    <w:rsid w:val="003318A4"/>
    <w:rsid w:val="0033192E"/>
    <w:rsid w:val="003324BF"/>
    <w:rsid w:val="00333479"/>
    <w:rsid w:val="003335B3"/>
    <w:rsid w:val="0033372F"/>
    <w:rsid w:val="00334EE3"/>
    <w:rsid w:val="003354B1"/>
    <w:rsid w:val="00336761"/>
    <w:rsid w:val="00336D53"/>
    <w:rsid w:val="003374BC"/>
    <w:rsid w:val="003378E9"/>
    <w:rsid w:val="00340590"/>
    <w:rsid w:val="0034109D"/>
    <w:rsid w:val="00341EDC"/>
    <w:rsid w:val="003422F3"/>
    <w:rsid w:val="003426EE"/>
    <w:rsid w:val="00342B01"/>
    <w:rsid w:val="003438E2"/>
    <w:rsid w:val="00343B4F"/>
    <w:rsid w:val="00345C08"/>
    <w:rsid w:val="00345E40"/>
    <w:rsid w:val="0034605D"/>
    <w:rsid w:val="00347A65"/>
    <w:rsid w:val="003502EA"/>
    <w:rsid w:val="003505FD"/>
    <w:rsid w:val="00350684"/>
    <w:rsid w:val="003507B5"/>
    <w:rsid w:val="0035118C"/>
    <w:rsid w:val="003513AF"/>
    <w:rsid w:val="003516DD"/>
    <w:rsid w:val="00351A94"/>
    <w:rsid w:val="00351CB6"/>
    <w:rsid w:val="00352087"/>
    <w:rsid w:val="00352A22"/>
    <w:rsid w:val="003533F1"/>
    <w:rsid w:val="00355CEF"/>
    <w:rsid w:val="003561C7"/>
    <w:rsid w:val="0035657E"/>
    <w:rsid w:val="00357513"/>
    <w:rsid w:val="0036060B"/>
    <w:rsid w:val="00360BEF"/>
    <w:rsid w:val="00361319"/>
    <w:rsid w:val="00361785"/>
    <w:rsid w:val="00361D55"/>
    <w:rsid w:val="00361ECB"/>
    <w:rsid w:val="00362B3D"/>
    <w:rsid w:val="003636DD"/>
    <w:rsid w:val="0036388F"/>
    <w:rsid w:val="00364A5C"/>
    <w:rsid w:val="00365AB1"/>
    <w:rsid w:val="00365D0A"/>
    <w:rsid w:val="00366585"/>
    <w:rsid w:val="003669CD"/>
    <w:rsid w:val="0037104B"/>
    <w:rsid w:val="0037197A"/>
    <w:rsid w:val="00373093"/>
    <w:rsid w:val="003736E0"/>
    <w:rsid w:val="003741C2"/>
    <w:rsid w:val="0037441C"/>
    <w:rsid w:val="00374755"/>
    <w:rsid w:val="003749B8"/>
    <w:rsid w:val="003752D7"/>
    <w:rsid w:val="00375635"/>
    <w:rsid w:val="003756BD"/>
    <w:rsid w:val="003767CD"/>
    <w:rsid w:val="00376E25"/>
    <w:rsid w:val="00376E40"/>
    <w:rsid w:val="00377836"/>
    <w:rsid w:val="00377E93"/>
    <w:rsid w:val="0038147D"/>
    <w:rsid w:val="00381940"/>
    <w:rsid w:val="00381B1D"/>
    <w:rsid w:val="00381D41"/>
    <w:rsid w:val="00381FBF"/>
    <w:rsid w:val="00382287"/>
    <w:rsid w:val="003827AF"/>
    <w:rsid w:val="003831F2"/>
    <w:rsid w:val="00383A93"/>
    <w:rsid w:val="00383B74"/>
    <w:rsid w:val="00384049"/>
    <w:rsid w:val="00384453"/>
    <w:rsid w:val="00384ACF"/>
    <w:rsid w:val="00385A94"/>
    <w:rsid w:val="00385B72"/>
    <w:rsid w:val="0038634D"/>
    <w:rsid w:val="00386670"/>
    <w:rsid w:val="00386682"/>
    <w:rsid w:val="003866AC"/>
    <w:rsid w:val="00386BA9"/>
    <w:rsid w:val="003870A6"/>
    <w:rsid w:val="003873DA"/>
    <w:rsid w:val="00387571"/>
    <w:rsid w:val="00387C65"/>
    <w:rsid w:val="003904A7"/>
    <w:rsid w:val="00391292"/>
    <w:rsid w:val="00391295"/>
    <w:rsid w:val="00391CCB"/>
    <w:rsid w:val="00391DF8"/>
    <w:rsid w:val="003924B7"/>
    <w:rsid w:val="00392D97"/>
    <w:rsid w:val="00393D59"/>
    <w:rsid w:val="00393E81"/>
    <w:rsid w:val="00394828"/>
    <w:rsid w:val="00394AC9"/>
    <w:rsid w:val="00395AB8"/>
    <w:rsid w:val="00396152"/>
    <w:rsid w:val="00396194"/>
    <w:rsid w:val="00396859"/>
    <w:rsid w:val="003973F2"/>
    <w:rsid w:val="00397B20"/>
    <w:rsid w:val="00397C6E"/>
    <w:rsid w:val="003A0B22"/>
    <w:rsid w:val="003A172B"/>
    <w:rsid w:val="003A1CC0"/>
    <w:rsid w:val="003A2838"/>
    <w:rsid w:val="003A4F85"/>
    <w:rsid w:val="003A5120"/>
    <w:rsid w:val="003A6AC2"/>
    <w:rsid w:val="003A6EF5"/>
    <w:rsid w:val="003A7783"/>
    <w:rsid w:val="003B0685"/>
    <w:rsid w:val="003B083D"/>
    <w:rsid w:val="003B0BFE"/>
    <w:rsid w:val="003B0FF1"/>
    <w:rsid w:val="003B19DD"/>
    <w:rsid w:val="003B2550"/>
    <w:rsid w:val="003B341B"/>
    <w:rsid w:val="003B42C2"/>
    <w:rsid w:val="003B52FC"/>
    <w:rsid w:val="003B7EE1"/>
    <w:rsid w:val="003C0141"/>
    <w:rsid w:val="003C0262"/>
    <w:rsid w:val="003C0CE0"/>
    <w:rsid w:val="003C150A"/>
    <w:rsid w:val="003C1901"/>
    <w:rsid w:val="003C3728"/>
    <w:rsid w:val="003C3D46"/>
    <w:rsid w:val="003C3DFE"/>
    <w:rsid w:val="003C4793"/>
    <w:rsid w:val="003C57D4"/>
    <w:rsid w:val="003C6C32"/>
    <w:rsid w:val="003C7038"/>
    <w:rsid w:val="003D04E4"/>
    <w:rsid w:val="003D0938"/>
    <w:rsid w:val="003D0973"/>
    <w:rsid w:val="003D0F05"/>
    <w:rsid w:val="003D24F8"/>
    <w:rsid w:val="003D2506"/>
    <w:rsid w:val="003D34D6"/>
    <w:rsid w:val="003D4A45"/>
    <w:rsid w:val="003D7402"/>
    <w:rsid w:val="003D7614"/>
    <w:rsid w:val="003D79CC"/>
    <w:rsid w:val="003E009D"/>
    <w:rsid w:val="003E06E9"/>
    <w:rsid w:val="003E10A2"/>
    <w:rsid w:val="003E2825"/>
    <w:rsid w:val="003E2BC9"/>
    <w:rsid w:val="003E4613"/>
    <w:rsid w:val="003E4E9D"/>
    <w:rsid w:val="003E51FE"/>
    <w:rsid w:val="003E572D"/>
    <w:rsid w:val="003E57B8"/>
    <w:rsid w:val="003E640C"/>
    <w:rsid w:val="003E7522"/>
    <w:rsid w:val="003F0CB2"/>
    <w:rsid w:val="003F1173"/>
    <w:rsid w:val="003F174C"/>
    <w:rsid w:val="003F2CEE"/>
    <w:rsid w:val="003F2DC6"/>
    <w:rsid w:val="003F2F5B"/>
    <w:rsid w:val="003F2FB4"/>
    <w:rsid w:val="003F334F"/>
    <w:rsid w:val="003F55DF"/>
    <w:rsid w:val="003F5A30"/>
    <w:rsid w:val="003F5E49"/>
    <w:rsid w:val="003F77D4"/>
    <w:rsid w:val="003F7950"/>
    <w:rsid w:val="00400910"/>
    <w:rsid w:val="00400D5B"/>
    <w:rsid w:val="00401241"/>
    <w:rsid w:val="00401400"/>
    <w:rsid w:val="00401ECC"/>
    <w:rsid w:val="0040257E"/>
    <w:rsid w:val="0040328C"/>
    <w:rsid w:val="0040386F"/>
    <w:rsid w:val="00403FE8"/>
    <w:rsid w:val="0040486A"/>
    <w:rsid w:val="00404C17"/>
    <w:rsid w:val="00404F40"/>
    <w:rsid w:val="00404F41"/>
    <w:rsid w:val="00406503"/>
    <w:rsid w:val="00410126"/>
    <w:rsid w:val="004101D2"/>
    <w:rsid w:val="00410DE1"/>
    <w:rsid w:val="00410FD8"/>
    <w:rsid w:val="00411E01"/>
    <w:rsid w:val="004138EB"/>
    <w:rsid w:val="004142A6"/>
    <w:rsid w:val="00414305"/>
    <w:rsid w:val="00414B89"/>
    <w:rsid w:val="00414C18"/>
    <w:rsid w:val="00415153"/>
    <w:rsid w:val="004151CA"/>
    <w:rsid w:val="004164CC"/>
    <w:rsid w:val="0041652F"/>
    <w:rsid w:val="00416BD2"/>
    <w:rsid w:val="00420E4E"/>
    <w:rsid w:val="0042196E"/>
    <w:rsid w:val="00421CA0"/>
    <w:rsid w:val="00421CB1"/>
    <w:rsid w:val="00425360"/>
    <w:rsid w:val="00426372"/>
    <w:rsid w:val="0042713F"/>
    <w:rsid w:val="00430599"/>
    <w:rsid w:val="00432CE1"/>
    <w:rsid w:val="00432D5E"/>
    <w:rsid w:val="00432EAD"/>
    <w:rsid w:val="004333D2"/>
    <w:rsid w:val="00433C6B"/>
    <w:rsid w:val="00433FD9"/>
    <w:rsid w:val="004345FF"/>
    <w:rsid w:val="00434A62"/>
    <w:rsid w:val="00434D34"/>
    <w:rsid w:val="0043578F"/>
    <w:rsid w:val="00436213"/>
    <w:rsid w:val="00436AD3"/>
    <w:rsid w:val="00436FAE"/>
    <w:rsid w:val="00437D73"/>
    <w:rsid w:val="00437E39"/>
    <w:rsid w:val="00440551"/>
    <w:rsid w:val="00440E2D"/>
    <w:rsid w:val="004414A7"/>
    <w:rsid w:val="004442F8"/>
    <w:rsid w:val="00444523"/>
    <w:rsid w:val="00444C57"/>
    <w:rsid w:val="0044547E"/>
    <w:rsid w:val="00445721"/>
    <w:rsid w:val="00445FED"/>
    <w:rsid w:val="004461F4"/>
    <w:rsid w:val="004503C2"/>
    <w:rsid w:val="00450AA0"/>
    <w:rsid w:val="00450AC8"/>
    <w:rsid w:val="0045106D"/>
    <w:rsid w:val="00451096"/>
    <w:rsid w:val="004518A6"/>
    <w:rsid w:val="00451996"/>
    <w:rsid w:val="00451E07"/>
    <w:rsid w:val="00452469"/>
    <w:rsid w:val="00452727"/>
    <w:rsid w:val="00452A72"/>
    <w:rsid w:val="00452F76"/>
    <w:rsid w:val="004537E9"/>
    <w:rsid w:val="00454562"/>
    <w:rsid w:val="00454866"/>
    <w:rsid w:val="004557C4"/>
    <w:rsid w:val="00455DC9"/>
    <w:rsid w:val="00455E88"/>
    <w:rsid w:val="00457A9C"/>
    <w:rsid w:val="00457B8E"/>
    <w:rsid w:val="0046162D"/>
    <w:rsid w:val="004630A5"/>
    <w:rsid w:val="00463B9E"/>
    <w:rsid w:val="00464450"/>
    <w:rsid w:val="004647B7"/>
    <w:rsid w:val="004647CB"/>
    <w:rsid w:val="00464D87"/>
    <w:rsid w:val="004651BC"/>
    <w:rsid w:val="004654E3"/>
    <w:rsid w:val="00465DA0"/>
    <w:rsid w:val="0046669E"/>
    <w:rsid w:val="00467643"/>
    <w:rsid w:val="004677A2"/>
    <w:rsid w:val="00467D83"/>
    <w:rsid w:val="00470F6D"/>
    <w:rsid w:val="004712A8"/>
    <w:rsid w:val="00471538"/>
    <w:rsid w:val="00471793"/>
    <w:rsid w:val="00471841"/>
    <w:rsid w:val="00471C3B"/>
    <w:rsid w:val="0047287B"/>
    <w:rsid w:val="00472BAA"/>
    <w:rsid w:val="00472E71"/>
    <w:rsid w:val="004742ED"/>
    <w:rsid w:val="0047440C"/>
    <w:rsid w:val="00474B78"/>
    <w:rsid w:val="00474C79"/>
    <w:rsid w:val="00474F9B"/>
    <w:rsid w:val="004751B3"/>
    <w:rsid w:val="004753C0"/>
    <w:rsid w:val="00475727"/>
    <w:rsid w:val="00475A0D"/>
    <w:rsid w:val="00476CBC"/>
    <w:rsid w:val="00476F05"/>
    <w:rsid w:val="00477C1B"/>
    <w:rsid w:val="00480103"/>
    <w:rsid w:val="004808DD"/>
    <w:rsid w:val="00480E53"/>
    <w:rsid w:val="00481DD8"/>
    <w:rsid w:val="00482AAA"/>
    <w:rsid w:val="00483857"/>
    <w:rsid w:val="00483B9E"/>
    <w:rsid w:val="00484078"/>
    <w:rsid w:val="004842BC"/>
    <w:rsid w:val="0048462A"/>
    <w:rsid w:val="00485F08"/>
    <w:rsid w:val="00485F54"/>
    <w:rsid w:val="00490C9B"/>
    <w:rsid w:val="00491292"/>
    <w:rsid w:val="00491E7F"/>
    <w:rsid w:val="00491F2E"/>
    <w:rsid w:val="004922C3"/>
    <w:rsid w:val="00492B34"/>
    <w:rsid w:val="00492BF2"/>
    <w:rsid w:val="004932FE"/>
    <w:rsid w:val="004933A2"/>
    <w:rsid w:val="004935EA"/>
    <w:rsid w:val="00493683"/>
    <w:rsid w:val="00493A77"/>
    <w:rsid w:val="00493C88"/>
    <w:rsid w:val="00495879"/>
    <w:rsid w:val="004969D4"/>
    <w:rsid w:val="00496F1B"/>
    <w:rsid w:val="00497E1B"/>
    <w:rsid w:val="004A049F"/>
    <w:rsid w:val="004A0BA8"/>
    <w:rsid w:val="004A1232"/>
    <w:rsid w:val="004A1C14"/>
    <w:rsid w:val="004A40BF"/>
    <w:rsid w:val="004A4471"/>
    <w:rsid w:val="004A4830"/>
    <w:rsid w:val="004A621F"/>
    <w:rsid w:val="004A6A1F"/>
    <w:rsid w:val="004A6B42"/>
    <w:rsid w:val="004A6D5E"/>
    <w:rsid w:val="004A7824"/>
    <w:rsid w:val="004A785D"/>
    <w:rsid w:val="004B05DC"/>
    <w:rsid w:val="004B084B"/>
    <w:rsid w:val="004B0AB1"/>
    <w:rsid w:val="004B0B34"/>
    <w:rsid w:val="004B25D5"/>
    <w:rsid w:val="004B41D6"/>
    <w:rsid w:val="004B42E8"/>
    <w:rsid w:val="004B56FE"/>
    <w:rsid w:val="004B578F"/>
    <w:rsid w:val="004B60AE"/>
    <w:rsid w:val="004B6293"/>
    <w:rsid w:val="004B6EB2"/>
    <w:rsid w:val="004B71BF"/>
    <w:rsid w:val="004B723F"/>
    <w:rsid w:val="004B73CA"/>
    <w:rsid w:val="004C00B6"/>
    <w:rsid w:val="004C0297"/>
    <w:rsid w:val="004C0EEA"/>
    <w:rsid w:val="004C2417"/>
    <w:rsid w:val="004C299A"/>
    <w:rsid w:val="004C4731"/>
    <w:rsid w:val="004C5294"/>
    <w:rsid w:val="004C5F93"/>
    <w:rsid w:val="004C783A"/>
    <w:rsid w:val="004C7EFB"/>
    <w:rsid w:val="004D0190"/>
    <w:rsid w:val="004D0A30"/>
    <w:rsid w:val="004D0D57"/>
    <w:rsid w:val="004D2263"/>
    <w:rsid w:val="004D3167"/>
    <w:rsid w:val="004D3306"/>
    <w:rsid w:val="004D45CB"/>
    <w:rsid w:val="004D624F"/>
    <w:rsid w:val="004D6E86"/>
    <w:rsid w:val="004D7E5A"/>
    <w:rsid w:val="004E2DC3"/>
    <w:rsid w:val="004E331D"/>
    <w:rsid w:val="004E4790"/>
    <w:rsid w:val="004E4798"/>
    <w:rsid w:val="004E4B3C"/>
    <w:rsid w:val="004E6041"/>
    <w:rsid w:val="004E69B9"/>
    <w:rsid w:val="004F0B94"/>
    <w:rsid w:val="004F120C"/>
    <w:rsid w:val="004F1763"/>
    <w:rsid w:val="004F1D2B"/>
    <w:rsid w:val="004F408C"/>
    <w:rsid w:val="004F4E6D"/>
    <w:rsid w:val="004F50A9"/>
    <w:rsid w:val="004F54AC"/>
    <w:rsid w:val="004F6629"/>
    <w:rsid w:val="004F7018"/>
    <w:rsid w:val="004F70FA"/>
    <w:rsid w:val="004F72A0"/>
    <w:rsid w:val="004F7368"/>
    <w:rsid w:val="004F759E"/>
    <w:rsid w:val="004F75E5"/>
    <w:rsid w:val="004F7800"/>
    <w:rsid w:val="00500416"/>
    <w:rsid w:val="00501A1D"/>
    <w:rsid w:val="00501ECF"/>
    <w:rsid w:val="00502BD6"/>
    <w:rsid w:val="00503123"/>
    <w:rsid w:val="00503A04"/>
    <w:rsid w:val="00503C3D"/>
    <w:rsid w:val="005049DA"/>
    <w:rsid w:val="00504A2C"/>
    <w:rsid w:val="00504C98"/>
    <w:rsid w:val="0050515D"/>
    <w:rsid w:val="005058A2"/>
    <w:rsid w:val="005066BB"/>
    <w:rsid w:val="005074D3"/>
    <w:rsid w:val="0051126D"/>
    <w:rsid w:val="005119CF"/>
    <w:rsid w:val="00511F42"/>
    <w:rsid w:val="00511F54"/>
    <w:rsid w:val="00512D0C"/>
    <w:rsid w:val="00513253"/>
    <w:rsid w:val="005134D6"/>
    <w:rsid w:val="0051408D"/>
    <w:rsid w:val="00515AF2"/>
    <w:rsid w:val="00515EC0"/>
    <w:rsid w:val="005160E8"/>
    <w:rsid w:val="00516C43"/>
    <w:rsid w:val="00516CDB"/>
    <w:rsid w:val="00516DEF"/>
    <w:rsid w:val="00517A85"/>
    <w:rsid w:val="00517D24"/>
    <w:rsid w:val="00520A50"/>
    <w:rsid w:val="00521132"/>
    <w:rsid w:val="00521517"/>
    <w:rsid w:val="005222ED"/>
    <w:rsid w:val="00522D18"/>
    <w:rsid w:val="00522EFF"/>
    <w:rsid w:val="00522F70"/>
    <w:rsid w:val="00523727"/>
    <w:rsid w:val="00525410"/>
    <w:rsid w:val="005267B7"/>
    <w:rsid w:val="0052684D"/>
    <w:rsid w:val="00526BBA"/>
    <w:rsid w:val="0052726C"/>
    <w:rsid w:val="00530191"/>
    <w:rsid w:val="0053122A"/>
    <w:rsid w:val="005325A4"/>
    <w:rsid w:val="00534C69"/>
    <w:rsid w:val="0053590F"/>
    <w:rsid w:val="00535BFD"/>
    <w:rsid w:val="00540431"/>
    <w:rsid w:val="005416BF"/>
    <w:rsid w:val="00541A84"/>
    <w:rsid w:val="00541BAA"/>
    <w:rsid w:val="00541CED"/>
    <w:rsid w:val="00542192"/>
    <w:rsid w:val="00542750"/>
    <w:rsid w:val="005427F8"/>
    <w:rsid w:val="005430EE"/>
    <w:rsid w:val="005448D3"/>
    <w:rsid w:val="00544DF0"/>
    <w:rsid w:val="0054536B"/>
    <w:rsid w:val="00545810"/>
    <w:rsid w:val="00545935"/>
    <w:rsid w:val="0054633B"/>
    <w:rsid w:val="005467A2"/>
    <w:rsid w:val="00546F1F"/>
    <w:rsid w:val="00547194"/>
    <w:rsid w:val="005471D8"/>
    <w:rsid w:val="00550DCF"/>
    <w:rsid w:val="00550F77"/>
    <w:rsid w:val="005510DB"/>
    <w:rsid w:val="00551FA4"/>
    <w:rsid w:val="00551FDB"/>
    <w:rsid w:val="0055215F"/>
    <w:rsid w:val="00554536"/>
    <w:rsid w:val="00554E24"/>
    <w:rsid w:val="005558E5"/>
    <w:rsid w:val="00556127"/>
    <w:rsid w:val="00556344"/>
    <w:rsid w:val="00556F19"/>
    <w:rsid w:val="00557267"/>
    <w:rsid w:val="0056029C"/>
    <w:rsid w:val="00560A31"/>
    <w:rsid w:val="0056238F"/>
    <w:rsid w:val="00562574"/>
    <w:rsid w:val="0056377C"/>
    <w:rsid w:val="005638F8"/>
    <w:rsid w:val="00563ADE"/>
    <w:rsid w:val="00563F41"/>
    <w:rsid w:val="005645A9"/>
    <w:rsid w:val="00564F3C"/>
    <w:rsid w:val="005654D9"/>
    <w:rsid w:val="005709A8"/>
    <w:rsid w:val="00570AE5"/>
    <w:rsid w:val="00570C58"/>
    <w:rsid w:val="00570C86"/>
    <w:rsid w:val="00572209"/>
    <w:rsid w:val="00573380"/>
    <w:rsid w:val="0057393A"/>
    <w:rsid w:val="00575D46"/>
    <w:rsid w:val="00576B67"/>
    <w:rsid w:val="0057788A"/>
    <w:rsid w:val="00577C1F"/>
    <w:rsid w:val="005803C5"/>
    <w:rsid w:val="00580583"/>
    <w:rsid w:val="005821C6"/>
    <w:rsid w:val="00582873"/>
    <w:rsid w:val="0058354B"/>
    <w:rsid w:val="00583D36"/>
    <w:rsid w:val="0058458C"/>
    <w:rsid w:val="00584DC2"/>
    <w:rsid w:val="0058537C"/>
    <w:rsid w:val="005876B9"/>
    <w:rsid w:val="00587867"/>
    <w:rsid w:val="005879EA"/>
    <w:rsid w:val="00587DDD"/>
    <w:rsid w:val="005904D6"/>
    <w:rsid w:val="00590B23"/>
    <w:rsid w:val="005918BD"/>
    <w:rsid w:val="00592210"/>
    <w:rsid w:val="005927B4"/>
    <w:rsid w:val="005928B9"/>
    <w:rsid w:val="005929D4"/>
    <w:rsid w:val="00592F9F"/>
    <w:rsid w:val="00593E0D"/>
    <w:rsid w:val="00593FA3"/>
    <w:rsid w:val="00594D7D"/>
    <w:rsid w:val="005950A6"/>
    <w:rsid w:val="0059652B"/>
    <w:rsid w:val="00597EAB"/>
    <w:rsid w:val="005A06C4"/>
    <w:rsid w:val="005A0921"/>
    <w:rsid w:val="005A1178"/>
    <w:rsid w:val="005A1936"/>
    <w:rsid w:val="005A1A61"/>
    <w:rsid w:val="005A1F41"/>
    <w:rsid w:val="005A22AE"/>
    <w:rsid w:val="005A34DC"/>
    <w:rsid w:val="005A3B8A"/>
    <w:rsid w:val="005B0687"/>
    <w:rsid w:val="005B130F"/>
    <w:rsid w:val="005B1915"/>
    <w:rsid w:val="005B1BC4"/>
    <w:rsid w:val="005B1CD9"/>
    <w:rsid w:val="005B1E7A"/>
    <w:rsid w:val="005B1E94"/>
    <w:rsid w:val="005B2ABE"/>
    <w:rsid w:val="005B2EF3"/>
    <w:rsid w:val="005B3C7F"/>
    <w:rsid w:val="005B3F71"/>
    <w:rsid w:val="005B7295"/>
    <w:rsid w:val="005B7731"/>
    <w:rsid w:val="005C0CD2"/>
    <w:rsid w:val="005C0CEE"/>
    <w:rsid w:val="005C1001"/>
    <w:rsid w:val="005C13B7"/>
    <w:rsid w:val="005C2364"/>
    <w:rsid w:val="005C3697"/>
    <w:rsid w:val="005C450F"/>
    <w:rsid w:val="005C4A38"/>
    <w:rsid w:val="005C4A78"/>
    <w:rsid w:val="005C531F"/>
    <w:rsid w:val="005C5A36"/>
    <w:rsid w:val="005C5DA5"/>
    <w:rsid w:val="005C6FD3"/>
    <w:rsid w:val="005C7CE8"/>
    <w:rsid w:val="005D06AB"/>
    <w:rsid w:val="005D1081"/>
    <w:rsid w:val="005D1916"/>
    <w:rsid w:val="005D195A"/>
    <w:rsid w:val="005D2A10"/>
    <w:rsid w:val="005D351C"/>
    <w:rsid w:val="005D471A"/>
    <w:rsid w:val="005D4A77"/>
    <w:rsid w:val="005D5891"/>
    <w:rsid w:val="005D5BE6"/>
    <w:rsid w:val="005D616F"/>
    <w:rsid w:val="005D722B"/>
    <w:rsid w:val="005D7306"/>
    <w:rsid w:val="005D75FA"/>
    <w:rsid w:val="005D7A63"/>
    <w:rsid w:val="005E0BB7"/>
    <w:rsid w:val="005E0E74"/>
    <w:rsid w:val="005E1DEB"/>
    <w:rsid w:val="005E1FD0"/>
    <w:rsid w:val="005E2416"/>
    <w:rsid w:val="005E2547"/>
    <w:rsid w:val="005E303F"/>
    <w:rsid w:val="005E31FE"/>
    <w:rsid w:val="005E4384"/>
    <w:rsid w:val="005E4959"/>
    <w:rsid w:val="005E509E"/>
    <w:rsid w:val="005E52FA"/>
    <w:rsid w:val="005E58DA"/>
    <w:rsid w:val="005E5E47"/>
    <w:rsid w:val="005E6F21"/>
    <w:rsid w:val="005E71D1"/>
    <w:rsid w:val="005E7453"/>
    <w:rsid w:val="005E7768"/>
    <w:rsid w:val="005F122E"/>
    <w:rsid w:val="005F1717"/>
    <w:rsid w:val="005F2194"/>
    <w:rsid w:val="005F2777"/>
    <w:rsid w:val="005F2789"/>
    <w:rsid w:val="005F29F8"/>
    <w:rsid w:val="005F2E5E"/>
    <w:rsid w:val="005F3906"/>
    <w:rsid w:val="005F48CF"/>
    <w:rsid w:val="005F4FE3"/>
    <w:rsid w:val="005F5254"/>
    <w:rsid w:val="005F5498"/>
    <w:rsid w:val="005F56CF"/>
    <w:rsid w:val="005F5778"/>
    <w:rsid w:val="005F5C70"/>
    <w:rsid w:val="005F5DDA"/>
    <w:rsid w:val="005F659B"/>
    <w:rsid w:val="005F661B"/>
    <w:rsid w:val="005F6BD1"/>
    <w:rsid w:val="005F7B71"/>
    <w:rsid w:val="006001D9"/>
    <w:rsid w:val="006015C3"/>
    <w:rsid w:val="00601742"/>
    <w:rsid w:val="00601D36"/>
    <w:rsid w:val="0060207B"/>
    <w:rsid w:val="00602E5B"/>
    <w:rsid w:val="00603DF4"/>
    <w:rsid w:val="00604096"/>
    <w:rsid w:val="00604A05"/>
    <w:rsid w:val="00604E85"/>
    <w:rsid w:val="00605F23"/>
    <w:rsid w:val="006063E9"/>
    <w:rsid w:val="006064C0"/>
    <w:rsid w:val="006067B4"/>
    <w:rsid w:val="00606819"/>
    <w:rsid w:val="00606A1C"/>
    <w:rsid w:val="00610AD9"/>
    <w:rsid w:val="00610C50"/>
    <w:rsid w:val="00612D77"/>
    <w:rsid w:val="00613343"/>
    <w:rsid w:val="00613D64"/>
    <w:rsid w:val="006146DC"/>
    <w:rsid w:val="00614D37"/>
    <w:rsid w:val="00615E1E"/>
    <w:rsid w:val="00617119"/>
    <w:rsid w:val="00617B5A"/>
    <w:rsid w:val="00617C32"/>
    <w:rsid w:val="00621210"/>
    <w:rsid w:val="00621ACD"/>
    <w:rsid w:val="00621B20"/>
    <w:rsid w:val="00621CE4"/>
    <w:rsid w:val="00621EE3"/>
    <w:rsid w:val="00622366"/>
    <w:rsid w:val="0062372E"/>
    <w:rsid w:val="00623D19"/>
    <w:rsid w:val="0062417A"/>
    <w:rsid w:val="00624F30"/>
    <w:rsid w:val="006257FF"/>
    <w:rsid w:val="00626270"/>
    <w:rsid w:val="00626348"/>
    <w:rsid w:val="006264E7"/>
    <w:rsid w:val="0062724E"/>
    <w:rsid w:val="00627442"/>
    <w:rsid w:val="00627CC7"/>
    <w:rsid w:val="006304C4"/>
    <w:rsid w:val="00630625"/>
    <w:rsid w:val="00630E25"/>
    <w:rsid w:val="00631437"/>
    <w:rsid w:val="0063155C"/>
    <w:rsid w:val="0063235C"/>
    <w:rsid w:val="006327A9"/>
    <w:rsid w:val="00632B60"/>
    <w:rsid w:val="00632FED"/>
    <w:rsid w:val="006330C5"/>
    <w:rsid w:val="00633E3C"/>
    <w:rsid w:val="006344BA"/>
    <w:rsid w:val="0063488B"/>
    <w:rsid w:val="00634B0F"/>
    <w:rsid w:val="006366A3"/>
    <w:rsid w:val="00637070"/>
    <w:rsid w:val="00637D2A"/>
    <w:rsid w:val="00640976"/>
    <w:rsid w:val="00642CDD"/>
    <w:rsid w:val="00642D3A"/>
    <w:rsid w:val="00642FB4"/>
    <w:rsid w:val="00643DA5"/>
    <w:rsid w:val="0064428E"/>
    <w:rsid w:val="006448A8"/>
    <w:rsid w:val="006449A5"/>
    <w:rsid w:val="006468F9"/>
    <w:rsid w:val="006471F0"/>
    <w:rsid w:val="006472DC"/>
    <w:rsid w:val="0064750E"/>
    <w:rsid w:val="00647A50"/>
    <w:rsid w:val="0065190D"/>
    <w:rsid w:val="00651A8F"/>
    <w:rsid w:val="006524BC"/>
    <w:rsid w:val="00653485"/>
    <w:rsid w:val="00653800"/>
    <w:rsid w:val="00653EE7"/>
    <w:rsid w:val="00655124"/>
    <w:rsid w:val="006577DA"/>
    <w:rsid w:val="00657D59"/>
    <w:rsid w:val="00660C71"/>
    <w:rsid w:val="0066213A"/>
    <w:rsid w:val="006633BF"/>
    <w:rsid w:val="00664CA6"/>
    <w:rsid w:val="00664F59"/>
    <w:rsid w:val="00666FFE"/>
    <w:rsid w:val="006703F6"/>
    <w:rsid w:val="00670568"/>
    <w:rsid w:val="006705F3"/>
    <w:rsid w:val="006723C3"/>
    <w:rsid w:val="00672F7D"/>
    <w:rsid w:val="00673636"/>
    <w:rsid w:val="00673916"/>
    <w:rsid w:val="00674C09"/>
    <w:rsid w:val="00674D37"/>
    <w:rsid w:val="00674DCE"/>
    <w:rsid w:val="006753B6"/>
    <w:rsid w:val="0067547B"/>
    <w:rsid w:val="0067639E"/>
    <w:rsid w:val="00676B26"/>
    <w:rsid w:val="006776CF"/>
    <w:rsid w:val="00680212"/>
    <w:rsid w:val="00681FEB"/>
    <w:rsid w:val="00682332"/>
    <w:rsid w:val="0068297E"/>
    <w:rsid w:val="00682E2A"/>
    <w:rsid w:val="00682ED3"/>
    <w:rsid w:val="00683415"/>
    <w:rsid w:val="00684849"/>
    <w:rsid w:val="00684AB2"/>
    <w:rsid w:val="00685F23"/>
    <w:rsid w:val="00686AEB"/>
    <w:rsid w:val="00687E18"/>
    <w:rsid w:val="00687EF1"/>
    <w:rsid w:val="00690681"/>
    <w:rsid w:val="006911C6"/>
    <w:rsid w:val="006912BF"/>
    <w:rsid w:val="00691631"/>
    <w:rsid w:val="0069223F"/>
    <w:rsid w:val="00692569"/>
    <w:rsid w:val="006934C5"/>
    <w:rsid w:val="006934CA"/>
    <w:rsid w:val="00693DF2"/>
    <w:rsid w:val="0069498A"/>
    <w:rsid w:val="00694ABD"/>
    <w:rsid w:val="00694E34"/>
    <w:rsid w:val="00695572"/>
    <w:rsid w:val="00696657"/>
    <w:rsid w:val="00697525"/>
    <w:rsid w:val="00697A3C"/>
    <w:rsid w:val="00697F6C"/>
    <w:rsid w:val="006A1314"/>
    <w:rsid w:val="006A1F0F"/>
    <w:rsid w:val="006A2A98"/>
    <w:rsid w:val="006A39DE"/>
    <w:rsid w:val="006A4508"/>
    <w:rsid w:val="006A4A25"/>
    <w:rsid w:val="006A4DEA"/>
    <w:rsid w:val="006A4EBF"/>
    <w:rsid w:val="006A53A7"/>
    <w:rsid w:val="006A61D1"/>
    <w:rsid w:val="006A641B"/>
    <w:rsid w:val="006A7443"/>
    <w:rsid w:val="006A75D4"/>
    <w:rsid w:val="006B0940"/>
    <w:rsid w:val="006B0A0C"/>
    <w:rsid w:val="006B19E7"/>
    <w:rsid w:val="006B214A"/>
    <w:rsid w:val="006B24BF"/>
    <w:rsid w:val="006B4840"/>
    <w:rsid w:val="006B4F16"/>
    <w:rsid w:val="006B5942"/>
    <w:rsid w:val="006B62D2"/>
    <w:rsid w:val="006B7FB3"/>
    <w:rsid w:val="006C164E"/>
    <w:rsid w:val="006C2165"/>
    <w:rsid w:val="006C21AE"/>
    <w:rsid w:val="006C2B53"/>
    <w:rsid w:val="006C3BCD"/>
    <w:rsid w:val="006C542A"/>
    <w:rsid w:val="006C631A"/>
    <w:rsid w:val="006C6555"/>
    <w:rsid w:val="006C69BE"/>
    <w:rsid w:val="006C6D1C"/>
    <w:rsid w:val="006C6E82"/>
    <w:rsid w:val="006C72A3"/>
    <w:rsid w:val="006C73D2"/>
    <w:rsid w:val="006C7833"/>
    <w:rsid w:val="006C790D"/>
    <w:rsid w:val="006D16A1"/>
    <w:rsid w:val="006D1DB1"/>
    <w:rsid w:val="006D240A"/>
    <w:rsid w:val="006D322B"/>
    <w:rsid w:val="006D42FC"/>
    <w:rsid w:val="006D45B2"/>
    <w:rsid w:val="006D5C86"/>
    <w:rsid w:val="006D7350"/>
    <w:rsid w:val="006D7AEC"/>
    <w:rsid w:val="006D7C60"/>
    <w:rsid w:val="006E0926"/>
    <w:rsid w:val="006E0C2B"/>
    <w:rsid w:val="006E0D58"/>
    <w:rsid w:val="006E1BEA"/>
    <w:rsid w:val="006E1C64"/>
    <w:rsid w:val="006E248B"/>
    <w:rsid w:val="006E2869"/>
    <w:rsid w:val="006E2C52"/>
    <w:rsid w:val="006E2F55"/>
    <w:rsid w:val="006E377E"/>
    <w:rsid w:val="006E471A"/>
    <w:rsid w:val="006E4810"/>
    <w:rsid w:val="006E5792"/>
    <w:rsid w:val="006E5DFF"/>
    <w:rsid w:val="006E6692"/>
    <w:rsid w:val="006E72C0"/>
    <w:rsid w:val="006E7529"/>
    <w:rsid w:val="006E7B11"/>
    <w:rsid w:val="006F0FB1"/>
    <w:rsid w:val="006F1DA9"/>
    <w:rsid w:val="006F2376"/>
    <w:rsid w:val="006F3C3F"/>
    <w:rsid w:val="006F4845"/>
    <w:rsid w:val="006F5064"/>
    <w:rsid w:val="006F54D0"/>
    <w:rsid w:val="006F58AD"/>
    <w:rsid w:val="006F5B2A"/>
    <w:rsid w:val="006F6153"/>
    <w:rsid w:val="006F6364"/>
    <w:rsid w:val="006F6BC5"/>
    <w:rsid w:val="007006E8"/>
    <w:rsid w:val="0070157D"/>
    <w:rsid w:val="007031C9"/>
    <w:rsid w:val="007036D6"/>
    <w:rsid w:val="00703DD9"/>
    <w:rsid w:val="0070419C"/>
    <w:rsid w:val="00704FE7"/>
    <w:rsid w:val="00705289"/>
    <w:rsid w:val="007052BB"/>
    <w:rsid w:val="007059A7"/>
    <w:rsid w:val="00705F14"/>
    <w:rsid w:val="007068AA"/>
    <w:rsid w:val="00707335"/>
    <w:rsid w:val="00707DE8"/>
    <w:rsid w:val="00707FF1"/>
    <w:rsid w:val="00710776"/>
    <w:rsid w:val="00710852"/>
    <w:rsid w:val="00710F65"/>
    <w:rsid w:val="00711523"/>
    <w:rsid w:val="007116FC"/>
    <w:rsid w:val="0071196D"/>
    <w:rsid w:val="00712562"/>
    <w:rsid w:val="0071298F"/>
    <w:rsid w:val="00713A7D"/>
    <w:rsid w:val="00714561"/>
    <w:rsid w:val="00715A5A"/>
    <w:rsid w:val="00716068"/>
    <w:rsid w:val="00717EC2"/>
    <w:rsid w:val="00720791"/>
    <w:rsid w:val="0072108E"/>
    <w:rsid w:val="007214C3"/>
    <w:rsid w:val="00721E7C"/>
    <w:rsid w:val="00722813"/>
    <w:rsid w:val="00722C33"/>
    <w:rsid w:val="0072308A"/>
    <w:rsid w:val="007234AF"/>
    <w:rsid w:val="00724408"/>
    <w:rsid w:val="00724BDA"/>
    <w:rsid w:val="0072527B"/>
    <w:rsid w:val="00725382"/>
    <w:rsid w:val="007254A2"/>
    <w:rsid w:val="00725C19"/>
    <w:rsid w:val="00726346"/>
    <w:rsid w:val="00726697"/>
    <w:rsid w:val="00726B26"/>
    <w:rsid w:val="00726F1C"/>
    <w:rsid w:val="0072721D"/>
    <w:rsid w:val="007302D0"/>
    <w:rsid w:val="0073034A"/>
    <w:rsid w:val="00731B40"/>
    <w:rsid w:val="00731B9D"/>
    <w:rsid w:val="00732A1D"/>
    <w:rsid w:val="00732A75"/>
    <w:rsid w:val="00732B16"/>
    <w:rsid w:val="00732DBA"/>
    <w:rsid w:val="00733831"/>
    <w:rsid w:val="00733890"/>
    <w:rsid w:val="007345C2"/>
    <w:rsid w:val="00734E85"/>
    <w:rsid w:val="00735B2F"/>
    <w:rsid w:val="0074095B"/>
    <w:rsid w:val="00740DFC"/>
    <w:rsid w:val="007412F3"/>
    <w:rsid w:val="00741472"/>
    <w:rsid w:val="00741A6B"/>
    <w:rsid w:val="00741FA1"/>
    <w:rsid w:val="007427D9"/>
    <w:rsid w:val="007437CC"/>
    <w:rsid w:val="007452B6"/>
    <w:rsid w:val="00745443"/>
    <w:rsid w:val="007454F5"/>
    <w:rsid w:val="00745634"/>
    <w:rsid w:val="007457BD"/>
    <w:rsid w:val="00746AD7"/>
    <w:rsid w:val="00746CB2"/>
    <w:rsid w:val="00747535"/>
    <w:rsid w:val="00747E9D"/>
    <w:rsid w:val="00750070"/>
    <w:rsid w:val="00750708"/>
    <w:rsid w:val="007509A3"/>
    <w:rsid w:val="00750C5E"/>
    <w:rsid w:val="00751172"/>
    <w:rsid w:val="00751A9E"/>
    <w:rsid w:val="00752013"/>
    <w:rsid w:val="00752755"/>
    <w:rsid w:val="00752C29"/>
    <w:rsid w:val="00752CC5"/>
    <w:rsid w:val="00752DDD"/>
    <w:rsid w:val="0075365F"/>
    <w:rsid w:val="0075367A"/>
    <w:rsid w:val="00753E8A"/>
    <w:rsid w:val="007541F3"/>
    <w:rsid w:val="007563C0"/>
    <w:rsid w:val="0075647E"/>
    <w:rsid w:val="00757D61"/>
    <w:rsid w:val="00760069"/>
    <w:rsid w:val="007611EB"/>
    <w:rsid w:val="00764051"/>
    <w:rsid w:val="00764890"/>
    <w:rsid w:val="00765B12"/>
    <w:rsid w:val="00766A8C"/>
    <w:rsid w:val="00767CC0"/>
    <w:rsid w:val="007726FE"/>
    <w:rsid w:val="0077436D"/>
    <w:rsid w:val="0077461B"/>
    <w:rsid w:val="00774B1F"/>
    <w:rsid w:val="00774DA0"/>
    <w:rsid w:val="007759E8"/>
    <w:rsid w:val="00775B13"/>
    <w:rsid w:val="00781CDC"/>
    <w:rsid w:val="00782114"/>
    <w:rsid w:val="00782722"/>
    <w:rsid w:val="00782A6B"/>
    <w:rsid w:val="00782B9B"/>
    <w:rsid w:val="007832F2"/>
    <w:rsid w:val="0078370A"/>
    <w:rsid w:val="00784C65"/>
    <w:rsid w:val="00784CC9"/>
    <w:rsid w:val="00785356"/>
    <w:rsid w:val="00785B6F"/>
    <w:rsid w:val="00786363"/>
    <w:rsid w:val="00786484"/>
    <w:rsid w:val="00786610"/>
    <w:rsid w:val="00786DB4"/>
    <w:rsid w:val="00787036"/>
    <w:rsid w:val="007875CF"/>
    <w:rsid w:val="0079113C"/>
    <w:rsid w:val="00792F91"/>
    <w:rsid w:val="007930B2"/>
    <w:rsid w:val="00793EE3"/>
    <w:rsid w:val="00794B28"/>
    <w:rsid w:val="007965E0"/>
    <w:rsid w:val="0079692C"/>
    <w:rsid w:val="0079728B"/>
    <w:rsid w:val="007A0121"/>
    <w:rsid w:val="007A0278"/>
    <w:rsid w:val="007A074C"/>
    <w:rsid w:val="007A089C"/>
    <w:rsid w:val="007A0D82"/>
    <w:rsid w:val="007A2EF7"/>
    <w:rsid w:val="007A340F"/>
    <w:rsid w:val="007A3EC1"/>
    <w:rsid w:val="007A404A"/>
    <w:rsid w:val="007A459F"/>
    <w:rsid w:val="007A497D"/>
    <w:rsid w:val="007A508A"/>
    <w:rsid w:val="007A5559"/>
    <w:rsid w:val="007A57D6"/>
    <w:rsid w:val="007B17D8"/>
    <w:rsid w:val="007B191D"/>
    <w:rsid w:val="007B1ADC"/>
    <w:rsid w:val="007B27A6"/>
    <w:rsid w:val="007B3390"/>
    <w:rsid w:val="007B3635"/>
    <w:rsid w:val="007B374E"/>
    <w:rsid w:val="007B4C71"/>
    <w:rsid w:val="007B4EFA"/>
    <w:rsid w:val="007B52F2"/>
    <w:rsid w:val="007B5721"/>
    <w:rsid w:val="007B5C56"/>
    <w:rsid w:val="007B5D12"/>
    <w:rsid w:val="007B6B33"/>
    <w:rsid w:val="007B7096"/>
    <w:rsid w:val="007C05ED"/>
    <w:rsid w:val="007C17F7"/>
    <w:rsid w:val="007C1DDF"/>
    <w:rsid w:val="007C245C"/>
    <w:rsid w:val="007C329F"/>
    <w:rsid w:val="007C5544"/>
    <w:rsid w:val="007C57AF"/>
    <w:rsid w:val="007C57BA"/>
    <w:rsid w:val="007C59E6"/>
    <w:rsid w:val="007C608C"/>
    <w:rsid w:val="007C6781"/>
    <w:rsid w:val="007C6BBA"/>
    <w:rsid w:val="007C7377"/>
    <w:rsid w:val="007D0484"/>
    <w:rsid w:val="007D2214"/>
    <w:rsid w:val="007D2E33"/>
    <w:rsid w:val="007D3F30"/>
    <w:rsid w:val="007D48B0"/>
    <w:rsid w:val="007D4FD4"/>
    <w:rsid w:val="007D5399"/>
    <w:rsid w:val="007D58C5"/>
    <w:rsid w:val="007D66E6"/>
    <w:rsid w:val="007D6B2F"/>
    <w:rsid w:val="007D6FF0"/>
    <w:rsid w:val="007D7174"/>
    <w:rsid w:val="007E0F3C"/>
    <w:rsid w:val="007E135F"/>
    <w:rsid w:val="007E1B05"/>
    <w:rsid w:val="007E295A"/>
    <w:rsid w:val="007E4347"/>
    <w:rsid w:val="007E4B0B"/>
    <w:rsid w:val="007E710A"/>
    <w:rsid w:val="007E7ABD"/>
    <w:rsid w:val="007F09A4"/>
    <w:rsid w:val="007F0AD4"/>
    <w:rsid w:val="007F1106"/>
    <w:rsid w:val="007F1470"/>
    <w:rsid w:val="007F190E"/>
    <w:rsid w:val="007F1B39"/>
    <w:rsid w:val="007F1EE7"/>
    <w:rsid w:val="007F2B60"/>
    <w:rsid w:val="007F382F"/>
    <w:rsid w:val="007F3BCC"/>
    <w:rsid w:val="007F4338"/>
    <w:rsid w:val="007F43FF"/>
    <w:rsid w:val="007F5558"/>
    <w:rsid w:val="007F5675"/>
    <w:rsid w:val="007F639E"/>
    <w:rsid w:val="007F71E9"/>
    <w:rsid w:val="007F7521"/>
    <w:rsid w:val="0080088D"/>
    <w:rsid w:val="00801356"/>
    <w:rsid w:val="008017D6"/>
    <w:rsid w:val="00801ADC"/>
    <w:rsid w:val="0080222A"/>
    <w:rsid w:val="008025F0"/>
    <w:rsid w:val="00802AC0"/>
    <w:rsid w:val="00803CBD"/>
    <w:rsid w:val="00803D2D"/>
    <w:rsid w:val="0080425B"/>
    <w:rsid w:val="00806345"/>
    <w:rsid w:val="008069C4"/>
    <w:rsid w:val="00807312"/>
    <w:rsid w:val="00807C26"/>
    <w:rsid w:val="00807F4B"/>
    <w:rsid w:val="008101D3"/>
    <w:rsid w:val="00810A67"/>
    <w:rsid w:val="008114FA"/>
    <w:rsid w:val="008128FA"/>
    <w:rsid w:val="00812FD8"/>
    <w:rsid w:val="008131D8"/>
    <w:rsid w:val="008132AB"/>
    <w:rsid w:val="00813476"/>
    <w:rsid w:val="00813575"/>
    <w:rsid w:val="00813A0E"/>
    <w:rsid w:val="00813D6D"/>
    <w:rsid w:val="00813EA2"/>
    <w:rsid w:val="00814C9E"/>
    <w:rsid w:val="00815875"/>
    <w:rsid w:val="00816ACA"/>
    <w:rsid w:val="0081746E"/>
    <w:rsid w:val="008179CF"/>
    <w:rsid w:val="00817FDC"/>
    <w:rsid w:val="008208E6"/>
    <w:rsid w:val="00820ABC"/>
    <w:rsid w:val="00820ACA"/>
    <w:rsid w:val="00820B66"/>
    <w:rsid w:val="00821E4B"/>
    <w:rsid w:val="00822073"/>
    <w:rsid w:val="00822525"/>
    <w:rsid w:val="00822AA4"/>
    <w:rsid w:val="00824360"/>
    <w:rsid w:val="00824E63"/>
    <w:rsid w:val="00825840"/>
    <w:rsid w:val="00825918"/>
    <w:rsid w:val="00825F9B"/>
    <w:rsid w:val="008261F3"/>
    <w:rsid w:val="00826CC5"/>
    <w:rsid w:val="0082748A"/>
    <w:rsid w:val="00831650"/>
    <w:rsid w:val="00831B23"/>
    <w:rsid w:val="00832E94"/>
    <w:rsid w:val="008330A0"/>
    <w:rsid w:val="00833802"/>
    <w:rsid w:val="0083389F"/>
    <w:rsid w:val="00833EAA"/>
    <w:rsid w:val="0083419E"/>
    <w:rsid w:val="00834F83"/>
    <w:rsid w:val="00835F89"/>
    <w:rsid w:val="00835F9C"/>
    <w:rsid w:val="00836150"/>
    <w:rsid w:val="00836279"/>
    <w:rsid w:val="00836409"/>
    <w:rsid w:val="00836DC8"/>
    <w:rsid w:val="00837266"/>
    <w:rsid w:val="008372B7"/>
    <w:rsid w:val="00837401"/>
    <w:rsid w:val="008414F7"/>
    <w:rsid w:val="00841835"/>
    <w:rsid w:val="00841E42"/>
    <w:rsid w:val="0084257A"/>
    <w:rsid w:val="0084258A"/>
    <w:rsid w:val="008428EB"/>
    <w:rsid w:val="00842DA7"/>
    <w:rsid w:val="008436B6"/>
    <w:rsid w:val="00844799"/>
    <w:rsid w:val="0084494E"/>
    <w:rsid w:val="008453BF"/>
    <w:rsid w:val="0084612D"/>
    <w:rsid w:val="00847E04"/>
    <w:rsid w:val="00850345"/>
    <w:rsid w:val="00850935"/>
    <w:rsid w:val="00850B7B"/>
    <w:rsid w:val="0085202A"/>
    <w:rsid w:val="00853C09"/>
    <w:rsid w:val="00854654"/>
    <w:rsid w:val="008551E2"/>
    <w:rsid w:val="008562C5"/>
    <w:rsid w:val="0085650D"/>
    <w:rsid w:val="00857451"/>
    <w:rsid w:val="008601AB"/>
    <w:rsid w:val="00861115"/>
    <w:rsid w:val="00864DFE"/>
    <w:rsid w:val="00864E47"/>
    <w:rsid w:val="00865D97"/>
    <w:rsid w:val="00867275"/>
    <w:rsid w:val="00867FD6"/>
    <w:rsid w:val="00870956"/>
    <w:rsid w:val="0087188A"/>
    <w:rsid w:val="00871D51"/>
    <w:rsid w:val="00871E69"/>
    <w:rsid w:val="008735E8"/>
    <w:rsid w:val="0087433D"/>
    <w:rsid w:val="008744F5"/>
    <w:rsid w:val="008757BE"/>
    <w:rsid w:val="00876E33"/>
    <w:rsid w:val="0087706B"/>
    <w:rsid w:val="008804EA"/>
    <w:rsid w:val="00880BA0"/>
    <w:rsid w:val="00880CC9"/>
    <w:rsid w:val="008822FA"/>
    <w:rsid w:val="00882A36"/>
    <w:rsid w:val="00883681"/>
    <w:rsid w:val="00883FA8"/>
    <w:rsid w:val="00884047"/>
    <w:rsid w:val="008849BE"/>
    <w:rsid w:val="00885CC4"/>
    <w:rsid w:val="0088630E"/>
    <w:rsid w:val="008865E7"/>
    <w:rsid w:val="008867F1"/>
    <w:rsid w:val="00886E79"/>
    <w:rsid w:val="00886E82"/>
    <w:rsid w:val="00887AC9"/>
    <w:rsid w:val="00887D05"/>
    <w:rsid w:val="008903E9"/>
    <w:rsid w:val="00891907"/>
    <w:rsid w:val="00892014"/>
    <w:rsid w:val="008931D0"/>
    <w:rsid w:val="008935CC"/>
    <w:rsid w:val="00893B61"/>
    <w:rsid w:val="00893FA1"/>
    <w:rsid w:val="0089417C"/>
    <w:rsid w:val="008945F1"/>
    <w:rsid w:val="008946DD"/>
    <w:rsid w:val="00895F69"/>
    <w:rsid w:val="00896106"/>
    <w:rsid w:val="00896735"/>
    <w:rsid w:val="00897410"/>
    <w:rsid w:val="00897DE3"/>
    <w:rsid w:val="008A00D7"/>
    <w:rsid w:val="008A0627"/>
    <w:rsid w:val="008A16BA"/>
    <w:rsid w:val="008A23FE"/>
    <w:rsid w:val="008A29EB"/>
    <w:rsid w:val="008A2E2D"/>
    <w:rsid w:val="008A2E83"/>
    <w:rsid w:val="008A3549"/>
    <w:rsid w:val="008A3F21"/>
    <w:rsid w:val="008A3FA7"/>
    <w:rsid w:val="008A504B"/>
    <w:rsid w:val="008A577A"/>
    <w:rsid w:val="008A5C26"/>
    <w:rsid w:val="008A60F3"/>
    <w:rsid w:val="008A662F"/>
    <w:rsid w:val="008A678D"/>
    <w:rsid w:val="008A697B"/>
    <w:rsid w:val="008A6DA1"/>
    <w:rsid w:val="008A6F81"/>
    <w:rsid w:val="008B0BC7"/>
    <w:rsid w:val="008B0D3B"/>
    <w:rsid w:val="008B0F14"/>
    <w:rsid w:val="008B0F71"/>
    <w:rsid w:val="008B196A"/>
    <w:rsid w:val="008B229F"/>
    <w:rsid w:val="008B27D9"/>
    <w:rsid w:val="008B2DBB"/>
    <w:rsid w:val="008B2EAB"/>
    <w:rsid w:val="008B30F8"/>
    <w:rsid w:val="008B44D1"/>
    <w:rsid w:val="008B4F8A"/>
    <w:rsid w:val="008B7BBC"/>
    <w:rsid w:val="008B7EAA"/>
    <w:rsid w:val="008C0B50"/>
    <w:rsid w:val="008C2CC2"/>
    <w:rsid w:val="008C3821"/>
    <w:rsid w:val="008C3EEF"/>
    <w:rsid w:val="008C6D01"/>
    <w:rsid w:val="008C71A6"/>
    <w:rsid w:val="008C735E"/>
    <w:rsid w:val="008D0B04"/>
    <w:rsid w:val="008D19D2"/>
    <w:rsid w:val="008D3BC3"/>
    <w:rsid w:val="008D3CC0"/>
    <w:rsid w:val="008D4D79"/>
    <w:rsid w:val="008D5453"/>
    <w:rsid w:val="008D6511"/>
    <w:rsid w:val="008D6621"/>
    <w:rsid w:val="008D6B3D"/>
    <w:rsid w:val="008D797E"/>
    <w:rsid w:val="008E0803"/>
    <w:rsid w:val="008E0A3C"/>
    <w:rsid w:val="008E0FAC"/>
    <w:rsid w:val="008E1A6C"/>
    <w:rsid w:val="008E1C17"/>
    <w:rsid w:val="008E2E28"/>
    <w:rsid w:val="008E332A"/>
    <w:rsid w:val="008E33A9"/>
    <w:rsid w:val="008E4542"/>
    <w:rsid w:val="008E4622"/>
    <w:rsid w:val="008E4A7C"/>
    <w:rsid w:val="008E5F6B"/>
    <w:rsid w:val="008E5FDD"/>
    <w:rsid w:val="008E613B"/>
    <w:rsid w:val="008E6633"/>
    <w:rsid w:val="008E6BBD"/>
    <w:rsid w:val="008E710E"/>
    <w:rsid w:val="008F1692"/>
    <w:rsid w:val="008F2136"/>
    <w:rsid w:val="008F2839"/>
    <w:rsid w:val="008F3FC2"/>
    <w:rsid w:val="008F4292"/>
    <w:rsid w:val="008F514F"/>
    <w:rsid w:val="008F5947"/>
    <w:rsid w:val="008F595D"/>
    <w:rsid w:val="008F5D01"/>
    <w:rsid w:val="008F5F09"/>
    <w:rsid w:val="008F79F0"/>
    <w:rsid w:val="009008EF"/>
    <w:rsid w:val="00901A25"/>
    <w:rsid w:val="00901AE9"/>
    <w:rsid w:val="009022F9"/>
    <w:rsid w:val="00902957"/>
    <w:rsid w:val="00903383"/>
    <w:rsid w:val="00903A24"/>
    <w:rsid w:val="00903B31"/>
    <w:rsid w:val="00904057"/>
    <w:rsid w:val="0090437C"/>
    <w:rsid w:val="009045F6"/>
    <w:rsid w:val="00905059"/>
    <w:rsid w:val="0090776B"/>
    <w:rsid w:val="009103E9"/>
    <w:rsid w:val="0091049B"/>
    <w:rsid w:val="0091099D"/>
    <w:rsid w:val="00911119"/>
    <w:rsid w:val="00911B01"/>
    <w:rsid w:val="00911E28"/>
    <w:rsid w:val="00912267"/>
    <w:rsid w:val="00912324"/>
    <w:rsid w:val="0091297B"/>
    <w:rsid w:val="00913283"/>
    <w:rsid w:val="00913B5B"/>
    <w:rsid w:val="00913F61"/>
    <w:rsid w:val="00914821"/>
    <w:rsid w:val="0091705B"/>
    <w:rsid w:val="00917130"/>
    <w:rsid w:val="009171BE"/>
    <w:rsid w:val="009176FB"/>
    <w:rsid w:val="009179D3"/>
    <w:rsid w:val="009203F5"/>
    <w:rsid w:val="00920EBF"/>
    <w:rsid w:val="00921631"/>
    <w:rsid w:val="00921668"/>
    <w:rsid w:val="00921BF5"/>
    <w:rsid w:val="00922DE0"/>
    <w:rsid w:val="009239E7"/>
    <w:rsid w:val="0092481C"/>
    <w:rsid w:val="00925B62"/>
    <w:rsid w:val="0092616F"/>
    <w:rsid w:val="009268A7"/>
    <w:rsid w:val="00926907"/>
    <w:rsid w:val="00926FAC"/>
    <w:rsid w:val="009274A8"/>
    <w:rsid w:val="00927F0A"/>
    <w:rsid w:val="009306BE"/>
    <w:rsid w:val="00930703"/>
    <w:rsid w:val="0093115D"/>
    <w:rsid w:val="00932755"/>
    <w:rsid w:val="009327B8"/>
    <w:rsid w:val="00932F81"/>
    <w:rsid w:val="009335CD"/>
    <w:rsid w:val="00933A43"/>
    <w:rsid w:val="00933EE2"/>
    <w:rsid w:val="00933F46"/>
    <w:rsid w:val="00934A69"/>
    <w:rsid w:val="00935C54"/>
    <w:rsid w:val="009362B8"/>
    <w:rsid w:val="00936A10"/>
    <w:rsid w:val="00936AC8"/>
    <w:rsid w:val="00936F03"/>
    <w:rsid w:val="00937B71"/>
    <w:rsid w:val="009406D1"/>
    <w:rsid w:val="009408F3"/>
    <w:rsid w:val="00940A8E"/>
    <w:rsid w:val="00940C51"/>
    <w:rsid w:val="00940CE9"/>
    <w:rsid w:val="00941713"/>
    <w:rsid w:val="0094220B"/>
    <w:rsid w:val="00942583"/>
    <w:rsid w:val="00942BBE"/>
    <w:rsid w:val="009433EA"/>
    <w:rsid w:val="009433FA"/>
    <w:rsid w:val="009434EB"/>
    <w:rsid w:val="00943E84"/>
    <w:rsid w:val="00944506"/>
    <w:rsid w:val="009446B6"/>
    <w:rsid w:val="009449BA"/>
    <w:rsid w:val="00945156"/>
    <w:rsid w:val="009451E1"/>
    <w:rsid w:val="00946060"/>
    <w:rsid w:val="00946945"/>
    <w:rsid w:val="00946B28"/>
    <w:rsid w:val="009471AC"/>
    <w:rsid w:val="009475BC"/>
    <w:rsid w:val="0094778C"/>
    <w:rsid w:val="00947D5B"/>
    <w:rsid w:val="009508BA"/>
    <w:rsid w:val="00950B02"/>
    <w:rsid w:val="009518BE"/>
    <w:rsid w:val="00952170"/>
    <w:rsid w:val="00952D61"/>
    <w:rsid w:val="00952DB9"/>
    <w:rsid w:val="00952E82"/>
    <w:rsid w:val="00952FB8"/>
    <w:rsid w:val="009535FB"/>
    <w:rsid w:val="00955162"/>
    <w:rsid w:val="00955284"/>
    <w:rsid w:val="009566CC"/>
    <w:rsid w:val="00961510"/>
    <w:rsid w:val="0096167A"/>
    <w:rsid w:val="00962566"/>
    <w:rsid w:val="00963614"/>
    <w:rsid w:val="00963B92"/>
    <w:rsid w:val="009640A6"/>
    <w:rsid w:val="0096578C"/>
    <w:rsid w:val="00965D98"/>
    <w:rsid w:val="00965F57"/>
    <w:rsid w:val="0097026E"/>
    <w:rsid w:val="00970794"/>
    <w:rsid w:val="0097096F"/>
    <w:rsid w:val="0097163B"/>
    <w:rsid w:val="009717AB"/>
    <w:rsid w:val="00972308"/>
    <w:rsid w:val="00972DED"/>
    <w:rsid w:val="00972E3C"/>
    <w:rsid w:val="009736F1"/>
    <w:rsid w:val="00973EFA"/>
    <w:rsid w:val="00974941"/>
    <w:rsid w:val="00975892"/>
    <w:rsid w:val="00975C27"/>
    <w:rsid w:val="0097621D"/>
    <w:rsid w:val="00976E8B"/>
    <w:rsid w:val="009772BD"/>
    <w:rsid w:val="00977752"/>
    <w:rsid w:val="009778BE"/>
    <w:rsid w:val="00977D61"/>
    <w:rsid w:val="00977E12"/>
    <w:rsid w:val="0098047D"/>
    <w:rsid w:val="009806AB"/>
    <w:rsid w:val="00981931"/>
    <w:rsid w:val="0098216F"/>
    <w:rsid w:val="009825C7"/>
    <w:rsid w:val="00982753"/>
    <w:rsid w:val="009829DC"/>
    <w:rsid w:val="00982F20"/>
    <w:rsid w:val="00982F39"/>
    <w:rsid w:val="00983A4A"/>
    <w:rsid w:val="00984B00"/>
    <w:rsid w:val="00985B01"/>
    <w:rsid w:val="00985CA7"/>
    <w:rsid w:val="00985E80"/>
    <w:rsid w:val="00986C3A"/>
    <w:rsid w:val="00986CC6"/>
    <w:rsid w:val="00986D60"/>
    <w:rsid w:val="00987410"/>
    <w:rsid w:val="00987B64"/>
    <w:rsid w:val="00987E02"/>
    <w:rsid w:val="00990115"/>
    <w:rsid w:val="00990E92"/>
    <w:rsid w:val="00991D07"/>
    <w:rsid w:val="009927D9"/>
    <w:rsid w:val="009928DD"/>
    <w:rsid w:val="009933C9"/>
    <w:rsid w:val="00994A2F"/>
    <w:rsid w:val="00994F71"/>
    <w:rsid w:val="00995229"/>
    <w:rsid w:val="0099549C"/>
    <w:rsid w:val="0099589A"/>
    <w:rsid w:val="009961D9"/>
    <w:rsid w:val="00996515"/>
    <w:rsid w:val="00997F25"/>
    <w:rsid w:val="009A0ABA"/>
    <w:rsid w:val="009A0D78"/>
    <w:rsid w:val="009A206E"/>
    <w:rsid w:val="009A2918"/>
    <w:rsid w:val="009A3200"/>
    <w:rsid w:val="009A4040"/>
    <w:rsid w:val="009A4CC1"/>
    <w:rsid w:val="009A590D"/>
    <w:rsid w:val="009A5CF3"/>
    <w:rsid w:val="009A668A"/>
    <w:rsid w:val="009A6716"/>
    <w:rsid w:val="009A6905"/>
    <w:rsid w:val="009A7CCA"/>
    <w:rsid w:val="009A7CEF"/>
    <w:rsid w:val="009B02F4"/>
    <w:rsid w:val="009B07C5"/>
    <w:rsid w:val="009B1A45"/>
    <w:rsid w:val="009B20EC"/>
    <w:rsid w:val="009B2920"/>
    <w:rsid w:val="009B4732"/>
    <w:rsid w:val="009B4E5F"/>
    <w:rsid w:val="009B4F07"/>
    <w:rsid w:val="009B562F"/>
    <w:rsid w:val="009B62BC"/>
    <w:rsid w:val="009B62E9"/>
    <w:rsid w:val="009B6478"/>
    <w:rsid w:val="009B6E32"/>
    <w:rsid w:val="009B73BF"/>
    <w:rsid w:val="009B7808"/>
    <w:rsid w:val="009B7F76"/>
    <w:rsid w:val="009C0C79"/>
    <w:rsid w:val="009C0FA0"/>
    <w:rsid w:val="009C2406"/>
    <w:rsid w:val="009C25E0"/>
    <w:rsid w:val="009C2797"/>
    <w:rsid w:val="009C30F0"/>
    <w:rsid w:val="009C32C8"/>
    <w:rsid w:val="009C3388"/>
    <w:rsid w:val="009C3DBF"/>
    <w:rsid w:val="009C4356"/>
    <w:rsid w:val="009C43D6"/>
    <w:rsid w:val="009C573E"/>
    <w:rsid w:val="009C5D16"/>
    <w:rsid w:val="009C6B04"/>
    <w:rsid w:val="009C799B"/>
    <w:rsid w:val="009C79C7"/>
    <w:rsid w:val="009D02C2"/>
    <w:rsid w:val="009D0AAC"/>
    <w:rsid w:val="009D2964"/>
    <w:rsid w:val="009D2976"/>
    <w:rsid w:val="009D3249"/>
    <w:rsid w:val="009D5AF4"/>
    <w:rsid w:val="009D5C1B"/>
    <w:rsid w:val="009D60B9"/>
    <w:rsid w:val="009D69CF"/>
    <w:rsid w:val="009D797B"/>
    <w:rsid w:val="009E07C4"/>
    <w:rsid w:val="009E0B4F"/>
    <w:rsid w:val="009E142C"/>
    <w:rsid w:val="009E1AB2"/>
    <w:rsid w:val="009E1D03"/>
    <w:rsid w:val="009E324B"/>
    <w:rsid w:val="009E3267"/>
    <w:rsid w:val="009E34D9"/>
    <w:rsid w:val="009E4D28"/>
    <w:rsid w:val="009E5301"/>
    <w:rsid w:val="009E6267"/>
    <w:rsid w:val="009E71FB"/>
    <w:rsid w:val="009F0212"/>
    <w:rsid w:val="009F0447"/>
    <w:rsid w:val="009F0727"/>
    <w:rsid w:val="009F087D"/>
    <w:rsid w:val="009F0EA5"/>
    <w:rsid w:val="009F1096"/>
    <w:rsid w:val="009F13A1"/>
    <w:rsid w:val="009F2437"/>
    <w:rsid w:val="009F2C5F"/>
    <w:rsid w:val="009F3909"/>
    <w:rsid w:val="009F3B77"/>
    <w:rsid w:val="009F4196"/>
    <w:rsid w:val="009F42E6"/>
    <w:rsid w:val="009F4302"/>
    <w:rsid w:val="009F5E14"/>
    <w:rsid w:val="009F5E40"/>
    <w:rsid w:val="009F6A6C"/>
    <w:rsid w:val="009F6ECC"/>
    <w:rsid w:val="009F6EDB"/>
    <w:rsid w:val="009F7BC1"/>
    <w:rsid w:val="00A000D1"/>
    <w:rsid w:val="00A00101"/>
    <w:rsid w:val="00A0143E"/>
    <w:rsid w:val="00A02952"/>
    <w:rsid w:val="00A03B3B"/>
    <w:rsid w:val="00A03D9A"/>
    <w:rsid w:val="00A044D6"/>
    <w:rsid w:val="00A04542"/>
    <w:rsid w:val="00A04AEF"/>
    <w:rsid w:val="00A0737A"/>
    <w:rsid w:val="00A07E33"/>
    <w:rsid w:val="00A07FEC"/>
    <w:rsid w:val="00A1059F"/>
    <w:rsid w:val="00A1123E"/>
    <w:rsid w:val="00A12F91"/>
    <w:rsid w:val="00A13972"/>
    <w:rsid w:val="00A143E2"/>
    <w:rsid w:val="00A144D0"/>
    <w:rsid w:val="00A14A90"/>
    <w:rsid w:val="00A15635"/>
    <w:rsid w:val="00A158C0"/>
    <w:rsid w:val="00A15A22"/>
    <w:rsid w:val="00A15FC3"/>
    <w:rsid w:val="00A16C51"/>
    <w:rsid w:val="00A17AC8"/>
    <w:rsid w:val="00A2050E"/>
    <w:rsid w:val="00A2076B"/>
    <w:rsid w:val="00A20871"/>
    <w:rsid w:val="00A21814"/>
    <w:rsid w:val="00A220D0"/>
    <w:rsid w:val="00A221B8"/>
    <w:rsid w:val="00A22B67"/>
    <w:rsid w:val="00A231BE"/>
    <w:rsid w:val="00A23FD7"/>
    <w:rsid w:val="00A2443D"/>
    <w:rsid w:val="00A245BC"/>
    <w:rsid w:val="00A249F6"/>
    <w:rsid w:val="00A25918"/>
    <w:rsid w:val="00A25CBD"/>
    <w:rsid w:val="00A260A5"/>
    <w:rsid w:val="00A304C3"/>
    <w:rsid w:val="00A3050E"/>
    <w:rsid w:val="00A30ABA"/>
    <w:rsid w:val="00A30F91"/>
    <w:rsid w:val="00A3127C"/>
    <w:rsid w:val="00A315BD"/>
    <w:rsid w:val="00A31840"/>
    <w:rsid w:val="00A33E3B"/>
    <w:rsid w:val="00A34752"/>
    <w:rsid w:val="00A3477D"/>
    <w:rsid w:val="00A3645A"/>
    <w:rsid w:val="00A372A7"/>
    <w:rsid w:val="00A37538"/>
    <w:rsid w:val="00A37B36"/>
    <w:rsid w:val="00A404E4"/>
    <w:rsid w:val="00A410B5"/>
    <w:rsid w:val="00A41922"/>
    <w:rsid w:val="00A424BD"/>
    <w:rsid w:val="00A42A59"/>
    <w:rsid w:val="00A440BB"/>
    <w:rsid w:val="00A446B0"/>
    <w:rsid w:val="00A44A88"/>
    <w:rsid w:val="00A4721E"/>
    <w:rsid w:val="00A47682"/>
    <w:rsid w:val="00A47B4B"/>
    <w:rsid w:val="00A504C0"/>
    <w:rsid w:val="00A52868"/>
    <w:rsid w:val="00A53424"/>
    <w:rsid w:val="00A53961"/>
    <w:rsid w:val="00A54398"/>
    <w:rsid w:val="00A5483B"/>
    <w:rsid w:val="00A550DE"/>
    <w:rsid w:val="00A55264"/>
    <w:rsid w:val="00A559AA"/>
    <w:rsid w:val="00A56ED3"/>
    <w:rsid w:val="00A57569"/>
    <w:rsid w:val="00A57D04"/>
    <w:rsid w:val="00A57EF2"/>
    <w:rsid w:val="00A60B0A"/>
    <w:rsid w:val="00A60C50"/>
    <w:rsid w:val="00A60EFF"/>
    <w:rsid w:val="00A61363"/>
    <w:rsid w:val="00A61999"/>
    <w:rsid w:val="00A61F71"/>
    <w:rsid w:val="00A620CF"/>
    <w:rsid w:val="00A6229A"/>
    <w:rsid w:val="00A6452A"/>
    <w:rsid w:val="00A64DC0"/>
    <w:rsid w:val="00A65187"/>
    <w:rsid w:val="00A6567E"/>
    <w:rsid w:val="00A65B03"/>
    <w:rsid w:val="00A65E42"/>
    <w:rsid w:val="00A66F61"/>
    <w:rsid w:val="00A67F85"/>
    <w:rsid w:val="00A7011C"/>
    <w:rsid w:val="00A70EA8"/>
    <w:rsid w:val="00A71DBD"/>
    <w:rsid w:val="00A72445"/>
    <w:rsid w:val="00A725F8"/>
    <w:rsid w:val="00A74EA3"/>
    <w:rsid w:val="00A757CE"/>
    <w:rsid w:val="00A75B4C"/>
    <w:rsid w:val="00A75DB2"/>
    <w:rsid w:val="00A76100"/>
    <w:rsid w:val="00A76183"/>
    <w:rsid w:val="00A76A9D"/>
    <w:rsid w:val="00A76B90"/>
    <w:rsid w:val="00A76D14"/>
    <w:rsid w:val="00A777F0"/>
    <w:rsid w:val="00A82F02"/>
    <w:rsid w:val="00A8318F"/>
    <w:rsid w:val="00A8354C"/>
    <w:rsid w:val="00A836DF"/>
    <w:rsid w:val="00A83945"/>
    <w:rsid w:val="00A84955"/>
    <w:rsid w:val="00A85662"/>
    <w:rsid w:val="00A85926"/>
    <w:rsid w:val="00A865FA"/>
    <w:rsid w:val="00A8741C"/>
    <w:rsid w:val="00A877FD"/>
    <w:rsid w:val="00A87ADE"/>
    <w:rsid w:val="00A90192"/>
    <w:rsid w:val="00A90AC7"/>
    <w:rsid w:val="00A921C5"/>
    <w:rsid w:val="00A93070"/>
    <w:rsid w:val="00A94C9A"/>
    <w:rsid w:val="00A96187"/>
    <w:rsid w:val="00A968F8"/>
    <w:rsid w:val="00A96AAA"/>
    <w:rsid w:val="00A96B36"/>
    <w:rsid w:val="00A96E1D"/>
    <w:rsid w:val="00A97030"/>
    <w:rsid w:val="00A970A4"/>
    <w:rsid w:val="00A97593"/>
    <w:rsid w:val="00AA01E3"/>
    <w:rsid w:val="00AA06EF"/>
    <w:rsid w:val="00AA077E"/>
    <w:rsid w:val="00AA0B67"/>
    <w:rsid w:val="00AA33B7"/>
    <w:rsid w:val="00AA4753"/>
    <w:rsid w:val="00AA4A52"/>
    <w:rsid w:val="00AA5501"/>
    <w:rsid w:val="00AA67FB"/>
    <w:rsid w:val="00AA72C3"/>
    <w:rsid w:val="00AA76BC"/>
    <w:rsid w:val="00AA77D8"/>
    <w:rsid w:val="00AB0ECE"/>
    <w:rsid w:val="00AB267D"/>
    <w:rsid w:val="00AB4BA5"/>
    <w:rsid w:val="00AB4F73"/>
    <w:rsid w:val="00AB53B8"/>
    <w:rsid w:val="00AB6404"/>
    <w:rsid w:val="00AB6D88"/>
    <w:rsid w:val="00AB753A"/>
    <w:rsid w:val="00AB773E"/>
    <w:rsid w:val="00AB77C2"/>
    <w:rsid w:val="00AB7B2C"/>
    <w:rsid w:val="00AC0A66"/>
    <w:rsid w:val="00AC166C"/>
    <w:rsid w:val="00AC22FB"/>
    <w:rsid w:val="00AC24A9"/>
    <w:rsid w:val="00AC29DD"/>
    <w:rsid w:val="00AC4303"/>
    <w:rsid w:val="00AC46C6"/>
    <w:rsid w:val="00AC56EB"/>
    <w:rsid w:val="00AC6001"/>
    <w:rsid w:val="00AC6259"/>
    <w:rsid w:val="00AC656C"/>
    <w:rsid w:val="00AD04D3"/>
    <w:rsid w:val="00AD2255"/>
    <w:rsid w:val="00AD2D5C"/>
    <w:rsid w:val="00AD3C0B"/>
    <w:rsid w:val="00AD4068"/>
    <w:rsid w:val="00AD43DB"/>
    <w:rsid w:val="00AD464F"/>
    <w:rsid w:val="00AD5B3B"/>
    <w:rsid w:val="00AD5B8B"/>
    <w:rsid w:val="00AD5D3C"/>
    <w:rsid w:val="00AD5DBD"/>
    <w:rsid w:val="00AD6124"/>
    <w:rsid w:val="00AD68BF"/>
    <w:rsid w:val="00AD748B"/>
    <w:rsid w:val="00AD7609"/>
    <w:rsid w:val="00AD77FD"/>
    <w:rsid w:val="00AD78A3"/>
    <w:rsid w:val="00AD78B6"/>
    <w:rsid w:val="00AE176E"/>
    <w:rsid w:val="00AE2844"/>
    <w:rsid w:val="00AE45CC"/>
    <w:rsid w:val="00AE59DD"/>
    <w:rsid w:val="00AE6770"/>
    <w:rsid w:val="00AF09A7"/>
    <w:rsid w:val="00AF0A19"/>
    <w:rsid w:val="00AF0ADF"/>
    <w:rsid w:val="00AF0E53"/>
    <w:rsid w:val="00AF110F"/>
    <w:rsid w:val="00AF38F3"/>
    <w:rsid w:val="00AF4742"/>
    <w:rsid w:val="00AF4912"/>
    <w:rsid w:val="00AF4930"/>
    <w:rsid w:val="00AF4E2D"/>
    <w:rsid w:val="00AF4FB0"/>
    <w:rsid w:val="00AF5B78"/>
    <w:rsid w:val="00AF68E7"/>
    <w:rsid w:val="00AF6BF4"/>
    <w:rsid w:val="00AF70F7"/>
    <w:rsid w:val="00AF74FA"/>
    <w:rsid w:val="00AF7717"/>
    <w:rsid w:val="00B00882"/>
    <w:rsid w:val="00B01A9A"/>
    <w:rsid w:val="00B03270"/>
    <w:rsid w:val="00B03DB9"/>
    <w:rsid w:val="00B04614"/>
    <w:rsid w:val="00B047C0"/>
    <w:rsid w:val="00B05D78"/>
    <w:rsid w:val="00B06005"/>
    <w:rsid w:val="00B07DBD"/>
    <w:rsid w:val="00B1101F"/>
    <w:rsid w:val="00B1183C"/>
    <w:rsid w:val="00B12126"/>
    <w:rsid w:val="00B12985"/>
    <w:rsid w:val="00B1329B"/>
    <w:rsid w:val="00B1520C"/>
    <w:rsid w:val="00B15DCF"/>
    <w:rsid w:val="00B1644D"/>
    <w:rsid w:val="00B16BE4"/>
    <w:rsid w:val="00B173A7"/>
    <w:rsid w:val="00B175BE"/>
    <w:rsid w:val="00B17C55"/>
    <w:rsid w:val="00B17F98"/>
    <w:rsid w:val="00B201C3"/>
    <w:rsid w:val="00B20622"/>
    <w:rsid w:val="00B20C8F"/>
    <w:rsid w:val="00B20EDC"/>
    <w:rsid w:val="00B21B19"/>
    <w:rsid w:val="00B22714"/>
    <w:rsid w:val="00B24DE9"/>
    <w:rsid w:val="00B27092"/>
    <w:rsid w:val="00B27699"/>
    <w:rsid w:val="00B30A8B"/>
    <w:rsid w:val="00B30E40"/>
    <w:rsid w:val="00B31112"/>
    <w:rsid w:val="00B31352"/>
    <w:rsid w:val="00B32425"/>
    <w:rsid w:val="00B33B7E"/>
    <w:rsid w:val="00B348FC"/>
    <w:rsid w:val="00B355F2"/>
    <w:rsid w:val="00B35C7F"/>
    <w:rsid w:val="00B35E9D"/>
    <w:rsid w:val="00B40270"/>
    <w:rsid w:val="00B40B60"/>
    <w:rsid w:val="00B41991"/>
    <w:rsid w:val="00B41A9A"/>
    <w:rsid w:val="00B41BEA"/>
    <w:rsid w:val="00B447DC"/>
    <w:rsid w:val="00B44E5B"/>
    <w:rsid w:val="00B45855"/>
    <w:rsid w:val="00B45E5E"/>
    <w:rsid w:val="00B47497"/>
    <w:rsid w:val="00B47D1E"/>
    <w:rsid w:val="00B47DD1"/>
    <w:rsid w:val="00B47EA1"/>
    <w:rsid w:val="00B51169"/>
    <w:rsid w:val="00B51D6E"/>
    <w:rsid w:val="00B51D7B"/>
    <w:rsid w:val="00B527E5"/>
    <w:rsid w:val="00B53572"/>
    <w:rsid w:val="00B53EB1"/>
    <w:rsid w:val="00B5472C"/>
    <w:rsid w:val="00B55484"/>
    <w:rsid w:val="00B56324"/>
    <w:rsid w:val="00B56C93"/>
    <w:rsid w:val="00B57990"/>
    <w:rsid w:val="00B57A1F"/>
    <w:rsid w:val="00B57F8B"/>
    <w:rsid w:val="00B605F4"/>
    <w:rsid w:val="00B61870"/>
    <w:rsid w:val="00B61ECD"/>
    <w:rsid w:val="00B62102"/>
    <w:rsid w:val="00B62CA9"/>
    <w:rsid w:val="00B63FD1"/>
    <w:rsid w:val="00B646B0"/>
    <w:rsid w:val="00B649E9"/>
    <w:rsid w:val="00B6581D"/>
    <w:rsid w:val="00B65F7F"/>
    <w:rsid w:val="00B66A42"/>
    <w:rsid w:val="00B66D6A"/>
    <w:rsid w:val="00B67E34"/>
    <w:rsid w:val="00B70295"/>
    <w:rsid w:val="00B703FB"/>
    <w:rsid w:val="00B70A2E"/>
    <w:rsid w:val="00B717E6"/>
    <w:rsid w:val="00B718A7"/>
    <w:rsid w:val="00B71A0D"/>
    <w:rsid w:val="00B71D30"/>
    <w:rsid w:val="00B721CF"/>
    <w:rsid w:val="00B72C75"/>
    <w:rsid w:val="00B72CED"/>
    <w:rsid w:val="00B72E93"/>
    <w:rsid w:val="00B73752"/>
    <w:rsid w:val="00B737D9"/>
    <w:rsid w:val="00B759C0"/>
    <w:rsid w:val="00B76890"/>
    <w:rsid w:val="00B81425"/>
    <w:rsid w:val="00B82410"/>
    <w:rsid w:val="00B8371F"/>
    <w:rsid w:val="00B83A0E"/>
    <w:rsid w:val="00B83E5F"/>
    <w:rsid w:val="00B84AED"/>
    <w:rsid w:val="00B85CEE"/>
    <w:rsid w:val="00B8648E"/>
    <w:rsid w:val="00B86A3F"/>
    <w:rsid w:val="00B86D11"/>
    <w:rsid w:val="00B87897"/>
    <w:rsid w:val="00B91C56"/>
    <w:rsid w:val="00B91CDB"/>
    <w:rsid w:val="00B924E3"/>
    <w:rsid w:val="00B92E6E"/>
    <w:rsid w:val="00B93D69"/>
    <w:rsid w:val="00B946AE"/>
    <w:rsid w:val="00B94A8D"/>
    <w:rsid w:val="00B95D5F"/>
    <w:rsid w:val="00B961EA"/>
    <w:rsid w:val="00B97A1C"/>
    <w:rsid w:val="00BA0115"/>
    <w:rsid w:val="00BA0665"/>
    <w:rsid w:val="00BA0C55"/>
    <w:rsid w:val="00BA1723"/>
    <w:rsid w:val="00BA194E"/>
    <w:rsid w:val="00BA1F4C"/>
    <w:rsid w:val="00BA30F7"/>
    <w:rsid w:val="00BA362D"/>
    <w:rsid w:val="00BA554F"/>
    <w:rsid w:val="00BA5F93"/>
    <w:rsid w:val="00BA68D0"/>
    <w:rsid w:val="00BA76A6"/>
    <w:rsid w:val="00BB094E"/>
    <w:rsid w:val="00BB0B30"/>
    <w:rsid w:val="00BB1D8B"/>
    <w:rsid w:val="00BB265C"/>
    <w:rsid w:val="00BB3243"/>
    <w:rsid w:val="00BB4B0D"/>
    <w:rsid w:val="00BB52C3"/>
    <w:rsid w:val="00BB59CE"/>
    <w:rsid w:val="00BB5E8A"/>
    <w:rsid w:val="00BB64EA"/>
    <w:rsid w:val="00BB6CB2"/>
    <w:rsid w:val="00BB6E04"/>
    <w:rsid w:val="00BB6FDB"/>
    <w:rsid w:val="00BB7569"/>
    <w:rsid w:val="00BC057A"/>
    <w:rsid w:val="00BC0EA2"/>
    <w:rsid w:val="00BC0FF2"/>
    <w:rsid w:val="00BC1280"/>
    <w:rsid w:val="00BC1799"/>
    <w:rsid w:val="00BC191A"/>
    <w:rsid w:val="00BC1E6B"/>
    <w:rsid w:val="00BC214F"/>
    <w:rsid w:val="00BC2764"/>
    <w:rsid w:val="00BC2F21"/>
    <w:rsid w:val="00BC2F6A"/>
    <w:rsid w:val="00BC3028"/>
    <w:rsid w:val="00BC4408"/>
    <w:rsid w:val="00BC506A"/>
    <w:rsid w:val="00BC54F6"/>
    <w:rsid w:val="00BC594C"/>
    <w:rsid w:val="00BC6F62"/>
    <w:rsid w:val="00BC7BCB"/>
    <w:rsid w:val="00BD02BA"/>
    <w:rsid w:val="00BD0512"/>
    <w:rsid w:val="00BD1351"/>
    <w:rsid w:val="00BD1B2A"/>
    <w:rsid w:val="00BD29C2"/>
    <w:rsid w:val="00BD44D3"/>
    <w:rsid w:val="00BD657B"/>
    <w:rsid w:val="00BD65E3"/>
    <w:rsid w:val="00BD68CF"/>
    <w:rsid w:val="00BD6B17"/>
    <w:rsid w:val="00BD73CF"/>
    <w:rsid w:val="00BE0E23"/>
    <w:rsid w:val="00BE1595"/>
    <w:rsid w:val="00BE15F5"/>
    <w:rsid w:val="00BE1C25"/>
    <w:rsid w:val="00BE1C63"/>
    <w:rsid w:val="00BE20CA"/>
    <w:rsid w:val="00BE24B7"/>
    <w:rsid w:val="00BE2E41"/>
    <w:rsid w:val="00BE3732"/>
    <w:rsid w:val="00BE454E"/>
    <w:rsid w:val="00BE49FB"/>
    <w:rsid w:val="00BE4CD6"/>
    <w:rsid w:val="00BE4CF2"/>
    <w:rsid w:val="00BE4D99"/>
    <w:rsid w:val="00BE5C38"/>
    <w:rsid w:val="00BE5D95"/>
    <w:rsid w:val="00BE6939"/>
    <w:rsid w:val="00BF1312"/>
    <w:rsid w:val="00BF1E69"/>
    <w:rsid w:val="00BF2876"/>
    <w:rsid w:val="00BF3754"/>
    <w:rsid w:val="00BF3FA4"/>
    <w:rsid w:val="00BF425D"/>
    <w:rsid w:val="00BF4FD0"/>
    <w:rsid w:val="00BF50B1"/>
    <w:rsid w:val="00BF6472"/>
    <w:rsid w:val="00BF6B2C"/>
    <w:rsid w:val="00BF7368"/>
    <w:rsid w:val="00BF75C5"/>
    <w:rsid w:val="00BF77FF"/>
    <w:rsid w:val="00BF7CA2"/>
    <w:rsid w:val="00BF7FD3"/>
    <w:rsid w:val="00C00335"/>
    <w:rsid w:val="00C0054E"/>
    <w:rsid w:val="00C0092C"/>
    <w:rsid w:val="00C00B4C"/>
    <w:rsid w:val="00C00F82"/>
    <w:rsid w:val="00C0235F"/>
    <w:rsid w:val="00C0269A"/>
    <w:rsid w:val="00C02ADB"/>
    <w:rsid w:val="00C038D1"/>
    <w:rsid w:val="00C03EBD"/>
    <w:rsid w:val="00C046C2"/>
    <w:rsid w:val="00C04BCF"/>
    <w:rsid w:val="00C05E85"/>
    <w:rsid w:val="00C06EA1"/>
    <w:rsid w:val="00C07FDC"/>
    <w:rsid w:val="00C10C15"/>
    <w:rsid w:val="00C10E86"/>
    <w:rsid w:val="00C112C3"/>
    <w:rsid w:val="00C11C0F"/>
    <w:rsid w:val="00C12D47"/>
    <w:rsid w:val="00C12E7C"/>
    <w:rsid w:val="00C13452"/>
    <w:rsid w:val="00C145E4"/>
    <w:rsid w:val="00C16172"/>
    <w:rsid w:val="00C16178"/>
    <w:rsid w:val="00C16388"/>
    <w:rsid w:val="00C1656C"/>
    <w:rsid w:val="00C16CB0"/>
    <w:rsid w:val="00C17197"/>
    <w:rsid w:val="00C176AA"/>
    <w:rsid w:val="00C17D7B"/>
    <w:rsid w:val="00C21B7A"/>
    <w:rsid w:val="00C21C18"/>
    <w:rsid w:val="00C2663F"/>
    <w:rsid w:val="00C266DC"/>
    <w:rsid w:val="00C2679D"/>
    <w:rsid w:val="00C26B18"/>
    <w:rsid w:val="00C2733D"/>
    <w:rsid w:val="00C277F4"/>
    <w:rsid w:val="00C27E52"/>
    <w:rsid w:val="00C27FF8"/>
    <w:rsid w:val="00C31CB8"/>
    <w:rsid w:val="00C3209D"/>
    <w:rsid w:val="00C320F6"/>
    <w:rsid w:val="00C323D9"/>
    <w:rsid w:val="00C32A82"/>
    <w:rsid w:val="00C33FBB"/>
    <w:rsid w:val="00C34796"/>
    <w:rsid w:val="00C35B90"/>
    <w:rsid w:val="00C367F6"/>
    <w:rsid w:val="00C40CE8"/>
    <w:rsid w:val="00C40DE7"/>
    <w:rsid w:val="00C4169C"/>
    <w:rsid w:val="00C41EF4"/>
    <w:rsid w:val="00C42AC4"/>
    <w:rsid w:val="00C42E34"/>
    <w:rsid w:val="00C432B3"/>
    <w:rsid w:val="00C43A1E"/>
    <w:rsid w:val="00C456B0"/>
    <w:rsid w:val="00C464D8"/>
    <w:rsid w:val="00C46B63"/>
    <w:rsid w:val="00C47A13"/>
    <w:rsid w:val="00C500C5"/>
    <w:rsid w:val="00C50B9E"/>
    <w:rsid w:val="00C51871"/>
    <w:rsid w:val="00C519E9"/>
    <w:rsid w:val="00C51B0D"/>
    <w:rsid w:val="00C525DB"/>
    <w:rsid w:val="00C5279F"/>
    <w:rsid w:val="00C52864"/>
    <w:rsid w:val="00C53622"/>
    <w:rsid w:val="00C55552"/>
    <w:rsid w:val="00C5597F"/>
    <w:rsid w:val="00C55FA1"/>
    <w:rsid w:val="00C56F81"/>
    <w:rsid w:val="00C5761E"/>
    <w:rsid w:val="00C57CC0"/>
    <w:rsid w:val="00C601F1"/>
    <w:rsid w:val="00C61197"/>
    <w:rsid w:val="00C616E9"/>
    <w:rsid w:val="00C61B77"/>
    <w:rsid w:val="00C629AD"/>
    <w:rsid w:val="00C63078"/>
    <w:rsid w:val="00C633F9"/>
    <w:rsid w:val="00C63552"/>
    <w:rsid w:val="00C63920"/>
    <w:rsid w:val="00C63DB4"/>
    <w:rsid w:val="00C64024"/>
    <w:rsid w:val="00C64F7C"/>
    <w:rsid w:val="00C653FD"/>
    <w:rsid w:val="00C6693D"/>
    <w:rsid w:val="00C676B0"/>
    <w:rsid w:val="00C7067C"/>
    <w:rsid w:val="00C7117F"/>
    <w:rsid w:val="00C71357"/>
    <w:rsid w:val="00C72FEA"/>
    <w:rsid w:val="00C738DE"/>
    <w:rsid w:val="00C73A9D"/>
    <w:rsid w:val="00C73C75"/>
    <w:rsid w:val="00C73D6D"/>
    <w:rsid w:val="00C73F69"/>
    <w:rsid w:val="00C740CC"/>
    <w:rsid w:val="00C742B6"/>
    <w:rsid w:val="00C7566B"/>
    <w:rsid w:val="00C76143"/>
    <w:rsid w:val="00C7790A"/>
    <w:rsid w:val="00C77950"/>
    <w:rsid w:val="00C77E57"/>
    <w:rsid w:val="00C77F9C"/>
    <w:rsid w:val="00C80F5B"/>
    <w:rsid w:val="00C82555"/>
    <w:rsid w:val="00C82832"/>
    <w:rsid w:val="00C83F4A"/>
    <w:rsid w:val="00C83FAA"/>
    <w:rsid w:val="00C84175"/>
    <w:rsid w:val="00C8504E"/>
    <w:rsid w:val="00C85283"/>
    <w:rsid w:val="00C864AD"/>
    <w:rsid w:val="00C87524"/>
    <w:rsid w:val="00C87BC5"/>
    <w:rsid w:val="00C90032"/>
    <w:rsid w:val="00C90A75"/>
    <w:rsid w:val="00C90E74"/>
    <w:rsid w:val="00C90FE9"/>
    <w:rsid w:val="00C91CD7"/>
    <w:rsid w:val="00C92670"/>
    <w:rsid w:val="00C92A5D"/>
    <w:rsid w:val="00C93079"/>
    <w:rsid w:val="00C9594D"/>
    <w:rsid w:val="00C97182"/>
    <w:rsid w:val="00C976C9"/>
    <w:rsid w:val="00CA0D4D"/>
    <w:rsid w:val="00CA2896"/>
    <w:rsid w:val="00CA2AF0"/>
    <w:rsid w:val="00CA2B81"/>
    <w:rsid w:val="00CA2CCF"/>
    <w:rsid w:val="00CA3420"/>
    <w:rsid w:val="00CA3855"/>
    <w:rsid w:val="00CA3CE6"/>
    <w:rsid w:val="00CA40A9"/>
    <w:rsid w:val="00CA4B12"/>
    <w:rsid w:val="00CA4D64"/>
    <w:rsid w:val="00CA6EFE"/>
    <w:rsid w:val="00CA6F00"/>
    <w:rsid w:val="00CA7674"/>
    <w:rsid w:val="00CA771A"/>
    <w:rsid w:val="00CB08DD"/>
    <w:rsid w:val="00CB0C02"/>
    <w:rsid w:val="00CB122B"/>
    <w:rsid w:val="00CB2861"/>
    <w:rsid w:val="00CB2F8F"/>
    <w:rsid w:val="00CB3982"/>
    <w:rsid w:val="00CB406A"/>
    <w:rsid w:val="00CB68F5"/>
    <w:rsid w:val="00CB6F05"/>
    <w:rsid w:val="00CB73F1"/>
    <w:rsid w:val="00CC0051"/>
    <w:rsid w:val="00CC0ED6"/>
    <w:rsid w:val="00CC1207"/>
    <w:rsid w:val="00CC1362"/>
    <w:rsid w:val="00CC1C73"/>
    <w:rsid w:val="00CC1DD7"/>
    <w:rsid w:val="00CC2C24"/>
    <w:rsid w:val="00CC37A8"/>
    <w:rsid w:val="00CC50DC"/>
    <w:rsid w:val="00CC6203"/>
    <w:rsid w:val="00CC6FAE"/>
    <w:rsid w:val="00CC701C"/>
    <w:rsid w:val="00CC702A"/>
    <w:rsid w:val="00CC735C"/>
    <w:rsid w:val="00CC7EE6"/>
    <w:rsid w:val="00CD04A4"/>
    <w:rsid w:val="00CD21A9"/>
    <w:rsid w:val="00CD242E"/>
    <w:rsid w:val="00CD326F"/>
    <w:rsid w:val="00CD36FB"/>
    <w:rsid w:val="00CD3EBA"/>
    <w:rsid w:val="00CD4915"/>
    <w:rsid w:val="00CD4A12"/>
    <w:rsid w:val="00CD4CB0"/>
    <w:rsid w:val="00CD4FE9"/>
    <w:rsid w:val="00CD55E9"/>
    <w:rsid w:val="00CD56FC"/>
    <w:rsid w:val="00CD5904"/>
    <w:rsid w:val="00CD6E81"/>
    <w:rsid w:val="00CD6E90"/>
    <w:rsid w:val="00CD6FEB"/>
    <w:rsid w:val="00CD74A5"/>
    <w:rsid w:val="00CD77E8"/>
    <w:rsid w:val="00CE029C"/>
    <w:rsid w:val="00CE04E2"/>
    <w:rsid w:val="00CE0914"/>
    <w:rsid w:val="00CE0D1D"/>
    <w:rsid w:val="00CE1179"/>
    <w:rsid w:val="00CE2AD8"/>
    <w:rsid w:val="00CE3F1E"/>
    <w:rsid w:val="00CE4341"/>
    <w:rsid w:val="00CE576B"/>
    <w:rsid w:val="00CE76DD"/>
    <w:rsid w:val="00CE7E54"/>
    <w:rsid w:val="00CF18E9"/>
    <w:rsid w:val="00CF1A55"/>
    <w:rsid w:val="00CF2CDB"/>
    <w:rsid w:val="00CF3842"/>
    <w:rsid w:val="00CF40EF"/>
    <w:rsid w:val="00CF4A5D"/>
    <w:rsid w:val="00CF4B7A"/>
    <w:rsid w:val="00CF52A2"/>
    <w:rsid w:val="00CF5ADE"/>
    <w:rsid w:val="00CF7BAD"/>
    <w:rsid w:val="00D01243"/>
    <w:rsid w:val="00D015C3"/>
    <w:rsid w:val="00D01B56"/>
    <w:rsid w:val="00D02030"/>
    <w:rsid w:val="00D02115"/>
    <w:rsid w:val="00D02F6F"/>
    <w:rsid w:val="00D039CD"/>
    <w:rsid w:val="00D041B1"/>
    <w:rsid w:val="00D04371"/>
    <w:rsid w:val="00D04914"/>
    <w:rsid w:val="00D050BF"/>
    <w:rsid w:val="00D054DC"/>
    <w:rsid w:val="00D05543"/>
    <w:rsid w:val="00D0624A"/>
    <w:rsid w:val="00D06860"/>
    <w:rsid w:val="00D069AC"/>
    <w:rsid w:val="00D06E48"/>
    <w:rsid w:val="00D071F2"/>
    <w:rsid w:val="00D0759C"/>
    <w:rsid w:val="00D078A1"/>
    <w:rsid w:val="00D10019"/>
    <w:rsid w:val="00D100AA"/>
    <w:rsid w:val="00D107B7"/>
    <w:rsid w:val="00D10FEF"/>
    <w:rsid w:val="00D119EC"/>
    <w:rsid w:val="00D1233C"/>
    <w:rsid w:val="00D13EA9"/>
    <w:rsid w:val="00D1426F"/>
    <w:rsid w:val="00D1503D"/>
    <w:rsid w:val="00D15040"/>
    <w:rsid w:val="00D158AE"/>
    <w:rsid w:val="00D16974"/>
    <w:rsid w:val="00D17841"/>
    <w:rsid w:val="00D2096E"/>
    <w:rsid w:val="00D213D3"/>
    <w:rsid w:val="00D215DE"/>
    <w:rsid w:val="00D220CD"/>
    <w:rsid w:val="00D22804"/>
    <w:rsid w:val="00D22EA6"/>
    <w:rsid w:val="00D233B3"/>
    <w:rsid w:val="00D24A2F"/>
    <w:rsid w:val="00D25FAD"/>
    <w:rsid w:val="00D26657"/>
    <w:rsid w:val="00D268F4"/>
    <w:rsid w:val="00D273E2"/>
    <w:rsid w:val="00D274F7"/>
    <w:rsid w:val="00D27BDB"/>
    <w:rsid w:val="00D30771"/>
    <w:rsid w:val="00D3094D"/>
    <w:rsid w:val="00D30FE5"/>
    <w:rsid w:val="00D321DB"/>
    <w:rsid w:val="00D33408"/>
    <w:rsid w:val="00D3456F"/>
    <w:rsid w:val="00D3473F"/>
    <w:rsid w:val="00D35A76"/>
    <w:rsid w:val="00D36A34"/>
    <w:rsid w:val="00D37A76"/>
    <w:rsid w:val="00D4000F"/>
    <w:rsid w:val="00D4092D"/>
    <w:rsid w:val="00D40CDC"/>
    <w:rsid w:val="00D41DE4"/>
    <w:rsid w:val="00D41F69"/>
    <w:rsid w:val="00D4337E"/>
    <w:rsid w:val="00D4353B"/>
    <w:rsid w:val="00D444C0"/>
    <w:rsid w:val="00D4556C"/>
    <w:rsid w:val="00D4774B"/>
    <w:rsid w:val="00D50000"/>
    <w:rsid w:val="00D504E5"/>
    <w:rsid w:val="00D51793"/>
    <w:rsid w:val="00D51857"/>
    <w:rsid w:val="00D51EE3"/>
    <w:rsid w:val="00D51F33"/>
    <w:rsid w:val="00D52368"/>
    <w:rsid w:val="00D5253D"/>
    <w:rsid w:val="00D52D3D"/>
    <w:rsid w:val="00D5314C"/>
    <w:rsid w:val="00D5315C"/>
    <w:rsid w:val="00D531B1"/>
    <w:rsid w:val="00D53E9B"/>
    <w:rsid w:val="00D55350"/>
    <w:rsid w:val="00D562BE"/>
    <w:rsid w:val="00D562D5"/>
    <w:rsid w:val="00D562F1"/>
    <w:rsid w:val="00D568B5"/>
    <w:rsid w:val="00D57137"/>
    <w:rsid w:val="00D5739F"/>
    <w:rsid w:val="00D57988"/>
    <w:rsid w:val="00D61874"/>
    <w:rsid w:val="00D63871"/>
    <w:rsid w:val="00D638AF"/>
    <w:rsid w:val="00D63BB9"/>
    <w:rsid w:val="00D6552A"/>
    <w:rsid w:val="00D65C89"/>
    <w:rsid w:val="00D65E4D"/>
    <w:rsid w:val="00D6628E"/>
    <w:rsid w:val="00D66442"/>
    <w:rsid w:val="00D664FC"/>
    <w:rsid w:val="00D666B8"/>
    <w:rsid w:val="00D676E1"/>
    <w:rsid w:val="00D67D24"/>
    <w:rsid w:val="00D71984"/>
    <w:rsid w:val="00D71E70"/>
    <w:rsid w:val="00D748BA"/>
    <w:rsid w:val="00D74FFB"/>
    <w:rsid w:val="00D76F1B"/>
    <w:rsid w:val="00D81284"/>
    <w:rsid w:val="00D81BD6"/>
    <w:rsid w:val="00D81E67"/>
    <w:rsid w:val="00D83769"/>
    <w:rsid w:val="00D84ABB"/>
    <w:rsid w:val="00D84CC4"/>
    <w:rsid w:val="00D859DF"/>
    <w:rsid w:val="00D8667C"/>
    <w:rsid w:val="00D869AD"/>
    <w:rsid w:val="00D869E9"/>
    <w:rsid w:val="00D8741A"/>
    <w:rsid w:val="00D877D7"/>
    <w:rsid w:val="00D879C9"/>
    <w:rsid w:val="00D87C78"/>
    <w:rsid w:val="00D87CB4"/>
    <w:rsid w:val="00D904FB"/>
    <w:rsid w:val="00D905D4"/>
    <w:rsid w:val="00D90981"/>
    <w:rsid w:val="00D91260"/>
    <w:rsid w:val="00D9191C"/>
    <w:rsid w:val="00D91D81"/>
    <w:rsid w:val="00D94018"/>
    <w:rsid w:val="00D95AFB"/>
    <w:rsid w:val="00D9618C"/>
    <w:rsid w:val="00D96458"/>
    <w:rsid w:val="00D96749"/>
    <w:rsid w:val="00D9700A"/>
    <w:rsid w:val="00DA00C8"/>
    <w:rsid w:val="00DA1C35"/>
    <w:rsid w:val="00DA36D6"/>
    <w:rsid w:val="00DA4C62"/>
    <w:rsid w:val="00DA5557"/>
    <w:rsid w:val="00DA5CCD"/>
    <w:rsid w:val="00DA5DC1"/>
    <w:rsid w:val="00DA652E"/>
    <w:rsid w:val="00DA6998"/>
    <w:rsid w:val="00DA6A26"/>
    <w:rsid w:val="00DA6B6B"/>
    <w:rsid w:val="00DA6E41"/>
    <w:rsid w:val="00DB013D"/>
    <w:rsid w:val="00DB0635"/>
    <w:rsid w:val="00DB124D"/>
    <w:rsid w:val="00DB17EE"/>
    <w:rsid w:val="00DB1BF2"/>
    <w:rsid w:val="00DB2C15"/>
    <w:rsid w:val="00DB35FF"/>
    <w:rsid w:val="00DB4C4C"/>
    <w:rsid w:val="00DB506C"/>
    <w:rsid w:val="00DB6003"/>
    <w:rsid w:val="00DB6E5A"/>
    <w:rsid w:val="00DB78B1"/>
    <w:rsid w:val="00DB7F15"/>
    <w:rsid w:val="00DB7FAE"/>
    <w:rsid w:val="00DC03FC"/>
    <w:rsid w:val="00DC1180"/>
    <w:rsid w:val="00DC18BA"/>
    <w:rsid w:val="00DC2361"/>
    <w:rsid w:val="00DC2551"/>
    <w:rsid w:val="00DC3348"/>
    <w:rsid w:val="00DC3399"/>
    <w:rsid w:val="00DC3DC3"/>
    <w:rsid w:val="00DC4946"/>
    <w:rsid w:val="00DC4F6D"/>
    <w:rsid w:val="00DC5044"/>
    <w:rsid w:val="00DC5D0D"/>
    <w:rsid w:val="00DC5FB0"/>
    <w:rsid w:val="00DC6416"/>
    <w:rsid w:val="00DC68DB"/>
    <w:rsid w:val="00DC75F7"/>
    <w:rsid w:val="00DC761F"/>
    <w:rsid w:val="00DD0106"/>
    <w:rsid w:val="00DD0B2B"/>
    <w:rsid w:val="00DD12A9"/>
    <w:rsid w:val="00DD320D"/>
    <w:rsid w:val="00DD3740"/>
    <w:rsid w:val="00DD37D9"/>
    <w:rsid w:val="00DD4719"/>
    <w:rsid w:val="00DD4766"/>
    <w:rsid w:val="00DD4AAF"/>
    <w:rsid w:val="00DD5139"/>
    <w:rsid w:val="00DD51E9"/>
    <w:rsid w:val="00DD62F8"/>
    <w:rsid w:val="00DD6F0A"/>
    <w:rsid w:val="00DD6FBF"/>
    <w:rsid w:val="00DD72DB"/>
    <w:rsid w:val="00DE0097"/>
    <w:rsid w:val="00DE01DB"/>
    <w:rsid w:val="00DE0B83"/>
    <w:rsid w:val="00DE0C9A"/>
    <w:rsid w:val="00DE1354"/>
    <w:rsid w:val="00DE2A4A"/>
    <w:rsid w:val="00DE3931"/>
    <w:rsid w:val="00DE4220"/>
    <w:rsid w:val="00DE461F"/>
    <w:rsid w:val="00DE4977"/>
    <w:rsid w:val="00DE4B50"/>
    <w:rsid w:val="00DE5867"/>
    <w:rsid w:val="00DE6099"/>
    <w:rsid w:val="00DE6416"/>
    <w:rsid w:val="00DE6578"/>
    <w:rsid w:val="00DE7A70"/>
    <w:rsid w:val="00DF0DDD"/>
    <w:rsid w:val="00DF0FE6"/>
    <w:rsid w:val="00DF1625"/>
    <w:rsid w:val="00DF1AFE"/>
    <w:rsid w:val="00DF20EB"/>
    <w:rsid w:val="00DF2683"/>
    <w:rsid w:val="00DF3539"/>
    <w:rsid w:val="00DF3D48"/>
    <w:rsid w:val="00DF3DBF"/>
    <w:rsid w:val="00DF410E"/>
    <w:rsid w:val="00DF4C8C"/>
    <w:rsid w:val="00DF4DF2"/>
    <w:rsid w:val="00DF5432"/>
    <w:rsid w:val="00DF5832"/>
    <w:rsid w:val="00DF5ADE"/>
    <w:rsid w:val="00DF5D49"/>
    <w:rsid w:val="00DF635E"/>
    <w:rsid w:val="00DF6863"/>
    <w:rsid w:val="00DF6A58"/>
    <w:rsid w:val="00DF6DD4"/>
    <w:rsid w:val="00DF7150"/>
    <w:rsid w:val="00E002C4"/>
    <w:rsid w:val="00E00D78"/>
    <w:rsid w:val="00E012C8"/>
    <w:rsid w:val="00E01DF5"/>
    <w:rsid w:val="00E03EBD"/>
    <w:rsid w:val="00E0568A"/>
    <w:rsid w:val="00E058F0"/>
    <w:rsid w:val="00E07FF8"/>
    <w:rsid w:val="00E1033C"/>
    <w:rsid w:val="00E1176D"/>
    <w:rsid w:val="00E11B2C"/>
    <w:rsid w:val="00E11B30"/>
    <w:rsid w:val="00E11FE4"/>
    <w:rsid w:val="00E122FD"/>
    <w:rsid w:val="00E1242D"/>
    <w:rsid w:val="00E12D6A"/>
    <w:rsid w:val="00E12FFF"/>
    <w:rsid w:val="00E135C7"/>
    <w:rsid w:val="00E14AC3"/>
    <w:rsid w:val="00E14D15"/>
    <w:rsid w:val="00E15260"/>
    <w:rsid w:val="00E15DD0"/>
    <w:rsid w:val="00E16A72"/>
    <w:rsid w:val="00E16C54"/>
    <w:rsid w:val="00E17B53"/>
    <w:rsid w:val="00E200F3"/>
    <w:rsid w:val="00E2014A"/>
    <w:rsid w:val="00E2098C"/>
    <w:rsid w:val="00E209C8"/>
    <w:rsid w:val="00E2106A"/>
    <w:rsid w:val="00E22356"/>
    <w:rsid w:val="00E223CC"/>
    <w:rsid w:val="00E223D2"/>
    <w:rsid w:val="00E231BE"/>
    <w:rsid w:val="00E239F7"/>
    <w:rsid w:val="00E244B6"/>
    <w:rsid w:val="00E2461B"/>
    <w:rsid w:val="00E24ED6"/>
    <w:rsid w:val="00E24F63"/>
    <w:rsid w:val="00E261E4"/>
    <w:rsid w:val="00E262DF"/>
    <w:rsid w:val="00E2730B"/>
    <w:rsid w:val="00E27BA0"/>
    <w:rsid w:val="00E30D66"/>
    <w:rsid w:val="00E3130F"/>
    <w:rsid w:val="00E3131B"/>
    <w:rsid w:val="00E31A39"/>
    <w:rsid w:val="00E32D85"/>
    <w:rsid w:val="00E33B48"/>
    <w:rsid w:val="00E33C7A"/>
    <w:rsid w:val="00E3422C"/>
    <w:rsid w:val="00E35A14"/>
    <w:rsid w:val="00E36915"/>
    <w:rsid w:val="00E374BD"/>
    <w:rsid w:val="00E37B44"/>
    <w:rsid w:val="00E409A7"/>
    <w:rsid w:val="00E42110"/>
    <w:rsid w:val="00E4212D"/>
    <w:rsid w:val="00E42D7E"/>
    <w:rsid w:val="00E44303"/>
    <w:rsid w:val="00E445AB"/>
    <w:rsid w:val="00E4516E"/>
    <w:rsid w:val="00E45603"/>
    <w:rsid w:val="00E4596E"/>
    <w:rsid w:val="00E468B5"/>
    <w:rsid w:val="00E47989"/>
    <w:rsid w:val="00E47B37"/>
    <w:rsid w:val="00E47F44"/>
    <w:rsid w:val="00E50D5E"/>
    <w:rsid w:val="00E5190F"/>
    <w:rsid w:val="00E51FD5"/>
    <w:rsid w:val="00E52EE1"/>
    <w:rsid w:val="00E53406"/>
    <w:rsid w:val="00E53A7D"/>
    <w:rsid w:val="00E54365"/>
    <w:rsid w:val="00E54903"/>
    <w:rsid w:val="00E54CEC"/>
    <w:rsid w:val="00E55573"/>
    <w:rsid w:val="00E55B87"/>
    <w:rsid w:val="00E571D8"/>
    <w:rsid w:val="00E572D2"/>
    <w:rsid w:val="00E573F8"/>
    <w:rsid w:val="00E57F46"/>
    <w:rsid w:val="00E606B8"/>
    <w:rsid w:val="00E60C48"/>
    <w:rsid w:val="00E628A1"/>
    <w:rsid w:val="00E628BE"/>
    <w:rsid w:val="00E62A08"/>
    <w:rsid w:val="00E62EB9"/>
    <w:rsid w:val="00E631C3"/>
    <w:rsid w:val="00E63787"/>
    <w:rsid w:val="00E63F5F"/>
    <w:rsid w:val="00E6423B"/>
    <w:rsid w:val="00E64A75"/>
    <w:rsid w:val="00E65005"/>
    <w:rsid w:val="00E65C2B"/>
    <w:rsid w:val="00E65FDE"/>
    <w:rsid w:val="00E66CE1"/>
    <w:rsid w:val="00E673F9"/>
    <w:rsid w:val="00E70554"/>
    <w:rsid w:val="00E71244"/>
    <w:rsid w:val="00E71956"/>
    <w:rsid w:val="00E71F06"/>
    <w:rsid w:val="00E7211C"/>
    <w:rsid w:val="00E72922"/>
    <w:rsid w:val="00E7462F"/>
    <w:rsid w:val="00E748ED"/>
    <w:rsid w:val="00E74C1C"/>
    <w:rsid w:val="00E755E8"/>
    <w:rsid w:val="00E77DD8"/>
    <w:rsid w:val="00E8068C"/>
    <w:rsid w:val="00E82770"/>
    <w:rsid w:val="00E829D1"/>
    <w:rsid w:val="00E832D1"/>
    <w:rsid w:val="00E837EA"/>
    <w:rsid w:val="00E84249"/>
    <w:rsid w:val="00E843CB"/>
    <w:rsid w:val="00E859E2"/>
    <w:rsid w:val="00E85ABB"/>
    <w:rsid w:val="00E861A9"/>
    <w:rsid w:val="00E865AE"/>
    <w:rsid w:val="00E87A15"/>
    <w:rsid w:val="00E87AC1"/>
    <w:rsid w:val="00E87B04"/>
    <w:rsid w:val="00E9015A"/>
    <w:rsid w:val="00E90F29"/>
    <w:rsid w:val="00E9227D"/>
    <w:rsid w:val="00E92F9D"/>
    <w:rsid w:val="00E93C34"/>
    <w:rsid w:val="00E95A31"/>
    <w:rsid w:val="00E95C1D"/>
    <w:rsid w:val="00E96052"/>
    <w:rsid w:val="00E97528"/>
    <w:rsid w:val="00E97BA2"/>
    <w:rsid w:val="00E97EA4"/>
    <w:rsid w:val="00EA00B7"/>
    <w:rsid w:val="00EA0384"/>
    <w:rsid w:val="00EA15E2"/>
    <w:rsid w:val="00EA28C8"/>
    <w:rsid w:val="00EA2DA9"/>
    <w:rsid w:val="00EA31E9"/>
    <w:rsid w:val="00EA35BF"/>
    <w:rsid w:val="00EA4E69"/>
    <w:rsid w:val="00EA56F5"/>
    <w:rsid w:val="00EA5B00"/>
    <w:rsid w:val="00EA6CA4"/>
    <w:rsid w:val="00EA6FDC"/>
    <w:rsid w:val="00EA7237"/>
    <w:rsid w:val="00EA7B46"/>
    <w:rsid w:val="00EA7F60"/>
    <w:rsid w:val="00EB05C2"/>
    <w:rsid w:val="00EB0B61"/>
    <w:rsid w:val="00EB15F1"/>
    <w:rsid w:val="00EB3223"/>
    <w:rsid w:val="00EB45E0"/>
    <w:rsid w:val="00EB5262"/>
    <w:rsid w:val="00EB598E"/>
    <w:rsid w:val="00EB5ED9"/>
    <w:rsid w:val="00EC046E"/>
    <w:rsid w:val="00EC090D"/>
    <w:rsid w:val="00EC1C34"/>
    <w:rsid w:val="00EC2122"/>
    <w:rsid w:val="00EC2341"/>
    <w:rsid w:val="00EC2626"/>
    <w:rsid w:val="00EC2999"/>
    <w:rsid w:val="00EC4628"/>
    <w:rsid w:val="00EC5B62"/>
    <w:rsid w:val="00EC5E9F"/>
    <w:rsid w:val="00EC5F25"/>
    <w:rsid w:val="00EC656B"/>
    <w:rsid w:val="00EC715C"/>
    <w:rsid w:val="00EC7979"/>
    <w:rsid w:val="00ED02F2"/>
    <w:rsid w:val="00ED16FA"/>
    <w:rsid w:val="00ED32E6"/>
    <w:rsid w:val="00ED336A"/>
    <w:rsid w:val="00ED525E"/>
    <w:rsid w:val="00ED5C70"/>
    <w:rsid w:val="00ED6A40"/>
    <w:rsid w:val="00ED7188"/>
    <w:rsid w:val="00ED742A"/>
    <w:rsid w:val="00ED763F"/>
    <w:rsid w:val="00ED786B"/>
    <w:rsid w:val="00EE0B68"/>
    <w:rsid w:val="00EE11DD"/>
    <w:rsid w:val="00EE1808"/>
    <w:rsid w:val="00EE3178"/>
    <w:rsid w:val="00EE4785"/>
    <w:rsid w:val="00EE567D"/>
    <w:rsid w:val="00EE5B9C"/>
    <w:rsid w:val="00EE74D7"/>
    <w:rsid w:val="00EE78BE"/>
    <w:rsid w:val="00EE7C4C"/>
    <w:rsid w:val="00EF001C"/>
    <w:rsid w:val="00EF0214"/>
    <w:rsid w:val="00EF1740"/>
    <w:rsid w:val="00EF204B"/>
    <w:rsid w:val="00EF2327"/>
    <w:rsid w:val="00EF25CC"/>
    <w:rsid w:val="00EF3059"/>
    <w:rsid w:val="00EF3A64"/>
    <w:rsid w:val="00EF3C66"/>
    <w:rsid w:val="00EF3FD3"/>
    <w:rsid w:val="00EF4549"/>
    <w:rsid w:val="00EF4C96"/>
    <w:rsid w:val="00EF587E"/>
    <w:rsid w:val="00EF6746"/>
    <w:rsid w:val="00F00BE2"/>
    <w:rsid w:val="00F00DB2"/>
    <w:rsid w:val="00F01648"/>
    <w:rsid w:val="00F02004"/>
    <w:rsid w:val="00F022C7"/>
    <w:rsid w:val="00F027AB"/>
    <w:rsid w:val="00F02AF9"/>
    <w:rsid w:val="00F03065"/>
    <w:rsid w:val="00F043A3"/>
    <w:rsid w:val="00F05222"/>
    <w:rsid w:val="00F07387"/>
    <w:rsid w:val="00F100D0"/>
    <w:rsid w:val="00F102AC"/>
    <w:rsid w:val="00F107E9"/>
    <w:rsid w:val="00F109C2"/>
    <w:rsid w:val="00F10CCC"/>
    <w:rsid w:val="00F113A0"/>
    <w:rsid w:val="00F12F29"/>
    <w:rsid w:val="00F138A8"/>
    <w:rsid w:val="00F13921"/>
    <w:rsid w:val="00F144DB"/>
    <w:rsid w:val="00F14E49"/>
    <w:rsid w:val="00F14FF0"/>
    <w:rsid w:val="00F15D8A"/>
    <w:rsid w:val="00F16127"/>
    <w:rsid w:val="00F1655F"/>
    <w:rsid w:val="00F175BC"/>
    <w:rsid w:val="00F177A4"/>
    <w:rsid w:val="00F20CA5"/>
    <w:rsid w:val="00F2154C"/>
    <w:rsid w:val="00F21C5D"/>
    <w:rsid w:val="00F21DBF"/>
    <w:rsid w:val="00F22DB8"/>
    <w:rsid w:val="00F2467C"/>
    <w:rsid w:val="00F254F0"/>
    <w:rsid w:val="00F259E1"/>
    <w:rsid w:val="00F264F4"/>
    <w:rsid w:val="00F2724B"/>
    <w:rsid w:val="00F30067"/>
    <w:rsid w:val="00F303BA"/>
    <w:rsid w:val="00F305F7"/>
    <w:rsid w:val="00F3072F"/>
    <w:rsid w:val="00F30D67"/>
    <w:rsid w:val="00F3105C"/>
    <w:rsid w:val="00F31AE2"/>
    <w:rsid w:val="00F31CBE"/>
    <w:rsid w:val="00F31D98"/>
    <w:rsid w:val="00F33C09"/>
    <w:rsid w:val="00F33CD9"/>
    <w:rsid w:val="00F349DD"/>
    <w:rsid w:val="00F36449"/>
    <w:rsid w:val="00F36478"/>
    <w:rsid w:val="00F367EC"/>
    <w:rsid w:val="00F36D9B"/>
    <w:rsid w:val="00F3721A"/>
    <w:rsid w:val="00F40048"/>
    <w:rsid w:val="00F4015C"/>
    <w:rsid w:val="00F4029A"/>
    <w:rsid w:val="00F40CF1"/>
    <w:rsid w:val="00F41E93"/>
    <w:rsid w:val="00F44A8D"/>
    <w:rsid w:val="00F44B37"/>
    <w:rsid w:val="00F44C5F"/>
    <w:rsid w:val="00F44DFD"/>
    <w:rsid w:val="00F45517"/>
    <w:rsid w:val="00F456A0"/>
    <w:rsid w:val="00F45AE5"/>
    <w:rsid w:val="00F46463"/>
    <w:rsid w:val="00F4647E"/>
    <w:rsid w:val="00F470E8"/>
    <w:rsid w:val="00F4744D"/>
    <w:rsid w:val="00F50352"/>
    <w:rsid w:val="00F5043F"/>
    <w:rsid w:val="00F50601"/>
    <w:rsid w:val="00F52B36"/>
    <w:rsid w:val="00F52C23"/>
    <w:rsid w:val="00F52C58"/>
    <w:rsid w:val="00F539FC"/>
    <w:rsid w:val="00F54A9D"/>
    <w:rsid w:val="00F55FEC"/>
    <w:rsid w:val="00F56109"/>
    <w:rsid w:val="00F5642E"/>
    <w:rsid w:val="00F56765"/>
    <w:rsid w:val="00F56B18"/>
    <w:rsid w:val="00F574FD"/>
    <w:rsid w:val="00F57A62"/>
    <w:rsid w:val="00F6074C"/>
    <w:rsid w:val="00F6218C"/>
    <w:rsid w:val="00F62563"/>
    <w:rsid w:val="00F6323F"/>
    <w:rsid w:val="00F634E0"/>
    <w:rsid w:val="00F63515"/>
    <w:rsid w:val="00F63A04"/>
    <w:rsid w:val="00F63B3C"/>
    <w:rsid w:val="00F64090"/>
    <w:rsid w:val="00F643E2"/>
    <w:rsid w:val="00F64444"/>
    <w:rsid w:val="00F64950"/>
    <w:rsid w:val="00F66180"/>
    <w:rsid w:val="00F667CF"/>
    <w:rsid w:val="00F66C65"/>
    <w:rsid w:val="00F67789"/>
    <w:rsid w:val="00F71D8C"/>
    <w:rsid w:val="00F72AE1"/>
    <w:rsid w:val="00F73F8D"/>
    <w:rsid w:val="00F7426D"/>
    <w:rsid w:val="00F74372"/>
    <w:rsid w:val="00F762E8"/>
    <w:rsid w:val="00F768BA"/>
    <w:rsid w:val="00F77D76"/>
    <w:rsid w:val="00F807E3"/>
    <w:rsid w:val="00F8090B"/>
    <w:rsid w:val="00F80D77"/>
    <w:rsid w:val="00F81B66"/>
    <w:rsid w:val="00F82809"/>
    <w:rsid w:val="00F84D1A"/>
    <w:rsid w:val="00F8564B"/>
    <w:rsid w:val="00F85AE3"/>
    <w:rsid w:val="00F86D5A"/>
    <w:rsid w:val="00F876FF"/>
    <w:rsid w:val="00F90879"/>
    <w:rsid w:val="00F91E51"/>
    <w:rsid w:val="00F921AA"/>
    <w:rsid w:val="00F92A09"/>
    <w:rsid w:val="00F92F30"/>
    <w:rsid w:val="00F9331B"/>
    <w:rsid w:val="00F93701"/>
    <w:rsid w:val="00F940DB"/>
    <w:rsid w:val="00F95697"/>
    <w:rsid w:val="00F956F1"/>
    <w:rsid w:val="00F95734"/>
    <w:rsid w:val="00F957DB"/>
    <w:rsid w:val="00F95AB7"/>
    <w:rsid w:val="00F96705"/>
    <w:rsid w:val="00F96EC5"/>
    <w:rsid w:val="00F97B51"/>
    <w:rsid w:val="00FA0607"/>
    <w:rsid w:val="00FA16BC"/>
    <w:rsid w:val="00FA17E2"/>
    <w:rsid w:val="00FA2271"/>
    <w:rsid w:val="00FA2C32"/>
    <w:rsid w:val="00FA39C6"/>
    <w:rsid w:val="00FA3D68"/>
    <w:rsid w:val="00FA40DE"/>
    <w:rsid w:val="00FA4AA4"/>
    <w:rsid w:val="00FA58E7"/>
    <w:rsid w:val="00FA5C25"/>
    <w:rsid w:val="00FA7603"/>
    <w:rsid w:val="00FB05B5"/>
    <w:rsid w:val="00FB0F3C"/>
    <w:rsid w:val="00FB16AF"/>
    <w:rsid w:val="00FB3100"/>
    <w:rsid w:val="00FB37B8"/>
    <w:rsid w:val="00FB4DA6"/>
    <w:rsid w:val="00FB4FDA"/>
    <w:rsid w:val="00FB56CA"/>
    <w:rsid w:val="00FB5A2F"/>
    <w:rsid w:val="00FB6E34"/>
    <w:rsid w:val="00FB76E1"/>
    <w:rsid w:val="00FC1403"/>
    <w:rsid w:val="00FC1821"/>
    <w:rsid w:val="00FC227F"/>
    <w:rsid w:val="00FC283D"/>
    <w:rsid w:val="00FC3051"/>
    <w:rsid w:val="00FC31A9"/>
    <w:rsid w:val="00FC377F"/>
    <w:rsid w:val="00FC496E"/>
    <w:rsid w:val="00FC4AA3"/>
    <w:rsid w:val="00FC5221"/>
    <w:rsid w:val="00FC721F"/>
    <w:rsid w:val="00FC7832"/>
    <w:rsid w:val="00FC7882"/>
    <w:rsid w:val="00FC7E7C"/>
    <w:rsid w:val="00FD01E0"/>
    <w:rsid w:val="00FD0EE5"/>
    <w:rsid w:val="00FD16D3"/>
    <w:rsid w:val="00FD332A"/>
    <w:rsid w:val="00FD3FBA"/>
    <w:rsid w:val="00FD40A0"/>
    <w:rsid w:val="00FD44D8"/>
    <w:rsid w:val="00FD4CDF"/>
    <w:rsid w:val="00FD640A"/>
    <w:rsid w:val="00FD6BFC"/>
    <w:rsid w:val="00FD71D6"/>
    <w:rsid w:val="00FD7B18"/>
    <w:rsid w:val="00FE0A00"/>
    <w:rsid w:val="00FE0AF0"/>
    <w:rsid w:val="00FE18DB"/>
    <w:rsid w:val="00FE1A57"/>
    <w:rsid w:val="00FE21DC"/>
    <w:rsid w:val="00FE22A4"/>
    <w:rsid w:val="00FE2BC9"/>
    <w:rsid w:val="00FE2EC7"/>
    <w:rsid w:val="00FE376C"/>
    <w:rsid w:val="00FE4222"/>
    <w:rsid w:val="00FE5802"/>
    <w:rsid w:val="00FE6D4C"/>
    <w:rsid w:val="00FE708D"/>
    <w:rsid w:val="00FF17E0"/>
    <w:rsid w:val="00FF1809"/>
    <w:rsid w:val="00FF18FD"/>
    <w:rsid w:val="00FF19CD"/>
    <w:rsid w:val="00FF226F"/>
    <w:rsid w:val="00FF2E85"/>
    <w:rsid w:val="00FF381E"/>
    <w:rsid w:val="00FF420C"/>
    <w:rsid w:val="00FF52CF"/>
    <w:rsid w:val="00FF54D2"/>
    <w:rsid w:val="00FF5BE6"/>
    <w:rsid w:val="00FF5E63"/>
    <w:rsid w:val="00FF66B6"/>
    <w:rsid w:val="00FF73B7"/>
    <w:rsid w:val="00FF79B9"/>
    <w:rsid w:val="00FF7AFF"/>
  </w:rsids>
  <m:mathPr>
    <m:mathFont m:val="Cambria Math"/>
    <m:brkBin m:val="before"/>
    <m:brkBinSub m:val="--"/>
    <m:smallFrac m:val="0"/>
    <m:dispDef/>
    <m:lMargin m:val="0"/>
    <m:rMargin m:val="0"/>
    <m:defJc m:val="centerGroup"/>
    <m:wrapIndent m:val="1440"/>
    <m:intLim m:val="undOvr"/>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790628"/>
  <w15:docId w15:val="{39CF80DE-7EFA-456B-89C7-633F90E8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71F06"/>
    <w:rPr>
      <w:rFonts w:eastAsia="SimSun"/>
      <w:szCs w:val="22"/>
      <w:lang w:eastAsia="zh-CN"/>
    </w:rPr>
  </w:style>
  <w:style w:type="paragraph" w:styleId="Heading1">
    <w:name w:val="heading 1"/>
    <w:basedOn w:val="Baseheading"/>
    <w:next w:val="Normal"/>
    <w:link w:val="Heading1Char"/>
    <w:uiPriority w:val="9"/>
    <w:qFormat/>
    <w:rsid w:val="003669CD"/>
    <w:pPr>
      <w:keepLines/>
      <w:numPr>
        <w:numId w:val="22"/>
      </w:numPr>
      <w:jc w:val="center"/>
    </w:pPr>
    <w:rPr>
      <w:bCs/>
      <w:szCs w:val="28"/>
    </w:rPr>
  </w:style>
  <w:style w:type="paragraph" w:styleId="Heading2">
    <w:name w:val="heading 2"/>
    <w:basedOn w:val="Baseheading"/>
    <w:next w:val="Normal"/>
    <w:link w:val="Heading2Char"/>
    <w:uiPriority w:val="9"/>
    <w:unhideWhenUsed/>
    <w:qFormat/>
    <w:rsid w:val="003669CD"/>
    <w:pPr>
      <w:keepLines/>
      <w:numPr>
        <w:ilvl w:val="1"/>
        <w:numId w:val="22"/>
      </w:numPr>
      <w:spacing w:after="120"/>
      <w:outlineLvl w:val="1"/>
    </w:pPr>
    <w:rPr>
      <w:rFonts w:eastAsia="MS Mincho"/>
      <w:sz w:val="24"/>
      <w:szCs w:val="24"/>
      <w:lang w:eastAsia="en-US"/>
    </w:rPr>
  </w:style>
  <w:style w:type="paragraph" w:styleId="Heading3">
    <w:name w:val="heading 3"/>
    <w:basedOn w:val="Baseheading"/>
    <w:next w:val="Normal"/>
    <w:link w:val="Heading3Char"/>
    <w:uiPriority w:val="9"/>
    <w:unhideWhenUsed/>
    <w:qFormat/>
    <w:rsid w:val="003669CD"/>
    <w:pPr>
      <w:keepLines/>
      <w:numPr>
        <w:ilvl w:val="2"/>
        <w:numId w:val="22"/>
      </w:numPr>
      <w:spacing w:after="120"/>
      <w:outlineLvl w:val="2"/>
    </w:pPr>
    <w:rPr>
      <w:rFonts w:eastAsia="MS Mincho"/>
      <w:i/>
      <w:sz w:val="22"/>
      <w:szCs w:val="20"/>
      <w:lang w:eastAsia="en-US"/>
    </w:rPr>
  </w:style>
  <w:style w:type="paragraph" w:styleId="Heading4">
    <w:name w:val="heading 4"/>
    <w:basedOn w:val="Baseheading"/>
    <w:next w:val="Normal"/>
    <w:link w:val="Heading4Char"/>
    <w:uiPriority w:val="9"/>
    <w:unhideWhenUsed/>
    <w:qFormat/>
    <w:rsid w:val="003669CD"/>
    <w:pPr>
      <w:keepLines/>
      <w:spacing w:after="80"/>
      <w:outlineLvl w:val="3"/>
    </w:pPr>
    <w:rPr>
      <w:b w:val="0"/>
      <w:bCs/>
      <w:i/>
      <w:iCs/>
      <w:sz w:val="22"/>
    </w:rPr>
  </w:style>
  <w:style w:type="paragraph" w:styleId="Heading5">
    <w:name w:val="heading 5"/>
    <w:basedOn w:val="Baseheading"/>
    <w:next w:val="Normal"/>
    <w:link w:val="Heading5Char"/>
    <w:uiPriority w:val="9"/>
    <w:unhideWhenUsed/>
    <w:qFormat/>
    <w:rsid w:val="003669CD"/>
    <w:pPr>
      <w:keepLines/>
      <w:spacing w:after="60"/>
      <w:outlineLvl w:val="4"/>
    </w:pPr>
    <w:rPr>
      <w:i/>
      <w:sz w:val="20"/>
    </w:rPr>
  </w:style>
  <w:style w:type="paragraph" w:styleId="Heading6">
    <w:name w:val="heading 6"/>
    <w:basedOn w:val="Baseheading"/>
    <w:next w:val="BodyText"/>
    <w:link w:val="Heading6Char"/>
    <w:uiPriority w:val="9"/>
    <w:unhideWhenUsed/>
    <w:qFormat/>
    <w:rsid w:val="003669CD"/>
    <w:pPr>
      <w:spacing w:after="60"/>
      <w:outlineLvl w:val="5"/>
    </w:pPr>
    <w:rPr>
      <w:bCs/>
      <w:sz w:val="20"/>
    </w:rPr>
  </w:style>
  <w:style w:type="paragraph" w:styleId="Heading7">
    <w:name w:val="heading 7"/>
    <w:basedOn w:val="Baseheading"/>
    <w:next w:val="Normal"/>
    <w:link w:val="Heading7Char"/>
    <w:uiPriority w:val="9"/>
    <w:qFormat/>
    <w:rsid w:val="003669CD"/>
    <w:pPr>
      <w:spacing w:before="120" w:after="120"/>
      <w:outlineLvl w:val="6"/>
    </w:pPr>
    <w:rPr>
      <w:rFonts w:eastAsia="MS Mincho"/>
      <w:i/>
      <w:sz w:val="20"/>
      <w:szCs w:val="20"/>
      <w:lang w:eastAsia="en-US"/>
    </w:rPr>
  </w:style>
  <w:style w:type="paragraph" w:styleId="Heading8">
    <w:name w:val="heading 8"/>
    <w:basedOn w:val="Normal"/>
    <w:next w:val="Normal"/>
    <w:link w:val="Heading8Char"/>
    <w:qFormat/>
    <w:rsid w:val="00B41A9A"/>
    <w:pPr>
      <w:spacing w:before="240" w:after="60" w:line="240" w:lineRule="atLeast"/>
      <w:outlineLvl w:val="7"/>
    </w:pPr>
    <w:rPr>
      <w:rFonts w:ascii="Arial" w:hAnsi="Arial"/>
      <w:i/>
    </w:rPr>
  </w:style>
  <w:style w:type="paragraph" w:styleId="Heading9">
    <w:name w:val="heading 9"/>
    <w:basedOn w:val="Normal"/>
    <w:next w:val="Normal"/>
    <w:link w:val="Heading9Char"/>
    <w:qFormat/>
    <w:rsid w:val="00B41A9A"/>
    <w:pPr>
      <w:spacing w:before="240" w:after="60" w:line="240" w:lineRule="atLeas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1">
    <w:name w:val="Source1"/>
    <w:basedOn w:val="Normal"/>
    <w:rsid w:val="00FD44D8"/>
    <w:pPr>
      <w:keepLines/>
      <w:spacing w:before="120" w:after="400"/>
      <w:ind w:left="187" w:hanging="187"/>
    </w:pPr>
    <w:rPr>
      <w:sz w:val="18"/>
    </w:rPr>
  </w:style>
  <w:style w:type="paragraph" w:styleId="TOC5">
    <w:name w:val="toc 5"/>
    <w:aliases w:val="toc tab/fig"/>
    <w:basedOn w:val="TOC2"/>
    <w:next w:val="Normal"/>
    <w:uiPriority w:val="39"/>
    <w:rsid w:val="00156EC1"/>
    <w:pPr>
      <w:spacing w:before="80" w:after="80"/>
      <w:ind w:left="700" w:hanging="700"/>
    </w:pPr>
  </w:style>
  <w:style w:type="paragraph" w:styleId="TOC2">
    <w:name w:val="toc 2"/>
    <w:basedOn w:val="Basetext"/>
    <w:next w:val="Normal"/>
    <w:uiPriority w:val="39"/>
    <w:unhideWhenUsed/>
    <w:rsid w:val="003669CD"/>
    <w:pPr>
      <w:tabs>
        <w:tab w:val="right" w:leader="dot" w:pos="9360"/>
      </w:tabs>
      <w:spacing w:before="160"/>
      <w:ind w:left="1094" w:right="720" w:hanging="547"/>
    </w:pPr>
    <w:rPr>
      <w:noProof/>
    </w:rPr>
  </w:style>
  <w:style w:type="paragraph" w:styleId="TOC1">
    <w:name w:val="toc 1"/>
    <w:basedOn w:val="Basetext"/>
    <w:next w:val="Normal"/>
    <w:uiPriority w:val="39"/>
    <w:unhideWhenUsed/>
    <w:rsid w:val="003669CD"/>
    <w:pPr>
      <w:tabs>
        <w:tab w:val="right" w:pos="9360"/>
      </w:tabs>
      <w:spacing w:before="320"/>
      <w:ind w:left="547" w:right="720" w:hanging="547"/>
    </w:pPr>
    <w:rPr>
      <w:b/>
      <w:noProof/>
    </w:rPr>
  </w:style>
  <w:style w:type="paragraph" w:styleId="Footer">
    <w:name w:val="footer"/>
    <w:basedOn w:val="Basetext"/>
    <w:link w:val="FooterChar"/>
    <w:rsid w:val="003669CD"/>
    <w:pPr>
      <w:tabs>
        <w:tab w:val="center" w:pos="4680"/>
        <w:tab w:val="right" w:pos="9360"/>
      </w:tabs>
    </w:pPr>
    <w:rPr>
      <w:b/>
    </w:rPr>
  </w:style>
  <w:style w:type="paragraph" w:styleId="Header">
    <w:name w:val="header"/>
    <w:basedOn w:val="Basetext"/>
    <w:link w:val="HeaderChar"/>
    <w:unhideWhenUsed/>
    <w:rsid w:val="003669CD"/>
    <w:pPr>
      <w:pBdr>
        <w:bottom w:val="single" w:sz="2" w:space="3" w:color="auto"/>
      </w:pBdr>
    </w:pPr>
    <w:rPr>
      <w:i/>
      <w:sz w:val="18"/>
    </w:rPr>
  </w:style>
  <w:style w:type="character" w:styleId="FootnoteReference">
    <w:name w:val="footnote reference"/>
    <w:uiPriority w:val="99"/>
    <w:rsid w:val="003669CD"/>
    <w:rPr>
      <w:rFonts w:ascii="Verdana" w:hAnsi="Verdana"/>
      <w:spacing w:val="0"/>
      <w:w w:val="100"/>
      <w:kern w:val="0"/>
      <w:position w:val="0"/>
      <w:vertAlign w:val="superscript"/>
    </w:rPr>
  </w:style>
  <w:style w:type="character" w:styleId="PageNumber">
    <w:name w:val="page number"/>
    <w:uiPriority w:val="99"/>
    <w:unhideWhenUsed/>
    <w:rsid w:val="003669CD"/>
    <w:rPr>
      <w:rFonts w:ascii="Verdana" w:hAnsi="Verdana"/>
      <w:b/>
      <w:sz w:val="20"/>
    </w:rPr>
  </w:style>
  <w:style w:type="paragraph" w:customStyle="1" w:styleId="toc0">
    <w:name w:val="toc 0"/>
    <w:basedOn w:val="Normal"/>
    <w:rsid w:val="00D22EA6"/>
    <w:pPr>
      <w:pageBreakBefore/>
      <w:pBdr>
        <w:bottom w:val="single" w:sz="2" w:space="18" w:color="auto"/>
      </w:pBdr>
      <w:spacing w:before="240" w:after="360"/>
      <w:jc w:val="center"/>
    </w:pPr>
    <w:rPr>
      <w:b/>
      <w:sz w:val="32"/>
      <w:szCs w:val="26"/>
    </w:rPr>
  </w:style>
  <w:style w:type="paragraph" w:customStyle="1" w:styleId="TableHeaders">
    <w:name w:val="Table Headers"/>
    <w:qFormat/>
    <w:rsid w:val="00D27BDB"/>
    <w:pPr>
      <w:spacing w:before="80" w:after="80"/>
      <w:jc w:val="center"/>
    </w:pPr>
    <w:rPr>
      <w:b/>
      <w:sz w:val="18"/>
    </w:rPr>
  </w:style>
  <w:style w:type="paragraph" w:customStyle="1" w:styleId="CovText">
    <w:name w:val="CovText"/>
    <w:basedOn w:val="Normal"/>
    <w:rsid w:val="00801ADC"/>
    <w:pPr>
      <w:jc w:val="right"/>
    </w:pPr>
  </w:style>
  <w:style w:type="paragraph" w:customStyle="1" w:styleId="TableTitle">
    <w:name w:val="Table Title"/>
    <w:basedOn w:val="Normal"/>
    <w:rsid w:val="00775B13"/>
    <w:pPr>
      <w:keepNext/>
      <w:keepLines/>
      <w:spacing w:before="320" w:after="120"/>
      <w:ind w:left="1440" w:hanging="1440"/>
    </w:pPr>
    <w:rPr>
      <w:b/>
    </w:rPr>
  </w:style>
  <w:style w:type="paragraph" w:customStyle="1" w:styleId="Cov-Address">
    <w:name w:val="Cov-Address"/>
    <w:basedOn w:val="Normal"/>
    <w:rsid w:val="008B2EAB"/>
    <w:pPr>
      <w:jc w:val="right"/>
    </w:pPr>
    <w:rPr>
      <w:sz w:val="22"/>
    </w:rPr>
  </w:style>
  <w:style w:type="paragraph" w:customStyle="1" w:styleId="Cov-Author">
    <w:name w:val="Cov-Author"/>
    <w:basedOn w:val="Normal"/>
    <w:rsid w:val="008B2EAB"/>
    <w:pPr>
      <w:jc w:val="right"/>
    </w:pPr>
    <w:rPr>
      <w:b/>
      <w:sz w:val="22"/>
    </w:rPr>
  </w:style>
  <w:style w:type="paragraph" w:customStyle="1" w:styleId="figurewbox">
    <w:name w:val="figure w/box"/>
    <w:basedOn w:val="Normal"/>
    <w:rsid w:val="00DE6578"/>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775B13"/>
    <w:pPr>
      <w:keepNext/>
      <w:keepLines/>
      <w:spacing w:before="320" w:after="120"/>
      <w:ind w:left="1440" w:hanging="1440"/>
    </w:pPr>
    <w:rPr>
      <w:b/>
    </w:rPr>
  </w:style>
  <w:style w:type="paragraph" w:styleId="BodyText">
    <w:name w:val="Body Text"/>
    <w:basedOn w:val="Basetext"/>
    <w:link w:val="BodyTextChar"/>
    <w:uiPriority w:val="99"/>
    <w:rsid w:val="003669CD"/>
    <w:pPr>
      <w:spacing w:after="160" w:line="320" w:lineRule="exact"/>
    </w:pPr>
  </w:style>
  <w:style w:type="paragraph" w:styleId="BodyText2">
    <w:name w:val="Body Text 2"/>
    <w:basedOn w:val="Normal"/>
    <w:semiHidden/>
    <w:pPr>
      <w:jc w:val="both"/>
    </w:pPr>
  </w:style>
  <w:style w:type="paragraph" w:styleId="BalloonText">
    <w:name w:val="Balloon Text"/>
    <w:basedOn w:val="Normal"/>
    <w:link w:val="BalloonTextChar"/>
    <w:uiPriority w:val="99"/>
    <w:semiHidden/>
    <w:unhideWhenUsed/>
    <w:rsid w:val="003669CD"/>
    <w:rPr>
      <w:rFonts w:ascii="Segoe UI" w:hAnsi="Segoe UI" w:cs="Segoe UI"/>
      <w:sz w:val="18"/>
      <w:szCs w:val="18"/>
    </w:rPr>
  </w:style>
  <w:style w:type="paragraph" w:customStyle="1" w:styleId="Cov-Date">
    <w:name w:val="Cov-Date"/>
    <w:basedOn w:val="Normal"/>
    <w:rsid w:val="008B2EAB"/>
    <w:pPr>
      <w:jc w:val="right"/>
    </w:pPr>
    <w:rPr>
      <w:b/>
      <w:sz w:val="28"/>
    </w:rPr>
  </w:style>
  <w:style w:type="paragraph" w:customStyle="1" w:styleId="Cov-Disclaimer">
    <w:name w:val="Cov-Disclaimer"/>
    <w:basedOn w:val="Normal"/>
    <w:rsid w:val="008B2EAB"/>
    <w:pPr>
      <w:jc w:val="right"/>
    </w:pPr>
    <w:rPr>
      <w:rFonts w:cs="Arial"/>
      <w:sz w:val="18"/>
      <w:szCs w:val="18"/>
    </w:rPr>
  </w:style>
  <w:style w:type="paragraph" w:customStyle="1" w:styleId="Cov-Subtitle">
    <w:name w:val="Cov-Subtitle"/>
    <w:basedOn w:val="Normal"/>
    <w:rsid w:val="008B2EAB"/>
    <w:pPr>
      <w:jc w:val="right"/>
    </w:pPr>
    <w:rPr>
      <w:b/>
      <w:sz w:val="36"/>
    </w:rPr>
  </w:style>
  <w:style w:type="paragraph" w:customStyle="1" w:styleId="Cov-Title">
    <w:name w:val="Cov-Title"/>
    <w:basedOn w:val="Normal"/>
    <w:rsid w:val="008B2EAB"/>
    <w:pPr>
      <w:jc w:val="right"/>
    </w:pPr>
    <w:rPr>
      <w:b/>
      <w:sz w:val="48"/>
    </w:rPr>
  </w:style>
  <w:style w:type="paragraph" w:customStyle="1" w:styleId="AppHeading1">
    <w:name w:val="App Heading 1"/>
    <w:basedOn w:val="Heading1"/>
    <w:rsid w:val="00E97BA2"/>
    <w:pPr>
      <w:numPr>
        <w:numId w:val="0"/>
      </w:numPr>
    </w:pPr>
  </w:style>
  <w:style w:type="paragraph" w:customStyle="1" w:styleId="figurewobox">
    <w:name w:val="figure w/o box"/>
    <w:basedOn w:val="Normal"/>
    <w:rsid w:val="00DE6578"/>
    <w:pPr>
      <w:keepNext/>
      <w:jc w:val="center"/>
    </w:pPr>
  </w:style>
  <w:style w:type="paragraph" w:customStyle="1" w:styleId="bullets-2ndlevel">
    <w:name w:val="bullets-2nd level"/>
    <w:basedOn w:val="Normal"/>
    <w:rsid w:val="00392D97"/>
    <w:pPr>
      <w:numPr>
        <w:ilvl w:val="1"/>
        <w:numId w:val="1"/>
      </w:numPr>
      <w:tabs>
        <w:tab w:val="clear" w:pos="1440"/>
      </w:tabs>
      <w:spacing w:after="120"/>
      <w:ind w:left="1080"/>
    </w:pPr>
  </w:style>
  <w:style w:type="paragraph" w:customStyle="1" w:styleId="bullets">
    <w:name w:val="bullets"/>
    <w:basedOn w:val="Basetext"/>
    <w:rsid w:val="002B1372"/>
    <w:pPr>
      <w:numPr>
        <w:numId w:val="18"/>
      </w:numPr>
      <w:spacing w:after="160"/>
    </w:pPr>
  </w:style>
  <w:style w:type="paragraph" w:customStyle="1" w:styleId="equation">
    <w:name w:val="equation"/>
    <w:basedOn w:val="Basetext"/>
    <w:rsid w:val="003669CD"/>
    <w:pPr>
      <w:tabs>
        <w:tab w:val="center" w:pos="4680"/>
        <w:tab w:val="right" w:pos="9360"/>
      </w:tabs>
      <w:spacing w:after="160" w:line="400" w:lineRule="atLeast"/>
    </w:pPr>
    <w:rPr>
      <w:rFonts w:ascii="Cambria Math" w:hAnsi="Cambria Math"/>
    </w:rPr>
  </w:style>
  <w:style w:type="paragraph" w:styleId="Caption">
    <w:name w:val="caption"/>
    <w:basedOn w:val="Normal"/>
    <w:next w:val="Normal"/>
    <w:qFormat/>
    <w:rsid w:val="00D27BDB"/>
    <w:pPr>
      <w:keepNext/>
      <w:keepLines/>
      <w:spacing w:before="320" w:after="120"/>
      <w:ind w:left="1440" w:hanging="1440"/>
    </w:pPr>
    <w:rPr>
      <w:b/>
      <w:bCs/>
    </w:rPr>
  </w:style>
  <w:style w:type="paragraph" w:styleId="TOC3">
    <w:name w:val="toc 3"/>
    <w:basedOn w:val="Basetext"/>
    <w:next w:val="Normal"/>
    <w:uiPriority w:val="39"/>
    <w:unhideWhenUsed/>
    <w:rsid w:val="003669CD"/>
    <w:pPr>
      <w:tabs>
        <w:tab w:val="right" w:leader="dot" w:pos="9360"/>
      </w:tabs>
      <w:spacing w:before="80"/>
      <w:ind w:left="1800" w:right="720" w:hanging="720"/>
    </w:pPr>
    <w:rPr>
      <w:noProof/>
    </w:rPr>
  </w:style>
  <w:style w:type="paragraph" w:styleId="FootnoteText">
    <w:name w:val="footnote text"/>
    <w:basedOn w:val="Basetext"/>
    <w:link w:val="FootnoteTextChar"/>
    <w:uiPriority w:val="99"/>
    <w:rsid w:val="003669CD"/>
    <w:rPr>
      <w:sz w:val="18"/>
      <w:szCs w:val="20"/>
    </w:r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abfigcaption">
    <w:name w:val="tab/fig caption"/>
    <w:basedOn w:val="Normal"/>
    <w:pPr>
      <w:keepNext/>
      <w:keepLines/>
      <w:spacing w:after="120"/>
      <w:ind w:left="-2880"/>
    </w:pPr>
    <w:rPr>
      <w:sz w:val="18"/>
    </w:rPr>
  </w:style>
  <w:style w:type="paragraph" w:customStyle="1" w:styleId="biblio">
    <w:name w:val="biblio"/>
    <w:basedOn w:val="Normal"/>
    <w:pPr>
      <w:keepLines/>
      <w:spacing w:after="240"/>
      <w:ind w:left="720" w:hanging="720"/>
    </w:pPr>
  </w:style>
  <w:style w:type="table" w:customStyle="1" w:styleId="TableFormat4">
    <w:name w:val="Table Format4"/>
    <w:basedOn w:val="TableNormal"/>
    <w:rsid w:val="00F57A62"/>
    <w:rPr>
      <w:sz w:val="18"/>
    </w:rPr>
    <w:tblPr>
      <w:tblInd w:w="101" w:type="dxa"/>
      <w:tblBorders>
        <w:top w:val="single" w:sz="12" w:space="0" w:color="auto"/>
        <w:bottom w:val="single" w:sz="12" w:space="0" w:color="auto"/>
      </w:tblBorders>
      <w:tblCellMar>
        <w:left w:w="86"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uiPriority w:val="59"/>
    <w:rsid w:val="003669CD"/>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1">
    <w:name w:val="ES_Heading1"/>
    <w:basedOn w:val="AppHeading1"/>
    <w:qFormat/>
    <w:rsid w:val="00373093"/>
  </w:style>
  <w:style w:type="character" w:styleId="Hyperlink">
    <w:name w:val="Hyperlink"/>
    <w:uiPriority w:val="99"/>
    <w:rsid w:val="003669CD"/>
    <w:rPr>
      <w:rFonts w:ascii="Verdana" w:hAnsi="Verdana"/>
      <w:color w:val="0053CC"/>
      <w:u w:val="single"/>
      <w:lang w:val="en-US"/>
    </w:rPr>
  </w:style>
  <w:style w:type="paragraph" w:styleId="Index6">
    <w:name w:val="index 6"/>
    <w:basedOn w:val="Normal"/>
    <w:next w:val="Normal"/>
    <w:autoRedefine/>
    <w:pPr>
      <w:ind w:left="1320" w:hanging="220"/>
    </w:pPr>
    <w:rPr>
      <w:rFonts w:ascii="Helvetica Black" w:hAnsi="Helvetica Black"/>
      <w:sz w:val="18"/>
    </w:rPr>
  </w:style>
  <w:style w:type="paragraph" w:customStyle="1" w:styleId="Year">
    <w:name w:val="Year"/>
    <w:basedOn w:val="Heading3"/>
    <w:semiHidden/>
    <w:pPr>
      <w:keepNext w:val="0"/>
      <w:spacing w:after="720"/>
      <w:ind w:firstLine="0"/>
      <w:jc w:val="right"/>
    </w:pPr>
    <w:rPr>
      <w:rFonts w:ascii="Helvetica" w:hAnsi="Helvetica"/>
      <w:b w:val="0"/>
      <w:sz w:val="28"/>
    </w:rPr>
  </w:style>
  <w:style w:type="paragraph" w:customStyle="1" w:styleId="Source2">
    <w:name w:val="Source2"/>
    <w:basedOn w:val="Source1"/>
    <w:qFormat/>
    <w:rsid w:val="00D27BDB"/>
    <w:pPr>
      <w:spacing w:after="0"/>
    </w:pPr>
  </w:style>
  <w:style w:type="paragraph" w:customStyle="1" w:styleId="Volume">
    <w:name w:val="Volume"/>
    <w:basedOn w:val="Normal"/>
    <w:semiHidden/>
    <w:pPr>
      <w:spacing w:after="240"/>
      <w:jc w:val="right"/>
    </w:pPr>
    <w:rPr>
      <w:rFonts w:ascii="Helvetica Black" w:hAnsi="Helvetica Black"/>
      <w:sz w:val="36"/>
    </w:rPr>
  </w:style>
  <w:style w:type="paragraph" w:customStyle="1" w:styleId="Source3">
    <w:name w:val="Source3"/>
    <w:basedOn w:val="Source2"/>
    <w:qFormat/>
    <w:rsid w:val="00D27BDB"/>
    <w:pPr>
      <w:spacing w:before="60"/>
    </w:p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style>
  <w:style w:type="character" w:customStyle="1" w:styleId="BodyTextChar">
    <w:name w:val="Body Text Char"/>
    <w:link w:val="BodyText"/>
    <w:uiPriority w:val="99"/>
    <w:rsid w:val="003669CD"/>
    <w:rPr>
      <w:rFonts w:eastAsia="SimSun"/>
      <w:szCs w:val="22"/>
      <w:lang w:eastAsia="zh-CN"/>
    </w:rPr>
  </w:style>
  <w:style w:type="paragraph" w:styleId="TableofFigures">
    <w:name w:val="table of figures"/>
    <w:basedOn w:val="Basetext"/>
    <w:next w:val="Normal"/>
    <w:uiPriority w:val="99"/>
    <w:unhideWhenUsed/>
    <w:rsid w:val="003669CD"/>
    <w:pPr>
      <w:tabs>
        <w:tab w:val="right" w:leader="dot" w:pos="9360"/>
      </w:tabs>
      <w:spacing w:before="80" w:after="80"/>
      <w:ind w:left="720" w:right="720" w:hanging="720"/>
    </w:pPr>
    <w:rPr>
      <w:noProof/>
    </w:rPr>
  </w:style>
  <w:style w:type="paragraph" w:customStyle="1" w:styleId="bullets-3rdlevel">
    <w:name w:val="bullets-3rd level"/>
    <w:basedOn w:val="Normal"/>
    <w:rsid w:val="00774B1F"/>
    <w:pPr>
      <w:numPr>
        <w:ilvl w:val="2"/>
        <w:numId w:val="1"/>
      </w:numPr>
      <w:tabs>
        <w:tab w:val="clear" w:pos="2340"/>
      </w:tabs>
      <w:spacing w:after="120"/>
      <w:ind w:left="1440"/>
    </w:pPr>
  </w:style>
  <w:style w:type="paragraph" w:styleId="BodyTextIndent">
    <w:name w:val="Body Text Indent"/>
    <w:basedOn w:val="Normal"/>
    <w:link w:val="BodyTextIndentChar"/>
    <w:semiHidden/>
    <w:pPr>
      <w:ind w:right="-720" w:firstLine="720"/>
      <w:jc w:val="both"/>
    </w:pPr>
  </w:style>
  <w:style w:type="paragraph" w:styleId="BodyTextIndent2">
    <w:name w:val="Body Text Indent 2"/>
    <w:basedOn w:val="Normal"/>
    <w:semiHidden/>
    <w:pPr>
      <w:ind w:firstLine="720"/>
    </w:pPr>
  </w:style>
  <w:style w:type="paragraph" w:styleId="BodyTextIndent3">
    <w:name w:val="Body Text Indent 3"/>
    <w:basedOn w:val="Normal"/>
    <w:semiHidden/>
    <w:pPr>
      <w:ind w:left="720"/>
    </w:pPr>
  </w:style>
  <w:style w:type="paragraph" w:styleId="EndnoteText">
    <w:name w:val="endnote text"/>
    <w:basedOn w:val="Basetext"/>
    <w:link w:val="EndnoteTextChar"/>
    <w:uiPriority w:val="99"/>
    <w:unhideWhenUsed/>
    <w:rsid w:val="003669CD"/>
    <w:rPr>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rFonts w:ascii="Times New Roman" w:hAnsi="Times New Roman"/>
    </w:rPr>
  </w:style>
  <w:style w:type="paragraph" w:customStyle="1" w:styleId="TableTitlecont">
    <w:name w:val="Table Title (cont)"/>
    <w:basedOn w:val="TableTitle"/>
  </w:style>
  <w:style w:type="paragraph" w:customStyle="1" w:styleId="bullets-blank">
    <w:name w:val="bullets-blank"/>
    <w:basedOn w:val="Normal"/>
    <w:rsid w:val="00A424BD"/>
    <w:pPr>
      <w:spacing w:before="120" w:after="120"/>
      <w:ind w:left="720" w:hanging="360"/>
    </w:pPr>
  </w:style>
  <w:style w:type="paragraph" w:customStyle="1" w:styleId="Default">
    <w:name w:val="Default"/>
    <w:basedOn w:val="Normal"/>
    <w:rsid w:val="00801ADC"/>
    <w:rPr>
      <w:lang w:val="en-GB"/>
    </w:rPr>
  </w:style>
  <w:style w:type="paragraph" w:customStyle="1" w:styleId="AppHeading2">
    <w:name w:val="App Heading 2"/>
    <w:basedOn w:val="Heading2"/>
    <w:rsid w:val="00414305"/>
    <w:pPr>
      <w:numPr>
        <w:ilvl w:val="0"/>
        <w:numId w:val="0"/>
      </w:numPr>
      <w:ind w:left="700" w:hanging="700"/>
      <w:outlineLvl w:val="9"/>
    </w:pPr>
  </w:style>
  <w:style w:type="paragraph" w:customStyle="1" w:styleId="AppHeading3">
    <w:name w:val="App Heading 3"/>
    <w:basedOn w:val="Heading3"/>
    <w:rsid w:val="00373093"/>
    <w:pPr>
      <w:numPr>
        <w:ilvl w:val="0"/>
        <w:numId w:val="0"/>
      </w:numPr>
      <w:ind w:left="900" w:hanging="900"/>
      <w:outlineLvl w:val="9"/>
    </w:pPr>
    <w:rPr>
      <w:snapToGrid w:val="0"/>
    </w:rPr>
  </w:style>
  <w:style w:type="paragraph" w:customStyle="1" w:styleId="TOCHeader">
    <w:name w:val="TOC Header"/>
    <w:basedOn w:val="Normal"/>
    <w:rsid w:val="00B17F98"/>
    <w:pPr>
      <w:tabs>
        <w:tab w:val="right" w:pos="9360"/>
      </w:tabs>
      <w:spacing w:after="240"/>
    </w:pPr>
    <w:rPr>
      <w:b/>
    </w:rPr>
  </w:style>
  <w:style w:type="paragraph" w:customStyle="1" w:styleId="TableBulletLM">
    <w:name w:val="Table Bullet LM"/>
    <w:basedOn w:val="ListBullet"/>
    <w:qFormat/>
    <w:rsid w:val="00F57A62"/>
    <w:pPr>
      <w:framePr w:hSpace="187" w:wrap="around" w:vAnchor="text" w:hAnchor="margin" w:y="1"/>
      <w:numPr>
        <w:numId w:val="4"/>
      </w:numPr>
      <w:spacing w:before="60" w:after="60"/>
      <w:ind w:left="288" w:hanging="288"/>
      <w:contextualSpacing w:val="0"/>
    </w:pPr>
    <w:rPr>
      <w:sz w:val="18"/>
      <w:szCs w:val="18"/>
    </w:rPr>
  </w:style>
  <w:style w:type="paragraph" w:styleId="ListBullet">
    <w:name w:val="List Bullet"/>
    <w:basedOn w:val="Normal"/>
    <w:rsid w:val="00FD44D8"/>
    <w:pPr>
      <w:numPr>
        <w:numId w:val="2"/>
      </w:numPr>
      <w:contextualSpacing/>
    </w:pPr>
  </w:style>
  <w:style w:type="paragraph" w:customStyle="1" w:styleId="TableBulletInd">
    <w:name w:val="Table Bullet Ind"/>
    <w:basedOn w:val="TableBulletLM"/>
    <w:qFormat/>
    <w:rsid w:val="00F57A62"/>
    <w:pPr>
      <w:framePr w:wrap="around"/>
      <w:numPr>
        <w:numId w:val="0"/>
      </w:numPr>
    </w:pPr>
  </w:style>
  <w:style w:type="paragraph" w:customStyle="1" w:styleId="TableTextDec">
    <w:name w:val="Table Text Dec"/>
    <w:basedOn w:val="Normal"/>
    <w:qFormat/>
    <w:rsid w:val="00D27BDB"/>
    <w:pPr>
      <w:tabs>
        <w:tab w:val="decimal" w:pos="1015"/>
      </w:tabs>
      <w:spacing w:before="60" w:after="60"/>
    </w:pPr>
    <w:rPr>
      <w:sz w:val="18"/>
      <w:szCs w:val="18"/>
    </w:rPr>
  </w:style>
  <w:style w:type="paragraph" w:customStyle="1" w:styleId="TableTextIndent1">
    <w:name w:val="Table Text Indent1"/>
    <w:basedOn w:val="Normal"/>
    <w:qFormat/>
    <w:rsid w:val="00D27BDB"/>
    <w:pPr>
      <w:spacing w:before="60" w:after="60"/>
      <w:ind w:left="245"/>
    </w:pPr>
    <w:rPr>
      <w:sz w:val="18"/>
    </w:rPr>
  </w:style>
  <w:style w:type="numbering" w:customStyle="1" w:styleId="Format4">
    <w:name w:val="Format4"/>
    <w:rsid w:val="00C616E9"/>
    <w:pPr>
      <w:numPr>
        <w:numId w:val="3"/>
      </w:numPr>
    </w:pPr>
  </w:style>
  <w:style w:type="paragraph" w:customStyle="1" w:styleId="TableText">
    <w:name w:val="Table Text"/>
    <w:basedOn w:val="Normal"/>
    <w:qFormat/>
    <w:rsid w:val="00F57A62"/>
    <w:pPr>
      <w:spacing w:before="60" w:after="60"/>
    </w:pPr>
    <w:rPr>
      <w:sz w:val="18"/>
    </w:rPr>
  </w:style>
  <w:style w:type="paragraph" w:customStyle="1" w:styleId="ESHeading2">
    <w:name w:val="ES_Heading2"/>
    <w:basedOn w:val="AppHeading2"/>
    <w:qFormat/>
    <w:rsid w:val="00373093"/>
  </w:style>
  <w:style w:type="paragraph" w:customStyle="1" w:styleId="ESHeading3">
    <w:name w:val="ES_Heading3"/>
    <w:basedOn w:val="AppHeading3"/>
    <w:qFormat/>
    <w:rsid w:val="00373093"/>
  </w:style>
  <w:style w:type="paragraph" w:customStyle="1" w:styleId="Tablecont">
    <w:name w:val="Table_cont"/>
    <w:basedOn w:val="TableText"/>
    <w:qFormat/>
    <w:rsid w:val="00DE6578"/>
    <w:pPr>
      <w:spacing w:before="40" w:after="0"/>
      <w:ind w:right="-86"/>
      <w:jc w:val="right"/>
    </w:pPr>
  </w:style>
  <w:style w:type="paragraph" w:customStyle="1" w:styleId="ESHeading4">
    <w:name w:val="ES_Heading4"/>
    <w:basedOn w:val="Heading4"/>
    <w:qFormat/>
    <w:rsid w:val="00CD242E"/>
  </w:style>
  <w:style w:type="paragraph" w:customStyle="1" w:styleId="Covertext">
    <w:name w:val="Cover text"/>
    <w:basedOn w:val="Normal"/>
    <w:rsid w:val="00382287"/>
    <w:pPr>
      <w:spacing w:line="480" w:lineRule="auto"/>
    </w:pPr>
    <w:rPr>
      <w:rFonts w:ascii="Arial" w:hAnsi="Arial"/>
      <w:sz w:val="24"/>
    </w:rPr>
  </w:style>
  <w:style w:type="character" w:customStyle="1" w:styleId="BalloonTextChar">
    <w:name w:val="Balloon Text Char"/>
    <w:link w:val="BalloonText"/>
    <w:uiPriority w:val="99"/>
    <w:semiHidden/>
    <w:rsid w:val="003669CD"/>
    <w:rPr>
      <w:rFonts w:ascii="Segoe UI" w:eastAsia="SimSun" w:hAnsi="Segoe UI" w:cs="Segoe UI"/>
      <w:sz w:val="18"/>
      <w:szCs w:val="18"/>
      <w:lang w:eastAsia="zh-CN"/>
    </w:rPr>
  </w:style>
  <w:style w:type="paragraph" w:customStyle="1" w:styleId="Coverboldheadings">
    <w:name w:val="Cover bold headings"/>
    <w:basedOn w:val="Normal"/>
    <w:rsid w:val="00382287"/>
    <w:pPr>
      <w:spacing w:line="480" w:lineRule="auto"/>
    </w:pPr>
    <w:rPr>
      <w:rFonts w:ascii="Arial" w:hAnsi="Arial" w:cs="Arial"/>
      <w:b/>
      <w:sz w:val="26"/>
    </w:rPr>
  </w:style>
  <w:style w:type="character" w:customStyle="1" w:styleId="CommentTextChar">
    <w:name w:val="Comment Text Char"/>
    <w:link w:val="CommentText"/>
    <w:uiPriority w:val="99"/>
    <w:semiHidden/>
    <w:rsid w:val="00382287"/>
    <w:rPr>
      <w:rFonts w:eastAsia="MS Mincho"/>
    </w:rPr>
  </w:style>
  <w:style w:type="paragraph" w:customStyle="1" w:styleId="Bullet1">
    <w:name w:val="Bullet 1"/>
    <w:basedOn w:val="Normal"/>
    <w:rsid w:val="00382287"/>
    <w:pPr>
      <w:numPr>
        <w:numId w:val="5"/>
      </w:numPr>
      <w:tabs>
        <w:tab w:val="clear" w:pos="1440"/>
        <w:tab w:val="num" w:pos="1080"/>
      </w:tabs>
      <w:spacing w:before="120" w:line="480" w:lineRule="auto"/>
      <w:ind w:left="1080"/>
    </w:pPr>
    <w:rPr>
      <w:rFonts w:ascii="Times New Roman" w:hAnsi="Times New Roman"/>
      <w:sz w:val="24"/>
    </w:rPr>
  </w:style>
  <w:style w:type="paragraph" w:customStyle="1" w:styleId="paragraph">
    <w:name w:val="paragraph"/>
    <w:basedOn w:val="Normal"/>
    <w:link w:val="paragraphChar"/>
    <w:qFormat/>
    <w:rsid w:val="00382287"/>
    <w:pPr>
      <w:spacing w:after="240" w:line="480" w:lineRule="auto"/>
      <w:ind w:firstLine="720"/>
    </w:pPr>
    <w:rPr>
      <w:rFonts w:ascii="Times New Roman" w:hAnsi="Times New Roman"/>
      <w:sz w:val="24"/>
    </w:rPr>
  </w:style>
  <w:style w:type="character" w:customStyle="1" w:styleId="paragraphChar">
    <w:name w:val="paragraph Char"/>
    <w:link w:val="paragraph"/>
    <w:locked/>
    <w:rsid w:val="00382287"/>
    <w:rPr>
      <w:sz w:val="24"/>
    </w:rPr>
  </w:style>
  <w:style w:type="paragraph" w:customStyle="1" w:styleId="tabfigtitle">
    <w:name w:val="tab/fig title"/>
    <w:basedOn w:val="Normal"/>
    <w:rsid w:val="00382287"/>
    <w:pPr>
      <w:spacing w:before="120" w:line="480" w:lineRule="auto"/>
    </w:pPr>
    <w:rPr>
      <w:rFonts w:ascii="Arial" w:hAnsi="Arial"/>
      <w:b/>
      <w:sz w:val="24"/>
    </w:rPr>
  </w:style>
  <w:style w:type="paragraph" w:customStyle="1" w:styleId="Tabletext0">
    <w:name w:val="Table text"/>
    <w:qFormat/>
    <w:rsid w:val="00382287"/>
    <w:pPr>
      <w:spacing w:line="480" w:lineRule="auto"/>
    </w:pPr>
    <w:rPr>
      <w:rFonts w:ascii="Arial" w:hAnsi="Arial"/>
      <w:sz w:val="22"/>
    </w:rPr>
  </w:style>
  <w:style w:type="character" w:customStyle="1" w:styleId="FooterChar">
    <w:name w:val="Footer Char"/>
    <w:link w:val="Footer"/>
    <w:rsid w:val="003669CD"/>
    <w:rPr>
      <w:rFonts w:eastAsia="SimSun"/>
      <w:b/>
      <w:szCs w:val="22"/>
      <w:lang w:eastAsia="zh-CN"/>
    </w:rPr>
  </w:style>
  <w:style w:type="character" w:customStyle="1" w:styleId="HeaderChar">
    <w:name w:val="Header Char"/>
    <w:link w:val="Header"/>
    <w:rsid w:val="003669CD"/>
    <w:rPr>
      <w:rFonts w:eastAsia="SimSun"/>
      <w:i/>
      <w:sz w:val="18"/>
      <w:szCs w:val="22"/>
      <w:lang w:eastAsia="zh-CN"/>
    </w:rPr>
  </w:style>
  <w:style w:type="paragraph" w:customStyle="1" w:styleId="Tabletextindented">
    <w:name w:val="Table text indented"/>
    <w:basedOn w:val="Tabletext0"/>
    <w:qFormat/>
    <w:rsid w:val="00382287"/>
    <w:pPr>
      <w:ind w:left="180"/>
    </w:pPr>
  </w:style>
  <w:style w:type="paragraph" w:customStyle="1" w:styleId="Bullet2">
    <w:name w:val="Bullet 2"/>
    <w:basedOn w:val="Bullet1"/>
    <w:rsid w:val="009D5AF4"/>
    <w:pPr>
      <w:numPr>
        <w:numId w:val="6"/>
      </w:numPr>
    </w:pPr>
  </w:style>
  <w:style w:type="character" w:customStyle="1" w:styleId="Heading8Char">
    <w:name w:val="Heading 8 Char"/>
    <w:basedOn w:val="DefaultParagraphFont"/>
    <w:link w:val="Heading8"/>
    <w:rsid w:val="00B41A9A"/>
    <w:rPr>
      <w:rFonts w:ascii="Arial" w:hAnsi="Arial"/>
      <w:i/>
    </w:rPr>
  </w:style>
  <w:style w:type="character" w:customStyle="1" w:styleId="Heading9Char">
    <w:name w:val="Heading 9 Char"/>
    <w:basedOn w:val="DefaultParagraphFont"/>
    <w:link w:val="Heading9"/>
    <w:rsid w:val="00B41A9A"/>
    <w:rPr>
      <w:rFonts w:ascii="Arial" w:hAnsi="Arial"/>
      <w:b/>
      <w:i/>
      <w:sz w:val="18"/>
    </w:rPr>
  </w:style>
  <w:style w:type="character" w:customStyle="1" w:styleId="Heading1Char">
    <w:name w:val="Heading 1 Char"/>
    <w:link w:val="Heading1"/>
    <w:uiPriority w:val="9"/>
    <w:rsid w:val="003669CD"/>
    <w:rPr>
      <w:rFonts w:eastAsia="SimSun"/>
      <w:b/>
      <w:bCs/>
      <w:kern w:val="28"/>
      <w:sz w:val="26"/>
      <w:szCs w:val="28"/>
      <w:lang w:eastAsia="zh-CN"/>
    </w:rPr>
  </w:style>
  <w:style w:type="character" w:customStyle="1" w:styleId="Heading2Char">
    <w:name w:val="Heading 2 Char"/>
    <w:link w:val="Heading2"/>
    <w:uiPriority w:val="9"/>
    <w:rsid w:val="003669CD"/>
    <w:rPr>
      <w:rFonts w:eastAsia="MS Mincho"/>
      <w:b/>
      <w:kern w:val="28"/>
      <w:sz w:val="24"/>
      <w:szCs w:val="24"/>
    </w:rPr>
  </w:style>
  <w:style w:type="character" w:customStyle="1" w:styleId="EndnoteTextChar">
    <w:name w:val="Endnote Text Char"/>
    <w:link w:val="EndnoteText"/>
    <w:uiPriority w:val="99"/>
    <w:rsid w:val="003669CD"/>
    <w:rPr>
      <w:rFonts w:eastAsia="SimSun"/>
      <w:lang w:eastAsia="zh-CN"/>
    </w:rPr>
  </w:style>
  <w:style w:type="character" w:styleId="EndnoteReference">
    <w:name w:val="endnote reference"/>
    <w:uiPriority w:val="99"/>
    <w:unhideWhenUsed/>
    <w:rsid w:val="003669CD"/>
    <w:rPr>
      <w:rFonts w:ascii="Verdana" w:hAnsi="Verdana"/>
      <w:spacing w:val="0"/>
      <w:w w:val="100"/>
      <w:kern w:val="0"/>
      <w:position w:val="0"/>
      <w:vertAlign w:val="superscript"/>
    </w:rPr>
  </w:style>
  <w:style w:type="table" w:styleId="TableSimple1">
    <w:name w:val="Table Simple 1"/>
    <w:basedOn w:val="TableNormal"/>
    <w:uiPriority w:val="99"/>
    <w:rsid w:val="00B41A9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CommentSubject">
    <w:name w:val="annotation subject"/>
    <w:basedOn w:val="CommentText"/>
    <w:next w:val="CommentText"/>
    <w:link w:val="CommentSubjectChar"/>
    <w:rsid w:val="00B41A9A"/>
    <w:pPr>
      <w:spacing w:line="240" w:lineRule="atLeast"/>
    </w:pPr>
    <w:rPr>
      <w:b/>
      <w:bCs/>
    </w:rPr>
  </w:style>
  <w:style w:type="character" w:customStyle="1" w:styleId="CommentSubjectChar">
    <w:name w:val="Comment Subject Char"/>
    <w:basedOn w:val="CommentTextChar"/>
    <w:link w:val="CommentSubject"/>
    <w:rsid w:val="00B41A9A"/>
    <w:rPr>
      <w:rFonts w:eastAsia="MS Mincho"/>
      <w:b/>
      <w:bCs/>
    </w:rPr>
  </w:style>
  <w:style w:type="table" w:styleId="TableElegant">
    <w:name w:val="Table Elegant"/>
    <w:basedOn w:val="TableNormal"/>
    <w:uiPriority w:val="99"/>
    <w:rsid w:val="00B41A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lassic1">
    <w:name w:val="Table Classic 1"/>
    <w:basedOn w:val="TableNormal"/>
    <w:uiPriority w:val="99"/>
    <w:rsid w:val="00B41A9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rfulShading-Accent1">
    <w:name w:val="Colorful Shading Accent 1"/>
    <w:basedOn w:val="TableNormal"/>
    <w:uiPriority w:val="71"/>
    <w:rsid w:val="00B41A9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NormalWeb">
    <w:name w:val="Normal (Web)"/>
    <w:basedOn w:val="Normal"/>
    <w:uiPriority w:val="99"/>
    <w:rsid w:val="00B41A9A"/>
    <w:pPr>
      <w:spacing w:before="100" w:beforeAutospacing="1" w:after="100" w:afterAutospacing="1"/>
    </w:pPr>
    <w:rPr>
      <w:rFonts w:ascii="Times New Roman" w:hAnsi="Times New Roman"/>
      <w:sz w:val="24"/>
      <w:szCs w:val="24"/>
    </w:rPr>
  </w:style>
  <w:style w:type="paragraph" w:styleId="ListParagraph">
    <w:name w:val="List Paragraph"/>
    <w:basedOn w:val="Basetext"/>
    <w:uiPriority w:val="34"/>
    <w:qFormat/>
    <w:rsid w:val="003669CD"/>
    <w:pPr>
      <w:ind w:left="720"/>
    </w:pPr>
  </w:style>
  <w:style w:type="character" w:styleId="PlaceholderText">
    <w:name w:val="Placeholder Text"/>
    <w:uiPriority w:val="99"/>
    <w:semiHidden/>
    <w:rsid w:val="00B41A9A"/>
    <w:rPr>
      <w:color w:val="808080"/>
    </w:rPr>
  </w:style>
  <w:style w:type="character" w:customStyle="1" w:styleId="Heading3Char">
    <w:name w:val="Heading 3 Char"/>
    <w:link w:val="Heading3"/>
    <w:uiPriority w:val="9"/>
    <w:rsid w:val="003669CD"/>
    <w:rPr>
      <w:rFonts w:eastAsia="MS Mincho"/>
      <w:b/>
      <w:i/>
      <w:kern w:val="28"/>
      <w:sz w:val="22"/>
    </w:rPr>
  </w:style>
  <w:style w:type="character" w:customStyle="1" w:styleId="Heading4Char">
    <w:name w:val="Heading 4 Char"/>
    <w:link w:val="Heading4"/>
    <w:uiPriority w:val="9"/>
    <w:rsid w:val="003669CD"/>
    <w:rPr>
      <w:rFonts w:eastAsia="SimSun"/>
      <w:bCs/>
      <w:i/>
      <w:iCs/>
      <w:kern w:val="28"/>
      <w:sz w:val="22"/>
      <w:szCs w:val="22"/>
      <w:lang w:eastAsia="zh-CN"/>
    </w:rPr>
  </w:style>
  <w:style w:type="character" w:customStyle="1" w:styleId="Heading5Char">
    <w:name w:val="Heading 5 Char"/>
    <w:link w:val="Heading5"/>
    <w:uiPriority w:val="9"/>
    <w:rsid w:val="003669CD"/>
    <w:rPr>
      <w:rFonts w:eastAsia="SimSun"/>
      <w:b/>
      <w:i/>
      <w:kern w:val="28"/>
      <w:szCs w:val="22"/>
      <w:lang w:eastAsia="zh-CN"/>
    </w:rPr>
  </w:style>
  <w:style w:type="character" w:customStyle="1" w:styleId="Heading6Char">
    <w:name w:val="Heading 6 Char"/>
    <w:link w:val="Heading6"/>
    <w:uiPriority w:val="9"/>
    <w:rsid w:val="003669CD"/>
    <w:rPr>
      <w:rFonts w:eastAsia="SimSun"/>
      <w:b/>
      <w:bCs/>
      <w:kern w:val="28"/>
      <w:szCs w:val="22"/>
      <w:lang w:eastAsia="zh-CN"/>
    </w:rPr>
  </w:style>
  <w:style w:type="character" w:customStyle="1" w:styleId="Heading7Char">
    <w:name w:val="Heading 7 Char"/>
    <w:link w:val="Heading7"/>
    <w:uiPriority w:val="9"/>
    <w:rsid w:val="003669CD"/>
    <w:rPr>
      <w:rFonts w:eastAsia="MS Mincho"/>
      <w:b/>
      <w:i/>
      <w:kern w:val="28"/>
    </w:rPr>
  </w:style>
  <w:style w:type="character" w:customStyle="1" w:styleId="TitleChar">
    <w:name w:val="Title Char"/>
    <w:link w:val="Title"/>
    <w:uiPriority w:val="10"/>
    <w:rsid w:val="00B41A9A"/>
    <w:rPr>
      <w:rFonts w:ascii="Cambria" w:hAnsi="Cambria"/>
      <w:spacing w:val="5"/>
      <w:sz w:val="52"/>
      <w:szCs w:val="52"/>
    </w:rPr>
  </w:style>
  <w:style w:type="paragraph" w:styleId="Title">
    <w:name w:val="Title"/>
    <w:basedOn w:val="Normal"/>
    <w:next w:val="Normal"/>
    <w:link w:val="TitleChar"/>
    <w:uiPriority w:val="10"/>
    <w:qFormat/>
    <w:rsid w:val="00B41A9A"/>
    <w:pPr>
      <w:pBdr>
        <w:bottom w:val="single" w:sz="4" w:space="1" w:color="auto"/>
      </w:pBdr>
      <w:spacing w:after="200" w:line="240" w:lineRule="atLeast"/>
      <w:contextualSpacing/>
    </w:pPr>
    <w:rPr>
      <w:rFonts w:ascii="Cambria" w:hAnsi="Cambria"/>
      <w:spacing w:val="5"/>
      <w:sz w:val="52"/>
      <w:szCs w:val="52"/>
    </w:rPr>
  </w:style>
  <w:style w:type="character" w:customStyle="1" w:styleId="SubtitleChar">
    <w:name w:val="Subtitle Char"/>
    <w:link w:val="Subtitle"/>
    <w:uiPriority w:val="11"/>
    <w:rsid w:val="003669CD"/>
    <w:rPr>
      <w:rFonts w:ascii="Times New Roman" w:eastAsia="SimSun" w:hAnsi="Times New Roman"/>
      <w:b/>
      <w:iCs/>
      <w:spacing w:val="15"/>
      <w:sz w:val="36"/>
      <w:szCs w:val="24"/>
      <w:lang w:eastAsia="zh-CN"/>
    </w:rPr>
  </w:style>
  <w:style w:type="paragraph" w:styleId="Subtitle">
    <w:name w:val="Subtitle"/>
    <w:basedOn w:val="Normal"/>
    <w:next w:val="Normal"/>
    <w:link w:val="SubtitleChar"/>
    <w:uiPriority w:val="11"/>
    <w:qFormat/>
    <w:rsid w:val="003669CD"/>
    <w:pPr>
      <w:numPr>
        <w:ilvl w:val="1"/>
      </w:numPr>
      <w:spacing w:after="2400"/>
      <w:jc w:val="right"/>
      <w:outlineLvl w:val="1"/>
    </w:pPr>
    <w:rPr>
      <w:rFonts w:ascii="Times New Roman" w:hAnsi="Times New Roman"/>
      <w:b/>
      <w:iCs/>
      <w:spacing w:val="15"/>
      <w:sz w:val="36"/>
      <w:szCs w:val="24"/>
    </w:rPr>
  </w:style>
  <w:style w:type="character" w:customStyle="1" w:styleId="QuoteChar">
    <w:name w:val="Quote Char"/>
    <w:link w:val="Quote"/>
    <w:uiPriority w:val="29"/>
    <w:rsid w:val="003669CD"/>
    <w:rPr>
      <w:rFonts w:eastAsia="SimSun"/>
      <w:iCs/>
      <w:szCs w:val="22"/>
      <w:lang w:eastAsia="zh-CN"/>
    </w:rPr>
  </w:style>
  <w:style w:type="paragraph" w:styleId="Quote">
    <w:name w:val="Quote"/>
    <w:basedOn w:val="Basetext"/>
    <w:link w:val="QuoteChar"/>
    <w:uiPriority w:val="29"/>
    <w:rsid w:val="003669CD"/>
    <w:pPr>
      <w:spacing w:after="160" w:line="280" w:lineRule="atLeast"/>
      <w:ind w:left="720" w:right="720"/>
    </w:pPr>
    <w:rPr>
      <w:iCs/>
    </w:rPr>
  </w:style>
  <w:style w:type="character" w:customStyle="1" w:styleId="QuoteChar1">
    <w:name w:val="Quote Char1"/>
    <w:basedOn w:val="DefaultParagraphFont"/>
    <w:uiPriority w:val="29"/>
    <w:rsid w:val="00B41A9A"/>
    <w:rPr>
      <w:rFonts w:ascii="Verdana" w:eastAsia="MS Mincho" w:hAnsi="Verdana"/>
      <w:i/>
      <w:iCs/>
      <w:color w:val="000000" w:themeColor="text1"/>
    </w:rPr>
  </w:style>
  <w:style w:type="character" w:customStyle="1" w:styleId="IntenseQuoteChar">
    <w:name w:val="Intense Quote Char"/>
    <w:link w:val="IntenseQuote"/>
    <w:uiPriority w:val="30"/>
    <w:rsid w:val="00B41A9A"/>
    <w:rPr>
      <w:rFonts w:ascii="Calibri" w:hAnsi="Calibri" w:cs="Arial"/>
      <w:b/>
      <w:bCs/>
      <w:i/>
      <w:iCs/>
      <w:sz w:val="22"/>
      <w:szCs w:val="22"/>
    </w:rPr>
  </w:style>
  <w:style w:type="paragraph" w:styleId="IntenseQuote">
    <w:name w:val="Intense Quote"/>
    <w:basedOn w:val="Normal"/>
    <w:next w:val="Normal"/>
    <w:link w:val="IntenseQuoteChar"/>
    <w:uiPriority w:val="30"/>
    <w:qFormat/>
    <w:rsid w:val="00B41A9A"/>
    <w:pPr>
      <w:pBdr>
        <w:bottom w:val="single" w:sz="4" w:space="1" w:color="auto"/>
      </w:pBdr>
      <w:spacing w:before="200" w:after="280" w:line="276" w:lineRule="auto"/>
      <w:ind w:left="1008" w:right="1152"/>
      <w:jc w:val="both"/>
    </w:pPr>
    <w:rPr>
      <w:rFonts w:ascii="Calibri" w:hAnsi="Calibri" w:cs="Arial"/>
      <w:b/>
      <w:bCs/>
      <w:i/>
      <w:iCs/>
      <w:sz w:val="22"/>
    </w:rPr>
  </w:style>
  <w:style w:type="character" w:customStyle="1" w:styleId="IntenseQuoteChar1">
    <w:name w:val="Intense Quote Char1"/>
    <w:basedOn w:val="DefaultParagraphFont"/>
    <w:uiPriority w:val="30"/>
    <w:rsid w:val="00B41A9A"/>
    <w:rPr>
      <w:rFonts w:ascii="Verdana" w:eastAsia="MS Mincho" w:hAnsi="Verdana"/>
      <w:b/>
      <w:bCs/>
      <w:i/>
      <w:iCs/>
      <w:color w:val="4F81BD" w:themeColor="accent1"/>
    </w:rPr>
  </w:style>
  <w:style w:type="paragraph" w:customStyle="1" w:styleId="Reference">
    <w:name w:val="Reference"/>
    <w:basedOn w:val="Normal"/>
    <w:link w:val="ReferenceChar"/>
    <w:qFormat/>
    <w:rsid w:val="00B41A9A"/>
    <w:pPr>
      <w:spacing w:before="150" w:after="150" w:line="240" w:lineRule="atLeast"/>
      <w:ind w:left="360" w:hanging="360"/>
    </w:pPr>
    <w:rPr>
      <w:rFonts w:ascii="Times New Roman" w:hAnsi="Times New Roman"/>
      <w:sz w:val="24"/>
    </w:rPr>
  </w:style>
  <w:style w:type="character" w:customStyle="1" w:styleId="ReferenceChar">
    <w:name w:val="Reference Char"/>
    <w:link w:val="Reference"/>
    <w:rsid w:val="00B41A9A"/>
    <w:rPr>
      <w:sz w:val="24"/>
    </w:rPr>
  </w:style>
  <w:style w:type="paragraph" w:styleId="Revision">
    <w:name w:val="Revision"/>
    <w:hidden/>
    <w:uiPriority w:val="99"/>
    <w:semiHidden/>
    <w:rsid w:val="00B41A9A"/>
    <w:rPr>
      <w:rFonts w:ascii="Calibri" w:hAnsi="Calibri"/>
      <w:sz w:val="24"/>
      <w:szCs w:val="24"/>
    </w:rPr>
  </w:style>
  <w:style w:type="paragraph" w:customStyle="1" w:styleId="CoverTitle">
    <w:name w:val="Cover Title"/>
    <w:basedOn w:val="Normal"/>
    <w:rsid w:val="00B41A9A"/>
    <w:pPr>
      <w:spacing w:line="480" w:lineRule="auto"/>
    </w:pPr>
    <w:rPr>
      <w:rFonts w:ascii="Arial Black" w:hAnsi="Arial Black"/>
      <w:sz w:val="32"/>
    </w:rPr>
  </w:style>
  <w:style w:type="paragraph" w:styleId="DocumentMap">
    <w:name w:val="Document Map"/>
    <w:basedOn w:val="Normal"/>
    <w:link w:val="DocumentMapChar"/>
    <w:rsid w:val="00B41A9A"/>
    <w:pPr>
      <w:shd w:val="clear" w:color="auto" w:fill="000080"/>
      <w:spacing w:line="240" w:lineRule="atLeast"/>
    </w:pPr>
    <w:rPr>
      <w:rFonts w:ascii="Tahoma" w:hAnsi="Tahoma" w:cs="Tahoma"/>
    </w:rPr>
  </w:style>
  <w:style w:type="character" w:customStyle="1" w:styleId="DocumentMapChar">
    <w:name w:val="Document Map Char"/>
    <w:basedOn w:val="DefaultParagraphFont"/>
    <w:link w:val="DocumentMap"/>
    <w:rsid w:val="00B41A9A"/>
    <w:rPr>
      <w:rFonts w:ascii="Tahoma" w:hAnsi="Tahoma" w:cs="Tahoma"/>
      <w:shd w:val="clear" w:color="auto" w:fill="000080"/>
    </w:rPr>
  </w:style>
  <w:style w:type="character" w:styleId="Emphasis">
    <w:name w:val="Emphasis"/>
    <w:uiPriority w:val="20"/>
    <w:qFormat/>
    <w:rsid w:val="00B41A9A"/>
    <w:rPr>
      <w:i/>
      <w:iCs/>
    </w:rPr>
  </w:style>
  <w:style w:type="character" w:styleId="FollowedHyperlink">
    <w:name w:val="FollowedHyperlink"/>
    <w:uiPriority w:val="99"/>
    <w:rsid w:val="003669CD"/>
    <w:rPr>
      <w:rFonts w:ascii="Verdana" w:hAnsi="Verdana"/>
      <w:color w:val="6F57B5"/>
      <w:u w:val="single"/>
    </w:rPr>
  </w:style>
  <w:style w:type="character" w:customStyle="1" w:styleId="FootnoteTextChar">
    <w:name w:val="Footnote Text Char"/>
    <w:link w:val="FootnoteText"/>
    <w:uiPriority w:val="99"/>
    <w:rsid w:val="003669CD"/>
    <w:rPr>
      <w:rFonts w:eastAsia="SimSun"/>
      <w:sz w:val="18"/>
      <w:lang w:eastAsia="zh-CN"/>
    </w:rPr>
  </w:style>
  <w:style w:type="paragraph" w:customStyle="1" w:styleId="InsertFigure">
    <w:name w:val="Insert Figure"/>
    <w:basedOn w:val="Normal"/>
    <w:qFormat/>
    <w:rsid w:val="00B41A9A"/>
    <w:pPr>
      <w:spacing w:before="120" w:after="120" w:line="320" w:lineRule="atLeast"/>
    </w:pPr>
    <w:rPr>
      <w:rFonts w:ascii="Arial" w:hAnsi="Arial"/>
      <w:sz w:val="22"/>
    </w:rPr>
  </w:style>
  <w:style w:type="paragraph" w:customStyle="1" w:styleId="reference0">
    <w:name w:val="reference"/>
    <w:basedOn w:val="paragraph"/>
    <w:qFormat/>
    <w:rsid w:val="00B41A9A"/>
    <w:pPr>
      <w:ind w:left="720" w:hanging="720"/>
    </w:pPr>
  </w:style>
  <w:style w:type="character" w:styleId="Strong">
    <w:name w:val="Strong"/>
    <w:uiPriority w:val="22"/>
    <w:qFormat/>
    <w:rsid w:val="00B41A9A"/>
    <w:rPr>
      <w:b/>
      <w:bCs/>
    </w:rPr>
  </w:style>
  <w:style w:type="paragraph" w:customStyle="1" w:styleId="Tablebullet1">
    <w:name w:val="Table bullet 1"/>
    <w:rsid w:val="00B41A9A"/>
    <w:pPr>
      <w:numPr>
        <w:numId w:val="7"/>
      </w:numPr>
      <w:spacing w:before="40" w:after="20" w:line="240" w:lineRule="atLeast"/>
    </w:pPr>
    <w:rPr>
      <w:rFonts w:ascii="Arial" w:hAnsi="Arial"/>
      <w:sz w:val="22"/>
    </w:rPr>
  </w:style>
  <w:style w:type="paragraph" w:styleId="Date">
    <w:name w:val="Date"/>
    <w:basedOn w:val="Normal"/>
    <w:next w:val="Normal"/>
    <w:link w:val="DateChar"/>
    <w:rsid w:val="00B41A9A"/>
    <w:pPr>
      <w:spacing w:before="480" w:line="240" w:lineRule="atLeast"/>
    </w:pPr>
    <w:rPr>
      <w:rFonts w:ascii="Arial" w:hAnsi="Arial" w:cs="Arial"/>
      <w:b/>
      <w:sz w:val="32"/>
    </w:rPr>
  </w:style>
  <w:style w:type="character" w:customStyle="1" w:styleId="DateChar">
    <w:name w:val="Date Char"/>
    <w:basedOn w:val="DefaultParagraphFont"/>
    <w:link w:val="Date"/>
    <w:rsid w:val="00B41A9A"/>
    <w:rPr>
      <w:rFonts w:ascii="Arial" w:hAnsi="Arial" w:cs="Arial"/>
      <w:b/>
      <w:sz w:val="32"/>
    </w:rPr>
  </w:style>
  <w:style w:type="paragraph" w:customStyle="1" w:styleId="CoverSubtitle">
    <w:name w:val="Cover Subtitle"/>
    <w:basedOn w:val="Normal"/>
    <w:rsid w:val="00B41A9A"/>
    <w:pPr>
      <w:pBdr>
        <w:bottom w:val="single" w:sz="12" w:space="1" w:color="2760A6"/>
      </w:pBdr>
      <w:spacing w:before="480" w:line="240" w:lineRule="atLeast"/>
    </w:pPr>
    <w:rPr>
      <w:rFonts w:ascii="Arial" w:hAnsi="Arial"/>
      <w:noProof/>
      <w:sz w:val="32"/>
    </w:rPr>
  </w:style>
  <w:style w:type="paragraph" w:styleId="Bibliography">
    <w:name w:val="Bibliography"/>
    <w:basedOn w:val="Normal"/>
    <w:next w:val="Normal"/>
    <w:uiPriority w:val="37"/>
    <w:semiHidden/>
    <w:unhideWhenUsed/>
    <w:rsid w:val="00E374BD"/>
  </w:style>
  <w:style w:type="paragraph" w:styleId="BlockText">
    <w:name w:val="Block Text"/>
    <w:basedOn w:val="Normal"/>
    <w:uiPriority w:val="99"/>
    <w:rsid w:val="003669CD"/>
  </w:style>
  <w:style w:type="paragraph" w:styleId="BodyText3">
    <w:name w:val="Body Text 3"/>
    <w:basedOn w:val="Normal"/>
    <w:link w:val="BodyText3Char"/>
    <w:rsid w:val="00E374BD"/>
    <w:pPr>
      <w:spacing w:after="120"/>
    </w:pPr>
    <w:rPr>
      <w:sz w:val="16"/>
      <w:szCs w:val="16"/>
    </w:rPr>
  </w:style>
  <w:style w:type="character" w:customStyle="1" w:styleId="BodyText3Char">
    <w:name w:val="Body Text 3 Char"/>
    <w:basedOn w:val="DefaultParagraphFont"/>
    <w:link w:val="BodyText3"/>
    <w:rsid w:val="00E374BD"/>
    <w:rPr>
      <w:sz w:val="16"/>
      <w:szCs w:val="16"/>
    </w:rPr>
  </w:style>
  <w:style w:type="paragraph" w:styleId="BodyTextFirstIndent">
    <w:name w:val="Body Text First Indent"/>
    <w:basedOn w:val="BodyText"/>
    <w:link w:val="BodyTextFirstIndentChar"/>
    <w:rsid w:val="00E374BD"/>
    <w:pPr>
      <w:spacing w:after="0" w:line="240" w:lineRule="auto"/>
      <w:ind w:firstLine="360"/>
    </w:pPr>
    <w:rPr>
      <w:snapToGrid w:val="0"/>
    </w:rPr>
  </w:style>
  <w:style w:type="character" w:customStyle="1" w:styleId="BodyTextChar1">
    <w:name w:val="Body Text Char1"/>
    <w:basedOn w:val="DefaultParagraphFont"/>
    <w:rsid w:val="00D6552A"/>
    <w:rPr>
      <w:snapToGrid w:val="0"/>
    </w:rPr>
  </w:style>
  <w:style w:type="character" w:customStyle="1" w:styleId="BodyTextFirstIndentChar">
    <w:name w:val="Body Text First Indent Char"/>
    <w:basedOn w:val="BodyTextChar1"/>
    <w:link w:val="BodyTextFirstIndent"/>
    <w:rsid w:val="00E374BD"/>
    <w:rPr>
      <w:snapToGrid/>
      <w:color w:val="00B050"/>
    </w:rPr>
  </w:style>
  <w:style w:type="paragraph" w:styleId="BodyTextFirstIndent2">
    <w:name w:val="Body Text First Indent 2"/>
    <w:basedOn w:val="BodyTextIndent"/>
    <w:link w:val="BodyTextFirstIndent2Char"/>
    <w:rsid w:val="00E374BD"/>
    <w:pPr>
      <w:ind w:left="360" w:right="0" w:firstLine="360"/>
      <w:jc w:val="left"/>
    </w:pPr>
  </w:style>
  <w:style w:type="character" w:customStyle="1" w:styleId="BodyTextIndentChar">
    <w:name w:val="Body Text Indent Char"/>
    <w:basedOn w:val="DefaultParagraphFont"/>
    <w:link w:val="BodyTextIndent"/>
    <w:semiHidden/>
    <w:rsid w:val="00E374BD"/>
  </w:style>
  <w:style w:type="character" w:customStyle="1" w:styleId="BodyTextFirstIndent2Char">
    <w:name w:val="Body Text First Indent 2 Char"/>
    <w:basedOn w:val="BodyTextIndentChar"/>
    <w:link w:val="BodyTextFirstIndent2"/>
    <w:rsid w:val="00E374BD"/>
  </w:style>
  <w:style w:type="paragraph" w:styleId="Closing">
    <w:name w:val="Closing"/>
    <w:basedOn w:val="Normal"/>
    <w:link w:val="ClosingChar"/>
    <w:rsid w:val="00E374BD"/>
    <w:pPr>
      <w:ind w:left="4320"/>
    </w:pPr>
  </w:style>
  <w:style w:type="character" w:customStyle="1" w:styleId="ClosingChar">
    <w:name w:val="Closing Char"/>
    <w:basedOn w:val="DefaultParagraphFont"/>
    <w:link w:val="Closing"/>
    <w:rsid w:val="00E374BD"/>
  </w:style>
  <w:style w:type="paragraph" w:styleId="E-mailSignature">
    <w:name w:val="E-mail Signature"/>
    <w:basedOn w:val="Normal"/>
    <w:link w:val="E-mailSignatureChar"/>
    <w:rsid w:val="00E374BD"/>
  </w:style>
  <w:style w:type="character" w:customStyle="1" w:styleId="E-mailSignatureChar">
    <w:name w:val="E-mail Signature Char"/>
    <w:basedOn w:val="DefaultParagraphFont"/>
    <w:link w:val="E-mailSignature"/>
    <w:rsid w:val="00E374BD"/>
  </w:style>
  <w:style w:type="paragraph" w:styleId="EnvelopeAddress">
    <w:name w:val="envelope address"/>
    <w:basedOn w:val="Normal"/>
    <w:rsid w:val="00E374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374BD"/>
    <w:rPr>
      <w:rFonts w:asciiTheme="majorHAnsi" w:eastAsiaTheme="majorEastAsia" w:hAnsiTheme="majorHAnsi" w:cstheme="majorBidi"/>
    </w:rPr>
  </w:style>
  <w:style w:type="paragraph" w:styleId="HTMLAddress">
    <w:name w:val="HTML Address"/>
    <w:basedOn w:val="Normal"/>
    <w:link w:val="HTMLAddressChar"/>
    <w:rsid w:val="00E374BD"/>
    <w:rPr>
      <w:i/>
      <w:iCs/>
    </w:rPr>
  </w:style>
  <w:style w:type="character" w:customStyle="1" w:styleId="HTMLAddressChar">
    <w:name w:val="HTML Address Char"/>
    <w:basedOn w:val="DefaultParagraphFont"/>
    <w:link w:val="HTMLAddress"/>
    <w:rsid w:val="00E374BD"/>
    <w:rPr>
      <w:i/>
      <w:iCs/>
    </w:rPr>
  </w:style>
  <w:style w:type="paragraph" w:styleId="HTMLPreformatted">
    <w:name w:val="HTML Preformatted"/>
    <w:basedOn w:val="Normal"/>
    <w:link w:val="HTMLPreformattedChar"/>
    <w:rsid w:val="00E374BD"/>
    <w:rPr>
      <w:rFonts w:ascii="Consolas" w:hAnsi="Consolas"/>
    </w:rPr>
  </w:style>
  <w:style w:type="character" w:customStyle="1" w:styleId="HTMLPreformattedChar">
    <w:name w:val="HTML Preformatted Char"/>
    <w:basedOn w:val="DefaultParagraphFont"/>
    <w:link w:val="HTMLPreformatted"/>
    <w:rsid w:val="00E374BD"/>
    <w:rPr>
      <w:rFonts w:ascii="Consolas" w:hAnsi="Consolas"/>
    </w:rPr>
  </w:style>
  <w:style w:type="paragraph" w:styleId="List">
    <w:name w:val="List"/>
    <w:basedOn w:val="Normal"/>
    <w:rsid w:val="00E374BD"/>
    <w:pPr>
      <w:ind w:left="360" w:hanging="360"/>
      <w:contextualSpacing/>
    </w:pPr>
  </w:style>
  <w:style w:type="paragraph" w:styleId="List2">
    <w:name w:val="List 2"/>
    <w:basedOn w:val="Normal"/>
    <w:rsid w:val="00E374BD"/>
    <w:pPr>
      <w:ind w:left="720" w:hanging="360"/>
      <w:contextualSpacing/>
    </w:pPr>
  </w:style>
  <w:style w:type="paragraph" w:styleId="List3">
    <w:name w:val="List 3"/>
    <w:basedOn w:val="Normal"/>
    <w:rsid w:val="00E374BD"/>
    <w:pPr>
      <w:ind w:left="1080" w:hanging="360"/>
      <w:contextualSpacing/>
    </w:pPr>
  </w:style>
  <w:style w:type="paragraph" w:styleId="List4">
    <w:name w:val="List 4"/>
    <w:basedOn w:val="Normal"/>
    <w:rsid w:val="00E374BD"/>
    <w:pPr>
      <w:ind w:left="1440" w:hanging="360"/>
      <w:contextualSpacing/>
    </w:pPr>
  </w:style>
  <w:style w:type="paragraph" w:styleId="List5">
    <w:name w:val="List 5"/>
    <w:basedOn w:val="Normal"/>
    <w:rsid w:val="00E374BD"/>
    <w:pPr>
      <w:ind w:left="1800" w:hanging="360"/>
      <w:contextualSpacing/>
    </w:pPr>
  </w:style>
  <w:style w:type="paragraph" w:styleId="ListBullet2">
    <w:name w:val="List Bullet 2"/>
    <w:basedOn w:val="Normal"/>
    <w:rsid w:val="00E374BD"/>
    <w:pPr>
      <w:numPr>
        <w:numId w:val="8"/>
      </w:numPr>
      <w:contextualSpacing/>
    </w:pPr>
  </w:style>
  <w:style w:type="paragraph" w:styleId="ListBullet3">
    <w:name w:val="List Bullet 3"/>
    <w:basedOn w:val="Normal"/>
    <w:rsid w:val="00E374BD"/>
    <w:pPr>
      <w:numPr>
        <w:numId w:val="9"/>
      </w:numPr>
      <w:contextualSpacing/>
    </w:pPr>
  </w:style>
  <w:style w:type="paragraph" w:styleId="ListBullet4">
    <w:name w:val="List Bullet 4"/>
    <w:basedOn w:val="Normal"/>
    <w:rsid w:val="00E374BD"/>
    <w:pPr>
      <w:numPr>
        <w:numId w:val="10"/>
      </w:numPr>
      <w:contextualSpacing/>
    </w:pPr>
  </w:style>
  <w:style w:type="paragraph" w:styleId="ListBullet5">
    <w:name w:val="List Bullet 5"/>
    <w:basedOn w:val="Normal"/>
    <w:rsid w:val="00E374BD"/>
    <w:pPr>
      <w:numPr>
        <w:numId w:val="11"/>
      </w:numPr>
      <w:contextualSpacing/>
    </w:pPr>
  </w:style>
  <w:style w:type="paragraph" w:styleId="ListContinue">
    <w:name w:val="List Continue"/>
    <w:basedOn w:val="Basetext"/>
    <w:uiPriority w:val="99"/>
    <w:unhideWhenUsed/>
    <w:rsid w:val="003669CD"/>
    <w:pPr>
      <w:spacing w:after="120"/>
      <w:ind w:left="720"/>
    </w:pPr>
  </w:style>
  <w:style w:type="paragraph" w:styleId="ListContinue2">
    <w:name w:val="List Continue 2"/>
    <w:basedOn w:val="Basetext"/>
    <w:uiPriority w:val="99"/>
    <w:unhideWhenUsed/>
    <w:rsid w:val="003669CD"/>
    <w:pPr>
      <w:spacing w:after="120"/>
      <w:ind w:left="1080"/>
    </w:pPr>
  </w:style>
  <w:style w:type="paragraph" w:styleId="ListContinue3">
    <w:name w:val="List Continue 3"/>
    <w:basedOn w:val="Normal"/>
    <w:rsid w:val="00E374BD"/>
    <w:pPr>
      <w:spacing w:after="120"/>
      <w:ind w:left="1080"/>
      <w:contextualSpacing/>
    </w:pPr>
  </w:style>
  <w:style w:type="paragraph" w:styleId="ListContinue4">
    <w:name w:val="List Continue 4"/>
    <w:basedOn w:val="Normal"/>
    <w:rsid w:val="00E374BD"/>
    <w:pPr>
      <w:spacing w:after="120"/>
      <w:ind w:left="1440"/>
      <w:contextualSpacing/>
    </w:pPr>
  </w:style>
  <w:style w:type="paragraph" w:styleId="ListContinue5">
    <w:name w:val="List Continue 5"/>
    <w:basedOn w:val="Normal"/>
    <w:rsid w:val="00E374BD"/>
    <w:pPr>
      <w:spacing w:after="120"/>
      <w:ind w:left="1800"/>
      <w:contextualSpacing/>
    </w:pPr>
  </w:style>
  <w:style w:type="paragraph" w:styleId="ListNumber">
    <w:name w:val="List Number"/>
    <w:basedOn w:val="Normal"/>
    <w:rsid w:val="00E374BD"/>
    <w:pPr>
      <w:numPr>
        <w:numId w:val="12"/>
      </w:numPr>
      <w:contextualSpacing/>
    </w:pPr>
  </w:style>
  <w:style w:type="paragraph" w:styleId="ListNumber2">
    <w:name w:val="List Number 2"/>
    <w:basedOn w:val="Normal"/>
    <w:rsid w:val="00E374BD"/>
    <w:pPr>
      <w:numPr>
        <w:numId w:val="13"/>
      </w:numPr>
      <w:contextualSpacing/>
    </w:pPr>
  </w:style>
  <w:style w:type="paragraph" w:styleId="ListNumber3">
    <w:name w:val="List Number 3"/>
    <w:basedOn w:val="Normal"/>
    <w:rsid w:val="00E374BD"/>
    <w:pPr>
      <w:numPr>
        <w:numId w:val="14"/>
      </w:numPr>
      <w:contextualSpacing/>
    </w:pPr>
  </w:style>
  <w:style w:type="paragraph" w:styleId="ListNumber4">
    <w:name w:val="List Number 4"/>
    <w:basedOn w:val="Normal"/>
    <w:rsid w:val="00E374BD"/>
    <w:pPr>
      <w:numPr>
        <w:numId w:val="15"/>
      </w:numPr>
      <w:contextualSpacing/>
    </w:pPr>
  </w:style>
  <w:style w:type="paragraph" w:styleId="ListNumber5">
    <w:name w:val="List Number 5"/>
    <w:basedOn w:val="Normal"/>
    <w:rsid w:val="00E374BD"/>
    <w:pPr>
      <w:numPr>
        <w:numId w:val="16"/>
      </w:numPr>
      <w:contextualSpacing/>
    </w:pPr>
  </w:style>
  <w:style w:type="paragraph" w:styleId="MacroText">
    <w:name w:val="macro"/>
    <w:link w:val="MacroTextChar"/>
    <w:rsid w:val="00E374B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E374BD"/>
    <w:rPr>
      <w:rFonts w:ascii="Consolas" w:hAnsi="Consolas"/>
    </w:rPr>
  </w:style>
  <w:style w:type="paragraph" w:styleId="MessageHeader">
    <w:name w:val="Message Header"/>
    <w:basedOn w:val="Normal"/>
    <w:link w:val="MessageHeaderChar"/>
    <w:rsid w:val="00E374B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374BD"/>
    <w:rPr>
      <w:rFonts w:asciiTheme="majorHAnsi" w:eastAsiaTheme="majorEastAsia" w:hAnsiTheme="majorHAnsi" w:cstheme="majorBidi"/>
      <w:sz w:val="24"/>
      <w:szCs w:val="24"/>
      <w:shd w:val="pct20" w:color="auto" w:fill="auto"/>
    </w:rPr>
  </w:style>
  <w:style w:type="paragraph" w:styleId="NoSpacing">
    <w:name w:val="No Spacing"/>
    <w:uiPriority w:val="1"/>
    <w:qFormat/>
    <w:rsid w:val="00E374BD"/>
  </w:style>
  <w:style w:type="paragraph" w:styleId="NormalIndent">
    <w:name w:val="Normal Indent"/>
    <w:basedOn w:val="Normal"/>
    <w:rsid w:val="00E374BD"/>
    <w:pPr>
      <w:ind w:left="720"/>
    </w:pPr>
  </w:style>
  <w:style w:type="paragraph" w:styleId="NoteHeading">
    <w:name w:val="Note Heading"/>
    <w:basedOn w:val="Normal"/>
    <w:next w:val="Normal"/>
    <w:link w:val="NoteHeadingChar"/>
    <w:rsid w:val="00E374BD"/>
  </w:style>
  <w:style w:type="character" w:customStyle="1" w:styleId="NoteHeadingChar">
    <w:name w:val="Note Heading Char"/>
    <w:basedOn w:val="DefaultParagraphFont"/>
    <w:link w:val="NoteHeading"/>
    <w:rsid w:val="00E374BD"/>
  </w:style>
  <w:style w:type="paragraph" w:styleId="PlainText">
    <w:name w:val="Plain Text"/>
    <w:basedOn w:val="Normal"/>
    <w:link w:val="PlainTextChar"/>
    <w:rsid w:val="00E374BD"/>
    <w:rPr>
      <w:rFonts w:ascii="Consolas" w:hAnsi="Consolas"/>
      <w:sz w:val="21"/>
      <w:szCs w:val="21"/>
    </w:rPr>
  </w:style>
  <w:style w:type="character" w:customStyle="1" w:styleId="PlainTextChar">
    <w:name w:val="Plain Text Char"/>
    <w:basedOn w:val="DefaultParagraphFont"/>
    <w:link w:val="PlainText"/>
    <w:rsid w:val="00E374BD"/>
    <w:rPr>
      <w:rFonts w:ascii="Consolas" w:hAnsi="Consolas"/>
      <w:sz w:val="21"/>
      <w:szCs w:val="21"/>
    </w:rPr>
  </w:style>
  <w:style w:type="paragraph" w:styleId="Salutation">
    <w:name w:val="Salutation"/>
    <w:basedOn w:val="Normal"/>
    <w:next w:val="Normal"/>
    <w:link w:val="SalutationChar"/>
    <w:rsid w:val="00E374BD"/>
  </w:style>
  <w:style w:type="character" w:customStyle="1" w:styleId="SalutationChar">
    <w:name w:val="Salutation Char"/>
    <w:basedOn w:val="DefaultParagraphFont"/>
    <w:link w:val="Salutation"/>
    <w:rsid w:val="00E374BD"/>
  </w:style>
  <w:style w:type="paragraph" w:styleId="Signature">
    <w:name w:val="Signature"/>
    <w:basedOn w:val="Normal"/>
    <w:link w:val="SignatureChar"/>
    <w:rsid w:val="00E374BD"/>
    <w:pPr>
      <w:ind w:left="4320"/>
    </w:pPr>
  </w:style>
  <w:style w:type="character" w:customStyle="1" w:styleId="SignatureChar">
    <w:name w:val="Signature Char"/>
    <w:basedOn w:val="DefaultParagraphFont"/>
    <w:link w:val="Signature"/>
    <w:rsid w:val="00E374BD"/>
  </w:style>
  <w:style w:type="paragraph" w:styleId="TableofAuthorities">
    <w:name w:val="table of authorities"/>
    <w:basedOn w:val="Normal"/>
    <w:next w:val="Normal"/>
    <w:rsid w:val="00E374BD"/>
    <w:pPr>
      <w:ind w:left="200" w:hanging="200"/>
    </w:pPr>
  </w:style>
  <w:style w:type="paragraph" w:styleId="TOAHeading">
    <w:name w:val="toa heading"/>
    <w:basedOn w:val="Normal"/>
    <w:next w:val="Normal"/>
    <w:rsid w:val="00E374BD"/>
    <w:pPr>
      <w:spacing w:before="120"/>
    </w:pPr>
    <w:rPr>
      <w:rFonts w:asciiTheme="majorHAnsi" w:eastAsiaTheme="majorEastAsia" w:hAnsiTheme="majorHAnsi" w:cstheme="majorBidi"/>
      <w:b/>
      <w:bCs/>
      <w:sz w:val="24"/>
      <w:szCs w:val="24"/>
    </w:rPr>
  </w:style>
  <w:style w:type="paragraph" w:styleId="TOC4">
    <w:name w:val="toc 4"/>
    <w:basedOn w:val="Basetext"/>
    <w:next w:val="Normal"/>
    <w:uiPriority w:val="39"/>
    <w:unhideWhenUsed/>
    <w:rsid w:val="003669CD"/>
    <w:pPr>
      <w:tabs>
        <w:tab w:val="right" w:leader="dot" w:pos="9360"/>
      </w:tabs>
      <w:spacing w:after="100"/>
      <w:ind w:left="2520" w:hanging="720"/>
    </w:pPr>
    <w:rPr>
      <w:noProof/>
    </w:rPr>
  </w:style>
  <w:style w:type="paragraph" w:styleId="TOCHeading">
    <w:name w:val="TOC Heading"/>
    <w:basedOn w:val="Baseheading"/>
    <w:next w:val="Normal"/>
    <w:uiPriority w:val="39"/>
    <w:unhideWhenUsed/>
    <w:rsid w:val="003669CD"/>
    <w:pPr>
      <w:pageBreakBefore/>
      <w:pBdr>
        <w:bottom w:val="single" w:sz="2" w:space="18" w:color="auto"/>
      </w:pBdr>
      <w:spacing w:before="0" w:after="360"/>
      <w:jc w:val="center"/>
      <w:outlineLvl w:val="9"/>
    </w:pPr>
    <w:rPr>
      <w:kern w:val="0"/>
    </w:rPr>
  </w:style>
  <w:style w:type="paragraph" w:customStyle="1" w:styleId="BodyText1">
    <w:name w:val="Body Text1"/>
    <w:basedOn w:val="Normal"/>
    <w:rsid w:val="00593E0D"/>
    <w:pPr>
      <w:spacing w:before="120" w:after="120"/>
      <w:ind w:firstLine="720"/>
    </w:pPr>
    <w:rPr>
      <w:rFonts w:ascii="Times New Roman" w:eastAsiaTheme="minorHAnsi" w:hAnsi="Times New Roman"/>
      <w:sz w:val="24"/>
      <w:szCs w:val="24"/>
    </w:rPr>
  </w:style>
  <w:style w:type="character" w:customStyle="1" w:styleId="Mention1">
    <w:name w:val="Mention1"/>
    <w:basedOn w:val="DefaultParagraphFont"/>
    <w:uiPriority w:val="99"/>
    <w:semiHidden/>
    <w:unhideWhenUsed/>
    <w:rsid w:val="004E69B9"/>
    <w:rPr>
      <w:color w:val="2B579A"/>
      <w:shd w:val="clear" w:color="auto" w:fill="E6E6E6"/>
    </w:rPr>
  </w:style>
  <w:style w:type="character" w:styleId="UnresolvedMention">
    <w:name w:val="Unresolved Mention"/>
    <w:basedOn w:val="DefaultParagraphFont"/>
    <w:uiPriority w:val="99"/>
    <w:semiHidden/>
    <w:unhideWhenUsed/>
    <w:rsid w:val="00E30D66"/>
    <w:rPr>
      <w:color w:val="605E5C"/>
      <w:shd w:val="clear" w:color="auto" w:fill="E1DFDD"/>
    </w:rPr>
  </w:style>
  <w:style w:type="paragraph" w:customStyle="1" w:styleId="Baseheading">
    <w:name w:val="Base_heading"/>
    <w:rsid w:val="003669CD"/>
    <w:pPr>
      <w:keepNext/>
      <w:spacing w:before="240" w:after="240"/>
      <w:outlineLvl w:val="0"/>
    </w:pPr>
    <w:rPr>
      <w:rFonts w:eastAsia="SimSun"/>
      <w:b/>
      <w:kern w:val="28"/>
      <w:sz w:val="26"/>
      <w:szCs w:val="22"/>
      <w:lang w:eastAsia="zh-CN"/>
    </w:rPr>
  </w:style>
  <w:style w:type="paragraph" w:customStyle="1" w:styleId="ack-header">
    <w:name w:val="ack-header"/>
    <w:basedOn w:val="Baseheading"/>
    <w:rsid w:val="003669CD"/>
    <w:pPr>
      <w:jc w:val="center"/>
    </w:pPr>
  </w:style>
  <w:style w:type="paragraph" w:customStyle="1" w:styleId="Basetext">
    <w:name w:val="Base_text"/>
    <w:rsid w:val="003669CD"/>
    <w:rPr>
      <w:rFonts w:eastAsia="SimSun"/>
      <w:szCs w:val="22"/>
      <w:lang w:eastAsia="zh-CN"/>
    </w:rPr>
  </w:style>
  <w:style w:type="paragraph" w:customStyle="1" w:styleId="ack-text">
    <w:name w:val="ack-text"/>
    <w:basedOn w:val="Basetext"/>
    <w:rsid w:val="003669CD"/>
    <w:pPr>
      <w:spacing w:after="160" w:line="320" w:lineRule="exact"/>
    </w:pPr>
  </w:style>
  <w:style w:type="paragraph" w:customStyle="1" w:styleId="app-heading1">
    <w:name w:val="app-heading_1"/>
    <w:basedOn w:val="Baseheading"/>
    <w:rsid w:val="003669CD"/>
    <w:pPr>
      <w:jc w:val="center"/>
    </w:pPr>
  </w:style>
  <w:style w:type="paragraph" w:customStyle="1" w:styleId="app-heading2">
    <w:name w:val="app-heading_2"/>
    <w:basedOn w:val="Baseheading"/>
    <w:rsid w:val="003669CD"/>
    <w:pPr>
      <w:spacing w:after="120"/>
      <w:ind w:left="720" w:hanging="720"/>
      <w:outlineLvl w:val="1"/>
    </w:pPr>
    <w:rPr>
      <w:sz w:val="24"/>
    </w:rPr>
  </w:style>
  <w:style w:type="paragraph" w:customStyle="1" w:styleId="app-heading3">
    <w:name w:val="app-heading_3"/>
    <w:basedOn w:val="Baseheading"/>
    <w:rsid w:val="003669CD"/>
    <w:pPr>
      <w:spacing w:after="120"/>
      <w:ind w:left="720" w:hanging="720"/>
      <w:outlineLvl w:val="2"/>
    </w:pPr>
    <w:rPr>
      <w:i/>
      <w:sz w:val="22"/>
    </w:rPr>
  </w:style>
  <w:style w:type="paragraph" w:customStyle="1" w:styleId="author-affil-header">
    <w:name w:val="author-affil-header"/>
    <w:basedOn w:val="Baseheading"/>
    <w:rsid w:val="003669CD"/>
    <w:pPr>
      <w:jc w:val="center"/>
    </w:pPr>
  </w:style>
  <w:style w:type="paragraph" w:customStyle="1" w:styleId="author-affil-text">
    <w:name w:val="author-affil-text"/>
    <w:basedOn w:val="Basetext"/>
    <w:rsid w:val="003669CD"/>
    <w:pPr>
      <w:spacing w:after="160" w:line="320" w:lineRule="exact"/>
    </w:pPr>
  </w:style>
  <w:style w:type="paragraph" w:customStyle="1" w:styleId="author-bio-info">
    <w:name w:val="author-bio-info"/>
    <w:basedOn w:val="Basetext"/>
    <w:rsid w:val="003669CD"/>
    <w:pPr>
      <w:spacing w:after="160" w:line="320" w:lineRule="exact"/>
    </w:pPr>
  </w:style>
  <w:style w:type="paragraph" w:customStyle="1" w:styleId="author-list-header">
    <w:name w:val="author-list-header"/>
    <w:basedOn w:val="Baseheading"/>
    <w:rsid w:val="003669CD"/>
    <w:pPr>
      <w:jc w:val="center"/>
    </w:pPr>
  </w:style>
  <w:style w:type="paragraph" w:customStyle="1" w:styleId="author-list-name">
    <w:name w:val="author-list-name"/>
    <w:basedOn w:val="Basetext"/>
    <w:rsid w:val="003669CD"/>
    <w:pPr>
      <w:spacing w:after="160" w:line="320" w:lineRule="exact"/>
    </w:pPr>
  </w:style>
  <w:style w:type="paragraph" w:customStyle="1" w:styleId="biblio-entry">
    <w:name w:val="biblio-entry"/>
    <w:basedOn w:val="Basetext"/>
    <w:rsid w:val="003669CD"/>
    <w:pPr>
      <w:keepLines/>
      <w:spacing w:after="240"/>
      <w:ind w:left="720" w:hanging="720"/>
    </w:pPr>
  </w:style>
  <w:style w:type="paragraph" w:customStyle="1" w:styleId="biblio-header">
    <w:name w:val="biblio-header"/>
    <w:basedOn w:val="Baseheading"/>
    <w:rsid w:val="003669CD"/>
    <w:pPr>
      <w:jc w:val="center"/>
    </w:pPr>
  </w:style>
  <w:style w:type="paragraph" w:customStyle="1" w:styleId="body-textcontinued">
    <w:name w:val="body-text_continued"/>
    <w:basedOn w:val="Basetext"/>
    <w:rsid w:val="003669CD"/>
    <w:pPr>
      <w:spacing w:after="160" w:line="320" w:lineRule="exact"/>
    </w:pPr>
  </w:style>
  <w:style w:type="paragraph" w:customStyle="1" w:styleId="body-textspace-after">
    <w:name w:val="body-text_space-after"/>
    <w:basedOn w:val="Basetext"/>
    <w:rsid w:val="003669CD"/>
    <w:pPr>
      <w:spacing w:after="240" w:line="320" w:lineRule="exact"/>
    </w:pPr>
  </w:style>
  <w:style w:type="paragraph" w:customStyle="1" w:styleId="bullets2nd-level">
    <w:name w:val="bullets_2nd-level"/>
    <w:basedOn w:val="Basetext"/>
    <w:rsid w:val="003669CD"/>
    <w:pPr>
      <w:numPr>
        <w:numId w:val="19"/>
      </w:numPr>
      <w:spacing w:after="120"/>
    </w:pPr>
  </w:style>
  <w:style w:type="paragraph" w:customStyle="1" w:styleId="bullets3rd-level">
    <w:name w:val="bullets_3rd-level"/>
    <w:basedOn w:val="Basetext"/>
    <w:rsid w:val="003669CD"/>
    <w:pPr>
      <w:numPr>
        <w:numId w:val="20"/>
      </w:numPr>
      <w:spacing w:after="120"/>
    </w:pPr>
  </w:style>
  <w:style w:type="paragraph" w:customStyle="1" w:styleId="copyright-permissions">
    <w:name w:val="copyright-permissions"/>
    <w:basedOn w:val="Basetext"/>
    <w:rsid w:val="003669CD"/>
    <w:pPr>
      <w:spacing w:after="160" w:line="320" w:lineRule="exact"/>
    </w:pPr>
  </w:style>
  <w:style w:type="paragraph" w:customStyle="1" w:styleId="cover-address">
    <w:name w:val="cover-address"/>
    <w:basedOn w:val="Basetext"/>
    <w:rsid w:val="003669CD"/>
    <w:pPr>
      <w:contextualSpacing/>
      <w:jc w:val="right"/>
    </w:pPr>
    <w:rPr>
      <w:sz w:val="22"/>
    </w:rPr>
  </w:style>
  <w:style w:type="paragraph" w:customStyle="1" w:styleId="cover-author">
    <w:name w:val="cover-author"/>
    <w:basedOn w:val="Basetext"/>
    <w:rsid w:val="003669CD"/>
    <w:pPr>
      <w:contextualSpacing/>
      <w:jc w:val="right"/>
    </w:pPr>
    <w:rPr>
      <w:b/>
      <w:sz w:val="22"/>
    </w:rPr>
  </w:style>
  <w:style w:type="paragraph" w:customStyle="1" w:styleId="cover-date">
    <w:name w:val="cover-date"/>
    <w:basedOn w:val="Basetext"/>
    <w:rsid w:val="003669CD"/>
    <w:pPr>
      <w:spacing w:before="240" w:after="720"/>
      <w:jc w:val="right"/>
    </w:pPr>
    <w:rPr>
      <w:b/>
      <w:sz w:val="28"/>
    </w:rPr>
  </w:style>
  <w:style w:type="paragraph" w:customStyle="1" w:styleId="cover-project-no">
    <w:name w:val="cover-project-no"/>
    <w:basedOn w:val="Basetext"/>
    <w:rsid w:val="003669CD"/>
    <w:pPr>
      <w:autoSpaceDE w:val="0"/>
      <w:autoSpaceDN w:val="0"/>
      <w:adjustRightInd w:val="0"/>
      <w:spacing w:before="600" w:after="240"/>
      <w:contextualSpacing/>
      <w:jc w:val="right"/>
    </w:pPr>
    <w:rPr>
      <w:rFonts w:eastAsia="Times New Roman"/>
      <w:sz w:val="22"/>
      <w:szCs w:val="24"/>
    </w:rPr>
  </w:style>
  <w:style w:type="paragraph" w:customStyle="1" w:styleId="cover-subtitle">
    <w:name w:val="cover-subtitle"/>
    <w:autoRedefine/>
    <w:rsid w:val="00072BE8"/>
    <w:pPr>
      <w:spacing w:after="3720"/>
    </w:pPr>
    <w:rPr>
      <w:rFonts w:eastAsia="SimSun"/>
      <w:b/>
      <w:kern w:val="28"/>
      <w:sz w:val="36"/>
      <w:szCs w:val="22"/>
      <w:lang w:eastAsia="zh-CN"/>
    </w:rPr>
  </w:style>
  <w:style w:type="paragraph" w:customStyle="1" w:styleId="cover-text">
    <w:name w:val="cover-text"/>
    <w:basedOn w:val="Basetext"/>
    <w:link w:val="cover-textChar"/>
    <w:rsid w:val="003669CD"/>
    <w:pPr>
      <w:spacing w:before="600" w:after="240"/>
      <w:contextualSpacing/>
      <w:jc w:val="right"/>
    </w:pPr>
    <w:rPr>
      <w:sz w:val="22"/>
    </w:rPr>
  </w:style>
  <w:style w:type="character" w:customStyle="1" w:styleId="cover-textChar">
    <w:name w:val="cover-text Char"/>
    <w:link w:val="cover-text"/>
    <w:rsid w:val="003669CD"/>
    <w:rPr>
      <w:rFonts w:eastAsia="SimSun"/>
      <w:sz w:val="22"/>
      <w:szCs w:val="22"/>
      <w:lang w:eastAsia="zh-CN"/>
    </w:rPr>
  </w:style>
  <w:style w:type="paragraph" w:customStyle="1" w:styleId="cover-textbold">
    <w:name w:val="cover-text_bold"/>
    <w:basedOn w:val="Basetext"/>
    <w:rsid w:val="003669CD"/>
    <w:pPr>
      <w:spacing w:before="240" w:after="600"/>
      <w:contextualSpacing/>
      <w:jc w:val="right"/>
    </w:pPr>
    <w:rPr>
      <w:b/>
      <w:sz w:val="22"/>
    </w:rPr>
  </w:style>
  <w:style w:type="paragraph" w:customStyle="1" w:styleId="cover-title">
    <w:name w:val="cover-title"/>
    <w:rsid w:val="001B60B6"/>
    <w:pPr>
      <w:spacing w:before="600" w:after="1200"/>
      <w:contextualSpacing/>
      <w:jc w:val="right"/>
    </w:pPr>
    <w:rPr>
      <w:rFonts w:eastAsia="SimSun"/>
      <w:b/>
      <w:kern w:val="28"/>
      <w:sz w:val="48"/>
      <w:szCs w:val="22"/>
      <w:lang w:eastAsia="zh-CN"/>
    </w:rPr>
  </w:style>
  <w:style w:type="paragraph" w:customStyle="1" w:styleId="Disclaimer">
    <w:name w:val="Disclaimer"/>
    <w:basedOn w:val="Normal"/>
    <w:rsid w:val="003669CD"/>
    <w:pPr>
      <w:spacing w:line="240" w:lineRule="exact"/>
      <w:jc w:val="right"/>
    </w:pPr>
    <w:rPr>
      <w:rFonts w:eastAsia="MS Mincho"/>
      <w:bCs/>
      <w:sz w:val="16"/>
      <w:szCs w:val="16"/>
      <w:lang w:eastAsia="en-US"/>
    </w:rPr>
  </w:style>
  <w:style w:type="paragraph" w:customStyle="1" w:styleId="disclaimer-text">
    <w:name w:val="disclaimer-text"/>
    <w:basedOn w:val="Basetext"/>
    <w:rsid w:val="003669CD"/>
    <w:pPr>
      <w:spacing w:before="240" w:line="240" w:lineRule="exact"/>
      <w:jc w:val="right"/>
    </w:pPr>
    <w:rPr>
      <w:sz w:val="16"/>
    </w:rPr>
  </w:style>
  <w:style w:type="paragraph" w:customStyle="1" w:styleId="DiscussionHeading">
    <w:name w:val="Discussion Heading"/>
    <w:basedOn w:val="Normal"/>
    <w:rsid w:val="003669CD"/>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endnote-header">
    <w:name w:val="endnote-header"/>
    <w:basedOn w:val="Baseheading"/>
    <w:rsid w:val="003669CD"/>
    <w:pPr>
      <w:jc w:val="center"/>
    </w:pPr>
  </w:style>
  <w:style w:type="paragraph" w:customStyle="1" w:styleId="es-heading1">
    <w:name w:val="es-heading_1"/>
    <w:basedOn w:val="Baseheading"/>
    <w:rsid w:val="003669CD"/>
    <w:pPr>
      <w:jc w:val="center"/>
    </w:pPr>
  </w:style>
  <w:style w:type="paragraph" w:customStyle="1" w:styleId="es-heading2">
    <w:name w:val="es-heading_2"/>
    <w:basedOn w:val="Baseheading"/>
    <w:rsid w:val="003669CD"/>
    <w:pPr>
      <w:spacing w:after="120"/>
      <w:ind w:left="720" w:hanging="720"/>
      <w:outlineLvl w:val="1"/>
    </w:pPr>
    <w:rPr>
      <w:sz w:val="24"/>
    </w:rPr>
  </w:style>
  <w:style w:type="paragraph" w:customStyle="1" w:styleId="es-heading3">
    <w:name w:val="es-heading_3"/>
    <w:basedOn w:val="Baseheading"/>
    <w:rsid w:val="003669CD"/>
    <w:pPr>
      <w:spacing w:after="120"/>
      <w:outlineLvl w:val="2"/>
    </w:pPr>
    <w:rPr>
      <w:i/>
      <w:sz w:val="22"/>
    </w:rPr>
  </w:style>
  <w:style w:type="paragraph" w:customStyle="1" w:styleId="es-heading4">
    <w:name w:val="es-heading_4"/>
    <w:basedOn w:val="Baseheading"/>
    <w:rsid w:val="003669CD"/>
    <w:pPr>
      <w:spacing w:after="80"/>
      <w:outlineLvl w:val="3"/>
    </w:pPr>
    <w:rPr>
      <w:b w:val="0"/>
      <w:i/>
      <w:sz w:val="22"/>
    </w:rPr>
  </w:style>
  <w:style w:type="paragraph" w:customStyle="1" w:styleId="figure-inline">
    <w:name w:val="figure-inline"/>
    <w:basedOn w:val="Basetext"/>
    <w:rsid w:val="003669CD"/>
    <w:pPr>
      <w:jc w:val="center"/>
    </w:pPr>
  </w:style>
  <w:style w:type="paragraph" w:customStyle="1" w:styleId="figure-inlinew-box">
    <w:name w:val="figure-inline_w-box"/>
    <w:basedOn w:val="Basetext"/>
    <w:rsid w:val="003669CD"/>
    <w:pPr>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notealt-1">
    <w:name w:val="figure-note_alt-1"/>
    <w:basedOn w:val="Basetext"/>
    <w:rsid w:val="003669CD"/>
    <w:pPr>
      <w:keepLines/>
      <w:spacing w:before="60"/>
      <w:ind w:left="187" w:hanging="187"/>
    </w:pPr>
    <w:rPr>
      <w:sz w:val="18"/>
    </w:rPr>
  </w:style>
  <w:style w:type="paragraph" w:customStyle="1" w:styleId="figure-notealt-2">
    <w:name w:val="figure-note_alt-2"/>
    <w:basedOn w:val="Basetext"/>
    <w:rsid w:val="003669CD"/>
    <w:pPr>
      <w:keepLines/>
      <w:spacing w:before="60" w:after="400"/>
      <w:ind w:left="187" w:hanging="187"/>
    </w:pPr>
    <w:rPr>
      <w:sz w:val="18"/>
    </w:rPr>
  </w:style>
  <w:style w:type="paragraph" w:customStyle="1" w:styleId="figure-notestd">
    <w:name w:val="figure-note_std"/>
    <w:basedOn w:val="Basetext"/>
    <w:rsid w:val="003669CD"/>
    <w:pPr>
      <w:keepLines/>
      <w:spacing w:before="120"/>
      <w:ind w:left="187" w:hanging="187"/>
    </w:pPr>
    <w:rPr>
      <w:sz w:val="18"/>
    </w:rPr>
  </w:style>
  <w:style w:type="paragraph" w:customStyle="1" w:styleId="figure-sourcealt-1">
    <w:name w:val="figure-source_alt-1"/>
    <w:basedOn w:val="Basetext"/>
    <w:rsid w:val="003669CD"/>
    <w:pPr>
      <w:keepLines/>
      <w:spacing w:before="120"/>
      <w:ind w:left="187" w:hanging="187"/>
    </w:pPr>
    <w:rPr>
      <w:sz w:val="18"/>
    </w:rPr>
  </w:style>
  <w:style w:type="paragraph" w:customStyle="1" w:styleId="figure-sourcestd">
    <w:name w:val="figure-source_std"/>
    <w:basedOn w:val="Basetext"/>
    <w:rsid w:val="003669CD"/>
    <w:pPr>
      <w:keepLines/>
      <w:spacing w:before="120" w:after="400"/>
      <w:ind w:left="187" w:hanging="187"/>
    </w:pPr>
    <w:rPr>
      <w:sz w:val="18"/>
    </w:rPr>
  </w:style>
  <w:style w:type="paragraph" w:customStyle="1" w:styleId="figure-title">
    <w:name w:val="figure-title"/>
    <w:basedOn w:val="Basetext"/>
    <w:rsid w:val="003669CD"/>
    <w:pPr>
      <w:keepNext/>
      <w:keepLines/>
      <w:spacing w:before="320" w:after="120"/>
      <w:ind w:left="1440" w:hanging="1440"/>
    </w:pPr>
    <w:rPr>
      <w:b/>
    </w:rPr>
  </w:style>
  <w:style w:type="paragraph" w:customStyle="1" w:styleId="Format4508">
    <w:name w:val="Format4_508"/>
    <w:basedOn w:val="Basetext"/>
    <w:rsid w:val="003669CD"/>
    <w:pPr>
      <w:numPr>
        <w:numId w:val="21"/>
      </w:numPr>
    </w:pPr>
    <w:rPr>
      <w:b/>
      <w:sz w:val="26"/>
    </w:rPr>
  </w:style>
  <w:style w:type="paragraph" w:customStyle="1" w:styleId="keywords-list">
    <w:name w:val="keywords-list"/>
    <w:basedOn w:val="Basetext"/>
    <w:rsid w:val="003669CD"/>
    <w:pPr>
      <w:spacing w:after="160" w:line="320" w:lineRule="exact"/>
    </w:pPr>
  </w:style>
  <w:style w:type="paragraph" w:customStyle="1" w:styleId="Non-XML-Text">
    <w:name w:val="Non-XML-Text"/>
    <w:basedOn w:val="Basetext"/>
    <w:rsid w:val="003669CD"/>
    <w:rPr>
      <w:color w:val="FF0000"/>
    </w:rPr>
  </w:style>
  <w:style w:type="paragraph" w:customStyle="1" w:styleId="numbers">
    <w:name w:val="numbers"/>
    <w:basedOn w:val="Basetext"/>
    <w:rsid w:val="003669CD"/>
    <w:pPr>
      <w:spacing w:after="160"/>
      <w:ind w:left="720" w:hanging="360"/>
    </w:pPr>
  </w:style>
  <w:style w:type="paragraph" w:customStyle="1" w:styleId="numbers2nd-level">
    <w:name w:val="numbers_2nd-level"/>
    <w:basedOn w:val="Basetext"/>
    <w:rsid w:val="003669CD"/>
    <w:pPr>
      <w:spacing w:after="120"/>
      <w:ind w:left="1080" w:hanging="360"/>
    </w:pPr>
  </w:style>
  <w:style w:type="paragraph" w:customStyle="1" w:styleId="pub-series-info">
    <w:name w:val="pub-series-info"/>
    <w:basedOn w:val="Basetext"/>
    <w:rsid w:val="003669CD"/>
    <w:pPr>
      <w:spacing w:after="160" w:line="320" w:lineRule="exact"/>
    </w:pPr>
  </w:style>
  <w:style w:type="table" w:customStyle="1" w:styleId="RTITable">
    <w:name w:val="RTI_Table"/>
    <w:basedOn w:val="TableNormal"/>
    <w:uiPriority w:val="99"/>
    <w:rsid w:val="003669CD"/>
    <w:rPr>
      <w:rFonts w:eastAsia="SimSun"/>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suggested-cite-header">
    <w:name w:val="suggested-cite-header"/>
    <w:basedOn w:val="Baseheading"/>
    <w:rsid w:val="003669CD"/>
    <w:pPr>
      <w:jc w:val="center"/>
    </w:pPr>
  </w:style>
  <w:style w:type="paragraph" w:customStyle="1" w:styleId="suggested-cite-text">
    <w:name w:val="suggested-cite-text"/>
    <w:basedOn w:val="Basetext"/>
    <w:rsid w:val="003669CD"/>
    <w:pPr>
      <w:spacing w:after="160" w:line="320" w:lineRule="exact"/>
    </w:pPr>
  </w:style>
  <w:style w:type="paragraph" w:customStyle="1" w:styleId="summary-header">
    <w:name w:val="summary-header"/>
    <w:basedOn w:val="Baseheading"/>
    <w:rsid w:val="003669CD"/>
    <w:pPr>
      <w:jc w:val="center"/>
    </w:pPr>
  </w:style>
  <w:style w:type="paragraph" w:customStyle="1" w:styleId="summary-text">
    <w:name w:val="summary-text"/>
    <w:basedOn w:val="Basetext"/>
    <w:rsid w:val="003669CD"/>
    <w:pPr>
      <w:spacing w:after="160" w:line="320" w:lineRule="exact"/>
    </w:pPr>
  </w:style>
  <w:style w:type="paragraph" w:customStyle="1" w:styleId="table-bullet2nd">
    <w:name w:val="table-bullet_2nd"/>
    <w:basedOn w:val="Basetext"/>
    <w:rsid w:val="003669CD"/>
    <w:pPr>
      <w:numPr>
        <w:ilvl w:val="1"/>
        <w:numId w:val="23"/>
      </w:numPr>
      <w:spacing w:before="60" w:after="60"/>
    </w:pPr>
    <w:rPr>
      <w:sz w:val="18"/>
    </w:rPr>
  </w:style>
  <w:style w:type="paragraph" w:customStyle="1" w:styleId="table-bulletind">
    <w:name w:val="table-bullet_ind"/>
    <w:basedOn w:val="Basetext"/>
    <w:rsid w:val="003669CD"/>
    <w:pPr>
      <w:numPr>
        <w:numId w:val="24"/>
      </w:numPr>
      <w:spacing w:before="60" w:after="60"/>
    </w:pPr>
    <w:rPr>
      <w:rFonts w:eastAsia="MS Mincho"/>
      <w:sz w:val="18"/>
      <w:szCs w:val="18"/>
      <w:lang w:eastAsia="en-US"/>
    </w:rPr>
  </w:style>
  <w:style w:type="paragraph" w:customStyle="1" w:styleId="table-bulletLM">
    <w:name w:val="table-bullet_LM"/>
    <w:basedOn w:val="Basetext"/>
    <w:rsid w:val="003669CD"/>
    <w:pPr>
      <w:numPr>
        <w:numId w:val="25"/>
      </w:numPr>
      <w:spacing w:before="60" w:after="60"/>
    </w:pPr>
    <w:rPr>
      <w:sz w:val="18"/>
    </w:rPr>
  </w:style>
  <w:style w:type="paragraph" w:customStyle="1" w:styleId="table-continued">
    <w:name w:val="table-continued"/>
    <w:basedOn w:val="Basetext"/>
    <w:rsid w:val="003669CD"/>
    <w:pPr>
      <w:spacing w:before="40"/>
      <w:jc w:val="right"/>
    </w:pPr>
    <w:rPr>
      <w:sz w:val="18"/>
    </w:rPr>
  </w:style>
  <w:style w:type="paragraph" w:customStyle="1" w:styleId="table-headers">
    <w:name w:val="table-headers"/>
    <w:basedOn w:val="Basetext"/>
    <w:rsid w:val="003669CD"/>
    <w:pPr>
      <w:spacing w:before="80" w:after="80"/>
      <w:jc w:val="center"/>
    </w:pPr>
    <w:rPr>
      <w:b/>
      <w:sz w:val="18"/>
    </w:rPr>
  </w:style>
  <w:style w:type="paragraph" w:customStyle="1" w:styleId="table-notealt-1">
    <w:name w:val="table-note_alt-1"/>
    <w:basedOn w:val="Basetext"/>
    <w:rsid w:val="003669CD"/>
    <w:pPr>
      <w:keepLines/>
      <w:spacing w:before="60"/>
      <w:ind w:left="187" w:hanging="187"/>
    </w:pPr>
    <w:rPr>
      <w:sz w:val="18"/>
    </w:rPr>
  </w:style>
  <w:style w:type="paragraph" w:customStyle="1" w:styleId="table-notealt-2">
    <w:name w:val="table-note_alt-2"/>
    <w:basedOn w:val="Basetext"/>
    <w:rsid w:val="003669CD"/>
    <w:pPr>
      <w:keepLines/>
      <w:spacing w:before="60" w:after="400"/>
      <w:ind w:left="187" w:hanging="187"/>
    </w:pPr>
    <w:rPr>
      <w:sz w:val="18"/>
    </w:rPr>
  </w:style>
  <w:style w:type="paragraph" w:customStyle="1" w:styleId="table-notestd">
    <w:name w:val="table-note_std"/>
    <w:basedOn w:val="Basetext"/>
    <w:rsid w:val="003669CD"/>
    <w:pPr>
      <w:keepLines/>
      <w:spacing w:before="120"/>
      <w:ind w:left="187" w:hanging="187"/>
    </w:pPr>
    <w:rPr>
      <w:sz w:val="18"/>
    </w:rPr>
  </w:style>
  <w:style w:type="paragraph" w:customStyle="1" w:styleId="table-sourcealt-1">
    <w:name w:val="table-source_alt-1"/>
    <w:basedOn w:val="Basetext"/>
    <w:rsid w:val="003669CD"/>
    <w:pPr>
      <w:keepLines/>
      <w:spacing w:before="120"/>
      <w:ind w:left="187" w:hanging="187"/>
    </w:pPr>
    <w:rPr>
      <w:sz w:val="18"/>
    </w:rPr>
  </w:style>
  <w:style w:type="paragraph" w:customStyle="1" w:styleId="table-sourcestd">
    <w:name w:val="table-source_std"/>
    <w:basedOn w:val="Basetext"/>
    <w:rsid w:val="003669CD"/>
    <w:pPr>
      <w:keepLines/>
      <w:spacing w:before="120" w:after="400"/>
      <w:ind w:left="187" w:hanging="187"/>
    </w:pPr>
    <w:rPr>
      <w:sz w:val="18"/>
    </w:rPr>
  </w:style>
  <w:style w:type="paragraph" w:customStyle="1" w:styleId="table-text">
    <w:name w:val="table-text"/>
    <w:basedOn w:val="Basetext"/>
    <w:rsid w:val="003669CD"/>
    <w:pPr>
      <w:spacing w:before="60" w:after="60"/>
    </w:pPr>
    <w:rPr>
      <w:sz w:val="18"/>
    </w:rPr>
  </w:style>
  <w:style w:type="paragraph" w:customStyle="1" w:styleId="table-textindent">
    <w:name w:val="table-text_indent"/>
    <w:basedOn w:val="Basetext"/>
    <w:rsid w:val="003669CD"/>
    <w:pPr>
      <w:spacing w:before="60" w:after="60"/>
      <w:ind w:left="245"/>
    </w:pPr>
    <w:rPr>
      <w:sz w:val="18"/>
    </w:rPr>
  </w:style>
  <w:style w:type="paragraph" w:customStyle="1" w:styleId="table-title">
    <w:name w:val="table-title"/>
    <w:basedOn w:val="Basetext"/>
    <w:rsid w:val="003669CD"/>
    <w:pPr>
      <w:keepNext/>
      <w:keepLines/>
      <w:spacing w:before="320" w:after="120"/>
      <w:ind w:left="1440" w:hanging="1440"/>
    </w:pPr>
    <w:rPr>
      <w:b/>
    </w:rPr>
  </w:style>
  <w:style w:type="paragraph" w:customStyle="1" w:styleId="table-titlecontinued">
    <w:name w:val="table-title_continued"/>
    <w:basedOn w:val="Basetext"/>
    <w:rsid w:val="003669CD"/>
    <w:pPr>
      <w:keepNext/>
      <w:keepLines/>
      <w:spacing w:before="320" w:after="120"/>
      <w:ind w:left="1440" w:hanging="1440"/>
    </w:pPr>
    <w:rPr>
      <w:b/>
    </w:rPr>
  </w:style>
  <w:style w:type="paragraph" w:customStyle="1" w:styleId="textbox-bullet">
    <w:name w:val="textbox-bullet"/>
    <w:basedOn w:val="bullets"/>
    <w:rsid w:val="003669CD"/>
    <w:pPr>
      <w:framePr w:hSpace="180" w:wrap="around" w:vAnchor="text" w:hAnchor="text" w:xAlign="right" w:y="1"/>
      <w:numPr>
        <w:numId w:val="0"/>
      </w:numPr>
      <w:spacing w:before="60" w:after="60"/>
      <w:ind w:left="720" w:hanging="360"/>
      <w:suppressOverlap/>
    </w:pPr>
    <w:rPr>
      <w:sz w:val="18"/>
    </w:rPr>
  </w:style>
  <w:style w:type="paragraph" w:customStyle="1" w:styleId="textbox-heading">
    <w:name w:val="textbox-heading"/>
    <w:basedOn w:val="Baseheading"/>
    <w:rsid w:val="003669CD"/>
    <w:pPr>
      <w:spacing w:before="60" w:after="60"/>
      <w:jc w:val="center"/>
    </w:pPr>
    <w:rPr>
      <w:sz w:val="18"/>
    </w:rPr>
  </w:style>
  <w:style w:type="paragraph" w:customStyle="1" w:styleId="textbox-text">
    <w:name w:val="textbox-text"/>
    <w:basedOn w:val="Basetext"/>
    <w:rsid w:val="003669CD"/>
    <w:pPr>
      <w:spacing w:before="60" w:after="60"/>
    </w:pPr>
    <w:rPr>
      <w:sz w:val="18"/>
    </w:rPr>
  </w:style>
  <w:style w:type="paragraph" w:customStyle="1" w:styleId="TOCSubhead">
    <w:name w:val="TOC Subhead"/>
    <w:basedOn w:val="TOC1"/>
    <w:rsid w:val="003669CD"/>
    <w:pPr>
      <w:spacing w:before="360"/>
    </w:pPr>
    <w:rPr>
      <w:rFonts w:eastAsia="MS Mincho"/>
      <w:szCs w:val="20"/>
      <w:lang w:eastAsia="en-US"/>
    </w:rPr>
  </w:style>
  <w:style w:type="paragraph" w:customStyle="1" w:styleId="TOCsubheading">
    <w:name w:val="TOC_subheading"/>
    <w:basedOn w:val="Baseheading"/>
    <w:rsid w:val="003669CD"/>
    <w:pPr>
      <w:tabs>
        <w:tab w:val="right" w:pos="9360"/>
      </w:tabs>
      <w:spacing w:before="0"/>
      <w:outlineLvl w:val="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2704">
      <w:bodyDiv w:val="1"/>
      <w:marLeft w:val="0"/>
      <w:marRight w:val="0"/>
      <w:marTop w:val="0"/>
      <w:marBottom w:val="0"/>
      <w:divBdr>
        <w:top w:val="none" w:sz="0" w:space="0" w:color="auto"/>
        <w:left w:val="none" w:sz="0" w:space="0" w:color="auto"/>
        <w:bottom w:val="none" w:sz="0" w:space="0" w:color="auto"/>
        <w:right w:val="none" w:sz="0" w:space="0" w:color="auto"/>
      </w:divBdr>
    </w:div>
    <w:div w:id="44258391">
      <w:bodyDiv w:val="1"/>
      <w:marLeft w:val="0"/>
      <w:marRight w:val="0"/>
      <w:marTop w:val="0"/>
      <w:marBottom w:val="0"/>
      <w:divBdr>
        <w:top w:val="none" w:sz="0" w:space="0" w:color="auto"/>
        <w:left w:val="none" w:sz="0" w:space="0" w:color="auto"/>
        <w:bottom w:val="none" w:sz="0" w:space="0" w:color="auto"/>
        <w:right w:val="none" w:sz="0" w:space="0" w:color="auto"/>
      </w:divBdr>
    </w:div>
    <w:div w:id="80028525">
      <w:bodyDiv w:val="1"/>
      <w:marLeft w:val="0"/>
      <w:marRight w:val="0"/>
      <w:marTop w:val="0"/>
      <w:marBottom w:val="0"/>
      <w:divBdr>
        <w:top w:val="none" w:sz="0" w:space="0" w:color="auto"/>
        <w:left w:val="none" w:sz="0" w:space="0" w:color="auto"/>
        <w:bottom w:val="none" w:sz="0" w:space="0" w:color="auto"/>
        <w:right w:val="none" w:sz="0" w:space="0" w:color="auto"/>
      </w:divBdr>
    </w:div>
    <w:div w:id="110714468">
      <w:bodyDiv w:val="1"/>
      <w:marLeft w:val="0"/>
      <w:marRight w:val="0"/>
      <w:marTop w:val="0"/>
      <w:marBottom w:val="0"/>
      <w:divBdr>
        <w:top w:val="none" w:sz="0" w:space="0" w:color="auto"/>
        <w:left w:val="none" w:sz="0" w:space="0" w:color="auto"/>
        <w:bottom w:val="none" w:sz="0" w:space="0" w:color="auto"/>
        <w:right w:val="none" w:sz="0" w:space="0" w:color="auto"/>
      </w:divBdr>
    </w:div>
    <w:div w:id="130026909">
      <w:bodyDiv w:val="1"/>
      <w:marLeft w:val="0"/>
      <w:marRight w:val="0"/>
      <w:marTop w:val="0"/>
      <w:marBottom w:val="0"/>
      <w:divBdr>
        <w:top w:val="none" w:sz="0" w:space="0" w:color="auto"/>
        <w:left w:val="none" w:sz="0" w:space="0" w:color="auto"/>
        <w:bottom w:val="none" w:sz="0" w:space="0" w:color="auto"/>
        <w:right w:val="none" w:sz="0" w:space="0" w:color="auto"/>
      </w:divBdr>
    </w:div>
    <w:div w:id="140118301">
      <w:bodyDiv w:val="1"/>
      <w:marLeft w:val="0"/>
      <w:marRight w:val="0"/>
      <w:marTop w:val="0"/>
      <w:marBottom w:val="0"/>
      <w:divBdr>
        <w:top w:val="none" w:sz="0" w:space="0" w:color="auto"/>
        <w:left w:val="none" w:sz="0" w:space="0" w:color="auto"/>
        <w:bottom w:val="none" w:sz="0" w:space="0" w:color="auto"/>
        <w:right w:val="none" w:sz="0" w:space="0" w:color="auto"/>
      </w:divBdr>
    </w:div>
    <w:div w:id="217866266">
      <w:bodyDiv w:val="1"/>
      <w:marLeft w:val="0"/>
      <w:marRight w:val="0"/>
      <w:marTop w:val="0"/>
      <w:marBottom w:val="0"/>
      <w:divBdr>
        <w:top w:val="none" w:sz="0" w:space="0" w:color="auto"/>
        <w:left w:val="none" w:sz="0" w:space="0" w:color="auto"/>
        <w:bottom w:val="none" w:sz="0" w:space="0" w:color="auto"/>
        <w:right w:val="none" w:sz="0" w:space="0" w:color="auto"/>
      </w:divBdr>
    </w:div>
    <w:div w:id="277375902">
      <w:bodyDiv w:val="1"/>
      <w:marLeft w:val="0"/>
      <w:marRight w:val="0"/>
      <w:marTop w:val="0"/>
      <w:marBottom w:val="0"/>
      <w:divBdr>
        <w:top w:val="none" w:sz="0" w:space="0" w:color="auto"/>
        <w:left w:val="none" w:sz="0" w:space="0" w:color="auto"/>
        <w:bottom w:val="none" w:sz="0" w:space="0" w:color="auto"/>
        <w:right w:val="none" w:sz="0" w:space="0" w:color="auto"/>
      </w:divBdr>
    </w:div>
    <w:div w:id="315964291">
      <w:bodyDiv w:val="1"/>
      <w:marLeft w:val="0"/>
      <w:marRight w:val="0"/>
      <w:marTop w:val="0"/>
      <w:marBottom w:val="0"/>
      <w:divBdr>
        <w:top w:val="none" w:sz="0" w:space="0" w:color="auto"/>
        <w:left w:val="none" w:sz="0" w:space="0" w:color="auto"/>
        <w:bottom w:val="none" w:sz="0" w:space="0" w:color="auto"/>
        <w:right w:val="none" w:sz="0" w:space="0" w:color="auto"/>
      </w:divBdr>
    </w:div>
    <w:div w:id="324939535">
      <w:bodyDiv w:val="1"/>
      <w:marLeft w:val="0"/>
      <w:marRight w:val="0"/>
      <w:marTop w:val="0"/>
      <w:marBottom w:val="0"/>
      <w:divBdr>
        <w:top w:val="none" w:sz="0" w:space="0" w:color="auto"/>
        <w:left w:val="none" w:sz="0" w:space="0" w:color="auto"/>
        <w:bottom w:val="none" w:sz="0" w:space="0" w:color="auto"/>
        <w:right w:val="none" w:sz="0" w:space="0" w:color="auto"/>
      </w:divBdr>
    </w:div>
    <w:div w:id="346256274">
      <w:bodyDiv w:val="1"/>
      <w:marLeft w:val="0"/>
      <w:marRight w:val="0"/>
      <w:marTop w:val="0"/>
      <w:marBottom w:val="0"/>
      <w:divBdr>
        <w:top w:val="none" w:sz="0" w:space="0" w:color="auto"/>
        <w:left w:val="none" w:sz="0" w:space="0" w:color="auto"/>
        <w:bottom w:val="none" w:sz="0" w:space="0" w:color="auto"/>
        <w:right w:val="none" w:sz="0" w:space="0" w:color="auto"/>
      </w:divBdr>
    </w:div>
    <w:div w:id="382562035">
      <w:bodyDiv w:val="1"/>
      <w:marLeft w:val="0"/>
      <w:marRight w:val="0"/>
      <w:marTop w:val="0"/>
      <w:marBottom w:val="0"/>
      <w:divBdr>
        <w:top w:val="none" w:sz="0" w:space="0" w:color="auto"/>
        <w:left w:val="none" w:sz="0" w:space="0" w:color="auto"/>
        <w:bottom w:val="none" w:sz="0" w:space="0" w:color="auto"/>
        <w:right w:val="none" w:sz="0" w:space="0" w:color="auto"/>
      </w:divBdr>
    </w:div>
    <w:div w:id="392393581">
      <w:bodyDiv w:val="1"/>
      <w:marLeft w:val="0"/>
      <w:marRight w:val="0"/>
      <w:marTop w:val="0"/>
      <w:marBottom w:val="0"/>
      <w:divBdr>
        <w:top w:val="none" w:sz="0" w:space="0" w:color="auto"/>
        <w:left w:val="none" w:sz="0" w:space="0" w:color="auto"/>
        <w:bottom w:val="none" w:sz="0" w:space="0" w:color="auto"/>
        <w:right w:val="none" w:sz="0" w:space="0" w:color="auto"/>
      </w:divBdr>
    </w:div>
    <w:div w:id="393889161">
      <w:bodyDiv w:val="1"/>
      <w:marLeft w:val="0"/>
      <w:marRight w:val="0"/>
      <w:marTop w:val="0"/>
      <w:marBottom w:val="0"/>
      <w:divBdr>
        <w:top w:val="none" w:sz="0" w:space="0" w:color="auto"/>
        <w:left w:val="none" w:sz="0" w:space="0" w:color="auto"/>
        <w:bottom w:val="none" w:sz="0" w:space="0" w:color="auto"/>
        <w:right w:val="none" w:sz="0" w:space="0" w:color="auto"/>
      </w:divBdr>
    </w:div>
    <w:div w:id="417408203">
      <w:bodyDiv w:val="1"/>
      <w:marLeft w:val="0"/>
      <w:marRight w:val="0"/>
      <w:marTop w:val="0"/>
      <w:marBottom w:val="0"/>
      <w:divBdr>
        <w:top w:val="none" w:sz="0" w:space="0" w:color="auto"/>
        <w:left w:val="none" w:sz="0" w:space="0" w:color="auto"/>
        <w:bottom w:val="none" w:sz="0" w:space="0" w:color="auto"/>
        <w:right w:val="none" w:sz="0" w:space="0" w:color="auto"/>
      </w:divBdr>
    </w:div>
    <w:div w:id="420567378">
      <w:bodyDiv w:val="1"/>
      <w:marLeft w:val="0"/>
      <w:marRight w:val="0"/>
      <w:marTop w:val="0"/>
      <w:marBottom w:val="0"/>
      <w:divBdr>
        <w:top w:val="none" w:sz="0" w:space="0" w:color="auto"/>
        <w:left w:val="none" w:sz="0" w:space="0" w:color="auto"/>
        <w:bottom w:val="none" w:sz="0" w:space="0" w:color="auto"/>
        <w:right w:val="none" w:sz="0" w:space="0" w:color="auto"/>
      </w:divBdr>
    </w:div>
    <w:div w:id="421075143">
      <w:bodyDiv w:val="1"/>
      <w:marLeft w:val="0"/>
      <w:marRight w:val="0"/>
      <w:marTop w:val="0"/>
      <w:marBottom w:val="0"/>
      <w:divBdr>
        <w:top w:val="none" w:sz="0" w:space="0" w:color="auto"/>
        <w:left w:val="none" w:sz="0" w:space="0" w:color="auto"/>
        <w:bottom w:val="none" w:sz="0" w:space="0" w:color="auto"/>
        <w:right w:val="none" w:sz="0" w:space="0" w:color="auto"/>
      </w:divBdr>
    </w:div>
    <w:div w:id="438841819">
      <w:bodyDiv w:val="1"/>
      <w:marLeft w:val="0"/>
      <w:marRight w:val="0"/>
      <w:marTop w:val="0"/>
      <w:marBottom w:val="0"/>
      <w:divBdr>
        <w:top w:val="none" w:sz="0" w:space="0" w:color="auto"/>
        <w:left w:val="none" w:sz="0" w:space="0" w:color="auto"/>
        <w:bottom w:val="none" w:sz="0" w:space="0" w:color="auto"/>
        <w:right w:val="none" w:sz="0" w:space="0" w:color="auto"/>
      </w:divBdr>
    </w:div>
    <w:div w:id="455686923">
      <w:bodyDiv w:val="1"/>
      <w:marLeft w:val="0"/>
      <w:marRight w:val="0"/>
      <w:marTop w:val="0"/>
      <w:marBottom w:val="0"/>
      <w:divBdr>
        <w:top w:val="none" w:sz="0" w:space="0" w:color="auto"/>
        <w:left w:val="none" w:sz="0" w:space="0" w:color="auto"/>
        <w:bottom w:val="none" w:sz="0" w:space="0" w:color="auto"/>
        <w:right w:val="none" w:sz="0" w:space="0" w:color="auto"/>
      </w:divBdr>
    </w:div>
    <w:div w:id="475804022">
      <w:bodyDiv w:val="1"/>
      <w:marLeft w:val="0"/>
      <w:marRight w:val="0"/>
      <w:marTop w:val="0"/>
      <w:marBottom w:val="0"/>
      <w:divBdr>
        <w:top w:val="none" w:sz="0" w:space="0" w:color="auto"/>
        <w:left w:val="none" w:sz="0" w:space="0" w:color="auto"/>
        <w:bottom w:val="none" w:sz="0" w:space="0" w:color="auto"/>
        <w:right w:val="none" w:sz="0" w:space="0" w:color="auto"/>
      </w:divBdr>
    </w:div>
    <w:div w:id="488668104">
      <w:bodyDiv w:val="1"/>
      <w:marLeft w:val="0"/>
      <w:marRight w:val="0"/>
      <w:marTop w:val="0"/>
      <w:marBottom w:val="0"/>
      <w:divBdr>
        <w:top w:val="none" w:sz="0" w:space="0" w:color="auto"/>
        <w:left w:val="none" w:sz="0" w:space="0" w:color="auto"/>
        <w:bottom w:val="none" w:sz="0" w:space="0" w:color="auto"/>
        <w:right w:val="none" w:sz="0" w:space="0" w:color="auto"/>
      </w:divBdr>
    </w:div>
    <w:div w:id="498156665">
      <w:bodyDiv w:val="1"/>
      <w:marLeft w:val="0"/>
      <w:marRight w:val="0"/>
      <w:marTop w:val="0"/>
      <w:marBottom w:val="0"/>
      <w:divBdr>
        <w:top w:val="none" w:sz="0" w:space="0" w:color="auto"/>
        <w:left w:val="none" w:sz="0" w:space="0" w:color="auto"/>
        <w:bottom w:val="none" w:sz="0" w:space="0" w:color="auto"/>
        <w:right w:val="none" w:sz="0" w:space="0" w:color="auto"/>
      </w:divBdr>
    </w:div>
    <w:div w:id="502744180">
      <w:bodyDiv w:val="1"/>
      <w:marLeft w:val="0"/>
      <w:marRight w:val="0"/>
      <w:marTop w:val="0"/>
      <w:marBottom w:val="0"/>
      <w:divBdr>
        <w:top w:val="none" w:sz="0" w:space="0" w:color="auto"/>
        <w:left w:val="none" w:sz="0" w:space="0" w:color="auto"/>
        <w:bottom w:val="none" w:sz="0" w:space="0" w:color="auto"/>
        <w:right w:val="none" w:sz="0" w:space="0" w:color="auto"/>
      </w:divBdr>
    </w:div>
    <w:div w:id="506487188">
      <w:bodyDiv w:val="1"/>
      <w:marLeft w:val="0"/>
      <w:marRight w:val="0"/>
      <w:marTop w:val="0"/>
      <w:marBottom w:val="0"/>
      <w:divBdr>
        <w:top w:val="none" w:sz="0" w:space="0" w:color="auto"/>
        <w:left w:val="none" w:sz="0" w:space="0" w:color="auto"/>
        <w:bottom w:val="none" w:sz="0" w:space="0" w:color="auto"/>
        <w:right w:val="none" w:sz="0" w:space="0" w:color="auto"/>
      </w:divBdr>
    </w:div>
    <w:div w:id="643855561">
      <w:bodyDiv w:val="1"/>
      <w:marLeft w:val="0"/>
      <w:marRight w:val="0"/>
      <w:marTop w:val="0"/>
      <w:marBottom w:val="0"/>
      <w:divBdr>
        <w:top w:val="none" w:sz="0" w:space="0" w:color="auto"/>
        <w:left w:val="none" w:sz="0" w:space="0" w:color="auto"/>
        <w:bottom w:val="none" w:sz="0" w:space="0" w:color="auto"/>
        <w:right w:val="none" w:sz="0" w:space="0" w:color="auto"/>
      </w:divBdr>
    </w:div>
    <w:div w:id="645820416">
      <w:bodyDiv w:val="1"/>
      <w:marLeft w:val="0"/>
      <w:marRight w:val="0"/>
      <w:marTop w:val="0"/>
      <w:marBottom w:val="0"/>
      <w:divBdr>
        <w:top w:val="none" w:sz="0" w:space="0" w:color="auto"/>
        <w:left w:val="none" w:sz="0" w:space="0" w:color="auto"/>
        <w:bottom w:val="none" w:sz="0" w:space="0" w:color="auto"/>
        <w:right w:val="none" w:sz="0" w:space="0" w:color="auto"/>
      </w:divBdr>
    </w:div>
    <w:div w:id="653795499">
      <w:bodyDiv w:val="1"/>
      <w:marLeft w:val="0"/>
      <w:marRight w:val="0"/>
      <w:marTop w:val="0"/>
      <w:marBottom w:val="0"/>
      <w:divBdr>
        <w:top w:val="none" w:sz="0" w:space="0" w:color="auto"/>
        <w:left w:val="none" w:sz="0" w:space="0" w:color="auto"/>
        <w:bottom w:val="none" w:sz="0" w:space="0" w:color="auto"/>
        <w:right w:val="none" w:sz="0" w:space="0" w:color="auto"/>
      </w:divBdr>
    </w:div>
    <w:div w:id="724913119">
      <w:bodyDiv w:val="1"/>
      <w:marLeft w:val="0"/>
      <w:marRight w:val="0"/>
      <w:marTop w:val="0"/>
      <w:marBottom w:val="0"/>
      <w:divBdr>
        <w:top w:val="none" w:sz="0" w:space="0" w:color="auto"/>
        <w:left w:val="none" w:sz="0" w:space="0" w:color="auto"/>
        <w:bottom w:val="none" w:sz="0" w:space="0" w:color="auto"/>
        <w:right w:val="none" w:sz="0" w:space="0" w:color="auto"/>
      </w:divBdr>
    </w:div>
    <w:div w:id="765273402">
      <w:bodyDiv w:val="1"/>
      <w:marLeft w:val="0"/>
      <w:marRight w:val="0"/>
      <w:marTop w:val="0"/>
      <w:marBottom w:val="0"/>
      <w:divBdr>
        <w:top w:val="none" w:sz="0" w:space="0" w:color="auto"/>
        <w:left w:val="none" w:sz="0" w:space="0" w:color="auto"/>
        <w:bottom w:val="none" w:sz="0" w:space="0" w:color="auto"/>
        <w:right w:val="none" w:sz="0" w:space="0" w:color="auto"/>
      </w:divBdr>
    </w:div>
    <w:div w:id="836580523">
      <w:bodyDiv w:val="1"/>
      <w:marLeft w:val="0"/>
      <w:marRight w:val="0"/>
      <w:marTop w:val="0"/>
      <w:marBottom w:val="0"/>
      <w:divBdr>
        <w:top w:val="none" w:sz="0" w:space="0" w:color="auto"/>
        <w:left w:val="none" w:sz="0" w:space="0" w:color="auto"/>
        <w:bottom w:val="none" w:sz="0" w:space="0" w:color="auto"/>
        <w:right w:val="none" w:sz="0" w:space="0" w:color="auto"/>
      </w:divBdr>
    </w:div>
    <w:div w:id="890075174">
      <w:bodyDiv w:val="1"/>
      <w:marLeft w:val="0"/>
      <w:marRight w:val="0"/>
      <w:marTop w:val="0"/>
      <w:marBottom w:val="0"/>
      <w:divBdr>
        <w:top w:val="none" w:sz="0" w:space="0" w:color="auto"/>
        <w:left w:val="none" w:sz="0" w:space="0" w:color="auto"/>
        <w:bottom w:val="none" w:sz="0" w:space="0" w:color="auto"/>
        <w:right w:val="none" w:sz="0" w:space="0" w:color="auto"/>
      </w:divBdr>
    </w:div>
    <w:div w:id="929505728">
      <w:bodyDiv w:val="1"/>
      <w:marLeft w:val="0"/>
      <w:marRight w:val="0"/>
      <w:marTop w:val="0"/>
      <w:marBottom w:val="0"/>
      <w:divBdr>
        <w:top w:val="none" w:sz="0" w:space="0" w:color="auto"/>
        <w:left w:val="none" w:sz="0" w:space="0" w:color="auto"/>
        <w:bottom w:val="none" w:sz="0" w:space="0" w:color="auto"/>
        <w:right w:val="none" w:sz="0" w:space="0" w:color="auto"/>
      </w:divBdr>
    </w:div>
    <w:div w:id="981302537">
      <w:bodyDiv w:val="1"/>
      <w:marLeft w:val="0"/>
      <w:marRight w:val="0"/>
      <w:marTop w:val="0"/>
      <w:marBottom w:val="0"/>
      <w:divBdr>
        <w:top w:val="none" w:sz="0" w:space="0" w:color="auto"/>
        <w:left w:val="none" w:sz="0" w:space="0" w:color="auto"/>
        <w:bottom w:val="none" w:sz="0" w:space="0" w:color="auto"/>
        <w:right w:val="none" w:sz="0" w:space="0" w:color="auto"/>
      </w:divBdr>
    </w:div>
    <w:div w:id="992757591">
      <w:bodyDiv w:val="1"/>
      <w:marLeft w:val="0"/>
      <w:marRight w:val="0"/>
      <w:marTop w:val="0"/>
      <w:marBottom w:val="0"/>
      <w:divBdr>
        <w:top w:val="none" w:sz="0" w:space="0" w:color="auto"/>
        <w:left w:val="none" w:sz="0" w:space="0" w:color="auto"/>
        <w:bottom w:val="none" w:sz="0" w:space="0" w:color="auto"/>
        <w:right w:val="none" w:sz="0" w:space="0" w:color="auto"/>
      </w:divBdr>
    </w:div>
    <w:div w:id="1033775248">
      <w:bodyDiv w:val="1"/>
      <w:marLeft w:val="0"/>
      <w:marRight w:val="0"/>
      <w:marTop w:val="0"/>
      <w:marBottom w:val="0"/>
      <w:divBdr>
        <w:top w:val="none" w:sz="0" w:space="0" w:color="auto"/>
        <w:left w:val="none" w:sz="0" w:space="0" w:color="auto"/>
        <w:bottom w:val="none" w:sz="0" w:space="0" w:color="auto"/>
        <w:right w:val="none" w:sz="0" w:space="0" w:color="auto"/>
      </w:divBdr>
    </w:div>
    <w:div w:id="1055129618">
      <w:bodyDiv w:val="1"/>
      <w:marLeft w:val="0"/>
      <w:marRight w:val="0"/>
      <w:marTop w:val="0"/>
      <w:marBottom w:val="0"/>
      <w:divBdr>
        <w:top w:val="none" w:sz="0" w:space="0" w:color="auto"/>
        <w:left w:val="none" w:sz="0" w:space="0" w:color="auto"/>
        <w:bottom w:val="none" w:sz="0" w:space="0" w:color="auto"/>
        <w:right w:val="none" w:sz="0" w:space="0" w:color="auto"/>
      </w:divBdr>
    </w:div>
    <w:div w:id="1060203746">
      <w:bodyDiv w:val="1"/>
      <w:marLeft w:val="0"/>
      <w:marRight w:val="0"/>
      <w:marTop w:val="0"/>
      <w:marBottom w:val="0"/>
      <w:divBdr>
        <w:top w:val="none" w:sz="0" w:space="0" w:color="auto"/>
        <w:left w:val="none" w:sz="0" w:space="0" w:color="auto"/>
        <w:bottom w:val="none" w:sz="0" w:space="0" w:color="auto"/>
        <w:right w:val="none" w:sz="0" w:space="0" w:color="auto"/>
      </w:divBdr>
    </w:div>
    <w:div w:id="1068379519">
      <w:bodyDiv w:val="1"/>
      <w:marLeft w:val="0"/>
      <w:marRight w:val="0"/>
      <w:marTop w:val="0"/>
      <w:marBottom w:val="0"/>
      <w:divBdr>
        <w:top w:val="none" w:sz="0" w:space="0" w:color="auto"/>
        <w:left w:val="none" w:sz="0" w:space="0" w:color="auto"/>
        <w:bottom w:val="none" w:sz="0" w:space="0" w:color="auto"/>
        <w:right w:val="none" w:sz="0" w:space="0" w:color="auto"/>
      </w:divBdr>
    </w:div>
    <w:div w:id="1086075346">
      <w:bodyDiv w:val="1"/>
      <w:marLeft w:val="0"/>
      <w:marRight w:val="0"/>
      <w:marTop w:val="0"/>
      <w:marBottom w:val="0"/>
      <w:divBdr>
        <w:top w:val="none" w:sz="0" w:space="0" w:color="auto"/>
        <w:left w:val="none" w:sz="0" w:space="0" w:color="auto"/>
        <w:bottom w:val="none" w:sz="0" w:space="0" w:color="auto"/>
        <w:right w:val="none" w:sz="0" w:space="0" w:color="auto"/>
      </w:divBdr>
    </w:div>
    <w:div w:id="1092505889">
      <w:bodyDiv w:val="1"/>
      <w:marLeft w:val="0"/>
      <w:marRight w:val="0"/>
      <w:marTop w:val="0"/>
      <w:marBottom w:val="0"/>
      <w:divBdr>
        <w:top w:val="none" w:sz="0" w:space="0" w:color="auto"/>
        <w:left w:val="none" w:sz="0" w:space="0" w:color="auto"/>
        <w:bottom w:val="none" w:sz="0" w:space="0" w:color="auto"/>
        <w:right w:val="none" w:sz="0" w:space="0" w:color="auto"/>
      </w:divBdr>
    </w:div>
    <w:div w:id="1102606639">
      <w:bodyDiv w:val="1"/>
      <w:marLeft w:val="0"/>
      <w:marRight w:val="0"/>
      <w:marTop w:val="0"/>
      <w:marBottom w:val="0"/>
      <w:divBdr>
        <w:top w:val="none" w:sz="0" w:space="0" w:color="auto"/>
        <w:left w:val="none" w:sz="0" w:space="0" w:color="auto"/>
        <w:bottom w:val="none" w:sz="0" w:space="0" w:color="auto"/>
        <w:right w:val="none" w:sz="0" w:space="0" w:color="auto"/>
      </w:divBdr>
    </w:div>
    <w:div w:id="1132600856">
      <w:bodyDiv w:val="1"/>
      <w:marLeft w:val="0"/>
      <w:marRight w:val="0"/>
      <w:marTop w:val="0"/>
      <w:marBottom w:val="0"/>
      <w:divBdr>
        <w:top w:val="none" w:sz="0" w:space="0" w:color="auto"/>
        <w:left w:val="none" w:sz="0" w:space="0" w:color="auto"/>
        <w:bottom w:val="none" w:sz="0" w:space="0" w:color="auto"/>
        <w:right w:val="none" w:sz="0" w:space="0" w:color="auto"/>
      </w:divBdr>
    </w:div>
    <w:div w:id="1138065371">
      <w:bodyDiv w:val="1"/>
      <w:marLeft w:val="0"/>
      <w:marRight w:val="0"/>
      <w:marTop w:val="0"/>
      <w:marBottom w:val="0"/>
      <w:divBdr>
        <w:top w:val="none" w:sz="0" w:space="0" w:color="auto"/>
        <w:left w:val="none" w:sz="0" w:space="0" w:color="auto"/>
        <w:bottom w:val="none" w:sz="0" w:space="0" w:color="auto"/>
        <w:right w:val="none" w:sz="0" w:space="0" w:color="auto"/>
      </w:divBdr>
    </w:div>
    <w:div w:id="1145469890">
      <w:bodyDiv w:val="1"/>
      <w:marLeft w:val="0"/>
      <w:marRight w:val="0"/>
      <w:marTop w:val="0"/>
      <w:marBottom w:val="0"/>
      <w:divBdr>
        <w:top w:val="none" w:sz="0" w:space="0" w:color="auto"/>
        <w:left w:val="none" w:sz="0" w:space="0" w:color="auto"/>
        <w:bottom w:val="none" w:sz="0" w:space="0" w:color="auto"/>
        <w:right w:val="none" w:sz="0" w:space="0" w:color="auto"/>
      </w:divBdr>
    </w:div>
    <w:div w:id="1158232665">
      <w:bodyDiv w:val="1"/>
      <w:marLeft w:val="0"/>
      <w:marRight w:val="0"/>
      <w:marTop w:val="0"/>
      <w:marBottom w:val="0"/>
      <w:divBdr>
        <w:top w:val="none" w:sz="0" w:space="0" w:color="auto"/>
        <w:left w:val="none" w:sz="0" w:space="0" w:color="auto"/>
        <w:bottom w:val="none" w:sz="0" w:space="0" w:color="auto"/>
        <w:right w:val="none" w:sz="0" w:space="0" w:color="auto"/>
      </w:divBdr>
    </w:div>
    <w:div w:id="1192262442">
      <w:bodyDiv w:val="1"/>
      <w:marLeft w:val="0"/>
      <w:marRight w:val="0"/>
      <w:marTop w:val="0"/>
      <w:marBottom w:val="0"/>
      <w:divBdr>
        <w:top w:val="none" w:sz="0" w:space="0" w:color="auto"/>
        <w:left w:val="none" w:sz="0" w:space="0" w:color="auto"/>
        <w:bottom w:val="none" w:sz="0" w:space="0" w:color="auto"/>
        <w:right w:val="none" w:sz="0" w:space="0" w:color="auto"/>
      </w:divBdr>
    </w:div>
    <w:div w:id="1309823330">
      <w:bodyDiv w:val="1"/>
      <w:marLeft w:val="0"/>
      <w:marRight w:val="0"/>
      <w:marTop w:val="0"/>
      <w:marBottom w:val="0"/>
      <w:divBdr>
        <w:top w:val="none" w:sz="0" w:space="0" w:color="auto"/>
        <w:left w:val="none" w:sz="0" w:space="0" w:color="auto"/>
        <w:bottom w:val="none" w:sz="0" w:space="0" w:color="auto"/>
        <w:right w:val="none" w:sz="0" w:space="0" w:color="auto"/>
      </w:divBdr>
    </w:div>
    <w:div w:id="1312321589">
      <w:bodyDiv w:val="1"/>
      <w:marLeft w:val="0"/>
      <w:marRight w:val="0"/>
      <w:marTop w:val="0"/>
      <w:marBottom w:val="0"/>
      <w:divBdr>
        <w:top w:val="none" w:sz="0" w:space="0" w:color="auto"/>
        <w:left w:val="none" w:sz="0" w:space="0" w:color="auto"/>
        <w:bottom w:val="none" w:sz="0" w:space="0" w:color="auto"/>
        <w:right w:val="none" w:sz="0" w:space="0" w:color="auto"/>
      </w:divBdr>
    </w:div>
    <w:div w:id="1347948657">
      <w:bodyDiv w:val="1"/>
      <w:marLeft w:val="0"/>
      <w:marRight w:val="0"/>
      <w:marTop w:val="0"/>
      <w:marBottom w:val="0"/>
      <w:divBdr>
        <w:top w:val="none" w:sz="0" w:space="0" w:color="auto"/>
        <w:left w:val="none" w:sz="0" w:space="0" w:color="auto"/>
        <w:bottom w:val="none" w:sz="0" w:space="0" w:color="auto"/>
        <w:right w:val="none" w:sz="0" w:space="0" w:color="auto"/>
      </w:divBdr>
    </w:div>
    <w:div w:id="1376657957">
      <w:bodyDiv w:val="1"/>
      <w:marLeft w:val="0"/>
      <w:marRight w:val="0"/>
      <w:marTop w:val="0"/>
      <w:marBottom w:val="0"/>
      <w:divBdr>
        <w:top w:val="none" w:sz="0" w:space="0" w:color="auto"/>
        <w:left w:val="none" w:sz="0" w:space="0" w:color="auto"/>
        <w:bottom w:val="none" w:sz="0" w:space="0" w:color="auto"/>
        <w:right w:val="none" w:sz="0" w:space="0" w:color="auto"/>
      </w:divBdr>
    </w:div>
    <w:div w:id="1395929404">
      <w:bodyDiv w:val="1"/>
      <w:marLeft w:val="0"/>
      <w:marRight w:val="0"/>
      <w:marTop w:val="0"/>
      <w:marBottom w:val="0"/>
      <w:divBdr>
        <w:top w:val="none" w:sz="0" w:space="0" w:color="auto"/>
        <w:left w:val="none" w:sz="0" w:space="0" w:color="auto"/>
        <w:bottom w:val="none" w:sz="0" w:space="0" w:color="auto"/>
        <w:right w:val="none" w:sz="0" w:space="0" w:color="auto"/>
      </w:divBdr>
    </w:div>
    <w:div w:id="1496650791">
      <w:bodyDiv w:val="1"/>
      <w:marLeft w:val="0"/>
      <w:marRight w:val="0"/>
      <w:marTop w:val="0"/>
      <w:marBottom w:val="0"/>
      <w:divBdr>
        <w:top w:val="none" w:sz="0" w:space="0" w:color="auto"/>
        <w:left w:val="none" w:sz="0" w:space="0" w:color="auto"/>
        <w:bottom w:val="none" w:sz="0" w:space="0" w:color="auto"/>
        <w:right w:val="none" w:sz="0" w:space="0" w:color="auto"/>
      </w:divBdr>
    </w:div>
    <w:div w:id="1514611836">
      <w:bodyDiv w:val="1"/>
      <w:marLeft w:val="0"/>
      <w:marRight w:val="0"/>
      <w:marTop w:val="0"/>
      <w:marBottom w:val="0"/>
      <w:divBdr>
        <w:top w:val="none" w:sz="0" w:space="0" w:color="auto"/>
        <w:left w:val="none" w:sz="0" w:space="0" w:color="auto"/>
        <w:bottom w:val="none" w:sz="0" w:space="0" w:color="auto"/>
        <w:right w:val="none" w:sz="0" w:space="0" w:color="auto"/>
      </w:divBdr>
    </w:div>
    <w:div w:id="1575167977">
      <w:bodyDiv w:val="1"/>
      <w:marLeft w:val="0"/>
      <w:marRight w:val="0"/>
      <w:marTop w:val="0"/>
      <w:marBottom w:val="0"/>
      <w:divBdr>
        <w:top w:val="none" w:sz="0" w:space="0" w:color="auto"/>
        <w:left w:val="none" w:sz="0" w:space="0" w:color="auto"/>
        <w:bottom w:val="none" w:sz="0" w:space="0" w:color="auto"/>
        <w:right w:val="none" w:sz="0" w:space="0" w:color="auto"/>
      </w:divBdr>
    </w:div>
    <w:div w:id="1594318605">
      <w:bodyDiv w:val="1"/>
      <w:marLeft w:val="0"/>
      <w:marRight w:val="0"/>
      <w:marTop w:val="0"/>
      <w:marBottom w:val="0"/>
      <w:divBdr>
        <w:top w:val="none" w:sz="0" w:space="0" w:color="auto"/>
        <w:left w:val="none" w:sz="0" w:space="0" w:color="auto"/>
        <w:bottom w:val="none" w:sz="0" w:space="0" w:color="auto"/>
        <w:right w:val="none" w:sz="0" w:space="0" w:color="auto"/>
      </w:divBdr>
    </w:div>
    <w:div w:id="1608927173">
      <w:bodyDiv w:val="1"/>
      <w:marLeft w:val="0"/>
      <w:marRight w:val="0"/>
      <w:marTop w:val="0"/>
      <w:marBottom w:val="0"/>
      <w:divBdr>
        <w:top w:val="none" w:sz="0" w:space="0" w:color="auto"/>
        <w:left w:val="none" w:sz="0" w:space="0" w:color="auto"/>
        <w:bottom w:val="none" w:sz="0" w:space="0" w:color="auto"/>
        <w:right w:val="none" w:sz="0" w:space="0" w:color="auto"/>
      </w:divBdr>
    </w:div>
    <w:div w:id="1663392283">
      <w:bodyDiv w:val="1"/>
      <w:marLeft w:val="0"/>
      <w:marRight w:val="0"/>
      <w:marTop w:val="0"/>
      <w:marBottom w:val="0"/>
      <w:divBdr>
        <w:top w:val="none" w:sz="0" w:space="0" w:color="auto"/>
        <w:left w:val="none" w:sz="0" w:space="0" w:color="auto"/>
        <w:bottom w:val="none" w:sz="0" w:space="0" w:color="auto"/>
        <w:right w:val="none" w:sz="0" w:space="0" w:color="auto"/>
      </w:divBdr>
      <w:divsChild>
        <w:div w:id="1214737610">
          <w:marLeft w:val="360"/>
          <w:marRight w:val="0"/>
          <w:marTop w:val="96"/>
          <w:marBottom w:val="0"/>
          <w:divBdr>
            <w:top w:val="none" w:sz="0" w:space="0" w:color="auto"/>
            <w:left w:val="none" w:sz="0" w:space="0" w:color="auto"/>
            <w:bottom w:val="none" w:sz="0" w:space="0" w:color="auto"/>
            <w:right w:val="none" w:sz="0" w:space="0" w:color="auto"/>
          </w:divBdr>
        </w:div>
        <w:div w:id="23755650">
          <w:marLeft w:val="907"/>
          <w:marRight w:val="0"/>
          <w:marTop w:val="86"/>
          <w:marBottom w:val="0"/>
          <w:divBdr>
            <w:top w:val="none" w:sz="0" w:space="0" w:color="auto"/>
            <w:left w:val="none" w:sz="0" w:space="0" w:color="auto"/>
            <w:bottom w:val="none" w:sz="0" w:space="0" w:color="auto"/>
            <w:right w:val="none" w:sz="0" w:space="0" w:color="auto"/>
          </w:divBdr>
        </w:div>
        <w:div w:id="2068336376">
          <w:marLeft w:val="907"/>
          <w:marRight w:val="0"/>
          <w:marTop w:val="86"/>
          <w:marBottom w:val="0"/>
          <w:divBdr>
            <w:top w:val="none" w:sz="0" w:space="0" w:color="auto"/>
            <w:left w:val="none" w:sz="0" w:space="0" w:color="auto"/>
            <w:bottom w:val="none" w:sz="0" w:space="0" w:color="auto"/>
            <w:right w:val="none" w:sz="0" w:space="0" w:color="auto"/>
          </w:divBdr>
        </w:div>
      </w:divsChild>
    </w:div>
    <w:div w:id="1672176412">
      <w:bodyDiv w:val="1"/>
      <w:marLeft w:val="0"/>
      <w:marRight w:val="0"/>
      <w:marTop w:val="0"/>
      <w:marBottom w:val="0"/>
      <w:divBdr>
        <w:top w:val="none" w:sz="0" w:space="0" w:color="auto"/>
        <w:left w:val="none" w:sz="0" w:space="0" w:color="auto"/>
        <w:bottom w:val="none" w:sz="0" w:space="0" w:color="auto"/>
        <w:right w:val="none" w:sz="0" w:space="0" w:color="auto"/>
      </w:divBdr>
    </w:div>
    <w:div w:id="1702782433">
      <w:bodyDiv w:val="1"/>
      <w:marLeft w:val="0"/>
      <w:marRight w:val="0"/>
      <w:marTop w:val="0"/>
      <w:marBottom w:val="0"/>
      <w:divBdr>
        <w:top w:val="none" w:sz="0" w:space="0" w:color="auto"/>
        <w:left w:val="none" w:sz="0" w:space="0" w:color="auto"/>
        <w:bottom w:val="none" w:sz="0" w:space="0" w:color="auto"/>
        <w:right w:val="none" w:sz="0" w:space="0" w:color="auto"/>
      </w:divBdr>
    </w:div>
    <w:div w:id="1707750381">
      <w:bodyDiv w:val="1"/>
      <w:marLeft w:val="0"/>
      <w:marRight w:val="0"/>
      <w:marTop w:val="0"/>
      <w:marBottom w:val="0"/>
      <w:divBdr>
        <w:top w:val="none" w:sz="0" w:space="0" w:color="auto"/>
        <w:left w:val="none" w:sz="0" w:space="0" w:color="auto"/>
        <w:bottom w:val="none" w:sz="0" w:space="0" w:color="auto"/>
        <w:right w:val="none" w:sz="0" w:space="0" w:color="auto"/>
      </w:divBdr>
    </w:div>
    <w:div w:id="1735003490">
      <w:bodyDiv w:val="1"/>
      <w:marLeft w:val="0"/>
      <w:marRight w:val="0"/>
      <w:marTop w:val="0"/>
      <w:marBottom w:val="0"/>
      <w:divBdr>
        <w:top w:val="none" w:sz="0" w:space="0" w:color="auto"/>
        <w:left w:val="none" w:sz="0" w:space="0" w:color="auto"/>
        <w:bottom w:val="none" w:sz="0" w:space="0" w:color="auto"/>
        <w:right w:val="none" w:sz="0" w:space="0" w:color="auto"/>
      </w:divBdr>
    </w:div>
    <w:div w:id="1776713072">
      <w:bodyDiv w:val="1"/>
      <w:marLeft w:val="0"/>
      <w:marRight w:val="0"/>
      <w:marTop w:val="0"/>
      <w:marBottom w:val="0"/>
      <w:divBdr>
        <w:top w:val="none" w:sz="0" w:space="0" w:color="auto"/>
        <w:left w:val="none" w:sz="0" w:space="0" w:color="auto"/>
        <w:bottom w:val="none" w:sz="0" w:space="0" w:color="auto"/>
        <w:right w:val="none" w:sz="0" w:space="0" w:color="auto"/>
      </w:divBdr>
    </w:div>
    <w:div w:id="1805543949">
      <w:bodyDiv w:val="1"/>
      <w:marLeft w:val="0"/>
      <w:marRight w:val="0"/>
      <w:marTop w:val="0"/>
      <w:marBottom w:val="0"/>
      <w:divBdr>
        <w:top w:val="none" w:sz="0" w:space="0" w:color="auto"/>
        <w:left w:val="none" w:sz="0" w:space="0" w:color="auto"/>
        <w:bottom w:val="none" w:sz="0" w:space="0" w:color="auto"/>
        <w:right w:val="none" w:sz="0" w:space="0" w:color="auto"/>
      </w:divBdr>
      <w:divsChild>
        <w:div w:id="1432050239">
          <w:marLeft w:val="360"/>
          <w:marRight w:val="0"/>
          <w:marTop w:val="96"/>
          <w:marBottom w:val="0"/>
          <w:divBdr>
            <w:top w:val="none" w:sz="0" w:space="0" w:color="auto"/>
            <w:left w:val="none" w:sz="0" w:space="0" w:color="auto"/>
            <w:bottom w:val="none" w:sz="0" w:space="0" w:color="auto"/>
            <w:right w:val="none" w:sz="0" w:space="0" w:color="auto"/>
          </w:divBdr>
        </w:div>
        <w:div w:id="18508452">
          <w:marLeft w:val="907"/>
          <w:marRight w:val="0"/>
          <w:marTop w:val="86"/>
          <w:marBottom w:val="0"/>
          <w:divBdr>
            <w:top w:val="none" w:sz="0" w:space="0" w:color="auto"/>
            <w:left w:val="none" w:sz="0" w:space="0" w:color="auto"/>
            <w:bottom w:val="none" w:sz="0" w:space="0" w:color="auto"/>
            <w:right w:val="none" w:sz="0" w:space="0" w:color="auto"/>
          </w:divBdr>
        </w:div>
        <w:div w:id="350376238">
          <w:marLeft w:val="907"/>
          <w:marRight w:val="0"/>
          <w:marTop w:val="86"/>
          <w:marBottom w:val="0"/>
          <w:divBdr>
            <w:top w:val="none" w:sz="0" w:space="0" w:color="auto"/>
            <w:left w:val="none" w:sz="0" w:space="0" w:color="auto"/>
            <w:bottom w:val="none" w:sz="0" w:space="0" w:color="auto"/>
            <w:right w:val="none" w:sz="0" w:space="0" w:color="auto"/>
          </w:divBdr>
        </w:div>
      </w:divsChild>
    </w:div>
    <w:div w:id="1806654401">
      <w:bodyDiv w:val="1"/>
      <w:marLeft w:val="0"/>
      <w:marRight w:val="0"/>
      <w:marTop w:val="0"/>
      <w:marBottom w:val="0"/>
      <w:divBdr>
        <w:top w:val="none" w:sz="0" w:space="0" w:color="auto"/>
        <w:left w:val="none" w:sz="0" w:space="0" w:color="auto"/>
        <w:bottom w:val="none" w:sz="0" w:space="0" w:color="auto"/>
        <w:right w:val="none" w:sz="0" w:space="0" w:color="auto"/>
      </w:divBdr>
    </w:div>
    <w:div w:id="1810131210">
      <w:bodyDiv w:val="1"/>
      <w:marLeft w:val="0"/>
      <w:marRight w:val="0"/>
      <w:marTop w:val="0"/>
      <w:marBottom w:val="0"/>
      <w:divBdr>
        <w:top w:val="none" w:sz="0" w:space="0" w:color="auto"/>
        <w:left w:val="none" w:sz="0" w:space="0" w:color="auto"/>
        <w:bottom w:val="none" w:sz="0" w:space="0" w:color="auto"/>
        <w:right w:val="none" w:sz="0" w:space="0" w:color="auto"/>
      </w:divBdr>
    </w:div>
    <w:div w:id="1813793920">
      <w:bodyDiv w:val="1"/>
      <w:marLeft w:val="0"/>
      <w:marRight w:val="0"/>
      <w:marTop w:val="0"/>
      <w:marBottom w:val="0"/>
      <w:divBdr>
        <w:top w:val="none" w:sz="0" w:space="0" w:color="auto"/>
        <w:left w:val="none" w:sz="0" w:space="0" w:color="auto"/>
        <w:bottom w:val="none" w:sz="0" w:space="0" w:color="auto"/>
        <w:right w:val="none" w:sz="0" w:space="0" w:color="auto"/>
      </w:divBdr>
    </w:div>
    <w:div w:id="1823158165">
      <w:bodyDiv w:val="1"/>
      <w:marLeft w:val="0"/>
      <w:marRight w:val="0"/>
      <w:marTop w:val="0"/>
      <w:marBottom w:val="0"/>
      <w:divBdr>
        <w:top w:val="none" w:sz="0" w:space="0" w:color="auto"/>
        <w:left w:val="none" w:sz="0" w:space="0" w:color="auto"/>
        <w:bottom w:val="none" w:sz="0" w:space="0" w:color="auto"/>
        <w:right w:val="none" w:sz="0" w:space="0" w:color="auto"/>
      </w:divBdr>
    </w:div>
    <w:div w:id="1826969054">
      <w:bodyDiv w:val="1"/>
      <w:marLeft w:val="0"/>
      <w:marRight w:val="0"/>
      <w:marTop w:val="0"/>
      <w:marBottom w:val="0"/>
      <w:divBdr>
        <w:top w:val="none" w:sz="0" w:space="0" w:color="auto"/>
        <w:left w:val="none" w:sz="0" w:space="0" w:color="auto"/>
        <w:bottom w:val="none" w:sz="0" w:space="0" w:color="auto"/>
        <w:right w:val="none" w:sz="0" w:space="0" w:color="auto"/>
      </w:divBdr>
    </w:div>
    <w:div w:id="1832217274">
      <w:bodyDiv w:val="1"/>
      <w:marLeft w:val="0"/>
      <w:marRight w:val="0"/>
      <w:marTop w:val="0"/>
      <w:marBottom w:val="0"/>
      <w:divBdr>
        <w:top w:val="none" w:sz="0" w:space="0" w:color="auto"/>
        <w:left w:val="none" w:sz="0" w:space="0" w:color="auto"/>
        <w:bottom w:val="none" w:sz="0" w:space="0" w:color="auto"/>
        <w:right w:val="none" w:sz="0" w:space="0" w:color="auto"/>
      </w:divBdr>
    </w:div>
    <w:div w:id="1833566299">
      <w:bodyDiv w:val="1"/>
      <w:marLeft w:val="0"/>
      <w:marRight w:val="0"/>
      <w:marTop w:val="0"/>
      <w:marBottom w:val="0"/>
      <w:divBdr>
        <w:top w:val="none" w:sz="0" w:space="0" w:color="auto"/>
        <w:left w:val="none" w:sz="0" w:space="0" w:color="auto"/>
        <w:bottom w:val="none" w:sz="0" w:space="0" w:color="auto"/>
        <w:right w:val="none" w:sz="0" w:space="0" w:color="auto"/>
      </w:divBdr>
    </w:div>
    <w:div w:id="1857231144">
      <w:bodyDiv w:val="1"/>
      <w:marLeft w:val="0"/>
      <w:marRight w:val="0"/>
      <w:marTop w:val="0"/>
      <w:marBottom w:val="0"/>
      <w:divBdr>
        <w:top w:val="none" w:sz="0" w:space="0" w:color="auto"/>
        <w:left w:val="none" w:sz="0" w:space="0" w:color="auto"/>
        <w:bottom w:val="none" w:sz="0" w:space="0" w:color="auto"/>
        <w:right w:val="none" w:sz="0" w:space="0" w:color="auto"/>
      </w:divBdr>
    </w:div>
    <w:div w:id="1858273424">
      <w:bodyDiv w:val="1"/>
      <w:marLeft w:val="0"/>
      <w:marRight w:val="0"/>
      <w:marTop w:val="0"/>
      <w:marBottom w:val="0"/>
      <w:divBdr>
        <w:top w:val="none" w:sz="0" w:space="0" w:color="auto"/>
        <w:left w:val="none" w:sz="0" w:space="0" w:color="auto"/>
        <w:bottom w:val="none" w:sz="0" w:space="0" w:color="auto"/>
        <w:right w:val="none" w:sz="0" w:space="0" w:color="auto"/>
      </w:divBdr>
    </w:div>
    <w:div w:id="1877808646">
      <w:bodyDiv w:val="1"/>
      <w:marLeft w:val="0"/>
      <w:marRight w:val="0"/>
      <w:marTop w:val="0"/>
      <w:marBottom w:val="0"/>
      <w:divBdr>
        <w:top w:val="none" w:sz="0" w:space="0" w:color="auto"/>
        <w:left w:val="none" w:sz="0" w:space="0" w:color="auto"/>
        <w:bottom w:val="none" w:sz="0" w:space="0" w:color="auto"/>
        <w:right w:val="none" w:sz="0" w:space="0" w:color="auto"/>
      </w:divBdr>
    </w:div>
    <w:div w:id="1890531835">
      <w:bodyDiv w:val="1"/>
      <w:marLeft w:val="0"/>
      <w:marRight w:val="0"/>
      <w:marTop w:val="0"/>
      <w:marBottom w:val="0"/>
      <w:divBdr>
        <w:top w:val="none" w:sz="0" w:space="0" w:color="auto"/>
        <w:left w:val="none" w:sz="0" w:space="0" w:color="auto"/>
        <w:bottom w:val="none" w:sz="0" w:space="0" w:color="auto"/>
        <w:right w:val="none" w:sz="0" w:space="0" w:color="auto"/>
      </w:divBdr>
    </w:div>
    <w:div w:id="1910772899">
      <w:bodyDiv w:val="1"/>
      <w:marLeft w:val="0"/>
      <w:marRight w:val="0"/>
      <w:marTop w:val="0"/>
      <w:marBottom w:val="0"/>
      <w:divBdr>
        <w:top w:val="none" w:sz="0" w:space="0" w:color="auto"/>
        <w:left w:val="none" w:sz="0" w:space="0" w:color="auto"/>
        <w:bottom w:val="none" w:sz="0" w:space="0" w:color="auto"/>
        <w:right w:val="none" w:sz="0" w:space="0" w:color="auto"/>
      </w:divBdr>
    </w:div>
    <w:div w:id="1911228818">
      <w:bodyDiv w:val="1"/>
      <w:marLeft w:val="0"/>
      <w:marRight w:val="0"/>
      <w:marTop w:val="0"/>
      <w:marBottom w:val="0"/>
      <w:divBdr>
        <w:top w:val="none" w:sz="0" w:space="0" w:color="auto"/>
        <w:left w:val="none" w:sz="0" w:space="0" w:color="auto"/>
        <w:bottom w:val="none" w:sz="0" w:space="0" w:color="auto"/>
        <w:right w:val="none" w:sz="0" w:space="0" w:color="auto"/>
      </w:divBdr>
    </w:div>
    <w:div w:id="1921712920">
      <w:bodyDiv w:val="1"/>
      <w:marLeft w:val="0"/>
      <w:marRight w:val="0"/>
      <w:marTop w:val="0"/>
      <w:marBottom w:val="0"/>
      <w:divBdr>
        <w:top w:val="none" w:sz="0" w:space="0" w:color="auto"/>
        <w:left w:val="none" w:sz="0" w:space="0" w:color="auto"/>
        <w:bottom w:val="none" w:sz="0" w:space="0" w:color="auto"/>
        <w:right w:val="none" w:sz="0" w:space="0" w:color="auto"/>
      </w:divBdr>
    </w:div>
    <w:div w:id="1923446607">
      <w:bodyDiv w:val="1"/>
      <w:marLeft w:val="0"/>
      <w:marRight w:val="0"/>
      <w:marTop w:val="0"/>
      <w:marBottom w:val="0"/>
      <w:divBdr>
        <w:top w:val="none" w:sz="0" w:space="0" w:color="auto"/>
        <w:left w:val="none" w:sz="0" w:space="0" w:color="auto"/>
        <w:bottom w:val="none" w:sz="0" w:space="0" w:color="auto"/>
        <w:right w:val="none" w:sz="0" w:space="0" w:color="auto"/>
      </w:divBdr>
    </w:div>
    <w:div w:id="1966546459">
      <w:bodyDiv w:val="1"/>
      <w:marLeft w:val="0"/>
      <w:marRight w:val="0"/>
      <w:marTop w:val="0"/>
      <w:marBottom w:val="0"/>
      <w:divBdr>
        <w:top w:val="none" w:sz="0" w:space="0" w:color="auto"/>
        <w:left w:val="none" w:sz="0" w:space="0" w:color="auto"/>
        <w:bottom w:val="none" w:sz="0" w:space="0" w:color="auto"/>
        <w:right w:val="none" w:sz="0" w:space="0" w:color="auto"/>
      </w:divBdr>
    </w:div>
    <w:div w:id="1986232290">
      <w:bodyDiv w:val="1"/>
      <w:marLeft w:val="0"/>
      <w:marRight w:val="0"/>
      <w:marTop w:val="0"/>
      <w:marBottom w:val="0"/>
      <w:divBdr>
        <w:top w:val="none" w:sz="0" w:space="0" w:color="auto"/>
        <w:left w:val="none" w:sz="0" w:space="0" w:color="auto"/>
        <w:bottom w:val="none" w:sz="0" w:space="0" w:color="auto"/>
        <w:right w:val="none" w:sz="0" w:space="0" w:color="auto"/>
      </w:divBdr>
    </w:div>
    <w:div w:id="1998223406">
      <w:bodyDiv w:val="1"/>
      <w:marLeft w:val="0"/>
      <w:marRight w:val="0"/>
      <w:marTop w:val="0"/>
      <w:marBottom w:val="0"/>
      <w:divBdr>
        <w:top w:val="none" w:sz="0" w:space="0" w:color="auto"/>
        <w:left w:val="none" w:sz="0" w:space="0" w:color="auto"/>
        <w:bottom w:val="none" w:sz="0" w:space="0" w:color="auto"/>
        <w:right w:val="none" w:sz="0" w:space="0" w:color="auto"/>
      </w:divBdr>
    </w:div>
    <w:div w:id="2023431379">
      <w:bodyDiv w:val="1"/>
      <w:marLeft w:val="0"/>
      <w:marRight w:val="0"/>
      <w:marTop w:val="0"/>
      <w:marBottom w:val="0"/>
      <w:divBdr>
        <w:top w:val="none" w:sz="0" w:space="0" w:color="auto"/>
        <w:left w:val="none" w:sz="0" w:space="0" w:color="auto"/>
        <w:bottom w:val="none" w:sz="0" w:space="0" w:color="auto"/>
        <w:right w:val="none" w:sz="0" w:space="0" w:color="auto"/>
      </w:divBdr>
    </w:div>
    <w:div w:id="2098668842">
      <w:bodyDiv w:val="1"/>
      <w:marLeft w:val="0"/>
      <w:marRight w:val="0"/>
      <w:marTop w:val="0"/>
      <w:marBottom w:val="0"/>
      <w:divBdr>
        <w:top w:val="none" w:sz="0" w:space="0" w:color="auto"/>
        <w:left w:val="none" w:sz="0" w:space="0" w:color="auto"/>
        <w:bottom w:val="none" w:sz="0" w:space="0" w:color="auto"/>
        <w:right w:val="none" w:sz="0" w:space="0" w:color="auto"/>
      </w:divBdr>
    </w:div>
    <w:div w:id="2101247975">
      <w:bodyDiv w:val="1"/>
      <w:marLeft w:val="0"/>
      <w:marRight w:val="0"/>
      <w:marTop w:val="0"/>
      <w:marBottom w:val="0"/>
      <w:divBdr>
        <w:top w:val="none" w:sz="0" w:space="0" w:color="auto"/>
        <w:left w:val="none" w:sz="0" w:space="0" w:color="auto"/>
        <w:bottom w:val="none" w:sz="0" w:space="0" w:color="auto"/>
        <w:right w:val="none" w:sz="0" w:space="0" w:color="auto"/>
      </w:divBdr>
    </w:div>
    <w:div w:id="2111270838">
      <w:bodyDiv w:val="1"/>
      <w:marLeft w:val="0"/>
      <w:marRight w:val="0"/>
      <w:marTop w:val="0"/>
      <w:marBottom w:val="0"/>
      <w:divBdr>
        <w:top w:val="none" w:sz="0" w:space="0" w:color="auto"/>
        <w:left w:val="none" w:sz="0" w:space="0" w:color="auto"/>
        <w:bottom w:val="none" w:sz="0" w:space="0" w:color="auto"/>
        <w:right w:val="none" w:sz="0" w:space="0" w:color="auto"/>
      </w:divBdr>
    </w:div>
    <w:div w:id="2128232865">
      <w:bodyDiv w:val="1"/>
      <w:marLeft w:val="0"/>
      <w:marRight w:val="0"/>
      <w:marTop w:val="0"/>
      <w:marBottom w:val="0"/>
      <w:divBdr>
        <w:top w:val="none" w:sz="0" w:space="0" w:color="auto"/>
        <w:left w:val="none" w:sz="0" w:space="0" w:color="auto"/>
        <w:bottom w:val="none" w:sz="0" w:space="0" w:color="auto"/>
        <w:right w:val="none" w:sz="0" w:space="0" w:color="auto"/>
      </w:divBdr>
    </w:div>
    <w:div w:id="2132279593">
      <w:bodyDiv w:val="1"/>
      <w:marLeft w:val="0"/>
      <w:marRight w:val="0"/>
      <w:marTop w:val="0"/>
      <w:marBottom w:val="0"/>
      <w:divBdr>
        <w:top w:val="none" w:sz="0" w:space="0" w:color="auto"/>
        <w:left w:val="none" w:sz="0" w:space="0" w:color="auto"/>
        <w:bottom w:val="none" w:sz="0" w:space="0" w:color="auto"/>
        <w:right w:val="none" w:sz="0" w:space="0" w:color="auto"/>
      </w:divBdr>
    </w:div>
    <w:div w:id="21371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8.bin"/><Relationship Id="rId21" Type="http://schemas.openxmlformats.org/officeDocument/2006/relationships/header" Target="header5.xml"/><Relationship Id="rId42" Type="http://schemas.openxmlformats.org/officeDocument/2006/relationships/footer" Target="footer14.xml"/><Relationship Id="rId63" Type="http://schemas.openxmlformats.org/officeDocument/2006/relationships/header" Target="header26.xml"/><Relationship Id="rId84" Type="http://schemas.openxmlformats.org/officeDocument/2006/relationships/oleObject" Target="embeddings/oleObject9.bin"/><Relationship Id="rId138" Type="http://schemas.openxmlformats.org/officeDocument/2006/relationships/hyperlink" Target="http://aidsinfo.nih.gov/contentfiles/AdultandAdolescentGL000721.pdf" TargetMode="External"/><Relationship Id="rId159" Type="http://schemas.openxmlformats.org/officeDocument/2006/relationships/oleObject" Target="embeddings/oleObject36.bin"/><Relationship Id="rId170" Type="http://schemas.openxmlformats.org/officeDocument/2006/relationships/image" Target="media/image39.wmf"/><Relationship Id="rId191" Type="http://schemas.openxmlformats.org/officeDocument/2006/relationships/oleObject" Target="embeddings/oleObject52.bin"/><Relationship Id="rId107" Type="http://schemas.openxmlformats.org/officeDocument/2006/relationships/image" Target="media/image21.wmf"/><Relationship Id="rId11" Type="http://schemas.openxmlformats.org/officeDocument/2006/relationships/header" Target="header1.xml"/><Relationship Id="rId32" Type="http://schemas.openxmlformats.org/officeDocument/2006/relationships/header" Target="header10.xml"/><Relationship Id="rId53" Type="http://schemas.openxmlformats.org/officeDocument/2006/relationships/footer" Target="footer20.xml"/><Relationship Id="rId74" Type="http://schemas.openxmlformats.org/officeDocument/2006/relationships/oleObject" Target="embeddings/oleObject6.bin"/><Relationship Id="rId128" Type="http://schemas.openxmlformats.org/officeDocument/2006/relationships/header" Target="header29.xml"/><Relationship Id="rId149" Type="http://schemas.openxmlformats.org/officeDocument/2006/relationships/footer" Target="footer32.xml"/><Relationship Id="rId5" Type="http://schemas.openxmlformats.org/officeDocument/2006/relationships/numbering" Target="numbering.xml"/><Relationship Id="rId95" Type="http://schemas.openxmlformats.org/officeDocument/2006/relationships/oleObject" Target="embeddings/oleObject15.bin"/><Relationship Id="rId160" Type="http://schemas.openxmlformats.org/officeDocument/2006/relationships/image" Target="media/image34.wmf"/><Relationship Id="rId181" Type="http://schemas.openxmlformats.org/officeDocument/2006/relationships/oleObject" Target="embeddings/oleObject47.bin"/><Relationship Id="rId22" Type="http://schemas.openxmlformats.org/officeDocument/2006/relationships/header" Target="header6.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image" Target="media/image25.wmf"/><Relationship Id="rId139" Type="http://schemas.openxmlformats.org/officeDocument/2006/relationships/hyperlink" Target="http://kff.org/global-health-policy/fact-sheet/u-s-federal-funding-for-hivaids-the-presidents-fy-2016-budget-request/" TargetMode="External"/><Relationship Id="rId85" Type="http://schemas.openxmlformats.org/officeDocument/2006/relationships/image" Target="media/image11.wmf"/><Relationship Id="rId150" Type="http://schemas.openxmlformats.org/officeDocument/2006/relationships/header" Target="header34.xml"/><Relationship Id="rId171" Type="http://schemas.openxmlformats.org/officeDocument/2006/relationships/oleObject" Target="embeddings/oleObject42.bin"/><Relationship Id="rId192" Type="http://schemas.openxmlformats.org/officeDocument/2006/relationships/header" Target="header35.xml"/><Relationship Id="rId12" Type="http://schemas.openxmlformats.org/officeDocument/2006/relationships/header" Target="header2.xml"/><Relationship Id="rId33" Type="http://schemas.openxmlformats.org/officeDocument/2006/relationships/footer" Target="footer10.xml"/><Relationship Id="rId108" Type="http://schemas.openxmlformats.org/officeDocument/2006/relationships/oleObject" Target="embeddings/oleObject22.bin"/><Relationship Id="rId129" Type="http://schemas.openxmlformats.org/officeDocument/2006/relationships/footer" Target="footer28.xml"/><Relationship Id="rId54" Type="http://schemas.openxmlformats.org/officeDocument/2006/relationships/header" Target="header21.xml"/><Relationship Id="rId75" Type="http://schemas.openxmlformats.org/officeDocument/2006/relationships/image" Target="media/image8.wmf"/><Relationship Id="rId96" Type="http://schemas.openxmlformats.org/officeDocument/2006/relationships/oleObject" Target="embeddings/oleObject16.bin"/><Relationship Id="rId140" Type="http://schemas.openxmlformats.org/officeDocument/2006/relationships/hyperlink" Target="http://doi.org/10.3886/ICPSR06647.v2" TargetMode="External"/><Relationship Id="rId161" Type="http://schemas.openxmlformats.org/officeDocument/2006/relationships/oleObject" Target="embeddings/oleObject37.bin"/><Relationship Id="rId182" Type="http://schemas.openxmlformats.org/officeDocument/2006/relationships/image" Target="media/image45.wmf"/><Relationship Id="rId6" Type="http://schemas.openxmlformats.org/officeDocument/2006/relationships/styles" Target="styles.xml"/><Relationship Id="rId23" Type="http://schemas.openxmlformats.org/officeDocument/2006/relationships/footer" Target="footer7.xml"/><Relationship Id="rId119" Type="http://schemas.openxmlformats.org/officeDocument/2006/relationships/oleObject" Target="embeddings/oleObject29.bin"/><Relationship Id="rId44" Type="http://schemas.openxmlformats.org/officeDocument/2006/relationships/header" Target="header16.xml"/><Relationship Id="rId65" Type="http://schemas.openxmlformats.org/officeDocument/2006/relationships/image" Target="media/image3.wmf"/><Relationship Id="rId86" Type="http://schemas.openxmlformats.org/officeDocument/2006/relationships/oleObject" Target="embeddings/oleObject10.bin"/><Relationship Id="rId130" Type="http://schemas.openxmlformats.org/officeDocument/2006/relationships/footer" Target="footer29.xml"/><Relationship Id="rId151" Type="http://schemas.openxmlformats.org/officeDocument/2006/relationships/footer" Target="footer33.xml"/><Relationship Id="rId172" Type="http://schemas.openxmlformats.org/officeDocument/2006/relationships/image" Target="media/image40.wmf"/><Relationship Id="rId193" Type="http://schemas.openxmlformats.org/officeDocument/2006/relationships/header" Target="header36.xml"/><Relationship Id="rId13" Type="http://schemas.openxmlformats.org/officeDocument/2006/relationships/footer" Target="footer1.xml"/><Relationship Id="rId109" Type="http://schemas.openxmlformats.org/officeDocument/2006/relationships/image" Target="media/image22.wmf"/><Relationship Id="rId34" Type="http://schemas.openxmlformats.org/officeDocument/2006/relationships/footer" Target="footer11.xml"/><Relationship Id="rId55" Type="http://schemas.openxmlformats.org/officeDocument/2006/relationships/header" Target="header22.xml"/><Relationship Id="rId76" Type="http://schemas.openxmlformats.org/officeDocument/2006/relationships/oleObject" Target="embeddings/oleObject7.bin"/><Relationship Id="rId97" Type="http://schemas.openxmlformats.org/officeDocument/2006/relationships/image" Target="media/image16.wmf"/><Relationship Id="rId120" Type="http://schemas.openxmlformats.org/officeDocument/2006/relationships/image" Target="media/image26.wmf"/><Relationship Id="rId141" Type="http://schemas.openxmlformats.org/officeDocument/2006/relationships/hyperlink" Target="http://www.ncbi.nlm.nih.gov/pubmed/11434728" TargetMode="External"/><Relationship Id="rId7" Type="http://schemas.openxmlformats.org/officeDocument/2006/relationships/settings" Target="settings.xml"/><Relationship Id="rId71" Type="http://schemas.openxmlformats.org/officeDocument/2006/relationships/image" Target="media/image6.wmf"/><Relationship Id="rId92" Type="http://schemas.openxmlformats.org/officeDocument/2006/relationships/oleObject" Target="embeddings/oleObject13.bin"/><Relationship Id="rId162" Type="http://schemas.openxmlformats.org/officeDocument/2006/relationships/image" Target="media/image35.wmf"/><Relationship Id="rId183" Type="http://schemas.openxmlformats.org/officeDocument/2006/relationships/oleObject" Target="embeddings/oleObject48.bin"/><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footer" Target="footer8.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oleObject" Target="embeddings/oleObject2.bin"/><Relationship Id="rId87" Type="http://schemas.openxmlformats.org/officeDocument/2006/relationships/image" Target="media/image12.wmf"/><Relationship Id="rId110" Type="http://schemas.openxmlformats.org/officeDocument/2006/relationships/oleObject" Target="embeddings/oleObject23.bin"/><Relationship Id="rId115" Type="http://schemas.openxmlformats.org/officeDocument/2006/relationships/oleObject" Target="embeddings/oleObject26.bin"/><Relationship Id="rId131" Type="http://schemas.openxmlformats.org/officeDocument/2006/relationships/image" Target="media/image30.wmf"/><Relationship Id="rId136" Type="http://schemas.openxmlformats.org/officeDocument/2006/relationships/hyperlink" Target="http://data.bls.gov/cgi-bin/surveymost." TargetMode="External"/><Relationship Id="rId157" Type="http://schemas.openxmlformats.org/officeDocument/2006/relationships/oleObject" Target="embeddings/oleObject35.bin"/><Relationship Id="rId178" Type="http://schemas.openxmlformats.org/officeDocument/2006/relationships/image" Target="media/image43.wmf"/><Relationship Id="rId61" Type="http://schemas.openxmlformats.org/officeDocument/2006/relationships/footer" Target="footer23.xml"/><Relationship Id="rId82" Type="http://schemas.openxmlformats.org/officeDocument/2006/relationships/footer" Target="footer27.xml"/><Relationship Id="rId152" Type="http://schemas.openxmlformats.org/officeDocument/2006/relationships/footer" Target="footer34.xml"/><Relationship Id="rId173" Type="http://schemas.openxmlformats.org/officeDocument/2006/relationships/oleObject" Target="embeddings/oleObject43.bin"/><Relationship Id="rId194" Type="http://schemas.openxmlformats.org/officeDocument/2006/relationships/footer" Target="footer36.xml"/><Relationship Id="rId19" Type="http://schemas.openxmlformats.org/officeDocument/2006/relationships/header" Target="header4.xml"/><Relationship Id="rId14" Type="http://schemas.openxmlformats.org/officeDocument/2006/relationships/footer" Target="footer2.xml"/><Relationship Id="rId30" Type="http://schemas.openxmlformats.org/officeDocument/2006/relationships/image" Target="media/image2.png"/><Relationship Id="rId35" Type="http://schemas.openxmlformats.org/officeDocument/2006/relationships/header" Target="header11.xml"/><Relationship Id="rId56" Type="http://schemas.openxmlformats.org/officeDocument/2006/relationships/footer" Target="footer21.xml"/><Relationship Id="rId77" Type="http://schemas.openxmlformats.org/officeDocument/2006/relationships/image" Target="media/image9.wmf"/><Relationship Id="rId100" Type="http://schemas.openxmlformats.org/officeDocument/2006/relationships/oleObject" Target="embeddings/oleObject18.bin"/><Relationship Id="rId105" Type="http://schemas.openxmlformats.org/officeDocument/2006/relationships/image" Target="media/image20.wmf"/><Relationship Id="rId126" Type="http://schemas.openxmlformats.org/officeDocument/2006/relationships/image" Target="media/image29.wmf"/><Relationship Id="rId147" Type="http://schemas.openxmlformats.org/officeDocument/2006/relationships/footer" Target="footer30.xml"/><Relationship Id="rId168" Type="http://schemas.openxmlformats.org/officeDocument/2006/relationships/image" Target="media/image38.wmf"/><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oleObject" Target="embeddings/oleObject5.bin"/><Relationship Id="rId93" Type="http://schemas.openxmlformats.org/officeDocument/2006/relationships/image" Target="media/image15.wmf"/><Relationship Id="rId98" Type="http://schemas.openxmlformats.org/officeDocument/2006/relationships/oleObject" Target="embeddings/oleObject17.bin"/><Relationship Id="rId121" Type="http://schemas.openxmlformats.org/officeDocument/2006/relationships/oleObject" Target="embeddings/oleObject30.bin"/><Relationship Id="rId142" Type="http://schemas.openxmlformats.org/officeDocument/2006/relationships/hyperlink" Target="http://www.hivtestingconference.org" TargetMode="External"/><Relationship Id="rId163" Type="http://schemas.openxmlformats.org/officeDocument/2006/relationships/oleObject" Target="embeddings/oleObject38.bin"/><Relationship Id="rId184" Type="http://schemas.openxmlformats.org/officeDocument/2006/relationships/image" Target="media/image46.wmf"/><Relationship Id="rId189" Type="http://schemas.openxmlformats.org/officeDocument/2006/relationships/oleObject" Target="embeddings/oleObject51.bin"/><Relationship Id="rId3" Type="http://schemas.openxmlformats.org/officeDocument/2006/relationships/customXml" Target="../customXml/item3.xml"/><Relationship Id="rId25" Type="http://schemas.openxmlformats.org/officeDocument/2006/relationships/footer" Target="footer9.xml"/><Relationship Id="rId46" Type="http://schemas.openxmlformats.org/officeDocument/2006/relationships/header" Target="header17.xml"/><Relationship Id="rId67" Type="http://schemas.openxmlformats.org/officeDocument/2006/relationships/image" Target="media/image4.wmf"/><Relationship Id="rId116" Type="http://schemas.openxmlformats.org/officeDocument/2006/relationships/oleObject" Target="embeddings/oleObject27.bin"/><Relationship Id="rId137" Type="http://schemas.openxmlformats.org/officeDocument/2006/relationships/hyperlink" Target="http://www.cdc.gov/hiv/library/reports/surveillance/" TargetMode="External"/><Relationship Id="rId158" Type="http://schemas.openxmlformats.org/officeDocument/2006/relationships/image" Target="media/image33.wmf"/><Relationship Id="rId20" Type="http://schemas.openxmlformats.org/officeDocument/2006/relationships/footer" Target="footer6.xml"/><Relationship Id="rId41" Type="http://schemas.openxmlformats.org/officeDocument/2006/relationships/header" Target="header15.xml"/><Relationship Id="rId62" Type="http://schemas.openxmlformats.org/officeDocument/2006/relationships/footer" Target="footer24.xml"/><Relationship Id="rId83" Type="http://schemas.openxmlformats.org/officeDocument/2006/relationships/image" Target="media/image10.wmf"/><Relationship Id="rId88" Type="http://schemas.openxmlformats.org/officeDocument/2006/relationships/oleObject" Target="embeddings/oleObject11.bin"/><Relationship Id="rId111" Type="http://schemas.openxmlformats.org/officeDocument/2006/relationships/image" Target="media/image23.wmf"/><Relationship Id="rId132" Type="http://schemas.openxmlformats.org/officeDocument/2006/relationships/header" Target="header30.xml"/><Relationship Id="rId153" Type="http://schemas.openxmlformats.org/officeDocument/2006/relationships/footer" Target="footer35.xml"/><Relationship Id="rId174" Type="http://schemas.openxmlformats.org/officeDocument/2006/relationships/image" Target="media/image41.wmf"/><Relationship Id="rId179" Type="http://schemas.openxmlformats.org/officeDocument/2006/relationships/oleObject" Target="embeddings/oleObject46.bin"/><Relationship Id="rId195" Type="http://schemas.openxmlformats.org/officeDocument/2006/relationships/footer" Target="footer37.xml"/><Relationship Id="rId190" Type="http://schemas.openxmlformats.org/officeDocument/2006/relationships/image" Target="media/image49.wmf"/><Relationship Id="rId15" Type="http://schemas.openxmlformats.org/officeDocument/2006/relationships/header" Target="header3.xml"/><Relationship Id="rId36" Type="http://schemas.openxmlformats.org/officeDocument/2006/relationships/header" Target="header12.xml"/><Relationship Id="rId57" Type="http://schemas.openxmlformats.org/officeDocument/2006/relationships/footer" Target="footer22.xml"/><Relationship Id="rId106" Type="http://schemas.openxmlformats.org/officeDocument/2006/relationships/oleObject" Target="embeddings/oleObject21.bin"/><Relationship Id="rId127" Type="http://schemas.openxmlformats.org/officeDocument/2006/relationships/oleObject" Target="embeddings/oleObject33.bin"/><Relationship Id="rId10" Type="http://schemas.openxmlformats.org/officeDocument/2006/relationships/endnotes" Target="endnotes.xml"/><Relationship Id="rId31" Type="http://schemas.openxmlformats.org/officeDocument/2006/relationships/header" Target="header9.xml"/><Relationship Id="rId52" Type="http://schemas.openxmlformats.org/officeDocument/2006/relationships/footer" Target="footer19.xml"/><Relationship Id="rId73" Type="http://schemas.openxmlformats.org/officeDocument/2006/relationships/image" Target="media/image7.wmf"/><Relationship Id="rId78" Type="http://schemas.openxmlformats.org/officeDocument/2006/relationships/oleObject" Target="embeddings/oleObject8.bin"/><Relationship Id="rId94" Type="http://schemas.openxmlformats.org/officeDocument/2006/relationships/oleObject" Target="embeddings/oleObject14.bin"/><Relationship Id="rId99" Type="http://schemas.openxmlformats.org/officeDocument/2006/relationships/image" Target="media/image17.wmf"/><Relationship Id="rId101" Type="http://schemas.openxmlformats.org/officeDocument/2006/relationships/image" Target="media/image18.wmf"/><Relationship Id="rId122" Type="http://schemas.openxmlformats.org/officeDocument/2006/relationships/image" Target="media/image27.wmf"/><Relationship Id="rId143" Type="http://schemas.openxmlformats.org/officeDocument/2006/relationships/hyperlink" Target="http://www.micromedexsolutions.com/" TargetMode="External"/><Relationship Id="rId148" Type="http://schemas.openxmlformats.org/officeDocument/2006/relationships/footer" Target="footer31.xml"/><Relationship Id="rId164" Type="http://schemas.openxmlformats.org/officeDocument/2006/relationships/image" Target="media/image36.wmf"/><Relationship Id="rId169" Type="http://schemas.openxmlformats.org/officeDocument/2006/relationships/oleObject" Target="embeddings/oleObject41.bin"/><Relationship Id="rId185" Type="http://schemas.openxmlformats.org/officeDocument/2006/relationships/oleObject" Target="embeddings/oleObject49.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44.wmf"/><Relationship Id="rId26" Type="http://schemas.openxmlformats.org/officeDocument/2006/relationships/header" Target="header7.xml"/><Relationship Id="rId47" Type="http://schemas.openxmlformats.org/officeDocument/2006/relationships/footer" Target="footer17.xml"/><Relationship Id="rId68" Type="http://schemas.openxmlformats.org/officeDocument/2006/relationships/oleObject" Target="embeddings/oleObject3.bin"/><Relationship Id="rId89" Type="http://schemas.openxmlformats.org/officeDocument/2006/relationships/image" Target="media/image13.wmf"/><Relationship Id="rId112" Type="http://schemas.openxmlformats.org/officeDocument/2006/relationships/oleObject" Target="embeddings/oleObject24.bin"/><Relationship Id="rId133" Type="http://schemas.openxmlformats.org/officeDocument/2006/relationships/header" Target="header31.xml"/><Relationship Id="rId154" Type="http://schemas.openxmlformats.org/officeDocument/2006/relationships/image" Target="media/image31.wmf"/><Relationship Id="rId175" Type="http://schemas.openxmlformats.org/officeDocument/2006/relationships/oleObject" Target="embeddings/oleObject44.bin"/><Relationship Id="rId196" Type="http://schemas.openxmlformats.org/officeDocument/2006/relationships/fontTable" Target="fontTable.xml"/><Relationship Id="rId16" Type="http://schemas.openxmlformats.org/officeDocument/2006/relationships/footer" Target="footer3.xml"/><Relationship Id="rId37" Type="http://schemas.openxmlformats.org/officeDocument/2006/relationships/header" Target="header13.xml"/><Relationship Id="rId58" Type="http://schemas.openxmlformats.org/officeDocument/2006/relationships/header" Target="header23.xml"/><Relationship Id="rId79" Type="http://schemas.openxmlformats.org/officeDocument/2006/relationships/header" Target="header27.xml"/><Relationship Id="rId102" Type="http://schemas.openxmlformats.org/officeDocument/2006/relationships/oleObject" Target="embeddings/oleObject19.bin"/><Relationship Id="rId123" Type="http://schemas.openxmlformats.org/officeDocument/2006/relationships/oleObject" Target="embeddings/oleObject31.bin"/><Relationship Id="rId144" Type="http://schemas.openxmlformats.org/officeDocument/2006/relationships/hyperlink" Target="http://factfinder2.census.gov" TargetMode="External"/><Relationship Id="rId90" Type="http://schemas.openxmlformats.org/officeDocument/2006/relationships/oleObject" Target="embeddings/oleObject12.bin"/><Relationship Id="rId165" Type="http://schemas.openxmlformats.org/officeDocument/2006/relationships/oleObject" Target="embeddings/oleObject39.bin"/><Relationship Id="rId186" Type="http://schemas.openxmlformats.org/officeDocument/2006/relationships/image" Target="media/image47.wmf"/><Relationship Id="rId27" Type="http://schemas.openxmlformats.org/officeDocument/2006/relationships/image" Target="media/image1.wmf"/><Relationship Id="rId48" Type="http://schemas.openxmlformats.org/officeDocument/2006/relationships/header" Target="header18.xml"/><Relationship Id="rId69" Type="http://schemas.openxmlformats.org/officeDocument/2006/relationships/image" Target="media/image5.wmf"/><Relationship Id="rId113" Type="http://schemas.openxmlformats.org/officeDocument/2006/relationships/image" Target="media/image24.wmf"/><Relationship Id="rId134" Type="http://schemas.openxmlformats.org/officeDocument/2006/relationships/header" Target="header32.xml"/><Relationship Id="rId80" Type="http://schemas.openxmlformats.org/officeDocument/2006/relationships/header" Target="header28.xml"/><Relationship Id="rId155" Type="http://schemas.openxmlformats.org/officeDocument/2006/relationships/oleObject" Target="embeddings/oleObject34.bin"/><Relationship Id="rId176" Type="http://schemas.openxmlformats.org/officeDocument/2006/relationships/image" Target="media/image42.wmf"/><Relationship Id="rId197" Type="http://schemas.openxmlformats.org/officeDocument/2006/relationships/theme" Target="theme/theme1.xml"/><Relationship Id="rId17" Type="http://schemas.openxmlformats.org/officeDocument/2006/relationships/footer" Target="footer4.xml"/><Relationship Id="rId38" Type="http://schemas.openxmlformats.org/officeDocument/2006/relationships/footer" Target="footer12.xml"/><Relationship Id="rId59" Type="http://schemas.openxmlformats.org/officeDocument/2006/relationships/header" Target="header24.xml"/><Relationship Id="rId103" Type="http://schemas.openxmlformats.org/officeDocument/2006/relationships/image" Target="media/image19.wmf"/><Relationship Id="rId124" Type="http://schemas.openxmlformats.org/officeDocument/2006/relationships/image" Target="media/image28.wmf"/><Relationship Id="rId70" Type="http://schemas.openxmlformats.org/officeDocument/2006/relationships/oleObject" Target="embeddings/oleObject4.bin"/><Relationship Id="rId91" Type="http://schemas.openxmlformats.org/officeDocument/2006/relationships/image" Target="media/image14.wmf"/><Relationship Id="rId145" Type="http://schemas.openxmlformats.org/officeDocument/2006/relationships/hyperlink" Target="https://www.aids.gov/federal-resources/national-hiv-aids-strategy/nhas-update.pdf" TargetMode="External"/><Relationship Id="rId166" Type="http://schemas.openxmlformats.org/officeDocument/2006/relationships/image" Target="media/image37.wmf"/><Relationship Id="rId187" Type="http://schemas.openxmlformats.org/officeDocument/2006/relationships/oleObject" Target="embeddings/oleObject50.bin"/><Relationship Id="rId1" Type="http://schemas.openxmlformats.org/officeDocument/2006/relationships/customXml" Target="../customXml/item1.xml"/><Relationship Id="rId28" Type="http://schemas.openxmlformats.org/officeDocument/2006/relationships/oleObject" Target="embeddings/oleObject1.bin"/><Relationship Id="rId49" Type="http://schemas.openxmlformats.org/officeDocument/2006/relationships/footer" Target="footer18.xml"/><Relationship Id="rId114" Type="http://schemas.openxmlformats.org/officeDocument/2006/relationships/oleObject" Target="embeddings/oleObject25.bin"/><Relationship Id="rId60" Type="http://schemas.openxmlformats.org/officeDocument/2006/relationships/header" Target="header25.xml"/><Relationship Id="rId81" Type="http://schemas.openxmlformats.org/officeDocument/2006/relationships/footer" Target="footer26.xml"/><Relationship Id="rId135" Type="http://schemas.openxmlformats.org/officeDocument/2006/relationships/hyperlink" Target="https://www.fda.gov/downloads/BiologicsBloodVaccines/BloodBloodProducts/ApprovedProducts/PremarketApprovalsPMAs/UCM420735.pdf" TargetMode="External"/><Relationship Id="rId156" Type="http://schemas.openxmlformats.org/officeDocument/2006/relationships/image" Target="media/image32.wmf"/><Relationship Id="rId177" Type="http://schemas.openxmlformats.org/officeDocument/2006/relationships/oleObject" Target="embeddings/oleObject45.bin"/><Relationship Id="rId18" Type="http://schemas.openxmlformats.org/officeDocument/2006/relationships/footer" Target="footer5.xml"/><Relationship Id="rId39" Type="http://schemas.openxmlformats.org/officeDocument/2006/relationships/footer" Target="footer13.xml"/><Relationship Id="rId50" Type="http://schemas.openxmlformats.org/officeDocument/2006/relationships/header" Target="header19.xml"/><Relationship Id="rId104" Type="http://schemas.openxmlformats.org/officeDocument/2006/relationships/oleObject" Target="embeddings/oleObject20.bin"/><Relationship Id="rId125" Type="http://schemas.openxmlformats.org/officeDocument/2006/relationships/oleObject" Target="embeddings/oleObject32.bin"/><Relationship Id="rId146" Type="http://schemas.openxmlformats.org/officeDocument/2006/relationships/header" Target="header33.xml"/><Relationship Id="rId167" Type="http://schemas.openxmlformats.org/officeDocument/2006/relationships/oleObject" Target="embeddings/oleObject40.bin"/><Relationship Id="rId188"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0" ma:contentTypeDescription="Create a new document." ma:contentTypeScope="" ma:versionID="a51987438b718e4d512e9e7aac20dbe6">
  <xsd:schema xmlns:xsd="http://www.w3.org/2001/XMLSchema" xmlns:xs="http://www.w3.org/2001/XMLSchema" xmlns:p="http://schemas.microsoft.com/office/2006/metadata/properties" xmlns:ns3="86765d95-7958-4d60-b35d-769de0760221" xmlns:ns4="dde2d2aa-043b-4580-afc4-8c4886710735" targetNamespace="http://schemas.microsoft.com/office/2006/metadata/properties" ma:root="true" ma:fieldsID="60ea783fef3e63e6fb354204e9389cb3" ns3:_="" ns4:_="">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724C-88DF-4533-AF68-E59852049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32EAF-A110-43F4-8E8C-F24F461D39F1}">
  <ds:schemaRefs>
    <ds:schemaRef ds:uri="http://schemas.microsoft.com/sharepoint/v3/contenttype/forms"/>
  </ds:schemaRefs>
</ds:datastoreItem>
</file>

<file path=customXml/itemProps3.xml><?xml version="1.0" encoding="utf-8"?>
<ds:datastoreItem xmlns:ds="http://schemas.openxmlformats.org/officeDocument/2006/customXml" ds:itemID="{09F2AEED-ABDC-4765-B7E8-72CC2EF2C4BA}">
  <ds:schemaRefs>
    <ds:schemaRef ds:uri="dde2d2aa-043b-4580-afc4-8c4886710735"/>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86765d95-7958-4d60-b35d-769de0760221"/>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CB391CC5-3C95-472F-90D8-F9D088BC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34893</Words>
  <Characters>198892</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DiVito, Norma</dc:creator>
  <cp:lastModifiedBy>Farnham, Paul G. (CDC/DDID/NCHHSTP/DHP)</cp:lastModifiedBy>
  <cp:revision>2</cp:revision>
  <cp:lastPrinted>2017-07-24T18:52:00Z</cp:lastPrinted>
  <dcterms:created xsi:type="dcterms:W3CDTF">2021-12-03T18:35:00Z</dcterms:created>
  <dcterms:modified xsi:type="dcterms:W3CDTF">2021-12-03T18:35:00Z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2021-06-04T12:55:10Z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210003d3-f34c-448a-a062-411cc7c831fb</vt:lpwstr>
  </property>
  <property fmtid="{D5CDD505-2E9C-101B-9397-08002B2CF9AE}" pid="8" name="MSIP_Label_8af03ff0-41c5-4c41-b55e-fabb8fae94be_ContentBits">
    <vt:lpwstr>0</vt:lpwstr>
  </property>
  <property fmtid="{D5CDD505-2E9C-101B-9397-08002B2CF9AE}" pid="9" name="ContentTypeId">
    <vt:lpwstr>0x010100B0280B11AB954C44BB2ADB61C885D152</vt:lpwstr>
  </property>
</Properties>
</file>