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5411" w14:textId="77777777" w:rsidR="00601DEE" w:rsidRPr="00EE4D5D" w:rsidRDefault="00601DEE" w:rsidP="00601DE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E4D5D">
        <w:rPr>
          <w:rFonts w:asciiTheme="minorHAnsi" w:eastAsia="Times New Roman" w:hAnsiTheme="minorHAnsi" w:cstheme="minorHAnsi"/>
          <w:sz w:val="24"/>
          <w:szCs w:val="24"/>
        </w:rPr>
        <w:t>SUPPLEMENTAL TABLE 2 (</w:t>
      </w:r>
      <w:proofErr w:type="spellStart"/>
      <w:r w:rsidRPr="00EE4D5D">
        <w:rPr>
          <w:rFonts w:asciiTheme="minorHAnsi" w:eastAsia="Times New Roman" w:hAnsiTheme="minorHAnsi" w:cstheme="minorHAnsi"/>
          <w:sz w:val="24"/>
          <w:szCs w:val="24"/>
        </w:rPr>
        <w:t>eTable</w:t>
      </w:r>
      <w:proofErr w:type="spellEnd"/>
      <w:r w:rsidRPr="00EE4D5D">
        <w:rPr>
          <w:rFonts w:asciiTheme="minorHAnsi" w:eastAsia="Times New Roman" w:hAnsiTheme="minorHAnsi" w:cstheme="minorHAnsi"/>
          <w:sz w:val="24"/>
          <w:szCs w:val="24"/>
        </w:rPr>
        <w:t xml:space="preserve"> 2). Birth outcomes among pregnant women with laboratory-confirmed SARS-CoV-2 infection by symptomatic </w:t>
      </w:r>
      <w:proofErr w:type="spellStart"/>
      <w:r w:rsidRPr="00EE4D5D">
        <w:rPr>
          <w:rFonts w:asciiTheme="minorHAnsi" w:eastAsia="Times New Roman" w:hAnsiTheme="minorHAnsi" w:cstheme="minorHAnsi"/>
          <w:sz w:val="24"/>
          <w:szCs w:val="24"/>
        </w:rPr>
        <w:t>status</w:t>
      </w:r>
      <w:r w:rsidRPr="00EE4D5D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a</w:t>
      </w:r>
      <w:proofErr w:type="spellEnd"/>
      <w:r w:rsidRPr="00EE4D5D">
        <w:rPr>
          <w:rFonts w:asciiTheme="minorHAnsi" w:eastAsia="Times New Roman" w:hAnsiTheme="minorHAnsi" w:cstheme="minorHAnsi"/>
          <w:sz w:val="24"/>
          <w:szCs w:val="24"/>
        </w:rPr>
        <w:t>, Colombia.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100"/>
        <w:gridCol w:w="2100"/>
        <w:gridCol w:w="2100"/>
      </w:tblGrid>
      <w:tr w:rsidR="00601DEE" w:rsidRPr="00EE4D5D" w14:paraId="58DB03CC" w14:textId="77777777" w:rsidTr="003158F6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4FCF9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9AC67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Symptomatic</w:t>
            </w:r>
          </w:p>
          <w:p w14:paraId="4F07E45A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EE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=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1,979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03120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Asymptomatic</w:t>
            </w:r>
          </w:p>
          <w:p w14:paraId="59F9900F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EE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=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87DF8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  <w:p w14:paraId="04A569DD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EE4D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=2,6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EB31D5" w:rsidRPr="00EE4D5D" w14:paraId="49C54F36" w14:textId="77777777" w:rsidTr="00EB31D5">
        <w:tc>
          <w:tcPr>
            <w:tcW w:w="3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C8A9D7" w14:textId="77777777" w:rsidR="00EB31D5" w:rsidRPr="00EE4D5D" w:rsidRDefault="00EB31D5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2850BB" w14:textId="7358AFE2" w:rsidR="00EB31D5" w:rsidRPr="00EE4D5D" w:rsidRDefault="00EB31D5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1D5">
              <w:rPr>
                <w:rFonts w:asciiTheme="minorHAnsi" w:hAnsiTheme="minorHAnsi" w:cstheme="minorHAnsi"/>
                <w:sz w:val="24"/>
                <w:szCs w:val="24"/>
              </w:rPr>
              <w:t>Number (%)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ADF58C" w14:textId="3B04727E" w:rsidR="00EB31D5" w:rsidRPr="00EE4D5D" w:rsidRDefault="00EB31D5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1D5">
              <w:rPr>
                <w:rFonts w:asciiTheme="minorHAnsi" w:hAnsiTheme="minorHAnsi" w:cstheme="minorHAnsi"/>
                <w:sz w:val="24"/>
                <w:szCs w:val="24"/>
              </w:rPr>
              <w:t>Number (%)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B1BDA5" w14:textId="629CF0BD" w:rsidR="00EB31D5" w:rsidRPr="00EE4D5D" w:rsidRDefault="00EB31D5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31D5">
              <w:rPr>
                <w:rFonts w:asciiTheme="minorHAnsi" w:hAnsiTheme="minorHAnsi" w:cstheme="minorHAnsi"/>
                <w:sz w:val="24"/>
                <w:szCs w:val="24"/>
              </w:rPr>
              <w:t>Number (%)</w:t>
            </w:r>
          </w:p>
        </w:tc>
      </w:tr>
      <w:tr w:rsidR="00601DEE" w:rsidRPr="00EE4D5D" w14:paraId="5E551540" w14:textId="77777777" w:rsidTr="00EB31D5">
        <w:tc>
          <w:tcPr>
            <w:tcW w:w="3330" w:type="dxa"/>
            <w:tcBorders>
              <w:top w:val="nil"/>
              <w:bottom w:val="nil"/>
            </w:tcBorders>
            <w:shd w:val="clear" w:color="auto" w:fill="auto"/>
          </w:tcPr>
          <w:p w14:paraId="652D9202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Pregnancy outcome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=2,6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</w:tcPr>
          <w:p w14:paraId="20473BF5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</w:tcPr>
          <w:p w14:paraId="67D3E8B0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</w:tcPr>
          <w:p w14:paraId="47929B1A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DEE" w:rsidRPr="00EE4D5D" w14:paraId="3613E51A" w14:textId="77777777" w:rsidTr="00EB31D5">
        <w:tc>
          <w:tcPr>
            <w:tcW w:w="3330" w:type="dxa"/>
            <w:tcBorders>
              <w:top w:val="nil"/>
            </w:tcBorders>
            <w:shd w:val="clear" w:color="auto" w:fill="auto"/>
          </w:tcPr>
          <w:p w14:paraId="011D2C2B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 Pregnancy outcome not reported 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</w:tcPr>
          <w:p w14:paraId="57342105" w14:textId="39CC76CD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225 (11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.4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</w:tcPr>
          <w:p w14:paraId="05E3ADE3" w14:textId="73F65EC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107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17.0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</w:tcPr>
          <w:p w14:paraId="0A92A014" w14:textId="4D9EDCFF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332 (1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1DEE" w:rsidRPr="00EE4D5D" w14:paraId="417B9EFB" w14:textId="77777777" w:rsidTr="003158F6">
        <w:tc>
          <w:tcPr>
            <w:tcW w:w="3330" w:type="dxa"/>
            <w:shd w:val="clear" w:color="auto" w:fill="auto"/>
          </w:tcPr>
          <w:p w14:paraId="3448D503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 Pregnancy loss</w:t>
            </w:r>
          </w:p>
        </w:tc>
        <w:tc>
          <w:tcPr>
            <w:tcW w:w="2100" w:type="dxa"/>
            <w:shd w:val="clear" w:color="auto" w:fill="auto"/>
          </w:tcPr>
          <w:p w14:paraId="6920A144" w14:textId="62910145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39 (2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23D78AFE" w14:textId="6FEA9DB6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1EFBEB39" w14:textId="16B153AB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1DEE" w:rsidRPr="00EE4D5D" w14:paraId="52C34345" w14:textId="77777777" w:rsidTr="003158F6">
        <w:tc>
          <w:tcPr>
            <w:tcW w:w="3330" w:type="dxa"/>
            <w:shd w:val="clear" w:color="auto" w:fill="auto"/>
          </w:tcPr>
          <w:p w14:paraId="3E8EE2A5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 Live birth</w:t>
            </w:r>
          </w:p>
        </w:tc>
        <w:tc>
          <w:tcPr>
            <w:tcW w:w="2100" w:type="dxa"/>
            <w:shd w:val="clear" w:color="auto" w:fill="auto"/>
          </w:tcPr>
          <w:p w14:paraId="0A999728" w14:textId="2BE38709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6.7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41488A62" w14:textId="52C03BC9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0.5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16F1BBED" w14:textId="33C26DDB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2,2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3 (85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1DEE" w:rsidRPr="00EE4D5D" w14:paraId="2842B843" w14:textId="77777777" w:rsidTr="003158F6">
        <w:tc>
          <w:tcPr>
            <w:tcW w:w="3330" w:type="dxa"/>
            <w:shd w:val="clear" w:color="auto" w:fill="auto"/>
          </w:tcPr>
          <w:p w14:paraId="27F8958B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Infant outcome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=2,5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5)</w:t>
            </w:r>
            <w:r w:rsidRPr="00EE4D5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00" w:type="dxa"/>
            <w:shd w:val="clear" w:color="auto" w:fill="auto"/>
          </w:tcPr>
          <w:p w14:paraId="068DC96B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0874D222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04AE280A" w14:textId="7777777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DEE" w:rsidRPr="00EE4D5D" w14:paraId="2E6B8F39" w14:textId="77777777" w:rsidTr="003158F6">
        <w:tc>
          <w:tcPr>
            <w:tcW w:w="3330" w:type="dxa"/>
            <w:shd w:val="clear" w:color="auto" w:fill="auto"/>
          </w:tcPr>
          <w:p w14:paraId="22A3B7C3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 Pregnancy outcome not reported </w:t>
            </w:r>
          </w:p>
        </w:tc>
        <w:tc>
          <w:tcPr>
            <w:tcW w:w="2100" w:type="dxa"/>
            <w:shd w:val="clear" w:color="auto" w:fill="auto"/>
          </w:tcPr>
          <w:p w14:paraId="7DCD6A02" w14:textId="44FD2A3F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226 (1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4C68DB71" w14:textId="3F4A9BDD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108 (17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.6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6DB75CAF" w14:textId="2C4A331F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334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13.1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1DEE" w:rsidRPr="00EE4D5D" w14:paraId="629669EA" w14:textId="77777777" w:rsidTr="003158F6">
        <w:tc>
          <w:tcPr>
            <w:tcW w:w="3330" w:type="dxa"/>
            <w:shd w:val="clear" w:color="auto" w:fill="auto"/>
          </w:tcPr>
          <w:p w14:paraId="6F625C0A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 Term not low birthweight</w:t>
            </w:r>
          </w:p>
        </w:tc>
        <w:tc>
          <w:tcPr>
            <w:tcW w:w="2100" w:type="dxa"/>
            <w:shd w:val="clear" w:color="auto" w:fill="auto"/>
          </w:tcPr>
          <w:p w14:paraId="2B71DFC6" w14:textId="3597EAD4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1,35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(69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.7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4AA27763" w14:textId="20189432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68.5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55CADD3E" w14:textId="69F9F916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1,77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69.4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1DEE" w:rsidRPr="00EE4D5D" w14:paraId="0AC57A69" w14:textId="77777777" w:rsidTr="003158F6">
        <w:tc>
          <w:tcPr>
            <w:tcW w:w="3330" w:type="dxa"/>
            <w:shd w:val="clear" w:color="auto" w:fill="auto"/>
          </w:tcPr>
          <w:p w14:paraId="3F6A2068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 Term low birthweight</w:t>
            </w:r>
          </w:p>
        </w:tc>
        <w:tc>
          <w:tcPr>
            <w:tcW w:w="2100" w:type="dxa"/>
            <w:shd w:val="clear" w:color="auto" w:fill="auto"/>
          </w:tcPr>
          <w:p w14:paraId="656A0CEC" w14:textId="35D5A04D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307E9D17" w14:textId="5F73859C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045D4FA7" w14:textId="6DD99121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1DEE" w:rsidRPr="00EE4D5D" w14:paraId="75264E91" w14:textId="77777777" w:rsidTr="003158F6">
        <w:tc>
          <w:tcPr>
            <w:tcW w:w="3330" w:type="dxa"/>
            <w:shd w:val="clear" w:color="auto" w:fill="auto"/>
          </w:tcPr>
          <w:p w14:paraId="54F5BF39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 Preterm</w:t>
            </w:r>
          </w:p>
        </w:tc>
        <w:tc>
          <w:tcPr>
            <w:tcW w:w="2100" w:type="dxa"/>
            <w:shd w:val="clear" w:color="auto" w:fill="auto"/>
          </w:tcPr>
          <w:p w14:paraId="72B5C692" w14:textId="4EA18890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15.7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428FB936" w14:textId="2600D39B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11.4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1EC1354B" w14:textId="08C2AC3E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14.7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1DEE" w:rsidRPr="00EE4D5D" w14:paraId="0810C876" w14:textId="77777777" w:rsidTr="003158F6">
        <w:tc>
          <w:tcPr>
            <w:tcW w:w="3330" w:type="dxa"/>
            <w:shd w:val="clear" w:color="auto" w:fill="auto"/>
          </w:tcPr>
          <w:p w14:paraId="59A10616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Infant death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=2,5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5)</w:t>
            </w:r>
            <w:r w:rsidRPr="00EE4D5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00" w:type="dxa"/>
            <w:shd w:val="clear" w:color="auto" w:fill="auto"/>
          </w:tcPr>
          <w:p w14:paraId="11736C1C" w14:textId="2F566C37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14073A27" w14:textId="21823B78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12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2.0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744EA4AF" w14:textId="1C303AFF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1DEE" w:rsidRPr="00EE4D5D" w14:paraId="7BEE0BE0" w14:textId="77777777" w:rsidTr="003158F6">
        <w:tc>
          <w:tcPr>
            <w:tcW w:w="3330" w:type="dxa"/>
            <w:shd w:val="clear" w:color="auto" w:fill="auto"/>
          </w:tcPr>
          <w:p w14:paraId="06E70627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 Neonatal death</w:t>
            </w:r>
          </w:p>
        </w:tc>
        <w:tc>
          <w:tcPr>
            <w:tcW w:w="2100" w:type="dxa"/>
            <w:shd w:val="clear" w:color="auto" w:fill="auto"/>
          </w:tcPr>
          <w:p w14:paraId="67E3AAE1" w14:textId="0153F84C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241F7A18" w14:textId="0D691CCE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11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669BA3F6" w14:textId="1482D039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01DEE" w:rsidRPr="00EE4D5D" w14:paraId="23A4F152" w14:textId="77777777" w:rsidTr="003158F6">
        <w:tc>
          <w:tcPr>
            <w:tcW w:w="3330" w:type="dxa"/>
            <w:shd w:val="clear" w:color="auto" w:fill="auto"/>
          </w:tcPr>
          <w:p w14:paraId="764A85B6" w14:textId="77777777" w:rsidR="00601DEE" w:rsidRPr="00EE4D5D" w:rsidRDefault="00601DEE" w:rsidP="003158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Severe pregnancy complications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=2,6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EE4D5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00" w:type="dxa"/>
            <w:shd w:val="clear" w:color="auto" w:fill="auto"/>
          </w:tcPr>
          <w:p w14:paraId="23F88257" w14:textId="797AE153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14.7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0FAD1AC0" w14:textId="7A2321B3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12.8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7EE7F4BD" w14:textId="30D0D1E1" w:rsidR="00601DEE" w:rsidRPr="00EE4D5D" w:rsidRDefault="00601DEE" w:rsidP="003158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371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 xml:space="preserve"> (1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  <w:r w:rsidRPr="00EE4D5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14:paraId="09CA979B" w14:textId="77777777" w:rsidR="00601DEE" w:rsidRPr="00EE4D5D" w:rsidRDefault="00601DEE" w:rsidP="00601DE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E4D5D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a</w:t>
      </w:r>
      <w:proofErr w:type="spellEnd"/>
      <w:r w:rsidRPr="00EE4D5D">
        <w:rPr>
          <w:rFonts w:asciiTheme="minorHAnsi" w:eastAsia="Times New Roman" w:hAnsiTheme="minorHAnsi" w:cstheme="minorHAnsi"/>
          <w:sz w:val="24"/>
          <w:szCs w:val="24"/>
        </w:rPr>
        <w:t xml:space="preserve"> Analysis restricted to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single gestation </w:t>
      </w:r>
      <w:r w:rsidRPr="00EE4D5D">
        <w:rPr>
          <w:rFonts w:asciiTheme="minorHAnsi" w:eastAsia="Times New Roman" w:hAnsiTheme="minorHAnsi" w:cstheme="minorHAnsi"/>
          <w:sz w:val="24"/>
          <w:szCs w:val="24"/>
        </w:rPr>
        <w:t>pregnancies that could have potential for duration of 42 weeks by the end of the study period (December 12, 2020) based on reported gestational week at the time of SARS-CoV-2 infection.</w:t>
      </w:r>
    </w:p>
    <w:p w14:paraId="3C26CD5B" w14:textId="77777777" w:rsidR="00601DEE" w:rsidRPr="00EE4D5D" w:rsidRDefault="00601DEE" w:rsidP="00601DE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EE4D5D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b</w:t>
      </w:r>
      <w:r w:rsidRPr="00EE4D5D">
        <w:rPr>
          <w:rFonts w:asciiTheme="minorHAnsi" w:eastAsia="Times New Roman" w:hAnsiTheme="minorHAnsi" w:cstheme="minorHAnsi"/>
          <w:sz w:val="24"/>
          <w:szCs w:val="24"/>
        </w:rPr>
        <w:t xml:space="preserve"> Excludes pregnancy losses.</w:t>
      </w:r>
    </w:p>
    <w:p w14:paraId="52606F17" w14:textId="00D60FA9" w:rsidR="00FC70C6" w:rsidRPr="00601DEE" w:rsidRDefault="00601DEE" w:rsidP="00601DE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EE4D5D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c</w:t>
      </w:r>
      <w:r w:rsidRPr="00EE4D5D">
        <w:rPr>
          <w:rFonts w:asciiTheme="minorHAnsi" w:eastAsia="Times New Roman" w:hAnsiTheme="minorHAnsi" w:cstheme="minorHAnsi"/>
          <w:sz w:val="24"/>
          <w:szCs w:val="24"/>
        </w:rPr>
        <w:t xml:space="preserve"> Severe life-threatening obstetric pregnancy complication during the pregnancy, delivery, or within 42 days of delivery.</w:t>
      </w:r>
    </w:p>
    <w:sectPr w:rsidR="00FC70C6" w:rsidRPr="00601DE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E82A" w14:textId="77777777" w:rsidR="00601DEE" w:rsidRDefault="00601DEE" w:rsidP="00601DEE">
      <w:pPr>
        <w:spacing w:after="0" w:line="240" w:lineRule="auto"/>
      </w:pPr>
      <w:r>
        <w:separator/>
      </w:r>
    </w:p>
  </w:endnote>
  <w:endnote w:type="continuationSeparator" w:id="0">
    <w:p w14:paraId="36BEE28F" w14:textId="77777777" w:rsidR="00601DEE" w:rsidRDefault="00601DEE" w:rsidP="0060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E31C" w14:textId="77777777" w:rsidR="00601DEE" w:rsidRDefault="00601DEE" w:rsidP="00601DEE">
      <w:pPr>
        <w:spacing w:after="0" w:line="240" w:lineRule="auto"/>
      </w:pPr>
      <w:r>
        <w:separator/>
      </w:r>
    </w:p>
  </w:footnote>
  <w:footnote w:type="continuationSeparator" w:id="0">
    <w:p w14:paraId="45695014" w14:textId="77777777" w:rsidR="00601DEE" w:rsidRDefault="00601DEE" w:rsidP="0060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E"/>
    <w:rsid w:val="00601DEE"/>
    <w:rsid w:val="00D26908"/>
    <w:rsid w:val="00EB31D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2594E"/>
  <w15:chartTrackingRefBased/>
  <w15:docId w15:val="{4ED2B291-B892-4459-A4CC-7A5C80CD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E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Suzanne (CDC/DDNID/NCBDDD/DBDID)</dc:creator>
  <cp:keywords/>
  <dc:description/>
  <cp:lastModifiedBy>Newton, Suzanne (CDC/DDNID/NCBDDD/DBDID)</cp:lastModifiedBy>
  <cp:revision>2</cp:revision>
  <dcterms:created xsi:type="dcterms:W3CDTF">2021-06-28T14:00:00Z</dcterms:created>
  <dcterms:modified xsi:type="dcterms:W3CDTF">2021-07-15T14:51:00Z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2021-06-28T14:01:16Z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2d750811-2e4f-4895-900e-e6b4cda17043</vt:lpwstr>
  </property>
  <property fmtid="{D5CDD505-2E9C-101B-9397-08002B2CF9AE}" pid="8" name="MSIP_Label_7b94a7b8-f06c-4dfe-bdcc-9b548fd58c31_ContentBits">
    <vt:lpwstr>0</vt:lpwstr>
  </property>
</Properties>
</file>