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5482D" w14:textId="77777777" w:rsidR="00DF7016" w:rsidRPr="00C514E1" w:rsidRDefault="00DF7016" w:rsidP="00540765">
      <w:pPr>
        <w:tabs>
          <w:tab w:val="left" w:pos="2430"/>
        </w:tabs>
        <w:spacing w:line="240" w:lineRule="auto"/>
        <w:ind w:left="2340" w:hanging="2340"/>
        <w:rPr>
          <w:rFonts w:cs="Times New Roman"/>
        </w:rPr>
      </w:pPr>
      <w:r w:rsidRPr="00C514E1">
        <w:rPr>
          <w:rFonts w:cs="Times New Roman"/>
          <w:b/>
        </w:rPr>
        <w:t>Supplementary Table 1</w:t>
      </w:r>
      <w:r w:rsidRPr="00C514E1">
        <w:rPr>
          <w:rFonts w:cs="Times New Roman"/>
        </w:rPr>
        <w:t xml:space="preserve">: </w:t>
      </w:r>
      <w:bookmarkStart w:id="0" w:name="_Hlk12262945"/>
      <w:r w:rsidRPr="00C514E1">
        <w:rPr>
          <w:rFonts w:eastAsia="Times New Roman" w:cs="Times New Roman"/>
          <w:color w:val="000000"/>
        </w:rPr>
        <w:t>Average annual percentage change</w:t>
      </w:r>
      <w:r w:rsidRPr="00C514E1" w:rsidDel="002B1F4B">
        <w:rPr>
          <w:rFonts w:eastAsia="Times New Roman" w:cs="Times New Roman"/>
          <w:color w:val="000000"/>
        </w:rPr>
        <w:t xml:space="preserve"> </w:t>
      </w:r>
      <w:r w:rsidRPr="00C514E1">
        <w:rPr>
          <w:rFonts w:eastAsia="Times New Roman" w:cs="Times New Roman"/>
          <w:color w:val="000000"/>
        </w:rPr>
        <w:t xml:space="preserve">(AAPC) in </w:t>
      </w:r>
      <w:r w:rsidRPr="00C514E1">
        <w:rPr>
          <w:rFonts w:cs="Times New Roman"/>
        </w:rPr>
        <w:t>Kaposi sarcoma incidence rates</w:t>
      </w:r>
      <w:r w:rsidRPr="00C514E1">
        <w:rPr>
          <w:rFonts w:eastAsia="Times New Roman" w:cs="Times New Roman"/>
          <w:color w:val="000000"/>
        </w:rPr>
        <w:t xml:space="preserve"> and 95% confidence intervals (CIs) among people with HIV in the HIV</w:t>
      </w:r>
      <w:r w:rsidRPr="00C514E1">
        <w:rPr>
          <w:rFonts w:cs="Times New Roman"/>
        </w:rPr>
        <w:t xml:space="preserve">/AIDS </w:t>
      </w:r>
      <w:r w:rsidRPr="00C514E1">
        <w:rPr>
          <w:rFonts w:eastAsia="Times New Roman" w:cs="Times New Roman"/>
          <w:color w:val="000000"/>
        </w:rPr>
        <w:t>Cancer Match Study, by state, 2000 to 2015.</w:t>
      </w:r>
    </w:p>
    <w:tbl>
      <w:tblPr>
        <w:tblW w:w="7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916"/>
        <w:gridCol w:w="3600"/>
      </w:tblGrid>
      <w:tr w:rsidR="00DF7016" w:rsidRPr="00C514E1" w14:paraId="0F430F24" w14:textId="77777777" w:rsidTr="007A3B77">
        <w:trPr>
          <w:trHeight w:val="255"/>
          <w:jc w:val="center"/>
        </w:trPr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151EB553" w14:textId="77777777" w:rsidR="00DF7016" w:rsidRPr="00C514E1" w:rsidRDefault="00DF7016" w:rsidP="003942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4E1">
              <w:rPr>
                <w:rFonts w:eastAsia="Times New Roman" w:cs="Times New Roman"/>
                <w:b/>
                <w:bCs/>
                <w:color w:val="000000"/>
              </w:rPr>
              <w:t>Reg</w:t>
            </w:r>
            <w:r w:rsidRPr="00C514E1">
              <w:rPr>
                <w:rFonts w:cs="Times New Roman"/>
              </w:rPr>
              <w:t>istry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EF5DC" w14:textId="77777777" w:rsidR="00DF7016" w:rsidRPr="00C514E1" w:rsidRDefault="00DF7016" w:rsidP="003942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4E1">
              <w:rPr>
                <w:rFonts w:eastAsia="Times New Roman" w:cs="Times New Roman"/>
                <w:b/>
                <w:bCs/>
                <w:color w:val="000000"/>
              </w:rPr>
              <w:t>Calendar years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AE869" w14:textId="77777777" w:rsidR="00DF7016" w:rsidRPr="00C514E1" w:rsidRDefault="00DF7016" w:rsidP="003942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4E1">
              <w:rPr>
                <w:rFonts w:eastAsia="Times New Roman" w:cs="Times New Roman"/>
                <w:b/>
                <w:bCs/>
                <w:color w:val="000000"/>
              </w:rPr>
              <w:t>AAPC</w:t>
            </w:r>
            <w:r w:rsidR="00047063" w:rsidRPr="00C514E1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047063" w:rsidRPr="00C514E1">
              <w:rPr>
                <w:rFonts w:eastAsia="Times New Roman" w:cs="Times New Roman"/>
                <w:b/>
                <w:color w:val="000000"/>
                <w:vertAlign w:val="superscript"/>
              </w:rPr>
              <w:t>a</w:t>
            </w:r>
            <w:r w:rsidRPr="00C514E1">
              <w:rPr>
                <w:rFonts w:eastAsia="Times New Roman" w:cs="Times New Roman"/>
                <w:b/>
                <w:bCs/>
                <w:color w:val="000000"/>
              </w:rPr>
              <w:t>, %/year (95% CI)</w:t>
            </w:r>
          </w:p>
        </w:tc>
      </w:tr>
      <w:tr w:rsidR="00DF7016" w:rsidRPr="00C514E1" w14:paraId="5A301FB2" w14:textId="77777777" w:rsidTr="007A3B77">
        <w:trPr>
          <w:trHeight w:val="255"/>
          <w:jc w:val="center"/>
        </w:trPr>
        <w:tc>
          <w:tcPr>
            <w:tcW w:w="14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8975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CO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1BE1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2000-2015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</w:tcPr>
          <w:p w14:paraId="0870606E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-5∙2 (-9∙0, -1∙3)</w:t>
            </w:r>
          </w:p>
        </w:tc>
      </w:tr>
      <w:tr w:rsidR="00DF7016" w:rsidRPr="00C514E1" w14:paraId="5C1D9F35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D14D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CT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1E16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2005-2015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6A2D04CA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-4∙7 (-15∙7, 7∙9)</w:t>
            </w:r>
          </w:p>
        </w:tc>
      </w:tr>
      <w:tr w:rsidR="00DF7016" w:rsidRPr="00C514E1" w14:paraId="3ADEEA25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AEAF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DC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6822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2007-2015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5172C43B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-13∙7 (-22∙5, -4∙0)</w:t>
            </w:r>
          </w:p>
        </w:tc>
      </w:tr>
      <w:tr w:rsidR="00DF7016" w:rsidRPr="00C514E1" w14:paraId="692355D4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57B3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GA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21BB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2004-2012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36B8C326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-3∙4 (-7∙9, 1∙3)</w:t>
            </w:r>
          </w:p>
        </w:tc>
      </w:tr>
      <w:tr w:rsidR="00DF7016" w:rsidRPr="00C514E1" w14:paraId="64985E4E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A09BBB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LA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83161F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2000-2015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5EF47E26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-2∙4 (-5∙6, 0∙9)</w:t>
            </w:r>
          </w:p>
        </w:tc>
      </w:tr>
      <w:tr w:rsidR="00DF7016" w:rsidRPr="00C514E1" w14:paraId="68D686C3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C2C2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MD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5FF3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2008-2012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014FAE18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-25∙8 (-40∙2, -7∙9)</w:t>
            </w:r>
          </w:p>
        </w:tc>
      </w:tr>
      <w:tr w:rsidR="00DF7016" w:rsidRPr="00C514E1" w14:paraId="117F524D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E1F4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MI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F6ED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2000-2015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6A31BF28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-8∙5 (-12∙0, -4∙8)</w:t>
            </w:r>
          </w:p>
        </w:tc>
      </w:tr>
      <w:tr w:rsidR="00DF7016" w:rsidRPr="00C514E1" w14:paraId="09B86F53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159C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NC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E001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2000-2014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68907A80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-3∙1 (-6∙9, 0∙8)</w:t>
            </w:r>
          </w:p>
        </w:tc>
      </w:tr>
      <w:tr w:rsidR="00DF7016" w:rsidRPr="00C514E1" w14:paraId="1A7AA00C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6912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NJ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8791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2000-2012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3287B013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-8∙8 (-12∙5, -5∙0)</w:t>
            </w:r>
          </w:p>
        </w:tc>
      </w:tr>
      <w:tr w:rsidR="00DF7016" w:rsidRPr="00C514E1" w14:paraId="2E123467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A959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NY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B5FD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2001-2012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3D959216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-9∙5 (-11∙4, -7∙6)</w:t>
            </w:r>
          </w:p>
        </w:tc>
      </w:tr>
      <w:tr w:rsidR="00DF7016" w:rsidRPr="00C514E1" w14:paraId="7FDF6019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282A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PR</w:t>
            </w:r>
          </w:p>
        </w:tc>
        <w:tc>
          <w:tcPr>
            <w:tcW w:w="19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9772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2003-2012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23A4AF22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-4∙5 (-12∙8, 4∙5)</w:t>
            </w:r>
          </w:p>
        </w:tc>
      </w:tr>
      <w:tr w:rsidR="00DF7016" w:rsidRPr="00C514E1" w14:paraId="684CBCF0" w14:textId="77777777" w:rsidTr="007A3B77">
        <w:trPr>
          <w:trHeight w:val="255"/>
          <w:jc w:val="center"/>
        </w:trPr>
        <w:tc>
          <w:tcPr>
            <w:tcW w:w="14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69A7D" w14:textId="77777777" w:rsidR="00DF7016" w:rsidRPr="00C514E1" w:rsidRDefault="00DF7016" w:rsidP="003942E0">
            <w:pPr>
              <w:spacing w:after="0" w:line="240" w:lineRule="auto"/>
              <w:ind w:left="510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TX</w:t>
            </w:r>
          </w:p>
        </w:tc>
        <w:tc>
          <w:tcPr>
            <w:tcW w:w="19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18D8B" w14:textId="77777777" w:rsidR="00DF7016" w:rsidRPr="00C514E1" w:rsidRDefault="00DF7016" w:rsidP="003942E0">
            <w:pPr>
              <w:spacing w:after="0" w:line="240" w:lineRule="auto"/>
              <w:ind w:left="-74" w:right="45" w:firstLineChars="300" w:firstLine="660"/>
              <w:jc w:val="right"/>
              <w:rPr>
                <w:rFonts w:eastAsia="Times New Roman" w:cs="Times New Roman"/>
                <w:color w:val="000000"/>
              </w:rPr>
            </w:pPr>
            <w:r w:rsidRPr="00C514E1">
              <w:rPr>
                <w:rFonts w:eastAsia="Times New Roman" w:cs="Times New Roman"/>
                <w:color w:val="000000"/>
              </w:rPr>
              <w:t>2000-2015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nil"/>
            </w:tcBorders>
          </w:tcPr>
          <w:p w14:paraId="286FE90F" w14:textId="77777777" w:rsidR="00DF7016" w:rsidRPr="00C514E1" w:rsidRDefault="00DF7016" w:rsidP="003942E0">
            <w:pPr>
              <w:spacing w:after="0" w:line="240" w:lineRule="auto"/>
              <w:ind w:right="346"/>
              <w:jc w:val="right"/>
              <w:rPr>
                <w:rFonts w:cs="Times New Roman"/>
              </w:rPr>
            </w:pPr>
            <w:r w:rsidRPr="00C514E1">
              <w:rPr>
                <w:rFonts w:cs="Times New Roman"/>
              </w:rPr>
              <w:t>-4∙9 (-6∙4, -3∙5)</w:t>
            </w:r>
          </w:p>
        </w:tc>
      </w:tr>
    </w:tbl>
    <w:p w14:paraId="67F71F65" w14:textId="1D1E8E57" w:rsidR="00DF7016" w:rsidRDefault="00047063" w:rsidP="00540765">
      <w:pPr>
        <w:spacing w:before="160" w:line="240" w:lineRule="auto"/>
        <w:rPr>
          <w:rFonts w:eastAsia="Times New Roman" w:cs="Times New Roman"/>
          <w:color w:val="000000"/>
        </w:rPr>
      </w:pPr>
      <w:bookmarkStart w:id="1" w:name="_Hlk12262387"/>
      <w:proofErr w:type="spellStart"/>
      <w:proofErr w:type="gramStart"/>
      <w:r w:rsidRPr="00C514E1">
        <w:rPr>
          <w:rFonts w:cs="Times New Roman"/>
          <w:vertAlign w:val="superscript"/>
        </w:rPr>
        <w:t>a</w:t>
      </w:r>
      <w:proofErr w:type="spellEnd"/>
      <w:proofErr w:type="gramEnd"/>
      <w:r w:rsidR="00DF7016" w:rsidRPr="00C514E1">
        <w:rPr>
          <w:rFonts w:cs="Times New Roman"/>
        </w:rPr>
        <w:t xml:space="preserve"> Estimates are adjusted for attained age using 5-yr age groups, race/ethnicity, HIV transmission group and calendar year.</w:t>
      </w:r>
      <w:bookmarkEnd w:id="1"/>
      <w:r w:rsidR="00DF7016" w:rsidRPr="00C514E1">
        <w:rPr>
          <w:rFonts w:eastAsia="Times New Roman" w:cs="Times New Roman"/>
          <w:color w:val="000000"/>
        </w:rPr>
        <w:t xml:space="preserve"> </w:t>
      </w:r>
    </w:p>
    <w:p w14:paraId="384764C4" w14:textId="146F8D6E" w:rsidR="008A4795" w:rsidRPr="00C514E1" w:rsidRDefault="008A4795" w:rsidP="00540765">
      <w:pPr>
        <w:spacing w:before="160" w:line="240" w:lineRule="auto"/>
        <w:rPr>
          <w:rFonts w:eastAsia="Times New Roman" w:cs="Times New Roman"/>
          <w:color w:val="000000"/>
        </w:rPr>
      </w:pPr>
      <w:r w:rsidRPr="00C514E1">
        <w:rPr>
          <w:rFonts w:cs="Times New Roman"/>
        </w:rPr>
        <w:t xml:space="preserve">Note: That data is shown only for persons with 4 or more months of follow-up. </w:t>
      </w:r>
    </w:p>
    <w:p w14:paraId="0E7C4A79" w14:textId="77777777" w:rsidR="004B4157" w:rsidRPr="00C514E1" w:rsidRDefault="004B4157" w:rsidP="00357AD2">
      <w:pPr>
        <w:spacing w:line="480" w:lineRule="auto"/>
        <w:rPr>
          <w:rFonts w:eastAsia="Times New Roman" w:cs="Times New Roman"/>
          <w:color w:val="000000"/>
        </w:rPr>
      </w:pPr>
    </w:p>
    <w:p w14:paraId="5141C332" w14:textId="77777777" w:rsidR="004B4157" w:rsidRPr="00C514E1" w:rsidRDefault="004B4157" w:rsidP="00357AD2">
      <w:pPr>
        <w:spacing w:line="480" w:lineRule="auto"/>
        <w:rPr>
          <w:rFonts w:cs="Times New Roman"/>
        </w:rPr>
        <w:sectPr w:rsidR="004B4157" w:rsidRPr="00C514E1" w:rsidSect="004264F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2EA3AB1" w14:textId="77777777" w:rsidR="004B4157" w:rsidRPr="00C514E1" w:rsidRDefault="004B4157" w:rsidP="00540765">
      <w:pPr>
        <w:spacing w:line="240" w:lineRule="auto"/>
        <w:rPr>
          <w:rFonts w:cs="Times New Roman"/>
        </w:rPr>
      </w:pPr>
      <w:r w:rsidRPr="00C514E1">
        <w:rPr>
          <w:rFonts w:cs="Times New Roman"/>
          <w:b/>
          <w:bCs/>
        </w:rPr>
        <w:lastRenderedPageBreak/>
        <w:t>Supplementary Figure 1:</w:t>
      </w:r>
      <w:r w:rsidRPr="00C514E1">
        <w:rPr>
          <w:rFonts w:cs="Times New Roman"/>
          <w:noProof/>
        </w:rPr>
        <w:t xml:space="preserve"> Incidence rate of Kaposi sarcoma </w:t>
      </w:r>
      <w:r w:rsidRPr="00C514E1">
        <w:rPr>
          <w:rFonts w:eastAsia="Times New Roman" w:cs="Times New Roman"/>
          <w:color w:val="000000"/>
        </w:rPr>
        <w:t>by calendar year</w:t>
      </w:r>
      <w:r w:rsidRPr="00C514E1">
        <w:rPr>
          <w:rFonts w:cs="Times New Roman"/>
          <w:noProof/>
        </w:rPr>
        <w:t xml:space="preserve"> among </w:t>
      </w:r>
      <w:r w:rsidRPr="00C514E1">
        <w:rPr>
          <w:rFonts w:eastAsia="Times New Roman" w:cs="Times New Roman"/>
          <w:color w:val="000000"/>
        </w:rPr>
        <w:t>people with HIV in the United States (A), 2000 to 2015, shown separately by age group (B), race/ethnicity (C) and HIV transmission group (D).</w:t>
      </w:r>
    </w:p>
    <w:p w14:paraId="4EDA76DC" w14:textId="77777777" w:rsidR="004B4157" w:rsidRDefault="004B4157" w:rsidP="004B4157">
      <w:pPr>
        <w:jc w:val="center"/>
      </w:pPr>
      <w:r>
        <w:rPr>
          <w:noProof/>
        </w:rPr>
        <w:drawing>
          <wp:inline distT="0" distB="0" distL="0" distR="0" wp14:anchorId="2E0EB89B" wp14:editId="05CCCE41">
            <wp:extent cx="6674331" cy="500106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C107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172" cy="502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157" w:rsidSect="004264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16"/>
    <w:rsid w:val="00047063"/>
    <w:rsid w:val="00087AE2"/>
    <w:rsid w:val="001E7AF1"/>
    <w:rsid w:val="001F6D20"/>
    <w:rsid w:val="00314B11"/>
    <w:rsid w:val="00335FC1"/>
    <w:rsid w:val="00357AD2"/>
    <w:rsid w:val="003942E0"/>
    <w:rsid w:val="00431971"/>
    <w:rsid w:val="004B4157"/>
    <w:rsid w:val="00540765"/>
    <w:rsid w:val="00541635"/>
    <w:rsid w:val="00561C64"/>
    <w:rsid w:val="00613D08"/>
    <w:rsid w:val="007638C4"/>
    <w:rsid w:val="007A3B77"/>
    <w:rsid w:val="008A4795"/>
    <w:rsid w:val="00C514E1"/>
    <w:rsid w:val="00DB6791"/>
    <w:rsid w:val="00DF7016"/>
    <w:rsid w:val="00E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FA56"/>
  <w15:chartTrackingRefBased/>
  <w15:docId w15:val="{A26D46AC-2CF2-4809-ACC3-36A4A77D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016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Peprah, Sally (NIH/NCI) [F]</dc:creator>
  <cp:keywords/>
  <dc:description/>
  <cp:lastModifiedBy>Peprah, Sally (NIH/NCI) [F]</cp:lastModifiedBy>
  <cp:revision>3</cp:revision>
  <dcterms:created xsi:type="dcterms:W3CDTF">2021-03-19T17:41:00Z</dcterms:created>
  <dcterms:modified xsi:type="dcterms:W3CDTF">2021-03-19T17:42:00Z</dcterms:modified>
</cp:coreProperties>
</file>