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A5B119" w14:textId="3F7ADBF9" w:rsidR="00F039E6" w:rsidRPr="00F039E6" w:rsidRDefault="005F44CB" w:rsidP="00F039E6">
      <w:pPr>
        <w:spacing w:after="0" w:line="480" w:lineRule="auto"/>
        <w:jc w:val="both"/>
        <w:rPr>
          <w:rFonts w:ascii="Arial" w:hAnsi="Arial" w:cs="Arial"/>
          <w:b/>
          <w:bCs/>
          <w:sz w:val="24"/>
          <w:szCs w:val="24"/>
        </w:rPr>
      </w:pPr>
      <w:r>
        <w:rPr>
          <w:rFonts w:ascii="Arial" w:hAnsi="Arial" w:cs="Arial"/>
          <w:b/>
          <w:bCs/>
          <w:sz w:val="24"/>
          <w:szCs w:val="24"/>
        </w:rPr>
        <w:t>SUPPORTING INFORMATION</w:t>
      </w:r>
    </w:p>
    <w:p w14:paraId="3987E5FF" w14:textId="312027DE" w:rsidR="00F039E6" w:rsidRPr="00F039E6" w:rsidRDefault="00F039E6" w:rsidP="00F039E6">
      <w:pPr>
        <w:spacing w:after="0" w:line="480" w:lineRule="auto"/>
        <w:jc w:val="both"/>
        <w:rPr>
          <w:rFonts w:ascii="Arial" w:hAnsi="Arial" w:cs="Arial"/>
          <w:b/>
          <w:bCs/>
          <w:sz w:val="24"/>
          <w:szCs w:val="24"/>
        </w:rPr>
      </w:pPr>
      <w:r w:rsidRPr="00F039E6">
        <w:rPr>
          <w:rFonts w:ascii="Arial" w:hAnsi="Arial" w:cs="Arial"/>
          <w:b/>
          <w:bCs/>
          <w:sz w:val="24"/>
          <w:szCs w:val="24"/>
        </w:rPr>
        <w:t xml:space="preserve">Supplemental </w:t>
      </w:r>
      <w:r w:rsidR="004A1335">
        <w:rPr>
          <w:rFonts w:ascii="Arial" w:hAnsi="Arial" w:cs="Arial"/>
          <w:b/>
          <w:bCs/>
          <w:sz w:val="24"/>
          <w:szCs w:val="24"/>
        </w:rPr>
        <w:t xml:space="preserve">Materials and </w:t>
      </w:r>
      <w:r w:rsidRPr="00F039E6">
        <w:rPr>
          <w:rFonts w:ascii="Arial" w:hAnsi="Arial" w:cs="Arial"/>
          <w:b/>
          <w:bCs/>
          <w:sz w:val="24"/>
          <w:szCs w:val="24"/>
        </w:rPr>
        <w:t>Methods</w:t>
      </w:r>
    </w:p>
    <w:p w14:paraId="3CC51475" w14:textId="3273029B" w:rsidR="004A1335" w:rsidRDefault="004A1335" w:rsidP="00F039E6">
      <w:pPr>
        <w:spacing w:after="0" w:line="480" w:lineRule="auto"/>
        <w:jc w:val="both"/>
        <w:rPr>
          <w:rFonts w:ascii="Arial" w:hAnsi="Arial" w:cs="Arial"/>
          <w:sz w:val="24"/>
          <w:szCs w:val="24"/>
        </w:rPr>
      </w:pPr>
      <w:r w:rsidRPr="00BF23A1">
        <w:rPr>
          <w:rFonts w:ascii="Arial" w:hAnsi="Arial" w:cs="Arial"/>
          <w:sz w:val="24"/>
          <w:szCs w:val="24"/>
          <w:u w:val="single"/>
        </w:rPr>
        <w:t>Cell Lines and Culture Media</w:t>
      </w:r>
      <w:r w:rsidRPr="00BF23A1">
        <w:rPr>
          <w:rFonts w:ascii="Arial" w:hAnsi="Arial" w:cs="Arial"/>
          <w:sz w:val="24"/>
          <w:szCs w:val="24"/>
        </w:rPr>
        <w:t xml:space="preserve">: </w:t>
      </w:r>
      <w:r w:rsidRPr="00136A47">
        <w:rPr>
          <w:rFonts w:ascii="Arial" w:hAnsi="Arial" w:cs="Arial"/>
          <w:sz w:val="24"/>
          <w:szCs w:val="24"/>
        </w:rPr>
        <w:t xml:space="preserve">Immortalized cardiac microvascular ECs from FVB mice, referred to as </w:t>
      </w:r>
      <w:r w:rsidRPr="0086733C">
        <w:rPr>
          <w:rFonts w:ascii="Arial" w:hAnsi="Arial" w:cs="Arial"/>
          <w:sz w:val="24"/>
          <w:szCs w:val="24"/>
        </w:rPr>
        <w:t>MCEC (</w:t>
      </w:r>
      <w:r w:rsidR="00C65B00" w:rsidRPr="0086733C">
        <w:rPr>
          <w:rFonts w:ascii="Arial" w:hAnsi="Arial" w:cs="Arial"/>
          <w:sz w:val="24"/>
          <w:szCs w:val="24"/>
        </w:rPr>
        <w:t xml:space="preserve">catalog #CLU510, </w:t>
      </w:r>
      <w:proofErr w:type="spellStart"/>
      <w:r w:rsidRPr="0086733C">
        <w:rPr>
          <w:rFonts w:ascii="Arial" w:hAnsi="Arial" w:cs="Arial"/>
          <w:sz w:val="24"/>
          <w:szCs w:val="24"/>
        </w:rPr>
        <w:t>Cedarlane</w:t>
      </w:r>
      <w:proofErr w:type="spellEnd"/>
      <w:r w:rsidR="00C65B00" w:rsidRPr="0086733C">
        <w:rPr>
          <w:rFonts w:ascii="Arial" w:hAnsi="Arial" w:cs="Arial"/>
          <w:sz w:val="24"/>
          <w:szCs w:val="24"/>
        </w:rPr>
        <w:t xml:space="preserve"> </w:t>
      </w:r>
      <w:proofErr w:type="spellStart"/>
      <w:r w:rsidR="00C65B00" w:rsidRPr="0086733C">
        <w:rPr>
          <w:rFonts w:ascii="Arial" w:hAnsi="Arial" w:cs="Arial"/>
          <w:sz w:val="24"/>
          <w:szCs w:val="24"/>
        </w:rPr>
        <w:t>Cellutions</w:t>
      </w:r>
      <w:proofErr w:type="spellEnd"/>
      <w:r w:rsidR="00C65B00" w:rsidRPr="0086733C">
        <w:rPr>
          <w:rFonts w:ascii="Arial" w:hAnsi="Arial" w:cs="Arial"/>
          <w:sz w:val="24"/>
          <w:szCs w:val="24"/>
        </w:rPr>
        <w:t xml:space="preserve"> Biosystems</w:t>
      </w:r>
      <w:r w:rsidRPr="0086733C">
        <w:rPr>
          <w:rFonts w:ascii="Arial" w:hAnsi="Arial" w:cs="Arial"/>
          <w:sz w:val="24"/>
          <w:szCs w:val="24"/>
        </w:rPr>
        <w:t xml:space="preserve">, </w:t>
      </w:r>
      <w:r w:rsidRPr="00136A47">
        <w:rPr>
          <w:rFonts w:ascii="Arial" w:hAnsi="Arial" w:cs="Arial"/>
          <w:sz w:val="24"/>
          <w:szCs w:val="24"/>
        </w:rPr>
        <w:t>Ontario, Canada), were cultured in DMEM (Sigma-Aldrich, St. Louis, MO) supplemented with 5% fetal bovine serum (Sigma-Aldrich, MO) in a standard 37</w:t>
      </w:r>
      <w:r w:rsidRPr="00136A47">
        <w:rPr>
          <w:rFonts w:ascii="Arial" w:hAnsi="Arial" w:cs="Arial"/>
          <w:sz w:val="24"/>
          <w:szCs w:val="24"/>
          <w:vertAlign w:val="superscript"/>
        </w:rPr>
        <w:t>o</w:t>
      </w:r>
      <w:r w:rsidRPr="00136A47">
        <w:rPr>
          <w:rFonts w:ascii="Arial" w:hAnsi="Arial" w:cs="Arial"/>
          <w:sz w:val="24"/>
          <w:szCs w:val="24"/>
        </w:rPr>
        <w:t>C incubator with humidified room air and 5% CO</w:t>
      </w:r>
      <w:r w:rsidRPr="00136A47">
        <w:rPr>
          <w:rFonts w:ascii="Arial" w:hAnsi="Arial" w:cs="Arial"/>
          <w:sz w:val="24"/>
          <w:szCs w:val="24"/>
          <w:vertAlign w:val="subscript"/>
        </w:rPr>
        <w:t>2</w:t>
      </w:r>
      <w:r w:rsidRPr="00136A47">
        <w:rPr>
          <w:rFonts w:ascii="Arial" w:hAnsi="Arial" w:cs="Arial"/>
          <w:sz w:val="24"/>
          <w:szCs w:val="24"/>
        </w:rPr>
        <w:t xml:space="preserve">. </w:t>
      </w:r>
      <w:r>
        <w:rPr>
          <w:rFonts w:ascii="Arial" w:hAnsi="Arial" w:cs="Arial"/>
          <w:sz w:val="24"/>
          <w:szCs w:val="24"/>
        </w:rPr>
        <w:t>DRP1 knock-down cell line, referred to as DRP1KD, was generated using DRP1 shRNA plasmid (Santa Cruz Biotechnology, Dallas, TX), using standard techniques.</w:t>
      </w:r>
    </w:p>
    <w:p w14:paraId="1BAEB88D" w14:textId="10F34EDB" w:rsidR="004A1335" w:rsidRDefault="004A1335" w:rsidP="00F039E6">
      <w:pPr>
        <w:spacing w:after="0" w:line="480" w:lineRule="auto"/>
        <w:jc w:val="both"/>
        <w:rPr>
          <w:rFonts w:ascii="Arial" w:hAnsi="Arial" w:cs="Arial"/>
          <w:sz w:val="24"/>
          <w:szCs w:val="24"/>
          <w:u w:val="single"/>
        </w:rPr>
      </w:pPr>
    </w:p>
    <w:p w14:paraId="5D8C3E98" w14:textId="47651689" w:rsidR="004A1335" w:rsidRPr="00F039E6" w:rsidRDefault="004A1335" w:rsidP="004A1335">
      <w:pPr>
        <w:spacing w:line="480" w:lineRule="auto"/>
        <w:jc w:val="both"/>
        <w:rPr>
          <w:rFonts w:ascii="Arial" w:hAnsi="Arial" w:cs="Arial"/>
          <w:sz w:val="24"/>
          <w:szCs w:val="24"/>
        </w:rPr>
      </w:pPr>
      <w:r w:rsidRPr="00BF23A1">
        <w:rPr>
          <w:rFonts w:ascii="Arial" w:hAnsi="Arial" w:cs="Arial"/>
          <w:sz w:val="24"/>
          <w:szCs w:val="24"/>
          <w:u w:val="single"/>
        </w:rPr>
        <w:t>Pharmacologic Agents</w:t>
      </w:r>
      <w:r w:rsidRPr="00BF23A1">
        <w:rPr>
          <w:rFonts w:ascii="Arial" w:hAnsi="Arial" w:cs="Arial"/>
          <w:sz w:val="24"/>
          <w:szCs w:val="24"/>
        </w:rPr>
        <w:t>: Mitochondrial fusion/fission modulation was achieved using M1, a fusion promoter, and Mdivi1, a fission inhibitor (EMD Millipore, Burlington, MA) at 40μM/20μM based on previous studies</w:t>
      </w:r>
      <w:r>
        <w:rPr>
          <w:rFonts w:ascii="Arial" w:hAnsi="Arial" w:cs="Arial"/>
          <w:sz w:val="24"/>
          <w:szCs w:val="24"/>
        </w:rPr>
        <w:t>.</w:t>
      </w:r>
      <w:r>
        <w:rPr>
          <w:rFonts w:ascii="Arial" w:hAnsi="Arial" w:cs="Arial"/>
          <w:sz w:val="24"/>
          <w:szCs w:val="24"/>
          <w:vertAlign w:val="superscript"/>
        </w:rPr>
        <w:t>31</w:t>
      </w:r>
      <w:r w:rsidRPr="00BF23A1">
        <w:rPr>
          <w:rFonts w:ascii="Arial" w:hAnsi="Arial" w:cs="Arial"/>
          <w:sz w:val="24"/>
          <w:szCs w:val="24"/>
        </w:rPr>
        <w:t xml:space="preserve"> For mitochondrial ROS experiment</w:t>
      </w:r>
      <w:r>
        <w:rPr>
          <w:rFonts w:ascii="Arial" w:hAnsi="Arial" w:cs="Arial"/>
          <w:sz w:val="24"/>
          <w:szCs w:val="24"/>
        </w:rPr>
        <w:t>s</w:t>
      </w:r>
      <w:r w:rsidRPr="00BF23A1">
        <w:rPr>
          <w:rFonts w:ascii="Arial" w:hAnsi="Arial" w:cs="Arial"/>
          <w:sz w:val="24"/>
          <w:szCs w:val="24"/>
        </w:rPr>
        <w:t xml:space="preserve">, 5mM NAC was utilized, based on </w:t>
      </w:r>
      <w:r w:rsidRPr="00BF23A1">
        <w:rPr>
          <w:rFonts w:ascii="Arial" w:hAnsi="Arial" w:cs="Arial"/>
          <w:i/>
          <w:sz w:val="24"/>
          <w:szCs w:val="24"/>
        </w:rPr>
        <w:t>in-vitro</w:t>
      </w:r>
      <w:r w:rsidRPr="00BF23A1">
        <w:rPr>
          <w:rFonts w:ascii="Arial" w:hAnsi="Arial" w:cs="Arial"/>
          <w:sz w:val="24"/>
          <w:szCs w:val="24"/>
        </w:rPr>
        <w:t xml:space="preserve"> dosage previously reported</w:t>
      </w:r>
      <w:r>
        <w:rPr>
          <w:rFonts w:ascii="Arial" w:hAnsi="Arial" w:cs="Arial"/>
          <w:sz w:val="24"/>
          <w:szCs w:val="24"/>
        </w:rPr>
        <w:t>.</w:t>
      </w:r>
      <w:r w:rsidR="006C2D30">
        <w:rPr>
          <w:rFonts w:ascii="Arial" w:hAnsi="Arial" w:cs="Arial"/>
          <w:sz w:val="24"/>
          <w:szCs w:val="24"/>
          <w:vertAlign w:val="superscript"/>
        </w:rPr>
        <w:t>60</w:t>
      </w:r>
    </w:p>
    <w:p w14:paraId="04B4437B" w14:textId="77777777" w:rsidR="004A1335" w:rsidRDefault="004A1335" w:rsidP="00F039E6">
      <w:pPr>
        <w:spacing w:after="0" w:line="480" w:lineRule="auto"/>
        <w:jc w:val="both"/>
        <w:rPr>
          <w:rFonts w:ascii="Arial" w:hAnsi="Arial" w:cs="Arial"/>
          <w:sz w:val="24"/>
          <w:szCs w:val="24"/>
          <w:u w:val="single"/>
        </w:rPr>
      </w:pPr>
    </w:p>
    <w:p w14:paraId="2D8F4047" w14:textId="045514B3" w:rsidR="00F039E6" w:rsidRPr="00F039E6" w:rsidRDefault="00F039E6" w:rsidP="00F039E6">
      <w:pPr>
        <w:spacing w:after="0" w:line="480" w:lineRule="auto"/>
        <w:jc w:val="both"/>
        <w:rPr>
          <w:rFonts w:ascii="Arial" w:hAnsi="Arial" w:cs="Arial"/>
          <w:sz w:val="24"/>
          <w:szCs w:val="24"/>
        </w:rPr>
      </w:pPr>
      <w:r w:rsidRPr="00F039E6">
        <w:rPr>
          <w:rFonts w:ascii="Arial" w:hAnsi="Arial" w:cs="Arial"/>
          <w:sz w:val="24"/>
          <w:szCs w:val="24"/>
          <w:u w:val="single"/>
        </w:rPr>
        <w:t>Confocal Imaging</w:t>
      </w:r>
      <w:r w:rsidRPr="00F039E6">
        <w:rPr>
          <w:rFonts w:ascii="Arial" w:hAnsi="Arial" w:cs="Arial"/>
          <w:sz w:val="24"/>
          <w:szCs w:val="24"/>
        </w:rPr>
        <w:t>: ECs were cultured in glass-bottomed dishes (</w:t>
      </w:r>
      <w:proofErr w:type="spellStart"/>
      <w:r w:rsidRPr="00F039E6">
        <w:rPr>
          <w:rFonts w:ascii="Arial" w:hAnsi="Arial" w:cs="Arial"/>
          <w:sz w:val="24"/>
          <w:szCs w:val="24"/>
        </w:rPr>
        <w:t>MatTek</w:t>
      </w:r>
      <w:proofErr w:type="spellEnd"/>
      <w:r w:rsidRPr="00F039E6">
        <w:rPr>
          <w:rFonts w:ascii="Arial" w:hAnsi="Arial" w:cs="Arial"/>
          <w:sz w:val="24"/>
          <w:szCs w:val="24"/>
        </w:rPr>
        <w:t xml:space="preserve">, Ashland, MA). Mitochondria were visualized by staining with 125nM </w:t>
      </w:r>
      <w:proofErr w:type="spellStart"/>
      <w:r w:rsidRPr="00F039E6">
        <w:rPr>
          <w:rFonts w:ascii="Arial" w:hAnsi="Arial" w:cs="Arial"/>
          <w:sz w:val="24"/>
          <w:szCs w:val="24"/>
        </w:rPr>
        <w:t>Mitotracker</w:t>
      </w:r>
      <w:proofErr w:type="spellEnd"/>
      <w:r w:rsidRPr="00F039E6">
        <w:rPr>
          <w:rFonts w:ascii="Arial" w:hAnsi="Arial" w:cs="Arial"/>
          <w:sz w:val="24"/>
          <w:szCs w:val="24"/>
        </w:rPr>
        <w:t xml:space="preserve"> Red (Cell Signaling, Danvers, MA), following which cells were fixed in 4% paraformaldehyde-PBS solution (Alfa </w:t>
      </w:r>
      <w:proofErr w:type="spellStart"/>
      <w:r w:rsidRPr="00F039E6">
        <w:rPr>
          <w:rFonts w:ascii="Arial" w:hAnsi="Arial" w:cs="Arial"/>
          <w:sz w:val="24"/>
          <w:szCs w:val="24"/>
        </w:rPr>
        <w:t>Aesar</w:t>
      </w:r>
      <w:proofErr w:type="spellEnd"/>
      <w:r w:rsidRPr="00F039E6">
        <w:rPr>
          <w:rFonts w:ascii="Arial" w:hAnsi="Arial" w:cs="Arial"/>
          <w:sz w:val="24"/>
          <w:szCs w:val="24"/>
        </w:rPr>
        <w:t xml:space="preserve">, Haverhill, MA), washed, and incubated with DAPI (Thermo Scientific, Waltham, MA) for nuclear identification. Imaging was performed with Zeiss LSM 880 equipped with </w:t>
      </w:r>
      <w:proofErr w:type="spellStart"/>
      <w:r w:rsidRPr="00F039E6">
        <w:rPr>
          <w:rFonts w:ascii="Arial" w:hAnsi="Arial" w:cs="Arial"/>
          <w:sz w:val="24"/>
          <w:szCs w:val="24"/>
        </w:rPr>
        <w:t>Airyscan</w:t>
      </w:r>
      <w:proofErr w:type="spellEnd"/>
      <w:r w:rsidRPr="00F039E6">
        <w:rPr>
          <w:rFonts w:ascii="Arial" w:hAnsi="Arial" w:cs="Arial"/>
          <w:sz w:val="24"/>
          <w:szCs w:val="24"/>
        </w:rPr>
        <w:t xml:space="preserve"> and 63x oil-immersion lens. 3D reconstruction was performed using IMARIS software on Z-stacks constructed from 0.1μm-thick slices. Quantification of mitochondrial morphology was performed as previously described.</w:t>
      </w:r>
      <w:r w:rsidR="007134C9">
        <w:rPr>
          <w:rFonts w:ascii="Arial" w:hAnsi="Arial" w:cs="Arial"/>
          <w:sz w:val="24"/>
          <w:szCs w:val="24"/>
          <w:vertAlign w:val="superscript"/>
        </w:rPr>
        <w:t>5</w:t>
      </w:r>
      <w:r w:rsidR="006C2D30">
        <w:rPr>
          <w:rFonts w:ascii="Arial" w:hAnsi="Arial" w:cs="Arial"/>
          <w:sz w:val="24"/>
          <w:szCs w:val="24"/>
          <w:vertAlign w:val="superscript"/>
        </w:rPr>
        <w:t>9</w:t>
      </w:r>
      <w:r w:rsidRPr="00F039E6">
        <w:rPr>
          <w:rFonts w:ascii="Arial" w:hAnsi="Arial" w:cs="Arial"/>
          <w:sz w:val="24"/>
          <w:szCs w:val="24"/>
        </w:rPr>
        <w:t xml:space="preserve"> Cells from controls </w:t>
      </w:r>
      <w:r w:rsidRPr="00F039E6">
        <w:rPr>
          <w:rFonts w:ascii="Arial" w:hAnsi="Arial" w:cs="Arial"/>
          <w:sz w:val="24"/>
          <w:szCs w:val="24"/>
        </w:rPr>
        <w:lastRenderedPageBreak/>
        <w:t xml:space="preserve">or experimental groups were classified into three categories: 1. Hyperfused, defined as at least one mitochondria ≥5μm in length, 2. Intermediate, defined as at least one mitochondria between 5μm and 2μm in length but none more than 5μm, and 3. Rounded, when cells have no mitochondria longer than 2μm. Percentages of cells in each categories were determined from four independent experiments, with a total of ~80 cells/group being analyzed. To image mitochondrial ROS, cells were stained with 5μM </w:t>
      </w:r>
      <w:proofErr w:type="spellStart"/>
      <w:r w:rsidRPr="00F039E6">
        <w:rPr>
          <w:rFonts w:ascii="Arial" w:hAnsi="Arial" w:cs="Arial"/>
          <w:sz w:val="24"/>
          <w:szCs w:val="24"/>
        </w:rPr>
        <w:t>MitoSOX</w:t>
      </w:r>
      <w:proofErr w:type="spellEnd"/>
      <w:r w:rsidRPr="00F039E6">
        <w:rPr>
          <w:rFonts w:ascii="Arial" w:hAnsi="Arial" w:cs="Arial"/>
          <w:sz w:val="24"/>
          <w:szCs w:val="24"/>
        </w:rPr>
        <w:t xml:space="preserve"> Red (Thermo Scientific, MA) for 15 minutes, washed, and imaged with Zeiss LSM 880.</w:t>
      </w:r>
    </w:p>
    <w:p w14:paraId="6BA1B90F" w14:textId="77777777" w:rsidR="00F039E6" w:rsidRPr="00F039E6" w:rsidRDefault="00F039E6" w:rsidP="00F039E6">
      <w:pPr>
        <w:spacing w:after="0" w:line="480" w:lineRule="auto"/>
        <w:jc w:val="both"/>
        <w:rPr>
          <w:rFonts w:ascii="Arial" w:hAnsi="Arial" w:cs="Arial"/>
          <w:sz w:val="24"/>
          <w:szCs w:val="24"/>
        </w:rPr>
      </w:pPr>
    </w:p>
    <w:p w14:paraId="3645696A" w14:textId="30C72525" w:rsidR="00F039E6" w:rsidRPr="007134C9" w:rsidRDefault="00F039E6" w:rsidP="00F039E6">
      <w:pPr>
        <w:spacing w:after="0" w:line="480" w:lineRule="auto"/>
        <w:jc w:val="both"/>
        <w:rPr>
          <w:rFonts w:ascii="Arial" w:hAnsi="Arial" w:cs="Arial"/>
          <w:sz w:val="24"/>
          <w:szCs w:val="24"/>
          <w:vertAlign w:val="superscript"/>
        </w:rPr>
      </w:pPr>
      <w:r w:rsidRPr="00F039E6">
        <w:rPr>
          <w:rFonts w:ascii="Arial" w:hAnsi="Arial" w:cs="Arial"/>
          <w:sz w:val="24"/>
          <w:szCs w:val="24"/>
          <w:u w:val="single"/>
        </w:rPr>
        <w:t>Antibodies for Immunoblotting and Flow Cytometry</w:t>
      </w:r>
      <w:r w:rsidRPr="00F039E6">
        <w:rPr>
          <w:rFonts w:ascii="Arial" w:hAnsi="Arial" w:cs="Arial"/>
          <w:sz w:val="24"/>
          <w:szCs w:val="24"/>
        </w:rPr>
        <w:t>: All immunoblotting antibodies were purchased from Cell Signaling (Danvers, MA), and standard immunoblotting technique was performed as previously described.</w:t>
      </w:r>
      <w:r w:rsidR="007134C9">
        <w:rPr>
          <w:rFonts w:ascii="Arial" w:hAnsi="Arial" w:cs="Arial"/>
          <w:sz w:val="24"/>
          <w:szCs w:val="24"/>
          <w:vertAlign w:val="superscript"/>
        </w:rPr>
        <w:t>35</w:t>
      </w:r>
      <w:r w:rsidRPr="00F039E6">
        <w:rPr>
          <w:rFonts w:ascii="Arial" w:hAnsi="Arial" w:cs="Arial"/>
          <w:sz w:val="24"/>
          <w:szCs w:val="24"/>
        </w:rPr>
        <w:t xml:space="preserve"> In addition, to quantify mitochondrial mass using flow cytometry, cells were stained with 100nM </w:t>
      </w:r>
      <w:proofErr w:type="spellStart"/>
      <w:r w:rsidRPr="00F039E6">
        <w:rPr>
          <w:rFonts w:ascii="Arial" w:hAnsi="Arial" w:cs="Arial"/>
          <w:sz w:val="24"/>
          <w:szCs w:val="24"/>
        </w:rPr>
        <w:t>Mitotracker</w:t>
      </w:r>
      <w:proofErr w:type="spellEnd"/>
      <w:r w:rsidRPr="00F039E6">
        <w:rPr>
          <w:rFonts w:ascii="Arial" w:hAnsi="Arial" w:cs="Arial"/>
          <w:sz w:val="24"/>
          <w:szCs w:val="24"/>
        </w:rPr>
        <w:t xml:space="preserve"> Green (Cell Signaling, Danvers, MA) and assayed by flow cytometer (Guava </w:t>
      </w:r>
      <w:proofErr w:type="spellStart"/>
      <w:r w:rsidRPr="00F039E6">
        <w:rPr>
          <w:rFonts w:ascii="Arial" w:hAnsi="Arial" w:cs="Arial"/>
          <w:sz w:val="24"/>
          <w:szCs w:val="24"/>
        </w:rPr>
        <w:t>easyCyte</w:t>
      </w:r>
      <w:proofErr w:type="spellEnd"/>
      <w:r w:rsidRPr="00F039E6">
        <w:rPr>
          <w:rFonts w:ascii="Arial" w:hAnsi="Arial" w:cs="Arial"/>
          <w:sz w:val="24"/>
          <w:szCs w:val="24"/>
        </w:rPr>
        <w:t xml:space="preserve"> 8HT, Merck Millipore, Billerica, MA). Data analysis was performed using FCS Express 5 (De Novo Software, Los Angeles, CA). For phenotyping experiments, flow cytometry antibodies and Zombie Green dye were purchased from </w:t>
      </w:r>
      <w:proofErr w:type="spellStart"/>
      <w:r w:rsidRPr="00F039E6">
        <w:rPr>
          <w:rFonts w:ascii="Arial" w:hAnsi="Arial" w:cs="Arial"/>
          <w:sz w:val="24"/>
          <w:szCs w:val="24"/>
        </w:rPr>
        <w:t>BioLegend</w:t>
      </w:r>
      <w:proofErr w:type="spellEnd"/>
      <w:r w:rsidRPr="00F039E6">
        <w:rPr>
          <w:rFonts w:ascii="Arial" w:hAnsi="Arial" w:cs="Arial"/>
          <w:sz w:val="24"/>
          <w:szCs w:val="24"/>
        </w:rPr>
        <w:t xml:space="preserve"> (San Diego, CA) to detect VCAM-1, ICAM-1, P-selectin, MHC-I, PD-L1, CD44, CD62L, Granzyme B, interferon gamma, Ki-67, and from BD Pharmingen (San Jose, CA) to detect CD8, CD80, CCR7 </w:t>
      </w:r>
      <w:r w:rsidRPr="00F039E6">
        <w:rPr>
          <w:rFonts w:ascii="Arial" w:hAnsi="Arial" w:cs="Arial"/>
          <w:b/>
          <w:bCs/>
          <w:sz w:val="24"/>
          <w:szCs w:val="24"/>
        </w:rPr>
        <w:t>(Supplemental Table-1)</w:t>
      </w:r>
      <w:r w:rsidRPr="00F039E6">
        <w:rPr>
          <w:rFonts w:ascii="Arial" w:hAnsi="Arial" w:cs="Arial"/>
          <w:sz w:val="24"/>
          <w:szCs w:val="24"/>
        </w:rPr>
        <w:t>. Standard flow cytometry was performed as previously described.</w:t>
      </w:r>
      <w:r w:rsidR="007134C9">
        <w:rPr>
          <w:rFonts w:ascii="Arial" w:hAnsi="Arial" w:cs="Arial"/>
          <w:sz w:val="24"/>
          <w:szCs w:val="24"/>
          <w:vertAlign w:val="superscript"/>
        </w:rPr>
        <w:t>35</w:t>
      </w:r>
    </w:p>
    <w:p w14:paraId="1FE9CFD1" w14:textId="77777777" w:rsidR="00F039E6" w:rsidRPr="00F039E6" w:rsidRDefault="00F039E6" w:rsidP="00F039E6">
      <w:pPr>
        <w:spacing w:after="0" w:line="480" w:lineRule="auto"/>
        <w:jc w:val="both"/>
        <w:rPr>
          <w:rFonts w:ascii="Arial" w:hAnsi="Arial" w:cs="Arial"/>
          <w:sz w:val="24"/>
          <w:szCs w:val="24"/>
        </w:rPr>
      </w:pPr>
    </w:p>
    <w:p w14:paraId="67D64344" w14:textId="09B77265" w:rsidR="00F039E6" w:rsidRPr="00F039E6" w:rsidRDefault="00F039E6" w:rsidP="00F039E6">
      <w:pPr>
        <w:spacing w:after="0" w:line="480" w:lineRule="auto"/>
        <w:jc w:val="both"/>
        <w:rPr>
          <w:rFonts w:ascii="Arial" w:hAnsi="Arial" w:cs="Arial"/>
          <w:sz w:val="24"/>
          <w:szCs w:val="24"/>
        </w:rPr>
      </w:pPr>
      <w:r w:rsidRPr="00F039E6">
        <w:rPr>
          <w:rFonts w:ascii="Arial" w:hAnsi="Arial" w:cs="Arial"/>
          <w:sz w:val="24"/>
          <w:szCs w:val="24"/>
          <w:u w:val="single"/>
        </w:rPr>
        <w:t>Oxygen Consumption Assay</w:t>
      </w:r>
      <w:r w:rsidRPr="00F039E6">
        <w:rPr>
          <w:rFonts w:ascii="Arial" w:hAnsi="Arial" w:cs="Arial"/>
          <w:sz w:val="24"/>
          <w:szCs w:val="24"/>
        </w:rPr>
        <w:t>: Mitochondrial stress test was performed as described previously.</w:t>
      </w:r>
      <w:r w:rsidR="007134C9">
        <w:rPr>
          <w:rFonts w:ascii="Arial" w:hAnsi="Arial" w:cs="Arial"/>
          <w:sz w:val="24"/>
          <w:szCs w:val="24"/>
          <w:vertAlign w:val="superscript"/>
        </w:rPr>
        <w:t>35</w:t>
      </w:r>
      <w:r w:rsidRPr="00F039E6">
        <w:rPr>
          <w:rFonts w:ascii="Arial" w:hAnsi="Arial" w:cs="Arial"/>
          <w:sz w:val="24"/>
          <w:szCs w:val="24"/>
        </w:rPr>
        <w:t xml:space="preserve"> Briefly, wildtype or DRP1KD MCECs were subjected to 3 injections, 1μM </w:t>
      </w:r>
      <w:r w:rsidRPr="00F039E6">
        <w:rPr>
          <w:rFonts w:ascii="Arial" w:hAnsi="Arial" w:cs="Arial"/>
          <w:sz w:val="24"/>
          <w:szCs w:val="24"/>
        </w:rPr>
        <w:lastRenderedPageBreak/>
        <w:t>oligomycin, 1μM FCCP, 2μM rotenone/100nM antimycin A (Sigma-Aldrich, MO), and were subsequently assayed for spare respiratory capacity using Seahorse XF96 instruments (North Billerica, MA).</w:t>
      </w:r>
    </w:p>
    <w:p w14:paraId="21DF6657" w14:textId="77777777" w:rsidR="00F039E6" w:rsidRPr="00F039E6" w:rsidRDefault="00F039E6" w:rsidP="00F039E6">
      <w:pPr>
        <w:spacing w:after="0" w:line="480" w:lineRule="auto"/>
        <w:jc w:val="both"/>
        <w:rPr>
          <w:rFonts w:ascii="Arial" w:hAnsi="Arial" w:cs="Arial"/>
          <w:sz w:val="24"/>
          <w:szCs w:val="24"/>
        </w:rPr>
      </w:pPr>
    </w:p>
    <w:p w14:paraId="1265DAE5" w14:textId="3A665190" w:rsidR="00F039E6" w:rsidRPr="00F039E6" w:rsidRDefault="00F039E6" w:rsidP="00F039E6">
      <w:pPr>
        <w:spacing w:after="0" w:line="480" w:lineRule="auto"/>
        <w:jc w:val="both"/>
        <w:rPr>
          <w:rFonts w:ascii="Arial" w:hAnsi="Arial" w:cs="Arial"/>
          <w:sz w:val="24"/>
          <w:szCs w:val="24"/>
        </w:rPr>
      </w:pPr>
      <w:r w:rsidRPr="00F039E6">
        <w:rPr>
          <w:rFonts w:ascii="Arial" w:hAnsi="Arial" w:cs="Arial"/>
          <w:sz w:val="24"/>
          <w:szCs w:val="24"/>
          <w:u w:val="single"/>
        </w:rPr>
        <w:t>Memory CD8</w:t>
      </w:r>
      <w:r w:rsidRPr="00760894">
        <w:rPr>
          <w:rFonts w:ascii="Arial" w:hAnsi="Arial" w:cs="Arial"/>
          <w:sz w:val="24"/>
          <w:szCs w:val="24"/>
          <w:u w:val="single"/>
          <w:vertAlign w:val="superscript"/>
        </w:rPr>
        <w:t>+</w:t>
      </w:r>
      <w:r w:rsidRPr="00F039E6">
        <w:rPr>
          <w:rFonts w:ascii="Arial" w:hAnsi="Arial" w:cs="Arial"/>
          <w:sz w:val="24"/>
          <w:szCs w:val="24"/>
          <w:u w:val="single"/>
        </w:rPr>
        <w:t xml:space="preserve"> T-cells Generation and EC-T-cell Co-culture</w:t>
      </w:r>
      <w:r w:rsidRPr="00F039E6">
        <w:rPr>
          <w:rFonts w:ascii="Arial" w:hAnsi="Arial" w:cs="Arial"/>
          <w:sz w:val="24"/>
          <w:szCs w:val="24"/>
        </w:rPr>
        <w:t xml:space="preserve">: To recapitulate EC-T-cell interaction </w:t>
      </w:r>
      <w:r w:rsidRPr="00760894">
        <w:rPr>
          <w:rFonts w:ascii="Arial" w:hAnsi="Arial" w:cs="Arial"/>
          <w:i/>
          <w:iCs/>
          <w:sz w:val="24"/>
          <w:szCs w:val="24"/>
        </w:rPr>
        <w:t>in vitro</w:t>
      </w:r>
      <w:r w:rsidRPr="00F039E6">
        <w:rPr>
          <w:rFonts w:ascii="Arial" w:hAnsi="Arial" w:cs="Arial"/>
          <w:sz w:val="24"/>
          <w:szCs w:val="24"/>
        </w:rPr>
        <w:t>, we employed a co-culture model as previously described.</w:t>
      </w:r>
      <w:r w:rsidR="007134C9">
        <w:rPr>
          <w:rFonts w:ascii="Arial" w:hAnsi="Arial" w:cs="Arial"/>
          <w:sz w:val="24"/>
          <w:szCs w:val="24"/>
          <w:vertAlign w:val="superscript"/>
        </w:rPr>
        <w:t>35</w:t>
      </w:r>
      <w:r w:rsidRPr="00F039E6">
        <w:rPr>
          <w:rFonts w:ascii="Arial" w:hAnsi="Arial" w:cs="Arial"/>
          <w:sz w:val="24"/>
          <w:szCs w:val="24"/>
        </w:rPr>
        <w:t xml:space="preserve"> Briefly, C57BL/6 mice were pre-sensitized with MCECs, then 3 weeks post-inoculation CD8</w:t>
      </w:r>
      <w:r w:rsidRPr="00760894">
        <w:rPr>
          <w:rFonts w:ascii="Arial" w:hAnsi="Arial" w:cs="Arial"/>
          <w:sz w:val="24"/>
          <w:szCs w:val="24"/>
          <w:vertAlign w:val="superscript"/>
        </w:rPr>
        <w:t>+</w:t>
      </w:r>
      <w:r w:rsidRPr="00F039E6">
        <w:rPr>
          <w:rFonts w:ascii="Arial" w:hAnsi="Arial" w:cs="Arial"/>
          <w:sz w:val="24"/>
          <w:szCs w:val="24"/>
        </w:rPr>
        <w:t xml:space="preserve"> T-cells were isolated from the spleens using CD8 negative-selection isolation kit (</w:t>
      </w:r>
      <w:proofErr w:type="spellStart"/>
      <w:r w:rsidRPr="00F039E6">
        <w:rPr>
          <w:rFonts w:ascii="Arial" w:hAnsi="Arial" w:cs="Arial"/>
          <w:sz w:val="24"/>
          <w:szCs w:val="24"/>
        </w:rPr>
        <w:t>Miltenyi</w:t>
      </w:r>
      <w:proofErr w:type="spellEnd"/>
      <w:r w:rsidRPr="00F039E6">
        <w:rPr>
          <w:rFonts w:ascii="Arial" w:hAnsi="Arial" w:cs="Arial"/>
          <w:sz w:val="24"/>
          <w:szCs w:val="24"/>
        </w:rPr>
        <w:t xml:space="preserve"> </w:t>
      </w:r>
      <w:proofErr w:type="spellStart"/>
      <w:r w:rsidRPr="00F039E6">
        <w:rPr>
          <w:rFonts w:ascii="Arial" w:hAnsi="Arial" w:cs="Arial"/>
          <w:sz w:val="24"/>
          <w:szCs w:val="24"/>
        </w:rPr>
        <w:t>Biotec</w:t>
      </w:r>
      <w:proofErr w:type="spellEnd"/>
      <w:r w:rsidRPr="00F039E6">
        <w:rPr>
          <w:rFonts w:ascii="Arial" w:hAnsi="Arial" w:cs="Arial"/>
          <w:sz w:val="24"/>
          <w:szCs w:val="24"/>
        </w:rPr>
        <w:t>, Auburn, CA). Isolated CD8</w:t>
      </w:r>
      <w:r w:rsidRPr="00760894">
        <w:rPr>
          <w:rFonts w:ascii="Arial" w:hAnsi="Arial" w:cs="Arial"/>
          <w:sz w:val="24"/>
          <w:szCs w:val="24"/>
          <w:vertAlign w:val="superscript"/>
        </w:rPr>
        <w:t>+</w:t>
      </w:r>
      <w:r w:rsidRPr="00F039E6">
        <w:rPr>
          <w:rFonts w:ascii="Arial" w:hAnsi="Arial" w:cs="Arial"/>
          <w:sz w:val="24"/>
          <w:szCs w:val="24"/>
        </w:rPr>
        <w:t xml:space="preserve"> T-cells were co-cultured with M1/Mdivi1 pre-treated or DRP1KD or untreated MCECs in 48-well round-bottom plates for 7 days, at which time supernatant was harvested, and granzyme B (R&amp;D Systems, Minneapolis, MN) and interferon gamma (BD Biosciences, Franklin Lake, NJ) levels were determined by ELISA. For PD-L1 blockade studies, anti-PD-L1 antibodies or isotype control (</w:t>
      </w:r>
      <w:proofErr w:type="spellStart"/>
      <w:r w:rsidRPr="00F039E6">
        <w:rPr>
          <w:rFonts w:ascii="Arial" w:hAnsi="Arial" w:cs="Arial"/>
          <w:sz w:val="24"/>
          <w:szCs w:val="24"/>
        </w:rPr>
        <w:t>BioLegend</w:t>
      </w:r>
      <w:proofErr w:type="spellEnd"/>
      <w:r w:rsidRPr="00F039E6">
        <w:rPr>
          <w:rFonts w:ascii="Arial" w:hAnsi="Arial" w:cs="Arial"/>
          <w:sz w:val="24"/>
          <w:szCs w:val="24"/>
        </w:rPr>
        <w:t>, San Diego, CA) were added at the initiation of T-cell co-culture with M1/Mdivi1 pre-treated MCECs</w:t>
      </w:r>
      <w:r w:rsidR="00B508F5">
        <w:rPr>
          <w:rFonts w:ascii="Arial" w:hAnsi="Arial" w:cs="Arial"/>
          <w:sz w:val="24"/>
          <w:szCs w:val="24"/>
        </w:rPr>
        <w:t xml:space="preserve"> or with untreated controls</w:t>
      </w:r>
      <w:r w:rsidRPr="00F039E6">
        <w:rPr>
          <w:rFonts w:ascii="Arial" w:hAnsi="Arial" w:cs="Arial"/>
          <w:sz w:val="24"/>
          <w:szCs w:val="24"/>
        </w:rPr>
        <w:t>, at 20μg/mL based on previously reported dose by others</w:t>
      </w:r>
      <w:r w:rsidR="003B65B7">
        <w:rPr>
          <w:rFonts w:ascii="Arial" w:hAnsi="Arial" w:cs="Arial"/>
          <w:sz w:val="24"/>
          <w:szCs w:val="24"/>
          <w:vertAlign w:val="superscript"/>
        </w:rPr>
        <w:t>61</w:t>
      </w:r>
      <w:r w:rsidRPr="00F039E6">
        <w:rPr>
          <w:rFonts w:ascii="Arial" w:hAnsi="Arial" w:cs="Arial"/>
          <w:sz w:val="24"/>
          <w:szCs w:val="24"/>
        </w:rPr>
        <w:t xml:space="preserve"> and by our own preliminary dosage studies.</w:t>
      </w:r>
    </w:p>
    <w:p w14:paraId="688B3B03" w14:textId="77777777" w:rsidR="00F039E6" w:rsidRPr="00F039E6" w:rsidRDefault="00F039E6" w:rsidP="00F039E6">
      <w:pPr>
        <w:spacing w:after="0" w:line="480" w:lineRule="auto"/>
        <w:jc w:val="both"/>
        <w:rPr>
          <w:rFonts w:ascii="Arial" w:hAnsi="Arial" w:cs="Arial"/>
          <w:sz w:val="24"/>
          <w:szCs w:val="24"/>
        </w:rPr>
      </w:pPr>
    </w:p>
    <w:p w14:paraId="29389BBB" w14:textId="53A4FE28" w:rsidR="004A1335" w:rsidRDefault="00F039E6" w:rsidP="00F039E6">
      <w:pPr>
        <w:spacing w:after="0" w:line="480" w:lineRule="auto"/>
        <w:jc w:val="both"/>
        <w:rPr>
          <w:rFonts w:ascii="Arial" w:hAnsi="Arial" w:cs="Arial"/>
          <w:sz w:val="24"/>
          <w:szCs w:val="24"/>
        </w:rPr>
      </w:pPr>
      <w:r w:rsidRPr="00F039E6">
        <w:rPr>
          <w:rFonts w:ascii="Arial" w:hAnsi="Arial" w:cs="Arial"/>
          <w:sz w:val="24"/>
          <w:szCs w:val="24"/>
          <w:u w:val="single"/>
        </w:rPr>
        <w:t>Cold Storage and Warm Reperfusion Model</w:t>
      </w:r>
      <w:r w:rsidRPr="00F039E6">
        <w:rPr>
          <w:rFonts w:ascii="Arial" w:hAnsi="Arial" w:cs="Arial"/>
          <w:sz w:val="24"/>
          <w:szCs w:val="24"/>
        </w:rPr>
        <w:t xml:space="preserve">: An </w:t>
      </w:r>
      <w:r w:rsidRPr="00760894">
        <w:rPr>
          <w:rFonts w:ascii="Arial" w:hAnsi="Arial" w:cs="Arial"/>
          <w:i/>
          <w:iCs/>
          <w:sz w:val="24"/>
          <w:szCs w:val="24"/>
        </w:rPr>
        <w:t>in vitro</w:t>
      </w:r>
      <w:r w:rsidRPr="00F039E6">
        <w:rPr>
          <w:rFonts w:ascii="Arial" w:hAnsi="Arial" w:cs="Arial"/>
          <w:sz w:val="24"/>
          <w:szCs w:val="24"/>
        </w:rPr>
        <w:t xml:space="preserve"> </w:t>
      </w:r>
      <w:r w:rsidRPr="0086733C">
        <w:rPr>
          <w:rFonts w:ascii="Arial" w:hAnsi="Arial" w:cs="Arial"/>
          <w:sz w:val="24"/>
          <w:szCs w:val="24"/>
        </w:rPr>
        <w:t>static cold storage model was employed to recapitulate CS-IRI as previously described.</w:t>
      </w:r>
      <w:r w:rsidR="007134C9" w:rsidRPr="0086733C">
        <w:rPr>
          <w:rFonts w:ascii="Arial" w:hAnsi="Arial" w:cs="Arial"/>
          <w:sz w:val="24"/>
          <w:szCs w:val="24"/>
          <w:vertAlign w:val="superscript"/>
        </w:rPr>
        <w:t>35</w:t>
      </w:r>
      <w:r w:rsidR="00B705D8" w:rsidRPr="0086733C">
        <w:rPr>
          <w:rFonts w:ascii="Arial" w:hAnsi="Arial" w:cs="Arial"/>
          <w:sz w:val="24"/>
          <w:szCs w:val="24"/>
          <w:vertAlign w:val="superscript"/>
        </w:rPr>
        <w:t>,57,63-66</w:t>
      </w:r>
      <w:r w:rsidRPr="0086733C">
        <w:rPr>
          <w:rFonts w:ascii="Arial" w:hAnsi="Arial" w:cs="Arial"/>
          <w:sz w:val="24"/>
          <w:szCs w:val="24"/>
        </w:rPr>
        <w:t xml:space="preserve"> Briefly, a confluent monolayer of DRP1KD cells or wildtype MCECs was subjected to 6 hours of cold </w:t>
      </w:r>
      <w:r w:rsidRPr="00F039E6">
        <w:rPr>
          <w:rFonts w:ascii="Arial" w:hAnsi="Arial" w:cs="Arial"/>
          <w:sz w:val="24"/>
          <w:szCs w:val="24"/>
        </w:rPr>
        <w:t xml:space="preserve">ischemia in University of Wisconsin (UW) solution (Bridge to Life, Seven Oaks, SC) in a hypoxic chamber pre-flushed with pure nitrogen (Airgas, Rock Hill, SC). At the end of CS, UW solution was replaced by warm culture media to induce reperfusion injury, and cells were </w:t>
      </w:r>
      <w:r w:rsidRPr="00F039E6">
        <w:rPr>
          <w:rFonts w:ascii="Arial" w:hAnsi="Arial" w:cs="Arial"/>
          <w:sz w:val="24"/>
          <w:szCs w:val="24"/>
        </w:rPr>
        <w:lastRenderedPageBreak/>
        <w:t xml:space="preserve">cultured for a post-reperfusion period until an assay was performed. To pharmacologically modulate mitochondrial fusion/fission, MCECs were pre-treated in media containing 40μM/20μM M1/Mdivi1 (EMD Millipore, Burlington, MA) or PBS control for 6 hours </w:t>
      </w:r>
      <w:proofErr w:type="spellStart"/>
      <w:r w:rsidRPr="00F039E6">
        <w:rPr>
          <w:rFonts w:ascii="Arial" w:hAnsi="Arial" w:cs="Arial"/>
          <w:sz w:val="24"/>
          <w:szCs w:val="24"/>
        </w:rPr>
        <w:t>normothermically</w:t>
      </w:r>
      <w:proofErr w:type="spellEnd"/>
      <w:r w:rsidRPr="00F039E6">
        <w:rPr>
          <w:rFonts w:ascii="Arial" w:hAnsi="Arial" w:cs="Arial"/>
          <w:sz w:val="24"/>
          <w:szCs w:val="24"/>
        </w:rPr>
        <w:t xml:space="preserve"> and </w:t>
      </w:r>
      <w:proofErr w:type="spellStart"/>
      <w:r w:rsidRPr="00F039E6">
        <w:rPr>
          <w:rFonts w:ascii="Arial" w:hAnsi="Arial" w:cs="Arial"/>
          <w:sz w:val="24"/>
          <w:szCs w:val="24"/>
        </w:rPr>
        <w:t>normoxically</w:t>
      </w:r>
      <w:proofErr w:type="spellEnd"/>
      <w:r w:rsidRPr="00F039E6">
        <w:rPr>
          <w:rFonts w:ascii="Arial" w:hAnsi="Arial" w:cs="Arial"/>
          <w:sz w:val="24"/>
          <w:szCs w:val="24"/>
        </w:rPr>
        <w:t>, before they were washed and subsequently subjected to CS.</w:t>
      </w:r>
    </w:p>
    <w:p w14:paraId="4F07B5CB" w14:textId="77777777" w:rsidR="00F039E6" w:rsidRPr="00F039E6" w:rsidRDefault="00F039E6" w:rsidP="00F039E6">
      <w:pPr>
        <w:spacing w:after="0" w:line="480" w:lineRule="auto"/>
        <w:jc w:val="both"/>
        <w:rPr>
          <w:rFonts w:ascii="Arial" w:hAnsi="Arial" w:cs="Arial"/>
          <w:sz w:val="24"/>
          <w:szCs w:val="24"/>
        </w:rPr>
      </w:pPr>
    </w:p>
    <w:p w14:paraId="75D610B3" w14:textId="77777777" w:rsidR="00F039E6" w:rsidRPr="00F039E6" w:rsidRDefault="00F039E6" w:rsidP="00F039E6">
      <w:pPr>
        <w:spacing w:after="0" w:line="480" w:lineRule="auto"/>
        <w:jc w:val="both"/>
        <w:rPr>
          <w:rFonts w:ascii="Arial" w:hAnsi="Arial" w:cs="Arial"/>
          <w:sz w:val="24"/>
          <w:szCs w:val="24"/>
        </w:rPr>
      </w:pPr>
      <w:r w:rsidRPr="00F039E6">
        <w:rPr>
          <w:rFonts w:ascii="Arial" w:hAnsi="Arial" w:cs="Arial"/>
          <w:sz w:val="24"/>
          <w:szCs w:val="24"/>
          <w:u w:val="single"/>
        </w:rPr>
        <w:t>Normothermic Activation Model</w:t>
      </w:r>
      <w:r w:rsidRPr="00F039E6">
        <w:rPr>
          <w:rFonts w:ascii="Arial" w:hAnsi="Arial" w:cs="Arial"/>
          <w:sz w:val="24"/>
          <w:szCs w:val="24"/>
        </w:rPr>
        <w:t xml:space="preserve">: MCECs were treated with 40μM/20μM M1/Mdivi1 (EMD Millipore, Burlington, MA) or PBS control in culture media for 24 hours, washed, and activated with 400 IU/mL recombinant </w:t>
      </w:r>
      <w:proofErr w:type="spellStart"/>
      <w:r w:rsidRPr="00F039E6">
        <w:rPr>
          <w:rFonts w:ascii="Arial" w:hAnsi="Arial" w:cs="Arial"/>
          <w:sz w:val="24"/>
          <w:szCs w:val="24"/>
        </w:rPr>
        <w:t>IFNγ</w:t>
      </w:r>
      <w:proofErr w:type="spellEnd"/>
      <w:r w:rsidRPr="00F039E6">
        <w:rPr>
          <w:rFonts w:ascii="Arial" w:hAnsi="Arial" w:cs="Arial"/>
          <w:sz w:val="24"/>
          <w:szCs w:val="24"/>
        </w:rPr>
        <w:t xml:space="preserve"> and 100ng/mL recombinant TNFα (R&amp;D Systems, Minneapolis, MN) for 24 hours before antibody staining and flow cytometry.</w:t>
      </w:r>
    </w:p>
    <w:p w14:paraId="304B88B5" w14:textId="77777777" w:rsidR="00F039E6" w:rsidRPr="00F039E6" w:rsidRDefault="00F039E6" w:rsidP="00F039E6">
      <w:pPr>
        <w:spacing w:after="0" w:line="480" w:lineRule="auto"/>
        <w:jc w:val="both"/>
        <w:rPr>
          <w:rFonts w:ascii="Arial" w:hAnsi="Arial" w:cs="Arial"/>
          <w:sz w:val="24"/>
          <w:szCs w:val="24"/>
        </w:rPr>
      </w:pPr>
    </w:p>
    <w:p w14:paraId="5CC84DF6" w14:textId="77777777" w:rsidR="00F039E6" w:rsidRPr="00F039E6" w:rsidRDefault="00F039E6" w:rsidP="00F039E6">
      <w:pPr>
        <w:spacing w:after="0" w:line="480" w:lineRule="auto"/>
        <w:jc w:val="both"/>
        <w:rPr>
          <w:rFonts w:ascii="Arial" w:hAnsi="Arial" w:cs="Arial"/>
          <w:sz w:val="24"/>
          <w:szCs w:val="24"/>
        </w:rPr>
      </w:pPr>
      <w:r w:rsidRPr="00F039E6">
        <w:rPr>
          <w:rFonts w:ascii="Arial" w:hAnsi="Arial" w:cs="Arial"/>
          <w:sz w:val="24"/>
          <w:szCs w:val="24"/>
          <w:u w:val="single"/>
        </w:rPr>
        <w:t>Live/dead Cell Staining and Counting</w:t>
      </w:r>
      <w:r w:rsidRPr="00F039E6">
        <w:rPr>
          <w:rFonts w:ascii="Arial" w:hAnsi="Arial" w:cs="Arial"/>
          <w:sz w:val="24"/>
          <w:szCs w:val="24"/>
        </w:rPr>
        <w:t>: MCECs were stained at 1:10 dilution with acridine orange/propidium iodide solution (Logos Biosystems, Annandale, VA) and counted with an automatic fluorescent cell counter Luna-FLTM (Logos Biosystems, VA).</w:t>
      </w:r>
    </w:p>
    <w:p w14:paraId="0B63B7C7" w14:textId="77777777" w:rsidR="00F039E6" w:rsidRPr="00F039E6" w:rsidRDefault="00F039E6" w:rsidP="00F039E6">
      <w:pPr>
        <w:spacing w:after="0" w:line="480" w:lineRule="auto"/>
        <w:jc w:val="both"/>
        <w:rPr>
          <w:rFonts w:ascii="Arial" w:hAnsi="Arial" w:cs="Arial"/>
          <w:sz w:val="24"/>
          <w:szCs w:val="24"/>
        </w:rPr>
      </w:pPr>
    </w:p>
    <w:p w14:paraId="0B8E05DE" w14:textId="7378669F" w:rsidR="00F039E6" w:rsidRPr="00F039E6" w:rsidRDefault="00F039E6" w:rsidP="00F039E6">
      <w:pPr>
        <w:spacing w:after="0" w:line="480" w:lineRule="auto"/>
        <w:jc w:val="both"/>
        <w:rPr>
          <w:rFonts w:ascii="Arial" w:hAnsi="Arial" w:cs="Arial"/>
          <w:sz w:val="24"/>
          <w:szCs w:val="24"/>
        </w:rPr>
      </w:pPr>
      <w:r w:rsidRPr="00F039E6">
        <w:rPr>
          <w:rFonts w:ascii="Arial" w:hAnsi="Arial" w:cs="Arial"/>
          <w:sz w:val="24"/>
          <w:szCs w:val="24"/>
          <w:u w:val="single"/>
        </w:rPr>
        <w:t>Brain-death Induction and Heterotopic Heart Transplantation</w:t>
      </w:r>
      <w:r w:rsidRPr="00F039E6">
        <w:rPr>
          <w:rFonts w:ascii="Arial" w:hAnsi="Arial" w:cs="Arial"/>
          <w:sz w:val="24"/>
          <w:szCs w:val="24"/>
        </w:rPr>
        <w:t>: To assess allograft survival rates and to perform post-transplant analyses, we employed a brain-dead heterotopic heart transplant model as previously described.</w:t>
      </w:r>
      <w:r w:rsidR="007134C9">
        <w:rPr>
          <w:rFonts w:ascii="Arial" w:hAnsi="Arial" w:cs="Arial"/>
          <w:sz w:val="24"/>
          <w:szCs w:val="24"/>
          <w:vertAlign w:val="superscript"/>
        </w:rPr>
        <w:t>4</w:t>
      </w:r>
      <w:r w:rsidRPr="00F039E6">
        <w:rPr>
          <w:rFonts w:ascii="Arial" w:hAnsi="Arial" w:cs="Arial"/>
          <w:sz w:val="24"/>
          <w:szCs w:val="24"/>
        </w:rPr>
        <w:t xml:space="preserve"> Briefly, donor </w:t>
      </w:r>
      <w:proofErr w:type="spellStart"/>
      <w:r w:rsidRPr="00F039E6">
        <w:rPr>
          <w:rFonts w:ascii="Arial" w:hAnsi="Arial" w:cs="Arial"/>
          <w:sz w:val="24"/>
          <w:szCs w:val="24"/>
        </w:rPr>
        <w:t>Balb</w:t>
      </w:r>
      <w:proofErr w:type="spellEnd"/>
      <w:r w:rsidRPr="00F039E6">
        <w:rPr>
          <w:rFonts w:ascii="Arial" w:hAnsi="Arial" w:cs="Arial"/>
          <w:sz w:val="24"/>
          <w:szCs w:val="24"/>
        </w:rPr>
        <w:t xml:space="preserve">/c mice were sedated and connected to a rodent ventilator and a transducer system for respiratory rate and blood pressure monitoring. A balloon catheter was inserted via a paramedian borehole and was inflated to induce brainstem compression and irreversible pontine ischemia. Brain death was confirmed via Cushing reflex, transient spontaneous rear limb fasciculation, and absence of spinal reflexes. Monitoring of blood pressure and spinal </w:t>
      </w:r>
      <w:r w:rsidRPr="00F039E6">
        <w:rPr>
          <w:rFonts w:ascii="Arial" w:hAnsi="Arial" w:cs="Arial"/>
          <w:sz w:val="24"/>
          <w:szCs w:val="24"/>
        </w:rPr>
        <w:lastRenderedPageBreak/>
        <w:t xml:space="preserve">reflexes was continued over a period of 3 </w:t>
      </w:r>
      <w:r w:rsidRPr="004864ED">
        <w:rPr>
          <w:rFonts w:ascii="Arial" w:hAnsi="Arial" w:cs="Arial"/>
          <w:sz w:val="24"/>
          <w:szCs w:val="24"/>
        </w:rPr>
        <w:t>hours. At the beginning of this period after brain death, the donor mice were administered with either one bolus of 2.4 mg/kg M1 and 1.2 mg/kg Mdivi1 (based on previously reported dose</w:t>
      </w:r>
      <w:r w:rsidR="007134C9" w:rsidRPr="004864ED">
        <w:rPr>
          <w:rFonts w:ascii="Arial" w:hAnsi="Arial" w:cs="Arial"/>
          <w:sz w:val="24"/>
          <w:szCs w:val="24"/>
          <w:vertAlign w:val="superscript"/>
        </w:rPr>
        <w:t>32</w:t>
      </w:r>
      <w:r w:rsidRPr="004864ED">
        <w:rPr>
          <w:rFonts w:ascii="Arial" w:hAnsi="Arial" w:cs="Arial"/>
          <w:sz w:val="24"/>
          <w:szCs w:val="24"/>
        </w:rPr>
        <w:t xml:space="preserve">) or </w:t>
      </w:r>
      <w:r w:rsidR="00FB5F3B" w:rsidRPr="004864ED">
        <w:rPr>
          <w:rFonts w:ascii="Arial" w:hAnsi="Arial" w:cs="Arial"/>
          <w:sz w:val="24"/>
          <w:szCs w:val="24"/>
        </w:rPr>
        <w:t>150mg/kg</w:t>
      </w:r>
      <w:r w:rsidR="009B0A49" w:rsidRPr="004864ED">
        <w:rPr>
          <w:rFonts w:ascii="Arial" w:hAnsi="Arial" w:cs="Arial"/>
          <w:sz w:val="24"/>
          <w:szCs w:val="24"/>
        </w:rPr>
        <w:t xml:space="preserve"> N</w:t>
      </w:r>
      <w:r w:rsidR="00FB5F3B" w:rsidRPr="004864ED">
        <w:rPr>
          <w:rFonts w:ascii="Arial" w:hAnsi="Arial" w:cs="Arial"/>
          <w:sz w:val="24"/>
          <w:szCs w:val="24"/>
        </w:rPr>
        <w:t>-acetylcysteine (NAC) (based on previously reported dose</w:t>
      </w:r>
      <w:r w:rsidR="00FB5F3B" w:rsidRPr="004864ED">
        <w:rPr>
          <w:rFonts w:ascii="Arial" w:hAnsi="Arial" w:cs="Arial"/>
          <w:sz w:val="24"/>
          <w:szCs w:val="24"/>
          <w:vertAlign w:val="superscript"/>
        </w:rPr>
        <w:t>42</w:t>
      </w:r>
      <w:r w:rsidR="00FB5F3B" w:rsidRPr="004864ED">
        <w:rPr>
          <w:rFonts w:ascii="Arial" w:hAnsi="Arial" w:cs="Arial"/>
          <w:sz w:val="24"/>
          <w:szCs w:val="24"/>
        </w:rPr>
        <w:t>)</w:t>
      </w:r>
      <w:r w:rsidR="009B0A49" w:rsidRPr="004864ED">
        <w:rPr>
          <w:rFonts w:ascii="Arial" w:hAnsi="Arial" w:cs="Arial"/>
          <w:sz w:val="24"/>
          <w:szCs w:val="24"/>
        </w:rPr>
        <w:t xml:space="preserve"> or </w:t>
      </w:r>
      <w:r w:rsidRPr="004864ED">
        <w:rPr>
          <w:rFonts w:ascii="Arial" w:hAnsi="Arial" w:cs="Arial"/>
          <w:sz w:val="24"/>
          <w:szCs w:val="24"/>
        </w:rPr>
        <w:t xml:space="preserve">PBS control through the carotid artery. At the end of 3-hour M1/Mdivi1 pre-treatment, the donor </w:t>
      </w:r>
      <w:r w:rsidRPr="00F039E6">
        <w:rPr>
          <w:rFonts w:ascii="Arial" w:hAnsi="Arial" w:cs="Arial"/>
          <w:sz w:val="24"/>
          <w:szCs w:val="24"/>
        </w:rPr>
        <w:t>hearts were transplanted heterotopically in the infrarenal location in C57BL/6 recipients. Cardiac allograft survival rates were determined by manual palpation for heartbeat cessation. To validate the mitochondria-elongating effects of M1/Mdivi1, the donor hearts were harvested immediately at the end of the 3-hour pre-treatment period. The cardiac tissues were processed either for CD31</w:t>
      </w:r>
      <w:r w:rsidRPr="00760894">
        <w:rPr>
          <w:rFonts w:ascii="Arial" w:hAnsi="Arial" w:cs="Arial"/>
          <w:sz w:val="24"/>
          <w:szCs w:val="24"/>
          <w:vertAlign w:val="superscript"/>
        </w:rPr>
        <w:t>+</w:t>
      </w:r>
      <w:r w:rsidRPr="00F039E6">
        <w:rPr>
          <w:rFonts w:ascii="Arial" w:hAnsi="Arial" w:cs="Arial"/>
          <w:sz w:val="24"/>
          <w:szCs w:val="24"/>
        </w:rPr>
        <w:t xml:space="preserve"> cell isolation and confocal imaging or for transmission electron microscopy. To perform post-transplant analyses, we utilized C57BL/6 recipients pre-sensitized with 5x10</w:t>
      </w:r>
      <w:r w:rsidR="000F5307">
        <w:rPr>
          <w:rFonts w:ascii="Arial" w:hAnsi="Arial" w:cs="Arial"/>
          <w:sz w:val="24"/>
          <w:szCs w:val="24"/>
          <w:vertAlign w:val="superscript"/>
        </w:rPr>
        <w:t>6</w:t>
      </w:r>
      <w:r w:rsidRPr="00F039E6">
        <w:rPr>
          <w:rFonts w:ascii="Arial" w:hAnsi="Arial" w:cs="Arial"/>
          <w:sz w:val="24"/>
          <w:szCs w:val="24"/>
        </w:rPr>
        <w:t xml:space="preserve"> </w:t>
      </w:r>
      <w:proofErr w:type="spellStart"/>
      <w:r w:rsidRPr="00F039E6">
        <w:rPr>
          <w:rFonts w:ascii="Arial" w:hAnsi="Arial" w:cs="Arial"/>
          <w:sz w:val="24"/>
          <w:szCs w:val="24"/>
        </w:rPr>
        <w:t>Balb</w:t>
      </w:r>
      <w:proofErr w:type="spellEnd"/>
      <w:r w:rsidRPr="00F039E6">
        <w:rPr>
          <w:rFonts w:ascii="Arial" w:hAnsi="Arial" w:cs="Arial"/>
          <w:sz w:val="24"/>
          <w:szCs w:val="24"/>
        </w:rPr>
        <w:t>/c splenocytes, as described previously,</w:t>
      </w:r>
      <w:r w:rsidR="007134C9">
        <w:rPr>
          <w:rFonts w:ascii="Arial" w:hAnsi="Arial" w:cs="Arial"/>
          <w:sz w:val="24"/>
          <w:szCs w:val="24"/>
          <w:vertAlign w:val="superscript"/>
        </w:rPr>
        <w:t>6</w:t>
      </w:r>
      <w:r w:rsidR="003B65B7">
        <w:rPr>
          <w:rFonts w:ascii="Arial" w:hAnsi="Arial" w:cs="Arial"/>
          <w:sz w:val="24"/>
          <w:szCs w:val="24"/>
          <w:vertAlign w:val="superscript"/>
        </w:rPr>
        <w:t>2</w:t>
      </w:r>
      <w:r w:rsidRPr="00F039E6">
        <w:rPr>
          <w:rFonts w:ascii="Arial" w:hAnsi="Arial" w:cs="Arial"/>
          <w:sz w:val="24"/>
          <w:szCs w:val="24"/>
        </w:rPr>
        <w:t xml:space="preserve"> and the transplanted hearts were harvested at 48 hours post-transplant to be processed for CD8</w:t>
      </w:r>
      <w:r w:rsidRPr="00760894">
        <w:rPr>
          <w:rFonts w:ascii="Arial" w:hAnsi="Arial" w:cs="Arial"/>
          <w:sz w:val="24"/>
          <w:szCs w:val="24"/>
          <w:vertAlign w:val="superscript"/>
        </w:rPr>
        <w:t>+</w:t>
      </w:r>
      <w:r w:rsidRPr="00F039E6">
        <w:rPr>
          <w:rFonts w:ascii="Arial" w:hAnsi="Arial" w:cs="Arial"/>
          <w:sz w:val="24"/>
          <w:szCs w:val="24"/>
        </w:rPr>
        <w:t xml:space="preserve"> and CD31</w:t>
      </w:r>
      <w:r w:rsidRPr="00760894">
        <w:rPr>
          <w:rFonts w:ascii="Arial" w:hAnsi="Arial" w:cs="Arial"/>
          <w:sz w:val="24"/>
          <w:szCs w:val="24"/>
          <w:vertAlign w:val="superscript"/>
        </w:rPr>
        <w:t>+</w:t>
      </w:r>
      <w:r w:rsidRPr="00F039E6">
        <w:rPr>
          <w:rFonts w:ascii="Arial" w:hAnsi="Arial" w:cs="Arial"/>
          <w:sz w:val="24"/>
          <w:szCs w:val="24"/>
        </w:rPr>
        <w:t xml:space="preserve"> cell isolation and flow cytometry.</w:t>
      </w:r>
    </w:p>
    <w:p w14:paraId="6283CE71" w14:textId="77777777" w:rsidR="00F039E6" w:rsidRPr="00F039E6" w:rsidRDefault="00F039E6" w:rsidP="00F039E6">
      <w:pPr>
        <w:spacing w:after="0" w:line="480" w:lineRule="auto"/>
        <w:jc w:val="both"/>
        <w:rPr>
          <w:rFonts w:ascii="Arial" w:hAnsi="Arial" w:cs="Arial"/>
          <w:sz w:val="24"/>
          <w:szCs w:val="24"/>
        </w:rPr>
      </w:pPr>
    </w:p>
    <w:p w14:paraId="7593B91D" w14:textId="77777777" w:rsidR="00F039E6" w:rsidRPr="00F039E6" w:rsidRDefault="00F039E6" w:rsidP="00F039E6">
      <w:pPr>
        <w:spacing w:after="0" w:line="480" w:lineRule="auto"/>
        <w:jc w:val="both"/>
        <w:rPr>
          <w:rFonts w:ascii="Arial" w:hAnsi="Arial" w:cs="Arial"/>
          <w:sz w:val="24"/>
          <w:szCs w:val="24"/>
        </w:rPr>
      </w:pPr>
      <w:r w:rsidRPr="00F039E6">
        <w:rPr>
          <w:rFonts w:ascii="Arial" w:hAnsi="Arial" w:cs="Arial"/>
          <w:sz w:val="24"/>
          <w:szCs w:val="24"/>
          <w:u w:val="single"/>
        </w:rPr>
        <w:t>Primary Cell Isolation</w:t>
      </w:r>
      <w:r w:rsidRPr="00F039E6">
        <w:rPr>
          <w:rFonts w:ascii="Arial" w:hAnsi="Arial" w:cs="Arial"/>
          <w:sz w:val="24"/>
          <w:szCs w:val="24"/>
        </w:rPr>
        <w:t>: Upon harvest, a mouse heart was minced and digested in HBSS (Life Technologies, Carlsbad, CA) containing 600 U/mL Collagenase II (Worthington Biochemical Corp, Lakewood, NJ) and 60 U/mL DNase I (Akron Biotechnology, Boca Raton, FL). After collagenase digestion, homogenate was subjected to 70μM-mesh filtration and red blood cell lysis (</w:t>
      </w:r>
      <w:proofErr w:type="spellStart"/>
      <w:r w:rsidRPr="00F039E6">
        <w:rPr>
          <w:rFonts w:ascii="Arial" w:hAnsi="Arial" w:cs="Arial"/>
          <w:sz w:val="24"/>
          <w:szCs w:val="24"/>
        </w:rPr>
        <w:t>Miltenyi</w:t>
      </w:r>
      <w:proofErr w:type="spellEnd"/>
      <w:r w:rsidRPr="00F039E6">
        <w:rPr>
          <w:rFonts w:ascii="Arial" w:hAnsi="Arial" w:cs="Arial"/>
          <w:sz w:val="24"/>
          <w:szCs w:val="24"/>
        </w:rPr>
        <w:t xml:space="preserve"> </w:t>
      </w:r>
      <w:proofErr w:type="spellStart"/>
      <w:r w:rsidRPr="00F039E6">
        <w:rPr>
          <w:rFonts w:ascii="Arial" w:hAnsi="Arial" w:cs="Arial"/>
          <w:sz w:val="24"/>
          <w:szCs w:val="24"/>
        </w:rPr>
        <w:t>Biotec</w:t>
      </w:r>
      <w:proofErr w:type="spellEnd"/>
      <w:r w:rsidRPr="00F039E6">
        <w:rPr>
          <w:rFonts w:ascii="Arial" w:hAnsi="Arial" w:cs="Arial"/>
          <w:sz w:val="24"/>
          <w:szCs w:val="24"/>
        </w:rPr>
        <w:t xml:space="preserve">, Auburn, CA) to prepare single-cell suspension. To validate the mitochondria-elongating effect of </w:t>
      </w:r>
      <w:r w:rsidRPr="00760894">
        <w:rPr>
          <w:rFonts w:ascii="Arial" w:hAnsi="Arial" w:cs="Arial"/>
          <w:i/>
          <w:iCs/>
          <w:sz w:val="24"/>
          <w:szCs w:val="24"/>
        </w:rPr>
        <w:t>in-vivo</w:t>
      </w:r>
      <w:r w:rsidRPr="00F039E6">
        <w:rPr>
          <w:rFonts w:ascii="Arial" w:hAnsi="Arial" w:cs="Arial"/>
          <w:sz w:val="24"/>
          <w:szCs w:val="24"/>
        </w:rPr>
        <w:t xml:space="preserve"> M1/Mdivi1 donor pre-treatment using confocal microscopy, the single-cell suspension from a brain-dead control heart or M1/Mdivi1 pre-treated heart was subjected to magnetic cell sorting using </w:t>
      </w:r>
      <w:r w:rsidRPr="00F039E6">
        <w:rPr>
          <w:rFonts w:ascii="Arial" w:hAnsi="Arial" w:cs="Arial"/>
          <w:sz w:val="24"/>
          <w:szCs w:val="24"/>
        </w:rPr>
        <w:lastRenderedPageBreak/>
        <w:t>CD31</w:t>
      </w:r>
      <w:r w:rsidRPr="00760894">
        <w:rPr>
          <w:rFonts w:ascii="Arial" w:hAnsi="Arial" w:cs="Arial"/>
          <w:sz w:val="24"/>
          <w:szCs w:val="24"/>
          <w:vertAlign w:val="superscript"/>
        </w:rPr>
        <w:t>+</w:t>
      </w:r>
      <w:r w:rsidRPr="00F039E6">
        <w:rPr>
          <w:rFonts w:ascii="Arial" w:hAnsi="Arial" w:cs="Arial"/>
          <w:sz w:val="24"/>
          <w:szCs w:val="24"/>
        </w:rPr>
        <w:t xml:space="preserve"> microbeads and </w:t>
      </w:r>
      <w:proofErr w:type="spellStart"/>
      <w:r w:rsidRPr="00F039E6">
        <w:rPr>
          <w:rFonts w:ascii="Arial" w:hAnsi="Arial" w:cs="Arial"/>
          <w:sz w:val="24"/>
          <w:szCs w:val="24"/>
        </w:rPr>
        <w:t>autoMACS</w:t>
      </w:r>
      <w:proofErr w:type="spellEnd"/>
      <w:r w:rsidRPr="00F039E6">
        <w:rPr>
          <w:rFonts w:ascii="Arial" w:hAnsi="Arial" w:cs="Arial"/>
          <w:sz w:val="24"/>
          <w:szCs w:val="24"/>
        </w:rPr>
        <w:t xml:space="preserve"> Pro Separator (</w:t>
      </w:r>
      <w:proofErr w:type="spellStart"/>
      <w:r w:rsidRPr="00F039E6">
        <w:rPr>
          <w:rFonts w:ascii="Arial" w:hAnsi="Arial" w:cs="Arial"/>
          <w:sz w:val="24"/>
          <w:szCs w:val="24"/>
        </w:rPr>
        <w:t>Miltenyi</w:t>
      </w:r>
      <w:proofErr w:type="spellEnd"/>
      <w:r w:rsidRPr="00F039E6">
        <w:rPr>
          <w:rFonts w:ascii="Arial" w:hAnsi="Arial" w:cs="Arial"/>
          <w:sz w:val="24"/>
          <w:szCs w:val="24"/>
        </w:rPr>
        <w:t xml:space="preserve"> </w:t>
      </w:r>
      <w:proofErr w:type="spellStart"/>
      <w:r w:rsidRPr="00F039E6">
        <w:rPr>
          <w:rFonts w:ascii="Arial" w:hAnsi="Arial" w:cs="Arial"/>
          <w:sz w:val="24"/>
          <w:szCs w:val="24"/>
        </w:rPr>
        <w:t>Biotec</w:t>
      </w:r>
      <w:proofErr w:type="spellEnd"/>
      <w:r w:rsidRPr="00F039E6">
        <w:rPr>
          <w:rFonts w:ascii="Arial" w:hAnsi="Arial" w:cs="Arial"/>
          <w:sz w:val="24"/>
          <w:szCs w:val="24"/>
        </w:rPr>
        <w:t>, Auburn, CA). The isolated CD31</w:t>
      </w:r>
      <w:r w:rsidRPr="00760894">
        <w:rPr>
          <w:rFonts w:ascii="Arial" w:hAnsi="Arial" w:cs="Arial"/>
          <w:sz w:val="24"/>
          <w:szCs w:val="24"/>
          <w:vertAlign w:val="superscript"/>
        </w:rPr>
        <w:t>+</w:t>
      </w:r>
      <w:r w:rsidRPr="00F039E6">
        <w:rPr>
          <w:rFonts w:ascii="Arial" w:hAnsi="Arial" w:cs="Arial"/>
          <w:sz w:val="24"/>
          <w:szCs w:val="24"/>
        </w:rPr>
        <w:t xml:space="preserve"> cells were subsequently cultured in Endothelial Cell Media (Cell Biologics, Chicago, IL) until mitochondrial staining. To perform post-transplant analysis, at 48 hours after operation, the single-cell suspension was obtained from a transplanted control heart or an M1/Mdivi1 pre-treated heart and was subjected to cell sorting using CD8 isolation kit, CD31 beads, and </w:t>
      </w:r>
      <w:proofErr w:type="spellStart"/>
      <w:r w:rsidRPr="00F039E6">
        <w:rPr>
          <w:rFonts w:ascii="Arial" w:hAnsi="Arial" w:cs="Arial"/>
          <w:sz w:val="24"/>
          <w:szCs w:val="24"/>
        </w:rPr>
        <w:t>autoMACS</w:t>
      </w:r>
      <w:proofErr w:type="spellEnd"/>
      <w:r w:rsidRPr="00F039E6">
        <w:rPr>
          <w:rFonts w:ascii="Arial" w:hAnsi="Arial" w:cs="Arial"/>
          <w:sz w:val="24"/>
          <w:szCs w:val="24"/>
        </w:rPr>
        <w:t xml:space="preserve"> Pro Separator (</w:t>
      </w:r>
      <w:proofErr w:type="spellStart"/>
      <w:r w:rsidRPr="00F039E6">
        <w:rPr>
          <w:rFonts w:ascii="Arial" w:hAnsi="Arial" w:cs="Arial"/>
          <w:sz w:val="24"/>
          <w:szCs w:val="24"/>
        </w:rPr>
        <w:t>Miltenyi</w:t>
      </w:r>
      <w:proofErr w:type="spellEnd"/>
      <w:r w:rsidRPr="00F039E6">
        <w:rPr>
          <w:rFonts w:ascii="Arial" w:hAnsi="Arial" w:cs="Arial"/>
          <w:sz w:val="24"/>
          <w:szCs w:val="24"/>
        </w:rPr>
        <w:t xml:space="preserve"> </w:t>
      </w:r>
      <w:proofErr w:type="spellStart"/>
      <w:r w:rsidRPr="00F039E6">
        <w:rPr>
          <w:rFonts w:ascii="Arial" w:hAnsi="Arial" w:cs="Arial"/>
          <w:sz w:val="24"/>
          <w:szCs w:val="24"/>
        </w:rPr>
        <w:t>Biotec</w:t>
      </w:r>
      <w:proofErr w:type="spellEnd"/>
      <w:r w:rsidRPr="00F039E6">
        <w:rPr>
          <w:rFonts w:ascii="Arial" w:hAnsi="Arial" w:cs="Arial"/>
          <w:sz w:val="24"/>
          <w:szCs w:val="24"/>
        </w:rPr>
        <w:t>, Auburn, CA). CD8</w:t>
      </w:r>
      <w:r w:rsidRPr="00760894">
        <w:rPr>
          <w:rFonts w:ascii="Arial" w:hAnsi="Arial" w:cs="Arial"/>
          <w:sz w:val="24"/>
          <w:szCs w:val="24"/>
          <w:vertAlign w:val="superscript"/>
        </w:rPr>
        <w:t>+</w:t>
      </w:r>
      <w:r w:rsidRPr="00F039E6">
        <w:rPr>
          <w:rFonts w:ascii="Arial" w:hAnsi="Arial" w:cs="Arial"/>
          <w:sz w:val="24"/>
          <w:szCs w:val="24"/>
        </w:rPr>
        <w:t xml:space="preserve"> cells were then analyzed using flow cytometry.</w:t>
      </w:r>
    </w:p>
    <w:p w14:paraId="3F31753C" w14:textId="77777777" w:rsidR="00F039E6" w:rsidRPr="00F039E6" w:rsidRDefault="00F039E6" w:rsidP="00F039E6">
      <w:pPr>
        <w:spacing w:after="0" w:line="480" w:lineRule="auto"/>
        <w:jc w:val="both"/>
        <w:rPr>
          <w:rFonts w:ascii="Arial" w:hAnsi="Arial" w:cs="Arial"/>
          <w:sz w:val="24"/>
          <w:szCs w:val="24"/>
        </w:rPr>
      </w:pPr>
    </w:p>
    <w:p w14:paraId="676B679F" w14:textId="77777777" w:rsidR="00F039E6" w:rsidRPr="00F039E6" w:rsidRDefault="00F039E6" w:rsidP="00F039E6">
      <w:pPr>
        <w:spacing w:after="0" w:line="480" w:lineRule="auto"/>
        <w:jc w:val="both"/>
        <w:rPr>
          <w:rFonts w:ascii="Arial" w:hAnsi="Arial" w:cs="Arial"/>
          <w:sz w:val="24"/>
          <w:szCs w:val="24"/>
        </w:rPr>
      </w:pPr>
      <w:r w:rsidRPr="00F039E6">
        <w:rPr>
          <w:rFonts w:ascii="Arial" w:hAnsi="Arial" w:cs="Arial"/>
          <w:sz w:val="24"/>
          <w:szCs w:val="24"/>
          <w:u w:val="single"/>
        </w:rPr>
        <w:t>Transmission Electron Microscopy</w:t>
      </w:r>
      <w:r w:rsidRPr="00F039E6">
        <w:rPr>
          <w:rFonts w:ascii="Arial" w:hAnsi="Arial" w:cs="Arial"/>
          <w:sz w:val="24"/>
          <w:szCs w:val="24"/>
        </w:rPr>
        <w:t xml:space="preserve">: Brain-dead control or M1/Mdivi1 pre-treated donor hearts were cut horizontally into 2-4mm slices and were fixed in 2% glutaraldehyde in 0.1M phosphate buffer, followed by post-fixation in 1% osmium tetroxide, dehydration in ethanol, and embedding in </w:t>
      </w:r>
      <w:proofErr w:type="spellStart"/>
      <w:r w:rsidRPr="00F039E6">
        <w:rPr>
          <w:rFonts w:ascii="Arial" w:hAnsi="Arial" w:cs="Arial"/>
          <w:sz w:val="24"/>
          <w:szCs w:val="24"/>
        </w:rPr>
        <w:t>EmBed</w:t>
      </w:r>
      <w:proofErr w:type="spellEnd"/>
      <w:r w:rsidRPr="00F039E6">
        <w:rPr>
          <w:rFonts w:ascii="Arial" w:hAnsi="Arial" w:cs="Arial"/>
          <w:sz w:val="24"/>
          <w:szCs w:val="24"/>
        </w:rPr>
        <w:t xml:space="preserve"> 812. All reagents were purchased from Electron Microscopy Sciences (Hatfield, PA). Subsequently, the embedded tissues were sectioned at 70nm thickness, followed by imaging with JEOL JEM-1010 transmission electron microscope (JEOL USA Inc, Peabody, MA).</w:t>
      </w:r>
    </w:p>
    <w:p w14:paraId="1E731D06" w14:textId="77777777" w:rsidR="00F039E6" w:rsidRPr="00F039E6" w:rsidRDefault="00F039E6" w:rsidP="00F039E6">
      <w:pPr>
        <w:spacing w:after="0" w:line="480" w:lineRule="auto"/>
        <w:jc w:val="both"/>
        <w:rPr>
          <w:rFonts w:ascii="Arial" w:hAnsi="Arial" w:cs="Arial"/>
          <w:sz w:val="24"/>
          <w:szCs w:val="24"/>
        </w:rPr>
      </w:pPr>
    </w:p>
    <w:p w14:paraId="412D35FD" w14:textId="77777777" w:rsidR="00F039E6" w:rsidRPr="00F039E6" w:rsidRDefault="00F039E6" w:rsidP="00F039E6">
      <w:pPr>
        <w:spacing w:after="0" w:line="480" w:lineRule="auto"/>
        <w:jc w:val="both"/>
        <w:rPr>
          <w:rFonts w:ascii="Arial" w:hAnsi="Arial" w:cs="Arial"/>
          <w:sz w:val="24"/>
          <w:szCs w:val="24"/>
        </w:rPr>
      </w:pPr>
      <w:r w:rsidRPr="00F039E6">
        <w:rPr>
          <w:rFonts w:ascii="Arial" w:hAnsi="Arial" w:cs="Arial"/>
          <w:sz w:val="24"/>
          <w:szCs w:val="24"/>
          <w:u w:val="single"/>
        </w:rPr>
        <w:t>Trans-endothelial Electrical Resistance Assay</w:t>
      </w:r>
      <w:r w:rsidRPr="00F039E6">
        <w:rPr>
          <w:rFonts w:ascii="Arial" w:hAnsi="Arial" w:cs="Arial"/>
          <w:sz w:val="24"/>
          <w:szCs w:val="24"/>
        </w:rPr>
        <w:t xml:space="preserve">: Endothelial monolayers cultured on the filters of 6-well </w:t>
      </w:r>
      <w:proofErr w:type="spellStart"/>
      <w:r w:rsidRPr="00F039E6">
        <w:rPr>
          <w:rFonts w:ascii="Arial" w:hAnsi="Arial" w:cs="Arial"/>
          <w:sz w:val="24"/>
          <w:szCs w:val="24"/>
        </w:rPr>
        <w:t>Transwell</w:t>
      </w:r>
      <w:proofErr w:type="spellEnd"/>
      <w:r w:rsidRPr="00F039E6">
        <w:rPr>
          <w:rFonts w:ascii="Arial" w:hAnsi="Arial" w:cs="Arial"/>
          <w:sz w:val="24"/>
          <w:szCs w:val="24"/>
        </w:rPr>
        <w:t xml:space="preserve"> plates (Thermo Scientific, MA) were pre-treated with M1/Mdivi1 or PBS control prior to cold storage. At the denoted post-reperfusion timepoints, trans-endothelial electrical resistance was measured with an EVOM2 Epithelial </w:t>
      </w:r>
      <w:proofErr w:type="spellStart"/>
      <w:r w:rsidRPr="00F039E6">
        <w:rPr>
          <w:rFonts w:ascii="Arial" w:hAnsi="Arial" w:cs="Arial"/>
          <w:sz w:val="24"/>
          <w:szCs w:val="24"/>
        </w:rPr>
        <w:t>Voltohmmeter</w:t>
      </w:r>
      <w:proofErr w:type="spellEnd"/>
      <w:r w:rsidRPr="00F039E6">
        <w:rPr>
          <w:rFonts w:ascii="Arial" w:hAnsi="Arial" w:cs="Arial"/>
          <w:sz w:val="24"/>
          <w:szCs w:val="24"/>
        </w:rPr>
        <w:t xml:space="preserve"> (World Precision Instruments, Sarasota County, FL).</w:t>
      </w:r>
    </w:p>
    <w:p w14:paraId="7E7CF755" w14:textId="77777777" w:rsidR="00F039E6" w:rsidRPr="00F039E6" w:rsidRDefault="00F039E6" w:rsidP="00F039E6">
      <w:pPr>
        <w:spacing w:after="0" w:line="480" w:lineRule="auto"/>
        <w:jc w:val="both"/>
        <w:rPr>
          <w:rFonts w:ascii="Arial" w:hAnsi="Arial" w:cs="Arial"/>
          <w:sz w:val="24"/>
          <w:szCs w:val="24"/>
        </w:rPr>
      </w:pPr>
    </w:p>
    <w:p w14:paraId="1B298293" w14:textId="77777777" w:rsidR="00F039E6" w:rsidRPr="00F039E6" w:rsidRDefault="00F039E6" w:rsidP="00F039E6">
      <w:pPr>
        <w:spacing w:after="0" w:line="480" w:lineRule="auto"/>
        <w:jc w:val="both"/>
        <w:rPr>
          <w:rFonts w:ascii="Arial" w:hAnsi="Arial" w:cs="Arial"/>
          <w:sz w:val="24"/>
          <w:szCs w:val="24"/>
        </w:rPr>
      </w:pPr>
      <w:r w:rsidRPr="00F039E6">
        <w:rPr>
          <w:rFonts w:ascii="Arial" w:hAnsi="Arial" w:cs="Arial"/>
          <w:sz w:val="24"/>
          <w:szCs w:val="24"/>
          <w:u w:val="single"/>
        </w:rPr>
        <w:lastRenderedPageBreak/>
        <w:t>Cardiac Injury Assessment</w:t>
      </w:r>
      <w:r w:rsidRPr="00F039E6">
        <w:rPr>
          <w:rFonts w:ascii="Arial" w:hAnsi="Arial" w:cs="Arial"/>
          <w:sz w:val="24"/>
          <w:szCs w:val="24"/>
        </w:rPr>
        <w:t xml:space="preserve">: At 48 hours post-transplantation, blood was collected, allowed to clot, and serum was prepared. As a measure of cardiac graft injury cardiac troponin-I ELISA (Life Diagnostics, West Chester, PA) was performed. </w:t>
      </w:r>
    </w:p>
    <w:p w14:paraId="2282FD46" w14:textId="77777777" w:rsidR="00F039E6" w:rsidRPr="00F039E6" w:rsidRDefault="00F039E6" w:rsidP="00F039E6">
      <w:pPr>
        <w:spacing w:after="0" w:line="480" w:lineRule="auto"/>
        <w:jc w:val="both"/>
        <w:rPr>
          <w:rFonts w:ascii="Arial" w:hAnsi="Arial" w:cs="Arial"/>
          <w:sz w:val="24"/>
          <w:szCs w:val="24"/>
        </w:rPr>
      </w:pPr>
    </w:p>
    <w:p w14:paraId="64323B53" w14:textId="5A6D6547" w:rsidR="00CC73AF" w:rsidRPr="007134C9" w:rsidRDefault="00F039E6" w:rsidP="00F039E6">
      <w:pPr>
        <w:spacing w:after="0" w:line="480" w:lineRule="auto"/>
        <w:jc w:val="both"/>
        <w:rPr>
          <w:rFonts w:ascii="Arial" w:hAnsi="Arial" w:cs="Arial"/>
          <w:sz w:val="24"/>
          <w:szCs w:val="24"/>
        </w:rPr>
      </w:pPr>
      <w:r w:rsidRPr="00F039E6">
        <w:rPr>
          <w:rFonts w:ascii="Arial" w:hAnsi="Arial" w:cs="Arial"/>
          <w:sz w:val="24"/>
          <w:szCs w:val="24"/>
          <w:u w:val="single"/>
        </w:rPr>
        <w:t>Histological Analysis</w:t>
      </w:r>
      <w:r w:rsidRPr="00F039E6">
        <w:rPr>
          <w:rFonts w:ascii="Arial" w:hAnsi="Arial" w:cs="Arial"/>
          <w:sz w:val="24"/>
          <w:szCs w:val="24"/>
        </w:rPr>
        <w:t>: Hematoxylin and eosin-stained as well as myeloperoxidase-stained paraffin-processed cardiac graft sections were quantitatively scored for histological evidence of graft injury as previously described by a trained pathologist.</w:t>
      </w:r>
      <w:r w:rsidR="007134C9">
        <w:rPr>
          <w:rFonts w:ascii="Arial" w:hAnsi="Arial" w:cs="Arial"/>
          <w:sz w:val="24"/>
          <w:szCs w:val="24"/>
          <w:vertAlign w:val="superscript"/>
        </w:rPr>
        <w:t>4</w:t>
      </w:r>
    </w:p>
    <w:p w14:paraId="6BBA346A" w14:textId="304F720C" w:rsidR="00F039E6" w:rsidRDefault="00F039E6" w:rsidP="00F039E6">
      <w:pPr>
        <w:spacing w:after="0" w:line="480" w:lineRule="auto"/>
        <w:jc w:val="both"/>
        <w:rPr>
          <w:rFonts w:ascii="Arial" w:hAnsi="Arial" w:cs="Arial"/>
          <w:sz w:val="24"/>
          <w:szCs w:val="24"/>
        </w:rPr>
      </w:pPr>
    </w:p>
    <w:p w14:paraId="3B4B379A" w14:textId="066B85F3" w:rsidR="00D30016" w:rsidRPr="00BF23A1" w:rsidRDefault="00D30016" w:rsidP="00D30016">
      <w:pPr>
        <w:spacing w:line="480" w:lineRule="auto"/>
        <w:jc w:val="both"/>
        <w:rPr>
          <w:rFonts w:ascii="Arial" w:hAnsi="Arial" w:cs="Arial"/>
          <w:sz w:val="24"/>
          <w:szCs w:val="24"/>
        </w:rPr>
      </w:pPr>
      <w:r w:rsidRPr="00BF23A1">
        <w:rPr>
          <w:rFonts w:ascii="Arial" w:hAnsi="Arial" w:cs="Arial"/>
          <w:sz w:val="24"/>
          <w:szCs w:val="24"/>
          <w:u w:val="single"/>
        </w:rPr>
        <w:t>Statistical Analysis</w:t>
      </w:r>
      <w:r w:rsidRPr="00BF23A1">
        <w:rPr>
          <w:rFonts w:ascii="Arial" w:hAnsi="Arial" w:cs="Arial"/>
          <w:sz w:val="24"/>
          <w:szCs w:val="24"/>
        </w:rPr>
        <w:t>: Data analysis was performed using GraphPad Prism 7.03 (GraphPad, San Diego, CA), and error bars were expressed as ±SEM</w:t>
      </w:r>
      <w:bookmarkStart w:id="0" w:name="_Hlk2697326"/>
      <w:r w:rsidRPr="00BF23A1">
        <w:rPr>
          <w:rFonts w:ascii="Arial" w:hAnsi="Arial" w:cs="Arial"/>
          <w:sz w:val="24"/>
          <w:szCs w:val="24"/>
        </w:rPr>
        <w:t xml:space="preserve">. Log rank (Mantel-Cox) test was performed to determine statistical significance for allograft survival analysis. Mann-Whitney test was performed for histological analysis. One-way ANOVA test was performed for co-culture experiments to assess the relationship between antioxidant and immunomodulatory properties of M1/Mdivi1. </w:t>
      </w:r>
      <w:bookmarkEnd w:id="0"/>
      <w:r w:rsidRPr="00BF23A1">
        <w:rPr>
          <w:rFonts w:ascii="Arial" w:hAnsi="Arial" w:cs="Arial"/>
          <w:sz w:val="24"/>
          <w:szCs w:val="24"/>
        </w:rPr>
        <w:t xml:space="preserve">Two-sided Student t-test was performed for all remaining analyses. A p value of less than 0.05 </w:t>
      </w:r>
      <w:proofErr w:type="gramStart"/>
      <w:r w:rsidRPr="00BF23A1">
        <w:rPr>
          <w:rFonts w:ascii="Arial" w:hAnsi="Arial" w:cs="Arial"/>
          <w:sz w:val="24"/>
          <w:szCs w:val="24"/>
        </w:rPr>
        <w:t>was considered to be</w:t>
      </w:r>
      <w:proofErr w:type="gramEnd"/>
      <w:r w:rsidRPr="00BF23A1">
        <w:rPr>
          <w:rFonts w:ascii="Arial" w:hAnsi="Arial" w:cs="Arial"/>
          <w:sz w:val="24"/>
          <w:szCs w:val="24"/>
        </w:rPr>
        <w:t xml:space="preserve"> statistically significant.</w:t>
      </w:r>
    </w:p>
    <w:p w14:paraId="72D6F393" w14:textId="77777777" w:rsidR="00D30016" w:rsidRDefault="00D30016" w:rsidP="00F039E6">
      <w:pPr>
        <w:spacing w:after="0" w:line="480" w:lineRule="auto"/>
        <w:jc w:val="both"/>
        <w:rPr>
          <w:rFonts w:ascii="Arial" w:hAnsi="Arial" w:cs="Arial"/>
          <w:sz w:val="24"/>
          <w:szCs w:val="24"/>
        </w:rPr>
      </w:pPr>
    </w:p>
    <w:p w14:paraId="17FFA37C" w14:textId="452F8B70" w:rsidR="00F039E6" w:rsidRDefault="00F039E6" w:rsidP="00F039E6">
      <w:pPr>
        <w:spacing w:after="0" w:line="480" w:lineRule="auto"/>
        <w:jc w:val="both"/>
        <w:rPr>
          <w:rFonts w:ascii="Arial" w:hAnsi="Arial" w:cs="Arial"/>
          <w:sz w:val="24"/>
          <w:szCs w:val="24"/>
        </w:rPr>
      </w:pPr>
    </w:p>
    <w:p w14:paraId="4C0514CA" w14:textId="79FB5FB2" w:rsidR="00F039E6" w:rsidRDefault="00F039E6" w:rsidP="00F039E6">
      <w:pPr>
        <w:spacing w:after="0" w:line="480" w:lineRule="auto"/>
        <w:jc w:val="both"/>
        <w:rPr>
          <w:rFonts w:ascii="Arial" w:hAnsi="Arial" w:cs="Arial"/>
          <w:sz w:val="24"/>
          <w:szCs w:val="24"/>
        </w:rPr>
      </w:pPr>
    </w:p>
    <w:p w14:paraId="3B933975" w14:textId="509EE053" w:rsidR="00F039E6" w:rsidRDefault="00F039E6" w:rsidP="00F039E6">
      <w:pPr>
        <w:spacing w:after="0" w:line="480" w:lineRule="auto"/>
        <w:jc w:val="both"/>
        <w:rPr>
          <w:rFonts w:ascii="Arial" w:hAnsi="Arial" w:cs="Arial"/>
          <w:sz w:val="24"/>
          <w:szCs w:val="24"/>
        </w:rPr>
      </w:pPr>
    </w:p>
    <w:p w14:paraId="7A10B9A6" w14:textId="6EAF0BEA" w:rsidR="00D30016" w:rsidRDefault="00D30016" w:rsidP="00F039E6">
      <w:pPr>
        <w:spacing w:after="0" w:line="480" w:lineRule="auto"/>
        <w:jc w:val="both"/>
        <w:rPr>
          <w:rFonts w:ascii="Arial" w:hAnsi="Arial" w:cs="Arial"/>
          <w:sz w:val="24"/>
          <w:szCs w:val="24"/>
        </w:rPr>
      </w:pPr>
    </w:p>
    <w:p w14:paraId="4C68FE87" w14:textId="72F957E2" w:rsidR="00D30016" w:rsidRDefault="00D30016" w:rsidP="00F039E6">
      <w:pPr>
        <w:spacing w:after="0" w:line="480" w:lineRule="auto"/>
        <w:jc w:val="both"/>
        <w:rPr>
          <w:rFonts w:ascii="Arial" w:hAnsi="Arial" w:cs="Arial"/>
          <w:sz w:val="24"/>
          <w:szCs w:val="24"/>
        </w:rPr>
      </w:pPr>
    </w:p>
    <w:p w14:paraId="0A38B474" w14:textId="3C6F78DE" w:rsidR="00F039E6" w:rsidRDefault="00F039E6" w:rsidP="00F039E6">
      <w:pPr>
        <w:spacing w:after="0" w:line="480" w:lineRule="auto"/>
        <w:jc w:val="both"/>
        <w:rPr>
          <w:rFonts w:ascii="Arial" w:hAnsi="Arial" w:cs="Arial"/>
          <w:sz w:val="24"/>
          <w:szCs w:val="24"/>
        </w:rPr>
      </w:pPr>
    </w:p>
    <w:p w14:paraId="1A468D06" w14:textId="77777777" w:rsidR="00F039E6" w:rsidRPr="00F1176A" w:rsidRDefault="00F039E6" w:rsidP="00F039E6">
      <w:pPr>
        <w:spacing w:line="480" w:lineRule="auto"/>
        <w:jc w:val="both"/>
        <w:rPr>
          <w:rFonts w:ascii="Arial" w:hAnsi="Arial" w:cs="Arial"/>
          <w:b/>
          <w:sz w:val="24"/>
          <w:szCs w:val="24"/>
        </w:rPr>
      </w:pPr>
      <w:r w:rsidRPr="00F1176A">
        <w:rPr>
          <w:rFonts w:ascii="Arial" w:hAnsi="Arial" w:cs="Arial"/>
          <w:b/>
          <w:sz w:val="24"/>
          <w:szCs w:val="24"/>
        </w:rPr>
        <w:lastRenderedPageBreak/>
        <w:t>Supplemental Figures and Figure Legends</w:t>
      </w:r>
    </w:p>
    <w:p w14:paraId="1F9CE9A9" w14:textId="77777777" w:rsidR="00F039E6" w:rsidRPr="00F1176A" w:rsidRDefault="00F039E6" w:rsidP="00F039E6">
      <w:pPr>
        <w:spacing w:line="480" w:lineRule="auto"/>
        <w:jc w:val="both"/>
        <w:rPr>
          <w:rFonts w:ascii="Arial" w:hAnsi="Arial" w:cs="Arial"/>
          <w:b/>
          <w:sz w:val="24"/>
          <w:szCs w:val="24"/>
        </w:rPr>
      </w:pPr>
    </w:p>
    <w:p w14:paraId="61BCC100" w14:textId="77777777" w:rsidR="00F039E6" w:rsidRPr="00F1176A" w:rsidRDefault="00F039E6" w:rsidP="00F039E6">
      <w:pPr>
        <w:spacing w:line="480" w:lineRule="auto"/>
        <w:jc w:val="both"/>
        <w:rPr>
          <w:rFonts w:ascii="Arial" w:hAnsi="Arial" w:cs="Arial"/>
          <w:sz w:val="24"/>
          <w:szCs w:val="24"/>
        </w:rPr>
      </w:pPr>
      <w:r w:rsidRPr="00F1176A">
        <w:rPr>
          <w:rFonts w:ascii="Arial" w:hAnsi="Arial" w:cs="Arial"/>
          <w:noProof/>
          <w:sz w:val="24"/>
          <w:szCs w:val="24"/>
        </w:rPr>
        <w:drawing>
          <wp:inline distT="0" distB="0" distL="0" distR="0" wp14:anchorId="5928BE4B" wp14:editId="0B192CC0">
            <wp:extent cx="3585972" cy="2042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1 - v9.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85972" cy="2042160"/>
                    </a:xfrm>
                    <a:prstGeom prst="rect">
                      <a:avLst/>
                    </a:prstGeom>
                  </pic:spPr>
                </pic:pic>
              </a:graphicData>
            </a:graphic>
          </wp:inline>
        </w:drawing>
      </w:r>
    </w:p>
    <w:p w14:paraId="2144F737" w14:textId="77777777" w:rsidR="00F039E6" w:rsidRPr="00F1176A" w:rsidRDefault="00F039E6" w:rsidP="00F039E6">
      <w:pPr>
        <w:spacing w:line="480" w:lineRule="auto"/>
        <w:jc w:val="both"/>
        <w:rPr>
          <w:rStyle w:val="Heading4Char"/>
          <w:rFonts w:cs="Arial"/>
          <w:sz w:val="24"/>
          <w:szCs w:val="24"/>
          <w:u w:val="single"/>
        </w:rPr>
      </w:pPr>
      <w:bookmarkStart w:id="1" w:name="_Toc6521117"/>
    </w:p>
    <w:p w14:paraId="6DCCC721" w14:textId="77777777" w:rsidR="00F039E6" w:rsidRPr="00F1176A" w:rsidRDefault="00F039E6" w:rsidP="00F039E6">
      <w:pPr>
        <w:spacing w:line="480" w:lineRule="auto"/>
        <w:jc w:val="both"/>
        <w:rPr>
          <w:rFonts w:ascii="Arial" w:hAnsi="Arial" w:cs="Arial"/>
          <w:sz w:val="24"/>
          <w:szCs w:val="24"/>
        </w:rPr>
      </w:pPr>
      <w:r>
        <w:rPr>
          <w:rStyle w:val="Heading4Char"/>
          <w:rFonts w:cs="Arial"/>
          <w:sz w:val="24"/>
          <w:szCs w:val="24"/>
          <w:u w:val="single"/>
        </w:rPr>
        <w:t xml:space="preserve">Supplemental </w:t>
      </w:r>
      <w:r w:rsidRPr="00F1176A">
        <w:rPr>
          <w:rStyle w:val="Heading4Char"/>
          <w:rFonts w:cs="Arial"/>
          <w:sz w:val="24"/>
          <w:szCs w:val="24"/>
          <w:u w:val="single"/>
        </w:rPr>
        <w:t>Fig</w:t>
      </w:r>
      <w:r>
        <w:rPr>
          <w:rStyle w:val="Heading4Char"/>
          <w:rFonts w:cs="Arial"/>
          <w:sz w:val="24"/>
          <w:szCs w:val="24"/>
          <w:u w:val="single"/>
        </w:rPr>
        <w:t>ure-</w:t>
      </w:r>
      <w:r w:rsidRPr="00F1176A">
        <w:rPr>
          <w:rStyle w:val="Heading4Char"/>
          <w:rFonts w:cs="Arial"/>
          <w:sz w:val="24"/>
          <w:szCs w:val="24"/>
          <w:u w:val="single"/>
        </w:rPr>
        <w:t>1</w:t>
      </w:r>
      <w:r w:rsidRPr="00F1176A">
        <w:rPr>
          <w:rStyle w:val="Heading4Char"/>
          <w:rFonts w:cs="Arial"/>
          <w:sz w:val="24"/>
          <w:szCs w:val="24"/>
        </w:rPr>
        <w:t>: DRP1 Knock-Down Immunoblotting Validation</w:t>
      </w:r>
      <w:bookmarkEnd w:id="1"/>
      <w:r w:rsidRPr="00F1176A">
        <w:rPr>
          <w:rFonts w:ascii="Arial" w:hAnsi="Arial" w:cs="Arial"/>
          <w:sz w:val="24"/>
          <w:szCs w:val="24"/>
        </w:rPr>
        <w:t>. Representative immunoblot showing DRP1 protein level is reduced in DRP1KDs compared to wildtype MCECs (n=3).</w:t>
      </w:r>
    </w:p>
    <w:p w14:paraId="64002822" w14:textId="77777777" w:rsidR="00F039E6" w:rsidRPr="00F1176A" w:rsidRDefault="00F039E6" w:rsidP="00F039E6">
      <w:pPr>
        <w:spacing w:line="480" w:lineRule="auto"/>
        <w:jc w:val="both"/>
        <w:rPr>
          <w:rFonts w:ascii="Arial" w:hAnsi="Arial" w:cs="Arial"/>
          <w:sz w:val="24"/>
          <w:szCs w:val="24"/>
        </w:rPr>
      </w:pPr>
    </w:p>
    <w:p w14:paraId="751096F6" w14:textId="77777777" w:rsidR="00F039E6" w:rsidRPr="00F1176A" w:rsidRDefault="00F039E6" w:rsidP="00F039E6">
      <w:pPr>
        <w:spacing w:line="480" w:lineRule="auto"/>
        <w:jc w:val="both"/>
        <w:rPr>
          <w:rFonts w:ascii="Arial" w:hAnsi="Arial" w:cs="Arial"/>
          <w:sz w:val="24"/>
          <w:szCs w:val="24"/>
        </w:rPr>
      </w:pPr>
    </w:p>
    <w:p w14:paraId="187C49D0" w14:textId="77777777" w:rsidR="00F039E6" w:rsidRPr="00F1176A" w:rsidRDefault="00F039E6" w:rsidP="00F039E6">
      <w:pPr>
        <w:spacing w:line="480" w:lineRule="auto"/>
        <w:jc w:val="both"/>
        <w:rPr>
          <w:rFonts w:ascii="Arial" w:hAnsi="Arial" w:cs="Arial"/>
          <w:sz w:val="24"/>
          <w:szCs w:val="24"/>
        </w:rPr>
      </w:pPr>
    </w:p>
    <w:p w14:paraId="73288082" w14:textId="77777777" w:rsidR="00F039E6" w:rsidRPr="00F1176A" w:rsidRDefault="00F039E6" w:rsidP="00F039E6">
      <w:pPr>
        <w:spacing w:line="480" w:lineRule="auto"/>
        <w:jc w:val="both"/>
        <w:rPr>
          <w:rFonts w:ascii="Arial" w:hAnsi="Arial" w:cs="Arial"/>
          <w:sz w:val="24"/>
          <w:szCs w:val="24"/>
        </w:rPr>
      </w:pPr>
    </w:p>
    <w:p w14:paraId="73D6F428" w14:textId="77777777" w:rsidR="00F039E6" w:rsidRPr="00F1176A" w:rsidRDefault="00F039E6" w:rsidP="00F039E6">
      <w:pPr>
        <w:spacing w:line="480" w:lineRule="auto"/>
        <w:jc w:val="both"/>
        <w:rPr>
          <w:rFonts w:ascii="Arial" w:hAnsi="Arial" w:cs="Arial"/>
          <w:sz w:val="24"/>
          <w:szCs w:val="24"/>
        </w:rPr>
      </w:pPr>
    </w:p>
    <w:p w14:paraId="1861A954" w14:textId="77777777" w:rsidR="00F039E6" w:rsidRPr="00F1176A" w:rsidRDefault="00F039E6" w:rsidP="00F039E6">
      <w:pPr>
        <w:spacing w:line="480" w:lineRule="auto"/>
        <w:jc w:val="both"/>
        <w:rPr>
          <w:rFonts w:ascii="Arial" w:hAnsi="Arial" w:cs="Arial"/>
          <w:sz w:val="24"/>
          <w:szCs w:val="24"/>
        </w:rPr>
      </w:pPr>
    </w:p>
    <w:p w14:paraId="75A9CCA9" w14:textId="77777777" w:rsidR="00F039E6" w:rsidRDefault="00F039E6" w:rsidP="00F039E6">
      <w:pPr>
        <w:jc w:val="center"/>
        <w:rPr>
          <w:rFonts w:ascii="Arial" w:hAnsi="Arial" w:cs="Arial"/>
          <w:sz w:val="24"/>
          <w:szCs w:val="24"/>
        </w:rPr>
      </w:pPr>
      <w:r w:rsidRPr="00F1176A">
        <w:rPr>
          <w:rFonts w:ascii="Arial" w:hAnsi="Arial" w:cs="Arial"/>
          <w:noProof/>
          <w:sz w:val="24"/>
          <w:szCs w:val="24"/>
        </w:rPr>
        <w:lastRenderedPageBreak/>
        <w:drawing>
          <wp:inline distT="0" distB="0" distL="0" distR="0" wp14:anchorId="5FD66BA2" wp14:editId="3FEC144C">
            <wp:extent cx="2816679" cy="26289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0706" cy="2632658"/>
                    </a:xfrm>
                    <a:prstGeom prst="rect">
                      <a:avLst/>
                    </a:prstGeom>
                    <a:noFill/>
                    <a:ln>
                      <a:noFill/>
                    </a:ln>
                  </pic:spPr>
                </pic:pic>
              </a:graphicData>
            </a:graphic>
          </wp:inline>
        </w:drawing>
      </w:r>
    </w:p>
    <w:p w14:paraId="0E1D64BC" w14:textId="77777777" w:rsidR="00F039E6" w:rsidRPr="00F1176A" w:rsidRDefault="00F039E6" w:rsidP="00F039E6">
      <w:pPr>
        <w:jc w:val="center"/>
        <w:rPr>
          <w:rFonts w:ascii="Arial" w:hAnsi="Arial" w:cs="Arial"/>
          <w:sz w:val="24"/>
          <w:szCs w:val="24"/>
        </w:rPr>
      </w:pPr>
    </w:p>
    <w:p w14:paraId="18AE4529" w14:textId="77777777" w:rsidR="00F039E6" w:rsidRPr="00BF23A1" w:rsidRDefault="00F039E6" w:rsidP="00F039E6">
      <w:pPr>
        <w:spacing w:line="480" w:lineRule="auto"/>
        <w:jc w:val="both"/>
        <w:rPr>
          <w:rFonts w:ascii="Arial" w:hAnsi="Arial" w:cs="Arial"/>
          <w:sz w:val="24"/>
          <w:szCs w:val="24"/>
        </w:rPr>
      </w:pPr>
      <w:r w:rsidRPr="00BF23A1">
        <w:rPr>
          <w:rFonts w:ascii="Arial" w:hAnsi="Arial" w:cs="Arial"/>
          <w:b/>
          <w:bCs/>
          <w:sz w:val="24"/>
          <w:szCs w:val="24"/>
          <w:u w:val="single"/>
        </w:rPr>
        <w:t>Supplemental Figure-2</w:t>
      </w:r>
      <w:r w:rsidRPr="00BF23A1">
        <w:rPr>
          <w:rFonts w:ascii="Arial" w:hAnsi="Arial" w:cs="Arial"/>
          <w:b/>
          <w:bCs/>
          <w:sz w:val="24"/>
          <w:szCs w:val="24"/>
        </w:rPr>
        <w:t>: Non-sensitization Elicits No Response in Co-cultured CD8</w:t>
      </w:r>
      <w:r w:rsidRPr="00BF23A1">
        <w:rPr>
          <w:rFonts w:ascii="Arial" w:hAnsi="Arial" w:cs="Arial"/>
          <w:b/>
          <w:bCs/>
          <w:sz w:val="24"/>
          <w:szCs w:val="24"/>
          <w:vertAlign w:val="superscript"/>
        </w:rPr>
        <w:t>+</w:t>
      </w:r>
      <w:r w:rsidRPr="00BF23A1">
        <w:rPr>
          <w:rFonts w:ascii="Arial" w:hAnsi="Arial" w:cs="Arial"/>
          <w:b/>
          <w:bCs/>
          <w:sz w:val="24"/>
          <w:szCs w:val="24"/>
        </w:rPr>
        <w:t xml:space="preserve"> T-cells.</w:t>
      </w:r>
      <w:r w:rsidRPr="00BF23A1">
        <w:rPr>
          <w:rFonts w:ascii="Arial" w:hAnsi="Arial" w:cs="Arial"/>
          <w:sz w:val="24"/>
          <w:szCs w:val="24"/>
        </w:rPr>
        <w:t xml:space="preserve"> Levels of interferon gamma in the co-cultures between non-sensitized CD8</w:t>
      </w:r>
      <w:r w:rsidRPr="00BF23A1">
        <w:rPr>
          <w:rFonts w:ascii="Arial" w:hAnsi="Arial" w:cs="Arial"/>
          <w:sz w:val="24"/>
          <w:szCs w:val="24"/>
          <w:vertAlign w:val="superscript"/>
        </w:rPr>
        <w:t>+</w:t>
      </w:r>
      <w:r w:rsidRPr="00BF23A1">
        <w:rPr>
          <w:rFonts w:ascii="Arial" w:hAnsi="Arial" w:cs="Arial"/>
          <w:sz w:val="24"/>
          <w:szCs w:val="24"/>
        </w:rPr>
        <w:t xml:space="preserve"> T-cells and control or pre-treated MCECs are undetectable, similarly to the media-only control (n=3).</w:t>
      </w:r>
    </w:p>
    <w:p w14:paraId="709FE698" w14:textId="77777777" w:rsidR="00F039E6" w:rsidRPr="00BF23A1" w:rsidRDefault="00F039E6" w:rsidP="00F039E6">
      <w:pPr>
        <w:spacing w:line="480" w:lineRule="auto"/>
        <w:jc w:val="both"/>
        <w:rPr>
          <w:rFonts w:ascii="Arial" w:hAnsi="Arial" w:cs="Arial"/>
          <w:sz w:val="24"/>
          <w:szCs w:val="24"/>
        </w:rPr>
      </w:pPr>
    </w:p>
    <w:p w14:paraId="415E57F8" w14:textId="77777777" w:rsidR="00F039E6" w:rsidRPr="00BF23A1" w:rsidRDefault="00F039E6" w:rsidP="00F039E6">
      <w:pPr>
        <w:spacing w:line="480" w:lineRule="auto"/>
        <w:jc w:val="both"/>
        <w:rPr>
          <w:rFonts w:ascii="Arial" w:hAnsi="Arial" w:cs="Arial"/>
          <w:sz w:val="24"/>
          <w:szCs w:val="24"/>
        </w:rPr>
      </w:pPr>
    </w:p>
    <w:p w14:paraId="5B619D95" w14:textId="77777777" w:rsidR="00F039E6" w:rsidRPr="00F1176A" w:rsidRDefault="00F039E6" w:rsidP="00F039E6">
      <w:pPr>
        <w:spacing w:line="480" w:lineRule="auto"/>
        <w:jc w:val="both"/>
        <w:rPr>
          <w:rFonts w:ascii="Arial" w:hAnsi="Arial" w:cs="Arial"/>
          <w:sz w:val="24"/>
          <w:szCs w:val="24"/>
        </w:rPr>
      </w:pPr>
    </w:p>
    <w:p w14:paraId="4AE74AD3" w14:textId="77777777" w:rsidR="00F039E6" w:rsidRPr="00F1176A" w:rsidRDefault="00F039E6" w:rsidP="00F039E6">
      <w:pPr>
        <w:spacing w:line="480" w:lineRule="auto"/>
        <w:jc w:val="both"/>
        <w:rPr>
          <w:rFonts w:ascii="Arial" w:hAnsi="Arial" w:cs="Arial"/>
          <w:sz w:val="24"/>
          <w:szCs w:val="24"/>
        </w:rPr>
      </w:pPr>
    </w:p>
    <w:p w14:paraId="262E577F" w14:textId="77777777" w:rsidR="00F039E6" w:rsidRPr="00F1176A" w:rsidRDefault="00F039E6" w:rsidP="00F039E6">
      <w:pPr>
        <w:spacing w:line="480" w:lineRule="auto"/>
        <w:jc w:val="both"/>
        <w:rPr>
          <w:rFonts w:ascii="Arial" w:hAnsi="Arial" w:cs="Arial"/>
          <w:sz w:val="24"/>
          <w:szCs w:val="24"/>
        </w:rPr>
      </w:pPr>
    </w:p>
    <w:p w14:paraId="5ADF6A9E" w14:textId="77777777" w:rsidR="00F039E6" w:rsidRPr="00F1176A" w:rsidRDefault="00F039E6" w:rsidP="00F039E6">
      <w:pPr>
        <w:spacing w:line="480" w:lineRule="auto"/>
        <w:jc w:val="both"/>
        <w:rPr>
          <w:rFonts w:ascii="Arial" w:hAnsi="Arial" w:cs="Arial"/>
          <w:sz w:val="24"/>
          <w:szCs w:val="24"/>
        </w:rPr>
      </w:pPr>
    </w:p>
    <w:p w14:paraId="480A142D" w14:textId="77777777" w:rsidR="00F039E6" w:rsidRPr="00F1176A" w:rsidRDefault="00F039E6" w:rsidP="00F039E6">
      <w:pPr>
        <w:spacing w:line="480" w:lineRule="auto"/>
        <w:jc w:val="both"/>
        <w:rPr>
          <w:rFonts w:ascii="Arial" w:hAnsi="Arial" w:cs="Arial"/>
          <w:sz w:val="24"/>
          <w:szCs w:val="24"/>
        </w:rPr>
      </w:pPr>
    </w:p>
    <w:p w14:paraId="4018385F" w14:textId="77777777" w:rsidR="00F039E6" w:rsidRPr="00F1176A" w:rsidRDefault="00F039E6" w:rsidP="00F039E6">
      <w:pPr>
        <w:spacing w:line="480" w:lineRule="auto"/>
        <w:jc w:val="both"/>
        <w:rPr>
          <w:rFonts w:ascii="Arial" w:hAnsi="Arial" w:cs="Arial"/>
          <w:sz w:val="24"/>
          <w:szCs w:val="24"/>
        </w:rPr>
      </w:pPr>
    </w:p>
    <w:p w14:paraId="7C3776E4" w14:textId="77777777" w:rsidR="00F039E6" w:rsidRPr="00F1176A" w:rsidRDefault="00F039E6" w:rsidP="00F039E6">
      <w:pPr>
        <w:rPr>
          <w:rFonts w:ascii="Arial" w:hAnsi="Arial" w:cs="Arial"/>
          <w:sz w:val="24"/>
          <w:szCs w:val="24"/>
        </w:rPr>
      </w:pPr>
      <w:r w:rsidRPr="00F1176A">
        <w:rPr>
          <w:rFonts w:ascii="Arial" w:hAnsi="Arial" w:cs="Arial"/>
          <w:noProof/>
          <w:sz w:val="24"/>
          <w:szCs w:val="24"/>
        </w:rPr>
        <w:lastRenderedPageBreak/>
        <w:drawing>
          <wp:inline distT="0" distB="0" distL="0" distR="0" wp14:anchorId="5ED37768" wp14:editId="7198BBC7">
            <wp:extent cx="4914900" cy="4057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4900" cy="4057650"/>
                    </a:xfrm>
                    <a:prstGeom prst="rect">
                      <a:avLst/>
                    </a:prstGeom>
                    <a:noFill/>
                    <a:ln>
                      <a:noFill/>
                    </a:ln>
                  </pic:spPr>
                </pic:pic>
              </a:graphicData>
            </a:graphic>
          </wp:inline>
        </w:drawing>
      </w:r>
    </w:p>
    <w:p w14:paraId="76D8F59F" w14:textId="77777777" w:rsidR="00F039E6" w:rsidRPr="00F1176A" w:rsidRDefault="00F039E6" w:rsidP="00F039E6">
      <w:pPr>
        <w:rPr>
          <w:rFonts w:ascii="Arial" w:hAnsi="Arial" w:cs="Arial"/>
          <w:sz w:val="24"/>
          <w:szCs w:val="24"/>
        </w:rPr>
      </w:pPr>
    </w:p>
    <w:p w14:paraId="7C53CB12" w14:textId="77777777" w:rsidR="00F039E6" w:rsidRPr="00F1176A" w:rsidRDefault="00F039E6" w:rsidP="00F039E6">
      <w:pPr>
        <w:rPr>
          <w:rFonts w:ascii="Arial" w:hAnsi="Arial" w:cs="Arial"/>
          <w:sz w:val="24"/>
          <w:szCs w:val="24"/>
        </w:rPr>
      </w:pPr>
    </w:p>
    <w:p w14:paraId="35A26A8D" w14:textId="77777777" w:rsidR="00F039E6" w:rsidRPr="00BF23A1" w:rsidRDefault="00F039E6" w:rsidP="00F039E6">
      <w:pPr>
        <w:spacing w:line="480" w:lineRule="auto"/>
        <w:jc w:val="both"/>
        <w:rPr>
          <w:rFonts w:ascii="Arial" w:hAnsi="Arial" w:cs="Arial"/>
          <w:sz w:val="24"/>
          <w:szCs w:val="24"/>
        </w:rPr>
      </w:pPr>
      <w:r w:rsidRPr="00BF23A1">
        <w:rPr>
          <w:rFonts w:ascii="Arial" w:hAnsi="Arial" w:cs="Arial"/>
          <w:b/>
          <w:bCs/>
          <w:sz w:val="24"/>
          <w:szCs w:val="24"/>
          <w:u w:val="single"/>
        </w:rPr>
        <w:t>Supplemental Figure-3</w:t>
      </w:r>
      <w:r w:rsidRPr="00BF23A1">
        <w:rPr>
          <w:rFonts w:ascii="Arial" w:hAnsi="Arial" w:cs="Arial"/>
          <w:sz w:val="24"/>
          <w:szCs w:val="24"/>
        </w:rPr>
        <w:t xml:space="preserve">: </w:t>
      </w:r>
      <w:r w:rsidRPr="00BF23A1">
        <w:rPr>
          <w:rFonts w:ascii="Arial" w:hAnsi="Arial" w:cs="Arial"/>
          <w:b/>
          <w:bCs/>
          <w:sz w:val="24"/>
          <w:szCs w:val="24"/>
        </w:rPr>
        <w:t>No Difference in Cell Viability between Control and Treatment Groups. (A)</w:t>
      </w:r>
      <w:r w:rsidRPr="00BF23A1">
        <w:rPr>
          <w:rFonts w:ascii="Arial" w:hAnsi="Arial" w:cs="Arial"/>
          <w:sz w:val="24"/>
          <w:szCs w:val="24"/>
        </w:rPr>
        <w:t xml:space="preserve"> Representative flow plots showing our gating strategy for flow cytometry, including live/dead gating with Zombie Green. </w:t>
      </w:r>
      <w:r w:rsidRPr="00BF23A1">
        <w:rPr>
          <w:rFonts w:ascii="Arial" w:hAnsi="Arial" w:cs="Arial"/>
          <w:b/>
          <w:bCs/>
          <w:sz w:val="24"/>
          <w:szCs w:val="24"/>
        </w:rPr>
        <w:t>(B)</w:t>
      </w:r>
      <w:r w:rsidRPr="00BF23A1">
        <w:rPr>
          <w:rFonts w:ascii="Arial" w:hAnsi="Arial" w:cs="Arial"/>
          <w:sz w:val="24"/>
          <w:szCs w:val="24"/>
        </w:rPr>
        <w:t xml:space="preserve"> At 0 hours post-reperfusion, using acridine orange/propidium iodide staining, there is no significant difference in the number of live or dead cells between control ECs and ECs that were pre-treated with M1/Mdivi1 for 6 hours prior to cold storage (n=3) (p=0.2602 for live cells, and p=0.8683 for dead cells).</w:t>
      </w:r>
      <w:r w:rsidRPr="00BF23A1">
        <w:rPr>
          <w:rFonts w:ascii="Arial" w:hAnsi="Arial" w:cs="Arial"/>
          <w:b/>
          <w:bCs/>
          <w:sz w:val="24"/>
          <w:szCs w:val="24"/>
        </w:rPr>
        <w:t xml:space="preserve"> </w:t>
      </w:r>
    </w:p>
    <w:p w14:paraId="32DE6430" w14:textId="77777777" w:rsidR="00F039E6" w:rsidRPr="00F1176A" w:rsidRDefault="00F039E6" w:rsidP="00F039E6">
      <w:pPr>
        <w:spacing w:line="480" w:lineRule="auto"/>
        <w:jc w:val="both"/>
        <w:rPr>
          <w:rFonts w:ascii="Arial" w:hAnsi="Arial" w:cs="Arial"/>
          <w:sz w:val="24"/>
          <w:szCs w:val="24"/>
        </w:rPr>
      </w:pPr>
    </w:p>
    <w:p w14:paraId="18B64B6C" w14:textId="136708D1" w:rsidR="00F039E6" w:rsidRDefault="00F039E6" w:rsidP="00F039E6">
      <w:pPr>
        <w:spacing w:line="480" w:lineRule="auto"/>
        <w:jc w:val="both"/>
        <w:rPr>
          <w:rFonts w:ascii="Arial" w:hAnsi="Arial" w:cs="Arial"/>
          <w:sz w:val="24"/>
          <w:szCs w:val="24"/>
        </w:rPr>
      </w:pPr>
    </w:p>
    <w:p w14:paraId="72C9EA67" w14:textId="3E1D887D" w:rsidR="009C15F9" w:rsidRDefault="009C15F9" w:rsidP="00F039E6">
      <w:pPr>
        <w:spacing w:line="480" w:lineRule="auto"/>
        <w:jc w:val="both"/>
        <w:rPr>
          <w:rFonts w:ascii="Arial" w:hAnsi="Arial" w:cs="Arial"/>
          <w:sz w:val="24"/>
          <w:szCs w:val="24"/>
        </w:rPr>
      </w:pPr>
      <w:r>
        <w:rPr>
          <w:noProof/>
        </w:rPr>
        <w:lastRenderedPageBreak/>
        <w:drawing>
          <wp:inline distT="0" distB="0" distL="0" distR="0" wp14:anchorId="4815817B" wp14:editId="4D73ED81">
            <wp:extent cx="2148840" cy="2816352"/>
            <wp:effectExtent l="0" t="0" r="381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8840" cy="2816352"/>
                    </a:xfrm>
                    <a:prstGeom prst="rect">
                      <a:avLst/>
                    </a:prstGeom>
                    <a:noFill/>
                    <a:ln>
                      <a:noFill/>
                    </a:ln>
                  </pic:spPr>
                </pic:pic>
              </a:graphicData>
            </a:graphic>
          </wp:inline>
        </w:drawing>
      </w:r>
      <w:r w:rsidR="005120FE">
        <w:rPr>
          <w:noProof/>
        </w:rPr>
        <w:drawing>
          <wp:inline distT="0" distB="0" distL="0" distR="0" wp14:anchorId="0DB85875" wp14:editId="736B43A7">
            <wp:extent cx="2139696" cy="28072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9696" cy="2807208"/>
                    </a:xfrm>
                    <a:prstGeom prst="rect">
                      <a:avLst/>
                    </a:prstGeom>
                    <a:noFill/>
                    <a:ln>
                      <a:noFill/>
                    </a:ln>
                  </pic:spPr>
                </pic:pic>
              </a:graphicData>
            </a:graphic>
          </wp:inline>
        </w:drawing>
      </w:r>
    </w:p>
    <w:p w14:paraId="58FF10AF" w14:textId="77777777" w:rsidR="005120FE" w:rsidRDefault="005120FE" w:rsidP="00F039E6">
      <w:pPr>
        <w:spacing w:line="480" w:lineRule="auto"/>
        <w:jc w:val="both"/>
        <w:rPr>
          <w:rStyle w:val="Heading4Char"/>
          <w:rFonts w:cs="Arial"/>
          <w:sz w:val="24"/>
          <w:szCs w:val="24"/>
          <w:u w:val="single"/>
        </w:rPr>
      </w:pPr>
    </w:p>
    <w:p w14:paraId="727D7244" w14:textId="50543FD4" w:rsidR="009C15F9" w:rsidRPr="004864ED" w:rsidRDefault="005120FE" w:rsidP="00F039E6">
      <w:pPr>
        <w:spacing w:line="480" w:lineRule="auto"/>
        <w:jc w:val="both"/>
        <w:rPr>
          <w:rFonts w:ascii="Arial" w:hAnsi="Arial" w:cs="Arial"/>
          <w:bCs/>
          <w:sz w:val="24"/>
          <w:szCs w:val="24"/>
        </w:rPr>
      </w:pPr>
      <w:r w:rsidRPr="004864ED">
        <w:rPr>
          <w:rStyle w:val="Heading4Char"/>
          <w:rFonts w:cs="Arial"/>
          <w:sz w:val="24"/>
          <w:szCs w:val="24"/>
          <w:u w:val="single"/>
        </w:rPr>
        <w:t>Supplemental Figure-4</w:t>
      </w:r>
      <w:r w:rsidRPr="004864ED">
        <w:rPr>
          <w:rStyle w:val="Heading4Char"/>
          <w:rFonts w:cs="Arial"/>
          <w:sz w:val="24"/>
          <w:szCs w:val="24"/>
        </w:rPr>
        <w:t xml:space="preserve">: </w:t>
      </w:r>
      <w:r w:rsidR="00F25647" w:rsidRPr="004864ED">
        <w:rPr>
          <w:rStyle w:val="Heading4Char"/>
          <w:rFonts w:cs="Arial"/>
          <w:sz w:val="24"/>
          <w:szCs w:val="24"/>
        </w:rPr>
        <w:t xml:space="preserve">The </w:t>
      </w:r>
      <w:r w:rsidR="00D90475" w:rsidRPr="004864ED">
        <w:rPr>
          <w:rStyle w:val="Heading4Char"/>
          <w:rFonts w:cs="Arial"/>
          <w:sz w:val="24"/>
          <w:szCs w:val="24"/>
        </w:rPr>
        <w:t xml:space="preserve">PD-L1-mediated </w:t>
      </w:r>
      <w:r w:rsidR="00F25647" w:rsidRPr="004864ED">
        <w:rPr>
          <w:rStyle w:val="Heading4Char"/>
          <w:rFonts w:cs="Arial"/>
          <w:sz w:val="24"/>
          <w:szCs w:val="24"/>
        </w:rPr>
        <w:t xml:space="preserve">Tolerogenic Effect of M1/Mdivi1 Is Independent of </w:t>
      </w:r>
      <w:r w:rsidR="00D90475" w:rsidRPr="004864ED">
        <w:rPr>
          <w:rStyle w:val="Heading4Char"/>
          <w:rFonts w:cs="Arial"/>
          <w:sz w:val="24"/>
          <w:szCs w:val="24"/>
        </w:rPr>
        <w:t xml:space="preserve">PD-L1 </w:t>
      </w:r>
      <w:r w:rsidR="00F25647" w:rsidRPr="004864ED">
        <w:rPr>
          <w:rStyle w:val="Heading4Char"/>
          <w:rFonts w:cs="Arial"/>
          <w:sz w:val="24"/>
          <w:szCs w:val="24"/>
        </w:rPr>
        <w:t>Baselin</w:t>
      </w:r>
      <w:r w:rsidR="00D90475" w:rsidRPr="004864ED">
        <w:rPr>
          <w:rStyle w:val="Heading4Char"/>
          <w:rFonts w:cs="Arial"/>
          <w:sz w:val="24"/>
          <w:szCs w:val="24"/>
        </w:rPr>
        <w:t>e</w:t>
      </w:r>
      <w:r w:rsidR="00F25647" w:rsidRPr="004864ED">
        <w:rPr>
          <w:rStyle w:val="Heading4Char"/>
          <w:rFonts w:cs="Arial"/>
          <w:sz w:val="24"/>
          <w:szCs w:val="24"/>
        </w:rPr>
        <w:t xml:space="preserve"> Expression</w:t>
      </w:r>
      <w:r w:rsidRPr="004864ED">
        <w:rPr>
          <w:rStyle w:val="Heading4Char"/>
          <w:rFonts w:cs="Arial"/>
          <w:sz w:val="24"/>
          <w:szCs w:val="24"/>
        </w:rPr>
        <w:t xml:space="preserve">. </w:t>
      </w:r>
      <w:r w:rsidR="00566B31" w:rsidRPr="004864ED">
        <w:rPr>
          <w:rFonts w:ascii="Arial" w:hAnsi="Arial" w:cs="Arial"/>
          <w:sz w:val="24"/>
          <w:szCs w:val="24"/>
        </w:rPr>
        <w:t>Immunogenicity of MCECs pre</w:t>
      </w:r>
      <w:r w:rsidR="004B7F35" w:rsidRPr="004864ED">
        <w:rPr>
          <w:rFonts w:ascii="Arial" w:hAnsi="Arial" w:cs="Arial"/>
          <w:sz w:val="24"/>
          <w:szCs w:val="24"/>
        </w:rPr>
        <w:t>-</w:t>
      </w:r>
      <w:r w:rsidR="00566B31" w:rsidRPr="004864ED">
        <w:rPr>
          <w:rFonts w:ascii="Arial" w:hAnsi="Arial" w:cs="Arial"/>
          <w:sz w:val="24"/>
          <w:szCs w:val="24"/>
        </w:rPr>
        <w:t>treated with M1/Mdivi1 prior to cold storage and warm reperfusion, followed by co-culture with allogeneic CD8</w:t>
      </w:r>
      <w:r w:rsidR="00566B31" w:rsidRPr="004864ED">
        <w:rPr>
          <w:rFonts w:ascii="Arial" w:hAnsi="Arial" w:cs="Arial"/>
          <w:sz w:val="24"/>
          <w:szCs w:val="24"/>
          <w:vertAlign w:val="superscript"/>
        </w:rPr>
        <w:t>+</w:t>
      </w:r>
      <w:r w:rsidR="00566B31" w:rsidRPr="004864ED">
        <w:rPr>
          <w:rFonts w:ascii="Arial" w:hAnsi="Arial" w:cs="Arial"/>
          <w:sz w:val="24"/>
          <w:szCs w:val="24"/>
        </w:rPr>
        <w:t xml:space="preserve"> T-cells in the presence </w:t>
      </w:r>
      <w:r w:rsidR="00543CE0" w:rsidRPr="004864ED">
        <w:rPr>
          <w:rFonts w:ascii="Arial" w:hAnsi="Arial" w:cs="Arial"/>
          <w:sz w:val="24"/>
          <w:szCs w:val="24"/>
        </w:rPr>
        <w:t xml:space="preserve">or absence </w:t>
      </w:r>
      <w:r w:rsidR="00566B31" w:rsidRPr="004864ED">
        <w:rPr>
          <w:rFonts w:ascii="Arial" w:hAnsi="Arial" w:cs="Arial"/>
          <w:sz w:val="24"/>
          <w:szCs w:val="24"/>
        </w:rPr>
        <w:t xml:space="preserve">of PD-L1 blocking </w:t>
      </w:r>
      <w:r w:rsidR="00543CE0" w:rsidRPr="004864ED">
        <w:rPr>
          <w:rFonts w:ascii="Arial" w:hAnsi="Arial" w:cs="Arial"/>
          <w:sz w:val="24"/>
          <w:szCs w:val="24"/>
        </w:rPr>
        <w:t>antibody. We demonstrate that</w:t>
      </w:r>
      <w:r w:rsidR="00B91D8F" w:rsidRPr="004864ED">
        <w:rPr>
          <w:rStyle w:val="Heading4Char"/>
          <w:rFonts w:cs="Arial"/>
          <w:b w:val="0"/>
          <w:bCs/>
          <w:sz w:val="24"/>
          <w:szCs w:val="24"/>
        </w:rPr>
        <w:t xml:space="preserve"> </w:t>
      </w:r>
      <w:r w:rsidRPr="004864ED">
        <w:rPr>
          <w:rStyle w:val="Heading4Char"/>
          <w:rFonts w:cs="Arial"/>
          <w:b w:val="0"/>
          <w:bCs/>
          <w:sz w:val="24"/>
          <w:szCs w:val="24"/>
        </w:rPr>
        <w:t>PD-L1 blockade in untreated control</w:t>
      </w:r>
      <w:r w:rsidR="00B91D8F" w:rsidRPr="004864ED">
        <w:rPr>
          <w:rStyle w:val="Heading4Char"/>
          <w:rFonts w:cs="Arial"/>
          <w:b w:val="0"/>
          <w:bCs/>
          <w:sz w:val="24"/>
          <w:szCs w:val="24"/>
        </w:rPr>
        <w:t xml:space="preserve">s </w:t>
      </w:r>
      <w:r w:rsidR="00543CE0" w:rsidRPr="004864ED">
        <w:rPr>
          <w:rStyle w:val="Heading4Char"/>
          <w:rFonts w:cs="Arial"/>
          <w:b w:val="0"/>
          <w:bCs/>
          <w:sz w:val="24"/>
          <w:szCs w:val="24"/>
        </w:rPr>
        <w:t xml:space="preserve">has no significant impact on </w:t>
      </w:r>
      <w:r w:rsidR="00B91D8F" w:rsidRPr="004864ED">
        <w:rPr>
          <w:rStyle w:val="Heading4Char"/>
          <w:rFonts w:cs="Arial"/>
          <w:b w:val="0"/>
          <w:bCs/>
          <w:sz w:val="24"/>
          <w:szCs w:val="24"/>
        </w:rPr>
        <w:t>MCEC immunogenicity</w:t>
      </w:r>
      <w:r w:rsidR="00543CE0" w:rsidRPr="004864ED">
        <w:rPr>
          <w:rStyle w:val="Heading4Char"/>
          <w:rFonts w:cs="Arial"/>
          <w:b w:val="0"/>
          <w:bCs/>
          <w:sz w:val="24"/>
          <w:szCs w:val="24"/>
        </w:rPr>
        <w:t>. Whereas,</w:t>
      </w:r>
      <w:r w:rsidR="00B91D8F" w:rsidRPr="004864ED">
        <w:rPr>
          <w:rStyle w:val="Heading4Char"/>
          <w:rFonts w:cs="Arial"/>
          <w:b w:val="0"/>
          <w:bCs/>
          <w:sz w:val="24"/>
          <w:szCs w:val="24"/>
        </w:rPr>
        <w:t xml:space="preserve"> PD-L1 blockade in M1/Mdivi1-pretreated </w:t>
      </w:r>
      <w:r w:rsidR="00F25647" w:rsidRPr="004864ED">
        <w:rPr>
          <w:rStyle w:val="Heading4Char"/>
          <w:rFonts w:cs="Arial"/>
          <w:b w:val="0"/>
          <w:bCs/>
          <w:sz w:val="24"/>
          <w:szCs w:val="24"/>
        </w:rPr>
        <w:t>MCECs</w:t>
      </w:r>
      <w:r w:rsidR="00B91D8F" w:rsidRPr="004864ED">
        <w:rPr>
          <w:rStyle w:val="Heading4Char"/>
          <w:rFonts w:cs="Arial"/>
          <w:b w:val="0"/>
          <w:bCs/>
          <w:sz w:val="24"/>
          <w:szCs w:val="24"/>
        </w:rPr>
        <w:t xml:space="preserve"> results in significant increase in </w:t>
      </w:r>
      <w:r w:rsidR="00543CE0" w:rsidRPr="004864ED">
        <w:rPr>
          <w:rStyle w:val="Heading4Char"/>
          <w:rFonts w:cs="Arial"/>
          <w:b w:val="0"/>
          <w:bCs/>
          <w:sz w:val="24"/>
          <w:szCs w:val="24"/>
        </w:rPr>
        <w:t>T</w:t>
      </w:r>
      <w:r w:rsidR="00A6136D" w:rsidRPr="004864ED">
        <w:rPr>
          <w:rStyle w:val="Heading4Char"/>
          <w:rFonts w:cs="Arial"/>
          <w:b w:val="0"/>
          <w:bCs/>
          <w:sz w:val="24"/>
          <w:szCs w:val="24"/>
        </w:rPr>
        <w:t>-</w:t>
      </w:r>
      <w:r w:rsidR="00543CE0" w:rsidRPr="004864ED">
        <w:rPr>
          <w:rStyle w:val="Heading4Char"/>
          <w:rFonts w:cs="Arial"/>
          <w:b w:val="0"/>
          <w:bCs/>
          <w:sz w:val="24"/>
          <w:szCs w:val="24"/>
        </w:rPr>
        <w:t>cell granzyme</w:t>
      </w:r>
      <w:r w:rsidR="00A6136D" w:rsidRPr="004864ED">
        <w:rPr>
          <w:rStyle w:val="Heading4Char"/>
          <w:rFonts w:cs="Arial"/>
          <w:b w:val="0"/>
          <w:bCs/>
          <w:sz w:val="24"/>
          <w:szCs w:val="24"/>
        </w:rPr>
        <w:t xml:space="preserve"> B and interferon gamma</w:t>
      </w:r>
      <w:r w:rsidR="00543CE0" w:rsidRPr="004864ED">
        <w:rPr>
          <w:rStyle w:val="Heading4Char"/>
          <w:rFonts w:cs="Arial"/>
          <w:b w:val="0"/>
          <w:bCs/>
          <w:sz w:val="24"/>
          <w:szCs w:val="24"/>
        </w:rPr>
        <w:t xml:space="preserve"> production</w:t>
      </w:r>
      <w:r w:rsidR="00B91D8F" w:rsidRPr="004864ED">
        <w:rPr>
          <w:rStyle w:val="Heading4Char"/>
          <w:rFonts w:cs="Arial"/>
          <w:b w:val="0"/>
          <w:bCs/>
          <w:sz w:val="24"/>
          <w:szCs w:val="24"/>
        </w:rPr>
        <w:t xml:space="preserve"> (n=</w:t>
      </w:r>
      <w:r w:rsidR="004B7F35" w:rsidRPr="004864ED">
        <w:rPr>
          <w:rStyle w:val="Heading4Char"/>
          <w:rFonts w:cs="Arial"/>
          <w:b w:val="0"/>
          <w:bCs/>
          <w:sz w:val="24"/>
          <w:szCs w:val="24"/>
        </w:rPr>
        <w:t>4</w:t>
      </w:r>
      <w:r w:rsidR="00B91D8F" w:rsidRPr="004864ED">
        <w:rPr>
          <w:rStyle w:val="Heading4Char"/>
          <w:rFonts w:cs="Arial"/>
          <w:b w:val="0"/>
          <w:bCs/>
          <w:sz w:val="24"/>
          <w:szCs w:val="24"/>
        </w:rPr>
        <w:t>, **p&lt;0.005).</w:t>
      </w:r>
    </w:p>
    <w:p w14:paraId="717EBDF5" w14:textId="264A4D40" w:rsidR="009C15F9" w:rsidRDefault="009C15F9" w:rsidP="00F039E6">
      <w:pPr>
        <w:spacing w:line="480" w:lineRule="auto"/>
        <w:jc w:val="both"/>
        <w:rPr>
          <w:rFonts w:ascii="Arial" w:hAnsi="Arial" w:cs="Arial"/>
          <w:sz w:val="24"/>
          <w:szCs w:val="24"/>
        </w:rPr>
      </w:pPr>
    </w:p>
    <w:p w14:paraId="0B8263CC" w14:textId="77777777" w:rsidR="009C15F9" w:rsidRPr="00F1176A" w:rsidRDefault="009C15F9" w:rsidP="00F039E6">
      <w:pPr>
        <w:spacing w:line="480" w:lineRule="auto"/>
        <w:jc w:val="both"/>
        <w:rPr>
          <w:rFonts w:ascii="Arial" w:hAnsi="Arial" w:cs="Arial"/>
          <w:sz w:val="24"/>
          <w:szCs w:val="24"/>
        </w:rPr>
      </w:pPr>
    </w:p>
    <w:p w14:paraId="24783ABD" w14:textId="77777777" w:rsidR="00F039E6" w:rsidRDefault="00F039E6" w:rsidP="00F039E6">
      <w:pPr>
        <w:spacing w:line="480" w:lineRule="auto"/>
        <w:jc w:val="both"/>
        <w:rPr>
          <w:rFonts w:ascii="Arial" w:hAnsi="Arial" w:cs="Arial"/>
          <w:sz w:val="24"/>
          <w:szCs w:val="24"/>
        </w:rPr>
      </w:pPr>
      <w:r w:rsidRPr="00F1176A">
        <w:rPr>
          <w:rFonts w:ascii="Arial" w:hAnsi="Arial" w:cs="Arial"/>
          <w:noProof/>
          <w:sz w:val="24"/>
          <w:szCs w:val="24"/>
        </w:rPr>
        <w:lastRenderedPageBreak/>
        <w:drawing>
          <wp:inline distT="0" distB="0" distL="0" distR="0" wp14:anchorId="0B68A9D2" wp14:editId="49479FC0">
            <wp:extent cx="5943600" cy="36061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 Figure 3 Composite - v6.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606165"/>
                    </a:xfrm>
                    <a:prstGeom prst="rect">
                      <a:avLst/>
                    </a:prstGeom>
                  </pic:spPr>
                </pic:pic>
              </a:graphicData>
            </a:graphic>
          </wp:inline>
        </w:drawing>
      </w:r>
    </w:p>
    <w:p w14:paraId="33722998" w14:textId="77777777" w:rsidR="00F039E6" w:rsidRPr="00F1176A" w:rsidRDefault="00F039E6" w:rsidP="00F039E6">
      <w:pPr>
        <w:spacing w:line="480" w:lineRule="auto"/>
        <w:jc w:val="both"/>
        <w:rPr>
          <w:rFonts w:ascii="Arial" w:hAnsi="Arial" w:cs="Arial"/>
          <w:sz w:val="24"/>
          <w:szCs w:val="24"/>
        </w:rPr>
      </w:pPr>
    </w:p>
    <w:p w14:paraId="3DB28A41" w14:textId="5F1A1384" w:rsidR="00F039E6" w:rsidRPr="00F1176A" w:rsidRDefault="00F039E6" w:rsidP="00F039E6">
      <w:pPr>
        <w:spacing w:line="480" w:lineRule="auto"/>
        <w:jc w:val="both"/>
        <w:rPr>
          <w:rFonts w:ascii="Arial" w:hAnsi="Arial" w:cs="Arial"/>
          <w:sz w:val="24"/>
          <w:szCs w:val="24"/>
        </w:rPr>
      </w:pPr>
      <w:r>
        <w:rPr>
          <w:rStyle w:val="Heading4Char"/>
          <w:rFonts w:cs="Arial"/>
          <w:sz w:val="24"/>
          <w:szCs w:val="24"/>
          <w:u w:val="single"/>
        </w:rPr>
        <w:t>Supplemental Figure-</w:t>
      </w:r>
      <w:r w:rsidR="00636410">
        <w:rPr>
          <w:rStyle w:val="Heading4Char"/>
          <w:rFonts w:cs="Arial"/>
          <w:sz w:val="24"/>
          <w:szCs w:val="24"/>
          <w:u w:val="single"/>
        </w:rPr>
        <w:t>5</w:t>
      </w:r>
      <w:r w:rsidRPr="00F1176A">
        <w:rPr>
          <w:rStyle w:val="Heading4Char"/>
          <w:rFonts w:cs="Arial"/>
          <w:sz w:val="24"/>
          <w:szCs w:val="24"/>
        </w:rPr>
        <w:t>: The Immunomodulatory Effect of M1/Mdivi1 Is Independent of Its Antioxidant Effect</w:t>
      </w:r>
      <w:r w:rsidRPr="00F1176A">
        <w:rPr>
          <w:rFonts w:ascii="Arial" w:hAnsi="Arial" w:cs="Arial"/>
          <w:sz w:val="24"/>
          <w:szCs w:val="24"/>
        </w:rPr>
        <w:t>. (</w:t>
      </w:r>
      <w:r w:rsidRPr="00F1176A">
        <w:rPr>
          <w:rFonts w:ascii="Arial" w:hAnsi="Arial" w:cs="Arial"/>
          <w:b/>
          <w:sz w:val="24"/>
          <w:szCs w:val="24"/>
        </w:rPr>
        <w:t>A</w:t>
      </w:r>
      <w:r w:rsidRPr="00F1176A">
        <w:rPr>
          <w:rFonts w:ascii="Arial" w:hAnsi="Arial" w:cs="Arial"/>
          <w:sz w:val="24"/>
          <w:szCs w:val="24"/>
        </w:rPr>
        <w:t xml:space="preserve">) </w:t>
      </w:r>
      <w:proofErr w:type="spellStart"/>
      <w:r w:rsidRPr="00F1176A">
        <w:rPr>
          <w:rFonts w:ascii="Arial" w:hAnsi="Arial" w:cs="Arial"/>
          <w:sz w:val="24"/>
          <w:szCs w:val="24"/>
        </w:rPr>
        <w:t>MitoSOX</w:t>
      </w:r>
      <w:proofErr w:type="spellEnd"/>
      <w:r w:rsidRPr="00F1176A">
        <w:rPr>
          <w:rFonts w:ascii="Arial" w:hAnsi="Arial" w:cs="Arial"/>
          <w:sz w:val="24"/>
          <w:szCs w:val="24"/>
        </w:rPr>
        <w:t xml:space="preserve"> (red) staining as a marker for mitochondrial reactive oxygen species (</w:t>
      </w:r>
      <w:proofErr w:type="spellStart"/>
      <w:r w:rsidRPr="00F1176A">
        <w:rPr>
          <w:rFonts w:ascii="Arial" w:hAnsi="Arial" w:cs="Arial"/>
          <w:sz w:val="24"/>
          <w:szCs w:val="24"/>
        </w:rPr>
        <w:t>mtROS</w:t>
      </w:r>
      <w:proofErr w:type="spellEnd"/>
      <w:r w:rsidRPr="00F1176A">
        <w:rPr>
          <w:rFonts w:ascii="Arial" w:hAnsi="Arial" w:cs="Arial"/>
          <w:sz w:val="24"/>
          <w:szCs w:val="24"/>
        </w:rPr>
        <w:t>) indicates pre-cold storage treatment with M1/Mdivi1 alleviates oxidative stress associated with IRI, similarly to the effect of the antioxidant N-acetylcysteine. (</w:t>
      </w:r>
      <w:r w:rsidRPr="00F1176A">
        <w:rPr>
          <w:rFonts w:ascii="Arial" w:hAnsi="Arial" w:cs="Arial"/>
          <w:b/>
          <w:sz w:val="24"/>
          <w:szCs w:val="24"/>
        </w:rPr>
        <w:t>B</w:t>
      </w:r>
      <w:r w:rsidRPr="00F1176A">
        <w:rPr>
          <w:rFonts w:ascii="Arial" w:hAnsi="Arial" w:cs="Arial"/>
          <w:sz w:val="24"/>
          <w:szCs w:val="24"/>
        </w:rPr>
        <w:t xml:space="preserve">) Immunogenicity of DRP1KDs, or control MCECs, or MCECs pre-treated with M1/Mdivi1 or N-acetylcysteine </w:t>
      </w:r>
      <w:proofErr w:type="spellStart"/>
      <w:r w:rsidRPr="00F1176A">
        <w:rPr>
          <w:rFonts w:ascii="Arial" w:hAnsi="Arial" w:cs="Arial"/>
          <w:sz w:val="24"/>
          <w:szCs w:val="24"/>
        </w:rPr>
        <w:t>normothermically</w:t>
      </w:r>
      <w:proofErr w:type="spellEnd"/>
      <w:r w:rsidRPr="00F1176A">
        <w:rPr>
          <w:rFonts w:ascii="Arial" w:hAnsi="Arial" w:cs="Arial"/>
          <w:sz w:val="24"/>
          <w:szCs w:val="24"/>
        </w:rPr>
        <w:t xml:space="preserve"> prior to 6-hour cold storage and warm reperfusion, followed by co-culture with allogeneic CD8</w:t>
      </w:r>
      <w:r w:rsidRPr="00F1176A">
        <w:rPr>
          <w:rFonts w:ascii="Arial" w:hAnsi="Arial" w:cs="Arial"/>
          <w:sz w:val="24"/>
          <w:szCs w:val="24"/>
          <w:vertAlign w:val="superscript"/>
        </w:rPr>
        <w:t>+</w:t>
      </w:r>
      <w:r w:rsidRPr="00F1176A">
        <w:rPr>
          <w:rFonts w:ascii="Arial" w:hAnsi="Arial" w:cs="Arial"/>
          <w:sz w:val="24"/>
          <w:szCs w:val="24"/>
        </w:rPr>
        <w:t xml:space="preserve"> T-cells, demonstrated by supernatant interferon gamma and granzyme B levels after 7 days of coculturing (n=3). (****p&lt;0.0001, ***p&lt;0.0005, **p&lt;0.005, *p&lt;0.05. Statistical analysis was performed using One-way ANOVA)</w:t>
      </w:r>
    </w:p>
    <w:p w14:paraId="03910B88" w14:textId="77777777" w:rsidR="00F039E6" w:rsidRPr="00F1176A" w:rsidRDefault="00F039E6" w:rsidP="00F039E6">
      <w:pPr>
        <w:spacing w:line="480" w:lineRule="auto"/>
        <w:jc w:val="both"/>
        <w:rPr>
          <w:rFonts w:ascii="Arial" w:hAnsi="Arial" w:cs="Arial"/>
          <w:sz w:val="24"/>
          <w:szCs w:val="24"/>
        </w:rPr>
      </w:pPr>
    </w:p>
    <w:p w14:paraId="6E741D3F" w14:textId="77777777" w:rsidR="00F039E6" w:rsidRPr="00F1176A" w:rsidRDefault="00F039E6" w:rsidP="00F039E6">
      <w:pPr>
        <w:jc w:val="center"/>
        <w:rPr>
          <w:rFonts w:ascii="Arial" w:hAnsi="Arial" w:cs="Arial"/>
          <w:sz w:val="24"/>
          <w:szCs w:val="24"/>
        </w:rPr>
      </w:pPr>
      <w:r w:rsidRPr="00F1176A">
        <w:rPr>
          <w:rFonts w:ascii="Arial" w:hAnsi="Arial" w:cs="Arial"/>
          <w:noProof/>
          <w:sz w:val="24"/>
          <w:szCs w:val="24"/>
        </w:rPr>
        <w:lastRenderedPageBreak/>
        <w:drawing>
          <wp:inline distT="0" distB="0" distL="0" distR="0" wp14:anchorId="5BC86702" wp14:editId="3224A4E6">
            <wp:extent cx="4552950" cy="2454132"/>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60693" cy="2458306"/>
                    </a:xfrm>
                    <a:prstGeom prst="rect">
                      <a:avLst/>
                    </a:prstGeom>
                    <a:noFill/>
                    <a:ln>
                      <a:noFill/>
                    </a:ln>
                  </pic:spPr>
                </pic:pic>
              </a:graphicData>
            </a:graphic>
          </wp:inline>
        </w:drawing>
      </w:r>
    </w:p>
    <w:p w14:paraId="7792E69B" w14:textId="77777777" w:rsidR="00F039E6" w:rsidRPr="00F1176A" w:rsidRDefault="00F039E6" w:rsidP="00F039E6">
      <w:pPr>
        <w:jc w:val="center"/>
        <w:rPr>
          <w:rFonts w:ascii="Arial" w:hAnsi="Arial" w:cs="Arial"/>
          <w:sz w:val="24"/>
          <w:szCs w:val="24"/>
        </w:rPr>
      </w:pPr>
    </w:p>
    <w:p w14:paraId="59A5B7BA" w14:textId="12037DA9" w:rsidR="00F039E6" w:rsidRPr="00BF23A1" w:rsidRDefault="00F039E6" w:rsidP="00F039E6">
      <w:pPr>
        <w:spacing w:line="480" w:lineRule="auto"/>
        <w:jc w:val="both"/>
        <w:rPr>
          <w:rFonts w:ascii="Arial" w:hAnsi="Arial" w:cs="Arial"/>
          <w:sz w:val="24"/>
          <w:szCs w:val="24"/>
        </w:rPr>
      </w:pPr>
      <w:r w:rsidRPr="00BF23A1">
        <w:rPr>
          <w:rFonts w:ascii="Arial" w:hAnsi="Arial" w:cs="Arial"/>
          <w:b/>
          <w:bCs/>
          <w:sz w:val="24"/>
          <w:szCs w:val="24"/>
          <w:u w:val="single"/>
        </w:rPr>
        <w:t>Supplemental Figure-</w:t>
      </w:r>
      <w:r w:rsidR="00636410">
        <w:rPr>
          <w:rFonts w:ascii="Arial" w:hAnsi="Arial" w:cs="Arial"/>
          <w:b/>
          <w:bCs/>
          <w:sz w:val="24"/>
          <w:szCs w:val="24"/>
          <w:u w:val="single"/>
        </w:rPr>
        <w:t>6</w:t>
      </w:r>
      <w:r w:rsidRPr="00BF23A1">
        <w:rPr>
          <w:rFonts w:ascii="Arial" w:hAnsi="Arial" w:cs="Arial"/>
          <w:b/>
          <w:bCs/>
          <w:sz w:val="24"/>
          <w:szCs w:val="24"/>
        </w:rPr>
        <w:t>: Pharmacological Modulation of Mitochondrial Fusion/Fission Prior to Cold Storage Facilitates Endothelial Integrity Restoration during Post-Reperfusion.</w:t>
      </w:r>
      <w:r w:rsidRPr="00BF23A1">
        <w:rPr>
          <w:rFonts w:ascii="Arial" w:hAnsi="Arial" w:cs="Arial"/>
          <w:sz w:val="24"/>
          <w:szCs w:val="24"/>
        </w:rPr>
        <w:t xml:space="preserve"> Trans-endothelial cell resistance measurements at different time points showing integrity of MCECs pre</w:t>
      </w:r>
      <w:r w:rsidR="005120FE">
        <w:rPr>
          <w:rFonts w:ascii="Arial" w:hAnsi="Arial" w:cs="Arial"/>
          <w:sz w:val="24"/>
          <w:szCs w:val="24"/>
        </w:rPr>
        <w:t>-</w:t>
      </w:r>
      <w:r w:rsidRPr="00BF23A1">
        <w:rPr>
          <w:rFonts w:ascii="Arial" w:hAnsi="Arial" w:cs="Arial"/>
          <w:sz w:val="24"/>
          <w:szCs w:val="24"/>
        </w:rPr>
        <w:t xml:space="preserve">treated with M1/Mdivi1 is increased at </w:t>
      </w:r>
      <w:proofErr w:type="gramStart"/>
      <w:r w:rsidRPr="00BF23A1">
        <w:rPr>
          <w:rFonts w:ascii="Arial" w:hAnsi="Arial" w:cs="Arial"/>
          <w:sz w:val="24"/>
          <w:szCs w:val="24"/>
        </w:rPr>
        <w:t>18 and 24 hours</w:t>
      </w:r>
      <w:proofErr w:type="gramEnd"/>
      <w:r w:rsidRPr="00BF23A1">
        <w:rPr>
          <w:rFonts w:ascii="Arial" w:hAnsi="Arial" w:cs="Arial"/>
          <w:sz w:val="24"/>
          <w:szCs w:val="24"/>
        </w:rPr>
        <w:t xml:space="preserve"> post-reperfusion compared to those without pre-treatment (n=4. Differences between CS Control and Pre-CS Treated groups were analyzed using multiple comparisons with two-way ANOVA, *p&lt;0.05)</w:t>
      </w:r>
    </w:p>
    <w:p w14:paraId="4586384E" w14:textId="77777777" w:rsidR="00F039E6" w:rsidRPr="00F1176A" w:rsidRDefault="00F039E6" w:rsidP="00F039E6">
      <w:pPr>
        <w:spacing w:line="480" w:lineRule="auto"/>
        <w:jc w:val="both"/>
        <w:rPr>
          <w:rFonts w:ascii="Arial" w:hAnsi="Arial" w:cs="Arial"/>
          <w:sz w:val="24"/>
          <w:szCs w:val="24"/>
        </w:rPr>
      </w:pPr>
    </w:p>
    <w:p w14:paraId="492AEB17" w14:textId="77777777" w:rsidR="00F039E6" w:rsidRPr="00F1176A" w:rsidRDefault="00F039E6" w:rsidP="00F039E6">
      <w:pPr>
        <w:spacing w:line="480" w:lineRule="auto"/>
        <w:jc w:val="both"/>
        <w:rPr>
          <w:rFonts w:ascii="Arial" w:hAnsi="Arial" w:cs="Arial"/>
          <w:sz w:val="24"/>
          <w:szCs w:val="24"/>
        </w:rPr>
      </w:pPr>
    </w:p>
    <w:p w14:paraId="0E89BAA2" w14:textId="77777777" w:rsidR="00F039E6" w:rsidRPr="00F1176A" w:rsidRDefault="00F039E6" w:rsidP="00F039E6">
      <w:pPr>
        <w:spacing w:line="480" w:lineRule="auto"/>
        <w:jc w:val="both"/>
        <w:rPr>
          <w:rFonts w:ascii="Arial" w:hAnsi="Arial" w:cs="Arial"/>
          <w:sz w:val="24"/>
          <w:szCs w:val="24"/>
        </w:rPr>
      </w:pPr>
    </w:p>
    <w:p w14:paraId="54C99432" w14:textId="77777777" w:rsidR="00F039E6" w:rsidRPr="00F1176A" w:rsidRDefault="00F039E6" w:rsidP="00F039E6">
      <w:pPr>
        <w:spacing w:line="480" w:lineRule="auto"/>
        <w:jc w:val="both"/>
        <w:rPr>
          <w:rFonts w:ascii="Arial" w:hAnsi="Arial" w:cs="Arial"/>
          <w:sz w:val="24"/>
          <w:szCs w:val="24"/>
        </w:rPr>
      </w:pPr>
    </w:p>
    <w:p w14:paraId="4609FFF2" w14:textId="20C7096A" w:rsidR="00F039E6" w:rsidRDefault="00F039E6" w:rsidP="00F039E6">
      <w:pPr>
        <w:spacing w:line="480" w:lineRule="auto"/>
        <w:jc w:val="both"/>
        <w:rPr>
          <w:rFonts w:ascii="Arial" w:hAnsi="Arial" w:cs="Arial"/>
          <w:sz w:val="24"/>
          <w:szCs w:val="24"/>
        </w:rPr>
      </w:pPr>
    </w:p>
    <w:p w14:paraId="0EC0FE5A" w14:textId="77777777" w:rsidR="00F039E6" w:rsidRPr="00F1176A" w:rsidRDefault="00F039E6" w:rsidP="00F039E6">
      <w:pPr>
        <w:spacing w:line="480" w:lineRule="auto"/>
        <w:jc w:val="both"/>
        <w:rPr>
          <w:rFonts w:ascii="Arial" w:hAnsi="Arial" w:cs="Arial"/>
          <w:sz w:val="24"/>
          <w:szCs w:val="24"/>
        </w:rPr>
      </w:pPr>
    </w:p>
    <w:p w14:paraId="08ACCCAC" w14:textId="77777777" w:rsidR="00F039E6" w:rsidRPr="00F1176A" w:rsidRDefault="00F039E6" w:rsidP="00F039E6">
      <w:pPr>
        <w:spacing w:line="480" w:lineRule="auto"/>
        <w:jc w:val="both"/>
        <w:rPr>
          <w:rFonts w:ascii="Arial" w:hAnsi="Arial" w:cs="Arial"/>
          <w:b/>
          <w:sz w:val="24"/>
          <w:szCs w:val="24"/>
        </w:rPr>
      </w:pPr>
      <w:r w:rsidRPr="00F1176A">
        <w:rPr>
          <w:rFonts w:ascii="Arial" w:hAnsi="Arial" w:cs="Arial"/>
          <w:b/>
          <w:sz w:val="24"/>
          <w:szCs w:val="24"/>
        </w:rPr>
        <w:lastRenderedPageBreak/>
        <w:t>Supplemental Tables</w:t>
      </w:r>
    </w:p>
    <w:tbl>
      <w:tblPr>
        <w:tblW w:w="6130" w:type="dxa"/>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Grid>
        <w:gridCol w:w="2377"/>
        <w:gridCol w:w="2113"/>
        <w:gridCol w:w="1640"/>
      </w:tblGrid>
      <w:tr w:rsidR="00F039E6" w:rsidRPr="00F1176A" w14:paraId="657116EF" w14:textId="77777777" w:rsidTr="00C65B00">
        <w:trPr>
          <w:trHeight w:val="547"/>
          <w:jc w:val="center"/>
        </w:trPr>
        <w:tc>
          <w:tcPr>
            <w:tcW w:w="2377" w:type="dxa"/>
            <w:tcBorders>
              <w:top w:val="single" w:sz="8" w:space="0" w:color="auto"/>
            </w:tcBorders>
            <w:shd w:val="clear" w:color="000000" w:fill="808080"/>
            <w:vAlign w:val="center"/>
          </w:tcPr>
          <w:p w14:paraId="68348938" w14:textId="77777777" w:rsidR="00F039E6" w:rsidRPr="00F1176A" w:rsidRDefault="00F039E6" w:rsidP="00C65B00">
            <w:pPr>
              <w:spacing w:before="100" w:after="100"/>
              <w:jc w:val="center"/>
              <w:rPr>
                <w:rFonts w:ascii="Arial" w:eastAsia="Times New Roman" w:hAnsi="Arial" w:cs="Arial"/>
                <w:b/>
                <w:bCs/>
                <w:color w:val="FFFFFF"/>
                <w:sz w:val="24"/>
                <w:szCs w:val="24"/>
              </w:rPr>
            </w:pPr>
            <w:r w:rsidRPr="00F1176A">
              <w:rPr>
                <w:rFonts w:ascii="Arial" w:eastAsia="Times New Roman" w:hAnsi="Arial" w:cs="Arial"/>
                <w:b/>
                <w:bCs/>
                <w:color w:val="FFFFFF"/>
                <w:sz w:val="24"/>
                <w:szCs w:val="24"/>
              </w:rPr>
              <w:t>Antibody</w:t>
            </w:r>
          </w:p>
        </w:tc>
        <w:tc>
          <w:tcPr>
            <w:tcW w:w="2113" w:type="dxa"/>
            <w:tcBorders>
              <w:top w:val="single" w:sz="8" w:space="0" w:color="auto"/>
            </w:tcBorders>
            <w:shd w:val="clear" w:color="000000" w:fill="808080"/>
            <w:vAlign w:val="center"/>
          </w:tcPr>
          <w:p w14:paraId="42812606" w14:textId="77777777" w:rsidR="00F039E6" w:rsidRPr="00F1176A" w:rsidRDefault="00F039E6" w:rsidP="00C65B00">
            <w:pPr>
              <w:spacing w:before="100" w:after="100"/>
              <w:jc w:val="center"/>
              <w:rPr>
                <w:rFonts w:ascii="Arial" w:eastAsia="Times New Roman" w:hAnsi="Arial" w:cs="Arial"/>
                <w:b/>
                <w:bCs/>
                <w:color w:val="FFFFFF"/>
                <w:sz w:val="24"/>
                <w:szCs w:val="24"/>
              </w:rPr>
            </w:pPr>
            <w:r w:rsidRPr="00F1176A">
              <w:rPr>
                <w:rFonts w:ascii="Arial" w:eastAsia="Times New Roman" w:hAnsi="Arial" w:cs="Arial"/>
                <w:b/>
                <w:bCs/>
                <w:color w:val="FFFFFF"/>
                <w:sz w:val="24"/>
                <w:szCs w:val="24"/>
              </w:rPr>
              <w:t>Vendor</w:t>
            </w:r>
          </w:p>
        </w:tc>
        <w:tc>
          <w:tcPr>
            <w:tcW w:w="1640" w:type="dxa"/>
            <w:tcBorders>
              <w:top w:val="single" w:sz="8" w:space="0" w:color="auto"/>
            </w:tcBorders>
            <w:shd w:val="clear" w:color="000000" w:fill="808080"/>
            <w:vAlign w:val="center"/>
          </w:tcPr>
          <w:p w14:paraId="6F9C979B" w14:textId="77777777" w:rsidR="00F039E6" w:rsidRPr="00F1176A" w:rsidRDefault="00F039E6" w:rsidP="00C65B00">
            <w:pPr>
              <w:spacing w:before="100" w:after="100"/>
              <w:jc w:val="center"/>
              <w:rPr>
                <w:rFonts w:ascii="Arial" w:eastAsia="Times New Roman" w:hAnsi="Arial" w:cs="Arial"/>
                <w:b/>
                <w:bCs/>
                <w:color w:val="FFFFFF"/>
                <w:sz w:val="24"/>
                <w:szCs w:val="24"/>
              </w:rPr>
            </w:pPr>
            <w:r w:rsidRPr="00F1176A">
              <w:rPr>
                <w:rFonts w:ascii="Arial" w:eastAsia="Times New Roman" w:hAnsi="Arial" w:cs="Arial"/>
                <w:b/>
                <w:bCs/>
                <w:color w:val="FFFFFF"/>
                <w:sz w:val="24"/>
                <w:szCs w:val="24"/>
              </w:rPr>
              <w:t>Clone</w:t>
            </w:r>
          </w:p>
        </w:tc>
      </w:tr>
      <w:tr w:rsidR="00F039E6" w:rsidRPr="00F1176A" w14:paraId="2FB73011" w14:textId="77777777" w:rsidTr="00C65B00">
        <w:trPr>
          <w:trHeight w:val="300"/>
          <w:jc w:val="center"/>
        </w:trPr>
        <w:tc>
          <w:tcPr>
            <w:tcW w:w="2377" w:type="dxa"/>
            <w:vAlign w:val="center"/>
          </w:tcPr>
          <w:p w14:paraId="3E89B1F4" w14:textId="77777777" w:rsidR="00F039E6" w:rsidRPr="00F1176A" w:rsidRDefault="00F039E6" w:rsidP="00C65B00">
            <w:pPr>
              <w:spacing w:before="100" w:after="100"/>
              <w:jc w:val="center"/>
              <w:rPr>
                <w:rFonts w:ascii="Arial" w:eastAsia="Times New Roman" w:hAnsi="Arial" w:cs="Arial"/>
                <w:color w:val="000000"/>
                <w:sz w:val="24"/>
                <w:szCs w:val="24"/>
              </w:rPr>
            </w:pPr>
            <w:r w:rsidRPr="00F1176A">
              <w:rPr>
                <w:rFonts w:ascii="Arial" w:eastAsia="Times New Roman" w:hAnsi="Arial" w:cs="Arial"/>
                <w:color w:val="000000"/>
                <w:sz w:val="24"/>
                <w:szCs w:val="24"/>
              </w:rPr>
              <w:t>VCAM-1</w:t>
            </w:r>
          </w:p>
        </w:tc>
        <w:tc>
          <w:tcPr>
            <w:tcW w:w="2113" w:type="dxa"/>
            <w:shd w:val="clear" w:color="auto" w:fill="auto"/>
            <w:vAlign w:val="center"/>
          </w:tcPr>
          <w:p w14:paraId="437CC365" w14:textId="77777777" w:rsidR="00F039E6" w:rsidRPr="00F1176A" w:rsidRDefault="00F039E6" w:rsidP="00C65B00">
            <w:pPr>
              <w:spacing w:before="100" w:after="100"/>
              <w:jc w:val="center"/>
              <w:rPr>
                <w:rFonts w:ascii="Arial" w:eastAsia="Times New Roman" w:hAnsi="Arial" w:cs="Arial"/>
                <w:color w:val="000000"/>
                <w:sz w:val="24"/>
                <w:szCs w:val="24"/>
              </w:rPr>
            </w:pPr>
            <w:proofErr w:type="spellStart"/>
            <w:r w:rsidRPr="00F1176A">
              <w:rPr>
                <w:rFonts w:ascii="Arial" w:eastAsia="Times New Roman" w:hAnsi="Arial" w:cs="Arial"/>
                <w:color w:val="000000"/>
                <w:sz w:val="24"/>
                <w:szCs w:val="24"/>
              </w:rPr>
              <w:t>BioLegend</w:t>
            </w:r>
            <w:proofErr w:type="spellEnd"/>
          </w:p>
        </w:tc>
        <w:tc>
          <w:tcPr>
            <w:tcW w:w="1640" w:type="dxa"/>
            <w:shd w:val="clear" w:color="auto" w:fill="auto"/>
            <w:noWrap/>
            <w:vAlign w:val="center"/>
          </w:tcPr>
          <w:p w14:paraId="2460C6CB" w14:textId="77777777" w:rsidR="00F039E6" w:rsidRPr="00F1176A" w:rsidRDefault="00F039E6" w:rsidP="00C65B00">
            <w:pPr>
              <w:spacing w:before="100" w:after="100"/>
              <w:jc w:val="center"/>
              <w:rPr>
                <w:rFonts w:ascii="Arial" w:eastAsia="Times New Roman" w:hAnsi="Arial" w:cs="Arial"/>
                <w:sz w:val="24"/>
                <w:szCs w:val="24"/>
              </w:rPr>
            </w:pPr>
            <w:r w:rsidRPr="00F1176A">
              <w:rPr>
                <w:rFonts w:ascii="Arial" w:eastAsia="Times New Roman" w:hAnsi="Arial" w:cs="Arial"/>
                <w:sz w:val="24"/>
                <w:szCs w:val="24"/>
              </w:rPr>
              <w:t>429 (MVCAM.A)</w:t>
            </w:r>
          </w:p>
        </w:tc>
      </w:tr>
      <w:tr w:rsidR="00F039E6" w:rsidRPr="00F1176A" w14:paraId="60DF3BD0" w14:textId="77777777" w:rsidTr="00C65B00">
        <w:trPr>
          <w:trHeight w:val="300"/>
          <w:jc w:val="center"/>
        </w:trPr>
        <w:tc>
          <w:tcPr>
            <w:tcW w:w="2377" w:type="dxa"/>
            <w:vAlign w:val="center"/>
          </w:tcPr>
          <w:p w14:paraId="21BBB93F" w14:textId="77777777" w:rsidR="00F039E6" w:rsidRPr="00F1176A" w:rsidRDefault="00F039E6" w:rsidP="00C65B00">
            <w:pPr>
              <w:spacing w:before="100" w:after="100"/>
              <w:jc w:val="center"/>
              <w:rPr>
                <w:rFonts w:ascii="Arial" w:eastAsia="Times New Roman" w:hAnsi="Arial" w:cs="Arial"/>
                <w:sz w:val="24"/>
                <w:szCs w:val="24"/>
              </w:rPr>
            </w:pPr>
            <w:r w:rsidRPr="00F1176A">
              <w:rPr>
                <w:rFonts w:ascii="Arial" w:eastAsia="Times New Roman" w:hAnsi="Arial" w:cs="Arial"/>
                <w:sz w:val="24"/>
                <w:szCs w:val="24"/>
              </w:rPr>
              <w:t>ICAM-1</w:t>
            </w:r>
          </w:p>
        </w:tc>
        <w:tc>
          <w:tcPr>
            <w:tcW w:w="2113" w:type="dxa"/>
            <w:shd w:val="clear" w:color="auto" w:fill="auto"/>
            <w:vAlign w:val="center"/>
          </w:tcPr>
          <w:p w14:paraId="39BE5AC9" w14:textId="77777777" w:rsidR="00F039E6" w:rsidRPr="00F1176A" w:rsidRDefault="00F039E6" w:rsidP="00C65B00">
            <w:pPr>
              <w:spacing w:before="100" w:after="100"/>
              <w:jc w:val="center"/>
              <w:rPr>
                <w:rFonts w:ascii="Arial" w:eastAsia="Times New Roman" w:hAnsi="Arial" w:cs="Arial"/>
                <w:sz w:val="24"/>
                <w:szCs w:val="24"/>
              </w:rPr>
            </w:pPr>
            <w:proofErr w:type="spellStart"/>
            <w:r w:rsidRPr="00F1176A">
              <w:rPr>
                <w:rFonts w:ascii="Arial" w:eastAsia="Times New Roman" w:hAnsi="Arial" w:cs="Arial"/>
                <w:color w:val="000000"/>
                <w:sz w:val="24"/>
                <w:szCs w:val="24"/>
              </w:rPr>
              <w:t>BioLegend</w:t>
            </w:r>
            <w:proofErr w:type="spellEnd"/>
          </w:p>
        </w:tc>
        <w:tc>
          <w:tcPr>
            <w:tcW w:w="1640" w:type="dxa"/>
            <w:shd w:val="clear" w:color="auto" w:fill="auto"/>
            <w:noWrap/>
            <w:vAlign w:val="center"/>
          </w:tcPr>
          <w:p w14:paraId="56ADB400" w14:textId="77777777" w:rsidR="00F039E6" w:rsidRPr="00F1176A" w:rsidRDefault="00F039E6" w:rsidP="00C65B00">
            <w:pPr>
              <w:spacing w:before="100" w:after="100"/>
              <w:jc w:val="center"/>
              <w:rPr>
                <w:rFonts w:ascii="Arial" w:eastAsia="Times New Roman" w:hAnsi="Arial" w:cs="Arial"/>
                <w:sz w:val="24"/>
                <w:szCs w:val="24"/>
              </w:rPr>
            </w:pPr>
            <w:r w:rsidRPr="00F1176A">
              <w:rPr>
                <w:rFonts w:ascii="Arial" w:eastAsia="Times New Roman" w:hAnsi="Arial" w:cs="Arial"/>
                <w:sz w:val="24"/>
                <w:szCs w:val="24"/>
              </w:rPr>
              <w:t>YN1/1.7.4</w:t>
            </w:r>
          </w:p>
        </w:tc>
      </w:tr>
      <w:tr w:rsidR="00F039E6" w:rsidRPr="00F1176A" w14:paraId="23E65501" w14:textId="77777777" w:rsidTr="00C65B00">
        <w:trPr>
          <w:trHeight w:val="300"/>
          <w:jc w:val="center"/>
        </w:trPr>
        <w:tc>
          <w:tcPr>
            <w:tcW w:w="2377" w:type="dxa"/>
            <w:vAlign w:val="center"/>
          </w:tcPr>
          <w:p w14:paraId="6F069644" w14:textId="77777777" w:rsidR="00F039E6" w:rsidRPr="00F1176A" w:rsidRDefault="00F039E6" w:rsidP="00C65B00">
            <w:pPr>
              <w:spacing w:before="100" w:after="100"/>
              <w:jc w:val="center"/>
              <w:rPr>
                <w:rFonts w:ascii="Arial" w:eastAsia="Times New Roman" w:hAnsi="Arial" w:cs="Arial"/>
                <w:sz w:val="24"/>
                <w:szCs w:val="24"/>
              </w:rPr>
            </w:pPr>
            <w:r w:rsidRPr="00F1176A">
              <w:rPr>
                <w:rFonts w:ascii="Arial" w:eastAsia="Times New Roman" w:hAnsi="Arial" w:cs="Arial"/>
                <w:sz w:val="24"/>
                <w:szCs w:val="24"/>
              </w:rPr>
              <w:t>P-selectin</w:t>
            </w:r>
          </w:p>
        </w:tc>
        <w:tc>
          <w:tcPr>
            <w:tcW w:w="2113" w:type="dxa"/>
            <w:shd w:val="clear" w:color="auto" w:fill="auto"/>
            <w:vAlign w:val="center"/>
          </w:tcPr>
          <w:p w14:paraId="6ABFAAA2" w14:textId="77777777" w:rsidR="00F039E6" w:rsidRPr="00F1176A" w:rsidRDefault="00F039E6" w:rsidP="00C65B00">
            <w:pPr>
              <w:spacing w:before="100" w:after="100"/>
              <w:jc w:val="center"/>
              <w:rPr>
                <w:rFonts w:ascii="Arial" w:eastAsia="Times New Roman" w:hAnsi="Arial" w:cs="Arial"/>
                <w:sz w:val="24"/>
                <w:szCs w:val="24"/>
              </w:rPr>
            </w:pPr>
            <w:proofErr w:type="spellStart"/>
            <w:r w:rsidRPr="00F1176A">
              <w:rPr>
                <w:rFonts w:ascii="Arial" w:eastAsia="Times New Roman" w:hAnsi="Arial" w:cs="Arial"/>
                <w:color w:val="000000"/>
                <w:sz w:val="24"/>
                <w:szCs w:val="24"/>
              </w:rPr>
              <w:t>BioLegend</w:t>
            </w:r>
            <w:proofErr w:type="spellEnd"/>
          </w:p>
        </w:tc>
        <w:tc>
          <w:tcPr>
            <w:tcW w:w="1640" w:type="dxa"/>
            <w:shd w:val="clear" w:color="auto" w:fill="auto"/>
            <w:noWrap/>
            <w:vAlign w:val="center"/>
          </w:tcPr>
          <w:p w14:paraId="5601F379" w14:textId="77777777" w:rsidR="00F039E6" w:rsidRPr="00F1176A" w:rsidRDefault="00F039E6" w:rsidP="00C65B00">
            <w:pPr>
              <w:spacing w:before="100" w:after="100"/>
              <w:jc w:val="center"/>
              <w:rPr>
                <w:rFonts w:ascii="Arial" w:eastAsia="Times New Roman" w:hAnsi="Arial" w:cs="Arial"/>
                <w:sz w:val="24"/>
                <w:szCs w:val="24"/>
              </w:rPr>
            </w:pPr>
            <w:r w:rsidRPr="00F1176A">
              <w:rPr>
                <w:rFonts w:ascii="Arial" w:eastAsia="Times New Roman" w:hAnsi="Arial" w:cs="Arial"/>
                <w:sz w:val="24"/>
                <w:szCs w:val="24"/>
              </w:rPr>
              <w:t>RMP-1</w:t>
            </w:r>
          </w:p>
        </w:tc>
      </w:tr>
      <w:tr w:rsidR="00F039E6" w:rsidRPr="00F1176A" w14:paraId="3E5D59E9" w14:textId="77777777" w:rsidTr="00C65B00">
        <w:trPr>
          <w:trHeight w:val="300"/>
          <w:jc w:val="center"/>
        </w:trPr>
        <w:tc>
          <w:tcPr>
            <w:tcW w:w="2377" w:type="dxa"/>
            <w:vAlign w:val="center"/>
          </w:tcPr>
          <w:p w14:paraId="5657DE5B" w14:textId="77777777" w:rsidR="00F039E6" w:rsidRPr="00F1176A" w:rsidRDefault="00F039E6" w:rsidP="00C65B00">
            <w:pPr>
              <w:spacing w:before="100" w:after="100"/>
              <w:jc w:val="center"/>
              <w:rPr>
                <w:rFonts w:ascii="Arial" w:eastAsia="Times New Roman" w:hAnsi="Arial" w:cs="Arial"/>
                <w:sz w:val="24"/>
                <w:szCs w:val="24"/>
              </w:rPr>
            </w:pPr>
            <w:r w:rsidRPr="00F1176A">
              <w:rPr>
                <w:rFonts w:ascii="Arial" w:eastAsia="Times New Roman" w:hAnsi="Arial" w:cs="Arial"/>
                <w:sz w:val="24"/>
                <w:szCs w:val="24"/>
              </w:rPr>
              <w:t>MHC-I</w:t>
            </w:r>
          </w:p>
        </w:tc>
        <w:tc>
          <w:tcPr>
            <w:tcW w:w="2113" w:type="dxa"/>
            <w:shd w:val="clear" w:color="auto" w:fill="auto"/>
            <w:vAlign w:val="center"/>
          </w:tcPr>
          <w:p w14:paraId="03FA1E7B" w14:textId="77777777" w:rsidR="00F039E6" w:rsidRPr="00F1176A" w:rsidRDefault="00F039E6" w:rsidP="00C65B00">
            <w:pPr>
              <w:spacing w:before="100" w:after="100"/>
              <w:jc w:val="center"/>
              <w:rPr>
                <w:rFonts w:ascii="Arial" w:eastAsia="Times New Roman" w:hAnsi="Arial" w:cs="Arial"/>
                <w:sz w:val="24"/>
                <w:szCs w:val="24"/>
              </w:rPr>
            </w:pPr>
            <w:proofErr w:type="spellStart"/>
            <w:r w:rsidRPr="00F1176A">
              <w:rPr>
                <w:rFonts w:ascii="Arial" w:eastAsia="Times New Roman" w:hAnsi="Arial" w:cs="Arial"/>
                <w:color w:val="000000"/>
                <w:sz w:val="24"/>
                <w:szCs w:val="24"/>
              </w:rPr>
              <w:t>BioLegend</w:t>
            </w:r>
            <w:proofErr w:type="spellEnd"/>
          </w:p>
        </w:tc>
        <w:tc>
          <w:tcPr>
            <w:tcW w:w="1640" w:type="dxa"/>
            <w:shd w:val="clear" w:color="auto" w:fill="auto"/>
            <w:noWrap/>
            <w:vAlign w:val="center"/>
          </w:tcPr>
          <w:p w14:paraId="2D700ADC" w14:textId="77777777" w:rsidR="00F039E6" w:rsidRPr="00F1176A" w:rsidRDefault="00F039E6" w:rsidP="00C65B00">
            <w:pPr>
              <w:spacing w:before="100" w:after="100"/>
              <w:jc w:val="center"/>
              <w:rPr>
                <w:rFonts w:ascii="Arial" w:eastAsia="Times New Roman" w:hAnsi="Arial" w:cs="Arial"/>
                <w:sz w:val="24"/>
                <w:szCs w:val="24"/>
              </w:rPr>
            </w:pPr>
            <w:r w:rsidRPr="00F1176A">
              <w:rPr>
                <w:rFonts w:ascii="Arial" w:eastAsia="Times New Roman" w:hAnsi="Arial" w:cs="Arial"/>
                <w:sz w:val="24"/>
                <w:szCs w:val="24"/>
              </w:rPr>
              <w:t>KH114</w:t>
            </w:r>
          </w:p>
        </w:tc>
      </w:tr>
      <w:tr w:rsidR="00F039E6" w:rsidRPr="00F1176A" w14:paraId="57510798" w14:textId="77777777" w:rsidTr="00C65B00">
        <w:trPr>
          <w:trHeight w:val="300"/>
          <w:jc w:val="center"/>
        </w:trPr>
        <w:tc>
          <w:tcPr>
            <w:tcW w:w="2377" w:type="dxa"/>
            <w:vAlign w:val="center"/>
          </w:tcPr>
          <w:p w14:paraId="1E4F1E22" w14:textId="77777777" w:rsidR="00F039E6" w:rsidRPr="00F1176A" w:rsidRDefault="00F039E6" w:rsidP="00C65B00">
            <w:pPr>
              <w:spacing w:before="100" w:after="100"/>
              <w:jc w:val="center"/>
              <w:rPr>
                <w:rFonts w:ascii="Arial" w:eastAsia="Times New Roman" w:hAnsi="Arial" w:cs="Arial"/>
                <w:color w:val="000000"/>
                <w:sz w:val="24"/>
                <w:szCs w:val="24"/>
              </w:rPr>
            </w:pPr>
            <w:r w:rsidRPr="00F1176A">
              <w:rPr>
                <w:rFonts w:ascii="Arial" w:eastAsia="Times New Roman" w:hAnsi="Arial" w:cs="Arial"/>
                <w:color w:val="000000"/>
                <w:sz w:val="24"/>
                <w:szCs w:val="24"/>
              </w:rPr>
              <w:t>PD-L1</w:t>
            </w:r>
          </w:p>
        </w:tc>
        <w:tc>
          <w:tcPr>
            <w:tcW w:w="2113" w:type="dxa"/>
            <w:shd w:val="clear" w:color="auto" w:fill="auto"/>
            <w:vAlign w:val="center"/>
          </w:tcPr>
          <w:p w14:paraId="5C43B3B3" w14:textId="77777777" w:rsidR="00F039E6" w:rsidRPr="00F1176A" w:rsidRDefault="00F039E6" w:rsidP="00C65B00">
            <w:pPr>
              <w:spacing w:before="100" w:after="100"/>
              <w:jc w:val="center"/>
              <w:rPr>
                <w:rFonts w:ascii="Arial" w:eastAsia="Times New Roman" w:hAnsi="Arial" w:cs="Arial"/>
                <w:color w:val="000000"/>
                <w:sz w:val="24"/>
                <w:szCs w:val="24"/>
              </w:rPr>
            </w:pPr>
            <w:proofErr w:type="spellStart"/>
            <w:r w:rsidRPr="00F1176A">
              <w:rPr>
                <w:rFonts w:ascii="Arial" w:eastAsia="Times New Roman" w:hAnsi="Arial" w:cs="Arial"/>
                <w:color w:val="000000"/>
                <w:sz w:val="24"/>
                <w:szCs w:val="24"/>
              </w:rPr>
              <w:t>BioLegend</w:t>
            </w:r>
            <w:proofErr w:type="spellEnd"/>
          </w:p>
        </w:tc>
        <w:tc>
          <w:tcPr>
            <w:tcW w:w="1640" w:type="dxa"/>
            <w:shd w:val="clear" w:color="auto" w:fill="auto"/>
            <w:noWrap/>
            <w:vAlign w:val="center"/>
          </w:tcPr>
          <w:p w14:paraId="2C51C075" w14:textId="77777777" w:rsidR="00F039E6" w:rsidRPr="00F1176A" w:rsidRDefault="00F039E6" w:rsidP="00C65B00">
            <w:pPr>
              <w:spacing w:before="100" w:after="100"/>
              <w:jc w:val="center"/>
              <w:rPr>
                <w:rFonts w:ascii="Arial" w:eastAsia="Times New Roman" w:hAnsi="Arial" w:cs="Arial"/>
                <w:sz w:val="24"/>
                <w:szCs w:val="24"/>
              </w:rPr>
            </w:pPr>
            <w:r w:rsidRPr="00F1176A">
              <w:rPr>
                <w:rFonts w:ascii="Arial" w:eastAsia="Times New Roman" w:hAnsi="Arial" w:cs="Arial"/>
                <w:sz w:val="24"/>
                <w:szCs w:val="24"/>
              </w:rPr>
              <w:t>10F.9G2</w:t>
            </w:r>
          </w:p>
        </w:tc>
      </w:tr>
      <w:tr w:rsidR="00F039E6" w:rsidRPr="00F1176A" w14:paraId="071669D0" w14:textId="77777777" w:rsidTr="00C65B00">
        <w:trPr>
          <w:trHeight w:val="300"/>
          <w:jc w:val="center"/>
        </w:trPr>
        <w:tc>
          <w:tcPr>
            <w:tcW w:w="2377" w:type="dxa"/>
            <w:vAlign w:val="center"/>
          </w:tcPr>
          <w:p w14:paraId="5A9D29CF" w14:textId="77777777" w:rsidR="00F039E6" w:rsidRPr="00F1176A" w:rsidRDefault="00F039E6" w:rsidP="00C65B00">
            <w:pPr>
              <w:spacing w:before="100" w:after="100"/>
              <w:jc w:val="center"/>
              <w:rPr>
                <w:rFonts w:ascii="Arial" w:eastAsia="Times New Roman" w:hAnsi="Arial" w:cs="Arial"/>
                <w:sz w:val="24"/>
                <w:szCs w:val="24"/>
              </w:rPr>
            </w:pPr>
            <w:r w:rsidRPr="00F1176A">
              <w:rPr>
                <w:rFonts w:ascii="Arial" w:eastAsia="Times New Roman" w:hAnsi="Arial" w:cs="Arial"/>
                <w:sz w:val="24"/>
                <w:szCs w:val="24"/>
              </w:rPr>
              <w:t>CD44</w:t>
            </w:r>
          </w:p>
        </w:tc>
        <w:tc>
          <w:tcPr>
            <w:tcW w:w="2113" w:type="dxa"/>
            <w:shd w:val="clear" w:color="auto" w:fill="auto"/>
            <w:vAlign w:val="center"/>
          </w:tcPr>
          <w:p w14:paraId="5A59D100" w14:textId="77777777" w:rsidR="00F039E6" w:rsidRPr="00F1176A" w:rsidRDefault="00F039E6" w:rsidP="00C65B00">
            <w:pPr>
              <w:spacing w:before="100" w:after="100"/>
              <w:jc w:val="center"/>
              <w:rPr>
                <w:rFonts w:ascii="Arial" w:eastAsia="Times New Roman" w:hAnsi="Arial" w:cs="Arial"/>
                <w:color w:val="000000"/>
                <w:sz w:val="24"/>
                <w:szCs w:val="24"/>
              </w:rPr>
            </w:pPr>
            <w:proofErr w:type="spellStart"/>
            <w:r w:rsidRPr="00F1176A">
              <w:rPr>
                <w:rFonts w:ascii="Arial" w:eastAsia="Times New Roman" w:hAnsi="Arial" w:cs="Arial"/>
                <w:color w:val="000000"/>
                <w:sz w:val="24"/>
                <w:szCs w:val="24"/>
              </w:rPr>
              <w:t>BioLegend</w:t>
            </w:r>
            <w:proofErr w:type="spellEnd"/>
          </w:p>
        </w:tc>
        <w:tc>
          <w:tcPr>
            <w:tcW w:w="1640" w:type="dxa"/>
            <w:shd w:val="clear" w:color="auto" w:fill="auto"/>
            <w:noWrap/>
            <w:vAlign w:val="center"/>
          </w:tcPr>
          <w:p w14:paraId="42B3CEEE" w14:textId="77777777" w:rsidR="00F039E6" w:rsidRPr="00F1176A" w:rsidRDefault="00F039E6" w:rsidP="00C65B00">
            <w:pPr>
              <w:spacing w:before="100" w:after="100"/>
              <w:jc w:val="center"/>
              <w:rPr>
                <w:rFonts w:ascii="Arial" w:eastAsia="Times New Roman" w:hAnsi="Arial" w:cs="Arial"/>
                <w:sz w:val="24"/>
                <w:szCs w:val="24"/>
              </w:rPr>
            </w:pPr>
            <w:r w:rsidRPr="00F1176A">
              <w:rPr>
                <w:rFonts w:ascii="Arial" w:eastAsia="Times New Roman" w:hAnsi="Arial" w:cs="Arial"/>
                <w:sz w:val="24"/>
                <w:szCs w:val="24"/>
              </w:rPr>
              <w:t>IM7</w:t>
            </w:r>
          </w:p>
        </w:tc>
      </w:tr>
      <w:tr w:rsidR="00F039E6" w:rsidRPr="00F1176A" w14:paraId="6C173EF2" w14:textId="77777777" w:rsidTr="00C65B00">
        <w:trPr>
          <w:trHeight w:val="300"/>
          <w:jc w:val="center"/>
        </w:trPr>
        <w:tc>
          <w:tcPr>
            <w:tcW w:w="2377" w:type="dxa"/>
            <w:vAlign w:val="center"/>
          </w:tcPr>
          <w:p w14:paraId="01E612E1" w14:textId="77777777" w:rsidR="00F039E6" w:rsidRPr="00F1176A" w:rsidRDefault="00F039E6" w:rsidP="00C65B00">
            <w:pPr>
              <w:spacing w:before="100" w:after="100"/>
              <w:jc w:val="center"/>
              <w:rPr>
                <w:rFonts w:ascii="Arial" w:eastAsia="Times New Roman" w:hAnsi="Arial" w:cs="Arial"/>
                <w:color w:val="000000"/>
                <w:sz w:val="24"/>
                <w:szCs w:val="24"/>
              </w:rPr>
            </w:pPr>
            <w:r w:rsidRPr="00F1176A">
              <w:rPr>
                <w:rFonts w:ascii="Arial" w:eastAsia="Times New Roman" w:hAnsi="Arial" w:cs="Arial"/>
                <w:color w:val="000000"/>
                <w:sz w:val="24"/>
                <w:szCs w:val="24"/>
              </w:rPr>
              <w:t>CD62L</w:t>
            </w:r>
          </w:p>
        </w:tc>
        <w:tc>
          <w:tcPr>
            <w:tcW w:w="2113" w:type="dxa"/>
            <w:shd w:val="clear" w:color="auto" w:fill="auto"/>
            <w:vAlign w:val="center"/>
          </w:tcPr>
          <w:p w14:paraId="726EEBB2" w14:textId="77777777" w:rsidR="00F039E6" w:rsidRPr="00F1176A" w:rsidRDefault="00F039E6" w:rsidP="00C65B00">
            <w:pPr>
              <w:spacing w:before="100" w:after="100"/>
              <w:jc w:val="center"/>
              <w:rPr>
                <w:rFonts w:ascii="Arial" w:eastAsia="Times New Roman" w:hAnsi="Arial" w:cs="Arial"/>
                <w:color w:val="000000"/>
                <w:sz w:val="24"/>
                <w:szCs w:val="24"/>
              </w:rPr>
            </w:pPr>
            <w:proofErr w:type="spellStart"/>
            <w:r w:rsidRPr="00F1176A">
              <w:rPr>
                <w:rFonts w:ascii="Arial" w:eastAsia="Times New Roman" w:hAnsi="Arial" w:cs="Arial"/>
                <w:color w:val="000000"/>
                <w:sz w:val="24"/>
                <w:szCs w:val="24"/>
              </w:rPr>
              <w:t>BioLegend</w:t>
            </w:r>
            <w:proofErr w:type="spellEnd"/>
          </w:p>
        </w:tc>
        <w:tc>
          <w:tcPr>
            <w:tcW w:w="1640" w:type="dxa"/>
            <w:shd w:val="clear" w:color="auto" w:fill="auto"/>
            <w:noWrap/>
            <w:vAlign w:val="center"/>
          </w:tcPr>
          <w:p w14:paraId="24550115" w14:textId="77777777" w:rsidR="00F039E6" w:rsidRPr="00F1176A" w:rsidRDefault="00F039E6" w:rsidP="00C65B00">
            <w:pPr>
              <w:spacing w:before="100" w:after="100"/>
              <w:jc w:val="center"/>
              <w:rPr>
                <w:rFonts w:ascii="Arial" w:eastAsia="Times New Roman" w:hAnsi="Arial" w:cs="Arial"/>
                <w:sz w:val="24"/>
                <w:szCs w:val="24"/>
              </w:rPr>
            </w:pPr>
            <w:r w:rsidRPr="00F1176A">
              <w:rPr>
                <w:rFonts w:ascii="Arial" w:eastAsia="Times New Roman" w:hAnsi="Arial" w:cs="Arial"/>
                <w:sz w:val="24"/>
                <w:szCs w:val="24"/>
              </w:rPr>
              <w:t>MEL-14</w:t>
            </w:r>
          </w:p>
        </w:tc>
      </w:tr>
      <w:tr w:rsidR="00F039E6" w:rsidRPr="00F1176A" w14:paraId="1D0F9D49" w14:textId="77777777" w:rsidTr="00C65B00">
        <w:trPr>
          <w:trHeight w:val="300"/>
          <w:jc w:val="center"/>
        </w:trPr>
        <w:tc>
          <w:tcPr>
            <w:tcW w:w="2377" w:type="dxa"/>
            <w:vAlign w:val="center"/>
          </w:tcPr>
          <w:p w14:paraId="52D6AC38" w14:textId="77777777" w:rsidR="00F039E6" w:rsidRPr="00F1176A" w:rsidRDefault="00F039E6" w:rsidP="00C65B00">
            <w:pPr>
              <w:spacing w:before="100" w:after="100"/>
              <w:jc w:val="center"/>
              <w:rPr>
                <w:rFonts w:ascii="Arial" w:eastAsia="Times New Roman" w:hAnsi="Arial" w:cs="Arial"/>
                <w:color w:val="000000"/>
                <w:sz w:val="24"/>
                <w:szCs w:val="24"/>
              </w:rPr>
            </w:pPr>
            <w:r w:rsidRPr="00F1176A">
              <w:rPr>
                <w:rFonts w:ascii="Arial" w:eastAsia="Times New Roman" w:hAnsi="Arial" w:cs="Arial"/>
                <w:color w:val="000000"/>
                <w:sz w:val="24"/>
                <w:szCs w:val="24"/>
              </w:rPr>
              <w:t>Granzyme B</w:t>
            </w:r>
          </w:p>
        </w:tc>
        <w:tc>
          <w:tcPr>
            <w:tcW w:w="2113" w:type="dxa"/>
            <w:shd w:val="clear" w:color="auto" w:fill="auto"/>
            <w:vAlign w:val="center"/>
          </w:tcPr>
          <w:p w14:paraId="1099C62D" w14:textId="77777777" w:rsidR="00F039E6" w:rsidRPr="00F1176A" w:rsidRDefault="00F039E6" w:rsidP="00C65B00">
            <w:pPr>
              <w:spacing w:before="100" w:after="100"/>
              <w:jc w:val="center"/>
              <w:rPr>
                <w:rFonts w:ascii="Arial" w:eastAsia="Times New Roman" w:hAnsi="Arial" w:cs="Arial"/>
                <w:color w:val="000000"/>
                <w:sz w:val="24"/>
                <w:szCs w:val="24"/>
              </w:rPr>
            </w:pPr>
            <w:proofErr w:type="spellStart"/>
            <w:r w:rsidRPr="00F1176A">
              <w:rPr>
                <w:rFonts w:ascii="Arial" w:eastAsia="Times New Roman" w:hAnsi="Arial" w:cs="Arial"/>
                <w:color w:val="000000"/>
                <w:sz w:val="24"/>
                <w:szCs w:val="24"/>
              </w:rPr>
              <w:t>BioLegend</w:t>
            </w:r>
            <w:proofErr w:type="spellEnd"/>
          </w:p>
        </w:tc>
        <w:tc>
          <w:tcPr>
            <w:tcW w:w="1640" w:type="dxa"/>
            <w:shd w:val="clear" w:color="auto" w:fill="auto"/>
            <w:noWrap/>
            <w:vAlign w:val="center"/>
          </w:tcPr>
          <w:p w14:paraId="76545A0D" w14:textId="77777777" w:rsidR="00F039E6" w:rsidRPr="00F1176A" w:rsidRDefault="00F039E6" w:rsidP="00C65B00">
            <w:pPr>
              <w:spacing w:before="100" w:after="100"/>
              <w:jc w:val="center"/>
              <w:rPr>
                <w:rFonts w:ascii="Arial" w:eastAsia="Times New Roman" w:hAnsi="Arial" w:cs="Arial"/>
                <w:sz w:val="24"/>
                <w:szCs w:val="24"/>
              </w:rPr>
            </w:pPr>
            <w:r w:rsidRPr="00F1176A">
              <w:rPr>
                <w:rFonts w:ascii="Arial" w:eastAsia="Times New Roman" w:hAnsi="Arial" w:cs="Arial"/>
                <w:sz w:val="24"/>
                <w:szCs w:val="24"/>
              </w:rPr>
              <w:t>QA16A02</w:t>
            </w:r>
          </w:p>
        </w:tc>
      </w:tr>
      <w:tr w:rsidR="00F039E6" w:rsidRPr="00F1176A" w14:paraId="50CBCFD3" w14:textId="77777777" w:rsidTr="00C65B00">
        <w:trPr>
          <w:trHeight w:val="300"/>
          <w:jc w:val="center"/>
        </w:trPr>
        <w:tc>
          <w:tcPr>
            <w:tcW w:w="2377" w:type="dxa"/>
            <w:vAlign w:val="center"/>
          </w:tcPr>
          <w:p w14:paraId="7B11B708" w14:textId="77777777" w:rsidR="00F039E6" w:rsidRPr="00F1176A" w:rsidRDefault="00F039E6" w:rsidP="00C65B00">
            <w:pPr>
              <w:spacing w:before="100" w:after="100"/>
              <w:jc w:val="center"/>
              <w:rPr>
                <w:rFonts w:ascii="Arial" w:eastAsia="Times New Roman" w:hAnsi="Arial" w:cs="Arial"/>
                <w:color w:val="000000"/>
                <w:sz w:val="24"/>
                <w:szCs w:val="24"/>
              </w:rPr>
            </w:pPr>
            <w:r w:rsidRPr="00F1176A">
              <w:rPr>
                <w:rFonts w:ascii="Arial" w:eastAsia="Times New Roman" w:hAnsi="Arial" w:cs="Arial"/>
                <w:color w:val="000000"/>
                <w:sz w:val="24"/>
                <w:szCs w:val="24"/>
              </w:rPr>
              <w:t>Interferon Gamma</w:t>
            </w:r>
          </w:p>
        </w:tc>
        <w:tc>
          <w:tcPr>
            <w:tcW w:w="2113" w:type="dxa"/>
            <w:shd w:val="clear" w:color="auto" w:fill="auto"/>
            <w:vAlign w:val="center"/>
          </w:tcPr>
          <w:p w14:paraId="71A7B2FA" w14:textId="77777777" w:rsidR="00F039E6" w:rsidRPr="00F1176A" w:rsidRDefault="00F039E6" w:rsidP="00C65B00">
            <w:pPr>
              <w:spacing w:before="100" w:after="100"/>
              <w:jc w:val="center"/>
              <w:rPr>
                <w:rFonts w:ascii="Arial" w:eastAsia="Times New Roman" w:hAnsi="Arial" w:cs="Arial"/>
                <w:color w:val="000000"/>
                <w:sz w:val="24"/>
                <w:szCs w:val="24"/>
              </w:rPr>
            </w:pPr>
            <w:proofErr w:type="spellStart"/>
            <w:r w:rsidRPr="00F1176A">
              <w:rPr>
                <w:rFonts w:ascii="Arial" w:eastAsia="Times New Roman" w:hAnsi="Arial" w:cs="Arial"/>
                <w:color w:val="000000"/>
                <w:sz w:val="24"/>
                <w:szCs w:val="24"/>
              </w:rPr>
              <w:t>BioLegend</w:t>
            </w:r>
            <w:proofErr w:type="spellEnd"/>
          </w:p>
        </w:tc>
        <w:tc>
          <w:tcPr>
            <w:tcW w:w="1640" w:type="dxa"/>
            <w:shd w:val="clear" w:color="auto" w:fill="auto"/>
            <w:noWrap/>
            <w:vAlign w:val="center"/>
          </w:tcPr>
          <w:p w14:paraId="498A1170" w14:textId="77777777" w:rsidR="00F039E6" w:rsidRPr="00F1176A" w:rsidRDefault="00F039E6" w:rsidP="00C65B00">
            <w:pPr>
              <w:spacing w:before="100" w:after="100"/>
              <w:jc w:val="center"/>
              <w:rPr>
                <w:rFonts w:ascii="Arial" w:eastAsia="Times New Roman" w:hAnsi="Arial" w:cs="Arial"/>
                <w:sz w:val="24"/>
                <w:szCs w:val="24"/>
              </w:rPr>
            </w:pPr>
            <w:r w:rsidRPr="00F1176A">
              <w:rPr>
                <w:rFonts w:ascii="Arial" w:eastAsia="Times New Roman" w:hAnsi="Arial" w:cs="Arial"/>
                <w:sz w:val="24"/>
                <w:szCs w:val="24"/>
              </w:rPr>
              <w:t>XMG1.2</w:t>
            </w:r>
          </w:p>
        </w:tc>
      </w:tr>
      <w:tr w:rsidR="00F039E6" w:rsidRPr="00F1176A" w14:paraId="0E1B6A64" w14:textId="77777777" w:rsidTr="00C65B00">
        <w:trPr>
          <w:trHeight w:val="300"/>
          <w:jc w:val="center"/>
        </w:trPr>
        <w:tc>
          <w:tcPr>
            <w:tcW w:w="2377" w:type="dxa"/>
            <w:vAlign w:val="center"/>
          </w:tcPr>
          <w:p w14:paraId="35F0BF33" w14:textId="77777777" w:rsidR="00F039E6" w:rsidRPr="00F1176A" w:rsidRDefault="00F039E6" w:rsidP="00C65B00">
            <w:pPr>
              <w:spacing w:before="100" w:after="100"/>
              <w:jc w:val="center"/>
              <w:rPr>
                <w:rFonts w:ascii="Arial" w:eastAsia="Times New Roman" w:hAnsi="Arial" w:cs="Arial"/>
                <w:color w:val="000000"/>
                <w:sz w:val="24"/>
                <w:szCs w:val="24"/>
              </w:rPr>
            </w:pPr>
            <w:r w:rsidRPr="00F1176A">
              <w:rPr>
                <w:rFonts w:ascii="Arial" w:eastAsia="Times New Roman" w:hAnsi="Arial" w:cs="Arial"/>
                <w:color w:val="000000"/>
                <w:sz w:val="24"/>
                <w:szCs w:val="24"/>
              </w:rPr>
              <w:t>Ki-67</w:t>
            </w:r>
          </w:p>
        </w:tc>
        <w:tc>
          <w:tcPr>
            <w:tcW w:w="2113" w:type="dxa"/>
            <w:shd w:val="clear" w:color="auto" w:fill="auto"/>
            <w:vAlign w:val="center"/>
          </w:tcPr>
          <w:p w14:paraId="6FE3D06E" w14:textId="77777777" w:rsidR="00F039E6" w:rsidRPr="00F1176A" w:rsidRDefault="00F039E6" w:rsidP="00C65B00">
            <w:pPr>
              <w:spacing w:before="100" w:after="100"/>
              <w:jc w:val="center"/>
              <w:rPr>
                <w:rFonts w:ascii="Arial" w:eastAsia="Times New Roman" w:hAnsi="Arial" w:cs="Arial"/>
                <w:color w:val="000000"/>
                <w:sz w:val="24"/>
                <w:szCs w:val="24"/>
              </w:rPr>
            </w:pPr>
            <w:proofErr w:type="spellStart"/>
            <w:r w:rsidRPr="00F1176A">
              <w:rPr>
                <w:rFonts w:ascii="Arial" w:eastAsia="Times New Roman" w:hAnsi="Arial" w:cs="Arial"/>
                <w:color w:val="000000"/>
                <w:sz w:val="24"/>
                <w:szCs w:val="24"/>
              </w:rPr>
              <w:t>BioLegend</w:t>
            </w:r>
            <w:proofErr w:type="spellEnd"/>
          </w:p>
        </w:tc>
        <w:tc>
          <w:tcPr>
            <w:tcW w:w="1640" w:type="dxa"/>
            <w:shd w:val="clear" w:color="auto" w:fill="auto"/>
            <w:noWrap/>
            <w:vAlign w:val="center"/>
          </w:tcPr>
          <w:p w14:paraId="11C0020D" w14:textId="77777777" w:rsidR="00F039E6" w:rsidRPr="00F1176A" w:rsidRDefault="00F039E6" w:rsidP="00C65B00">
            <w:pPr>
              <w:spacing w:before="100" w:after="100"/>
              <w:jc w:val="center"/>
              <w:rPr>
                <w:rFonts w:ascii="Arial" w:eastAsia="Times New Roman" w:hAnsi="Arial" w:cs="Arial"/>
                <w:sz w:val="24"/>
                <w:szCs w:val="24"/>
              </w:rPr>
            </w:pPr>
            <w:r w:rsidRPr="00F1176A">
              <w:rPr>
                <w:rFonts w:ascii="Arial" w:eastAsia="Times New Roman" w:hAnsi="Arial" w:cs="Arial"/>
                <w:sz w:val="24"/>
                <w:szCs w:val="24"/>
              </w:rPr>
              <w:t>11F6</w:t>
            </w:r>
          </w:p>
        </w:tc>
      </w:tr>
      <w:tr w:rsidR="00F039E6" w:rsidRPr="00F1176A" w14:paraId="15B4C785" w14:textId="77777777" w:rsidTr="00C65B00">
        <w:trPr>
          <w:trHeight w:val="300"/>
          <w:jc w:val="center"/>
        </w:trPr>
        <w:tc>
          <w:tcPr>
            <w:tcW w:w="2377" w:type="dxa"/>
            <w:vAlign w:val="center"/>
          </w:tcPr>
          <w:p w14:paraId="4CCD449C" w14:textId="77777777" w:rsidR="00F039E6" w:rsidRPr="00F1176A" w:rsidRDefault="00F039E6" w:rsidP="00C65B00">
            <w:pPr>
              <w:spacing w:before="100" w:after="100"/>
              <w:jc w:val="center"/>
              <w:rPr>
                <w:rFonts w:ascii="Arial" w:eastAsia="Times New Roman" w:hAnsi="Arial" w:cs="Arial"/>
                <w:color w:val="000000"/>
                <w:sz w:val="24"/>
                <w:szCs w:val="24"/>
              </w:rPr>
            </w:pPr>
            <w:r w:rsidRPr="00F1176A">
              <w:rPr>
                <w:rFonts w:ascii="Arial" w:eastAsia="Times New Roman" w:hAnsi="Arial" w:cs="Arial"/>
                <w:color w:val="000000"/>
                <w:sz w:val="24"/>
                <w:szCs w:val="24"/>
              </w:rPr>
              <w:t>CD8a</w:t>
            </w:r>
          </w:p>
        </w:tc>
        <w:tc>
          <w:tcPr>
            <w:tcW w:w="2113" w:type="dxa"/>
            <w:shd w:val="clear" w:color="auto" w:fill="auto"/>
            <w:vAlign w:val="center"/>
          </w:tcPr>
          <w:p w14:paraId="79CDFD0B" w14:textId="77777777" w:rsidR="00F039E6" w:rsidRPr="00F1176A" w:rsidRDefault="00F039E6" w:rsidP="00C65B00">
            <w:pPr>
              <w:spacing w:before="100" w:after="100"/>
              <w:jc w:val="center"/>
              <w:rPr>
                <w:rFonts w:ascii="Arial" w:eastAsia="Times New Roman" w:hAnsi="Arial" w:cs="Arial"/>
                <w:color w:val="000000"/>
                <w:sz w:val="24"/>
                <w:szCs w:val="24"/>
              </w:rPr>
            </w:pPr>
            <w:r w:rsidRPr="00F1176A">
              <w:rPr>
                <w:rFonts w:ascii="Arial" w:eastAsia="Times New Roman" w:hAnsi="Arial" w:cs="Arial"/>
                <w:color w:val="000000"/>
                <w:sz w:val="24"/>
                <w:szCs w:val="24"/>
              </w:rPr>
              <w:t>BD Pharmingen</w:t>
            </w:r>
          </w:p>
        </w:tc>
        <w:tc>
          <w:tcPr>
            <w:tcW w:w="1640" w:type="dxa"/>
            <w:shd w:val="clear" w:color="auto" w:fill="auto"/>
            <w:noWrap/>
            <w:vAlign w:val="center"/>
          </w:tcPr>
          <w:p w14:paraId="6E71902C" w14:textId="77777777" w:rsidR="00F039E6" w:rsidRPr="00F1176A" w:rsidRDefault="00F039E6" w:rsidP="00C65B00">
            <w:pPr>
              <w:spacing w:before="100" w:after="100"/>
              <w:jc w:val="center"/>
              <w:rPr>
                <w:rFonts w:ascii="Arial" w:eastAsia="Times New Roman" w:hAnsi="Arial" w:cs="Arial"/>
                <w:sz w:val="24"/>
                <w:szCs w:val="24"/>
              </w:rPr>
            </w:pPr>
            <w:r w:rsidRPr="00F1176A">
              <w:rPr>
                <w:rFonts w:ascii="Arial" w:eastAsia="Times New Roman" w:hAnsi="Arial" w:cs="Arial"/>
                <w:sz w:val="24"/>
                <w:szCs w:val="24"/>
              </w:rPr>
              <w:t>53-6.7</w:t>
            </w:r>
          </w:p>
        </w:tc>
      </w:tr>
      <w:tr w:rsidR="00F039E6" w:rsidRPr="00F1176A" w14:paraId="79CEB134" w14:textId="77777777" w:rsidTr="00C65B00">
        <w:trPr>
          <w:trHeight w:val="300"/>
          <w:jc w:val="center"/>
        </w:trPr>
        <w:tc>
          <w:tcPr>
            <w:tcW w:w="2377" w:type="dxa"/>
            <w:vAlign w:val="center"/>
          </w:tcPr>
          <w:p w14:paraId="53570392" w14:textId="77777777" w:rsidR="00F039E6" w:rsidRPr="00F1176A" w:rsidRDefault="00F039E6" w:rsidP="00C65B00">
            <w:pPr>
              <w:spacing w:before="100" w:after="100"/>
              <w:jc w:val="center"/>
              <w:rPr>
                <w:rFonts w:ascii="Arial" w:eastAsia="Times New Roman" w:hAnsi="Arial" w:cs="Arial"/>
                <w:color w:val="000000"/>
                <w:sz w:val="24"/>
                <w:szCs w:val="24"/>
              </w:rPr>
            </w:pPr>
            <w:r w:rsidRPr="00F1176A">
              <w:rPr>
                <w:rFonts w:ascii="Arial" w:eastAsia="Times New Roman" w:hAnsi="Arial" w:cs="Arial"/>
                <w:color w:val="000000"/>
                <w:sz w:val="24"/>
                <w:szCs w:val="24"/>
              </w:rPr>
              <w:t>CD80</w:t>
            </w:r>
          </w:p>
        </w:tc>
        <w:tc>
          <w:tcPr>
            <w:tcW w:w="2113" w:type="dxa"/>
            <w:shd w:val="clear" w:color="auto" w:fill="auto"/>
            <w:vAlign w:val="center"/>
          </w:tcPr>
          <w:p w14:paraId="4C30D21A" w14:textId="77777777" w:rsidR="00F039E6" w:rsidRPr="00F1176A" w:rsidRDefault="00F039E6" w:rsidP="00C65B00">
            <w:pPr>
              <w:spacing w:before="100" w:after="100"/>
              <w:jc w:val="center"/>
              <w:rPr>
                <w:rFonts w:ascii="Arial" w:eastAsia="Times New Roman" w:hAnsi="Arial" w:cs="Arial"/>
                <w:color w:val="000000"/>
                <w:sz w:val="24"/>
                <w:szCs w:val="24"/>
              </w:rPr>
            </w:pPr>
            <w:r w:rsidRPr="00F1176A">
              <w:rPr>
                <w:rFonts w:ascii="Arial" w:eastAsia="Times New Roman" w:hAnsi="Arial" w:cs="Arial"/>
                <w:color w:val="000000"/>
                <w:sz w:val="24"/>
                <w:szCs w:val="24"/>
              </w:rPr>
              <w:t>BD Pharmingen</w:t>
            </w:r>
          </w:p>
        </w:tc>
        <w:tc>
          <w:tcPr>
            <w:tcW w:w="1640" w:type="dxa"/>
            <w:shd w:val="clear" w:color="auto" w:fill="auto"/>
            <w:noWrap/>
            <w:vAlign w:val="center"/>
          </w:tcPr>
          <w:p w14:paraId="07F91607" w14:textId="77777777" w:rsidR="00F039E6" w:rsidRPr="00F1176A" w:rsidRDefault="00F039E6" w:rsidP="00C65B00">
            <w:pPr>
              <w:spacing w:before="100" w:after="100"/>
              <w:jc w:val="center"/>
              <w:rPr>
                <w:rFonts w:ascii="Arial" w:eastAsia="Times New Roman" w:hAnsi="Arial" w:cs="Arial"/>
                <w:sz w:val="24"/>
                <w:szCs w:val="24"/>
              </w:rPr>
            </w:pPr>
            <w:r w:rsidRPr="00F1176A">
              <w:rPr>
                <w:rFonts w:ascii="Arial" w:eastAsia="Times New Roman" w:hAnsi="Arial" w:cs="Arial"/>
                <w:sz w:val="24"/>
                <w:szCs w:val="24"/>
              </w:rPr>
              <w:t>16-10A1</w:t>
            </w:r>
          </w:p>
        </w:tc>
      </w:tr>
      <w:tr w:rsidR="00F039E6" w:rsidRPr="00F1176A" w14:paraId="7C880192" w14:textId="77777777" w:rsidTr="00C65B00">
        <w:trPr>
          <w:trHeight w:val="300"/>
          <w:jc w:val="center"/>
        </w:trPr>
        <w:tc>
          <w:tcPr>
            <w:tcW w:w="2377" w:type="dxa"/>
            <w:vAlign w:val="center"/>
          </w:tcPr>
          <w:p w14:paraId="09710D9B" w14:textId="77777777" w:rsidR="00F039E6" w:rsidRPr="00F1176A" w:rsidRDefault="00F039E6" w:rsidP="00C65B00">
            <w:pPr>
              <w:spacing w:before="100" w:after="100"/>
              <w:jc w:val="center"/>
              <w:rPr>
                <w:rFonts w:ascii="Arial" w:eastAsia="Times New Roman" w:hAnsi="Arial" w:cs="Arial"/>
                <w:color w:val="000000"/>
                <w:sz w:val="24"/>
                <w:szCs w:val="24"/>
              </w:rPr>
            </w:pPr>
            <w:r w:rsidRPr="00F1176A">
              <w:rPr>
                <w:rFonts w:ascii="Arial" w:eastAsia="Times New Roman" w:hAnsi="Arial" w:cs="Arial"/>
                <w:color w:val="000000"/>
                <w:sz w:val="24"/>
                <w:szCs w:val="24"/>
              </w:rPr>
              <w:t>CCR7</w:t>
            </w:r>
          </w:p>
        </w:tc>
        <w:tc>
          <w:tcPr>
            <w:tcW w:w="2113" w:type="dxa"/>
            <w:shd w:val="clear" w:color="auto" w:fill="auto"/>
            <w:vAlign w:val="center"/>
          </w:tcPr>
          <w:p w14:paraId="5123B492" w14:textId="77777777" w:rsidR="00F039E6" w:rsidRPr="00F1176A" w:rsidRDefault="00F039E6" w:rsidP="00C65B00">
            <w:pPr>
              <w:spacing w:before="100" w:after="100"/>
              <w:jc w:val="center"/>
              <w:rPr>
                <w:rFonts w:ascii="Arial" w:eastAsia="Times New Roman" w:hAnsi="Arial" w:cs="Arial"/>
                <w:color w:val="000000"/>
                <w:sz w:val="24"/>
                <w:szCs w:val="24"/>
              </w:rPr>
            </w:pPr>
            <w:r w:rsidRPr="00F1176A">
              <w:rPr>
                <w:rFonts w:ascii="Arial" w:eastAsia="Times New Roman" w:hAnsi="Arial" w:cs="Arial"/>
                <w:color w:val="000000"/>
                <w:sz w:val="24"/>
                <w:szCs w:val="24"/>
              </w:rPr>
              <w:t>BD Pharmingen</w:t>
            </w:r>
          </w:p>
        </w:tc>
        <w:tc>
          <w:tcPr>
            <w:tcW w:w="1640" w:type="dxa"/>
            <w:shd w:val="clear" w:color="auto" w:fill="auto"/>
            <w:noWrap/>
            <w:vAlign w:val="center"/>
          </w:tcPr>
          <w:p w14:paraId="61D326E5" w14:textId="77777777" w:rsidR="00F039E6" w:rsidRPr="00F1176A" w:rsidRDefault="00F039E6" w:rsidP="00C65B00">
            <w:pPr>
              <w:spacing w:before="100" w:after="100"/>
              <w:jc w:val="center"/>
              <w:rPr>
                <w:rFonts w:ascii="Arial" w:eastAsia="Times New Roman" w:hAnsi="Arial" w:cs="Arial"/>
                <w:sz w:val="24"/>
                <w:szCs w:val="24"/>
              </w:rPr>
            </w:pPr>
            <w:r w:rsidRPr="00F1176A">
              <w:rPr>
                <w:rFonts w:ascii="Arial" w:eastAsia="Times New Roman" w:hAnsi="Arial" w:cs="Arial"/>
                <w:sz w:val="24"/>
                <w:szCs w:val="24"/>
              </w:rPr>
              <w:t>4B12</w:t>
            </w:r>
          </w:p>
        </w:tc>
      </w:tr>
    </w:tbl>
    <w:p w14:paraId="08B12AD7" w14:textId="77777777" w:rsidR="00F039E6" w:rsidRPr="00F1176A" w:rsidRDefault="00F039E6" w:rsidP="00F039E6">
      <w:pPr>
        <w:spacing w:line="480" w:lineRule="auto"/>
        <w:jc w:val="both"/>
        <w:rPr>
          <w:rFonts w:ascii="Arial" w:hAnsi="Arial" w:cs="Arial"/>
          <w:sz w:val="24"/>
          <w:szCs w:val="24"/>
        </w:rPr>
      </w:pPr>
    </w:p>
    <w:p w14:paraId="0FC523B2" w14:textId="77777777" w:rsidR="00F039E6" w:rsidRPr="00F1176A" w:rsidRDefault="00F039E6" w:rsidP="00F039E6">
      <w:pPr>
        <w:spacing w:line="480" w:lineRule="auto"/>
        <w:jc w:val="both"/>
        <w:rPr>
          <w:rFonts w:ascii="Arial" w:hAnsi="Arial" w:cs="Arial"/>
          <w:b/>
          <w:sz w:val="24"/>
          <w:szCs w:val="24"/>
        </w:rPr>
      </w:pPr>
      <w:r>
        <w:rPr>
          <w:rFonts w:ascii="Arial" w:hAnsi="Arial" w:cs="Arial"/>
          <w:b/>
          <w:sz w:val="24"/>
          <w:szCs w:val="24"/>
          <w:u w:val="single"/>
        </w:rPr>
        <w:t>Supplemental Table-</w:t>
      </w:r>
      <w:r w:rsidRPr="00F1176A">
        <w:rPr>
          <w:rFonts w:ascii="Arial" w:hAnsi="Arial" w:cs="Arial"/>
          <w:b/>
          <w:sz w:val="24"/>
          <w:szCs w:val="24"/>
          <w:u w:val="single"/>
        </w:rPr>
        <w:t>1</w:t>
      </w:r>
      <w:r w:rsidRPr="00F1176A">
        <w:rPr>
          <w:rFonts w:ascii="Arial" w:hAnsi="Arial" w:cs="Arial"/>
          <w:b/>
          <w:sz w:val="24"/>
          <w:szCs w:val="24"/>
        </w:rPr>
        <w:t>: Flow Antibody Summary</w:t>
      </w:r>
    </w:p>
    <w:p w14:paraId="18F70FE0" w14:textId="77777777" w:rsidR="00F039E6" w:rsidRPr="00F1176A" w:rsidRDefault="00F039E6" w:rsidP="00F039E6">
      <w:pPr>
        <w:spacing w:line="480" w:lineRule="auto"/>
        <w:jc w:val="both"/>
        <w:rPr>
          <w:rFonts w:ascii="Arial" w:hAnsi="Arial" w:cs="Arial"/>
          <w:b/>
          <w:sz w:val="24"/>
          <w:szCs w:val="24"/>
        </w:rPr>
      </w:pPr>
    </w:p>
    <w:p w14:paraId="1B7CB55E" w14:textId="77777777" w:rsidR="00F039E6" w:rsidRPr="00F039E6" w:rsidRDefault="00F039E6" w:rsidP="00F039E6">
      <w:pPr>
        <w:spacing w:after="0" w:line="480" w:lineRule="auto"/>
        <w:jc w:val="both"/>
        <w:rPr>
          <w:rFonts w:ascii="Arial" w:hAnsi="Arial" w:cs="Arial"/>
          <w:sz w:val="24"/>
          <w:szCs w:val="24"/>
        </w:rPr>
      </w:pPr>
    </w:p>
    <w:sectPr w:rsidR="00F039E6" w:rsidRPr="00F039E6">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B355F3" w14:textId="77777777" w:rsidR="009369CE" w:rsidRDefault="009369CE" w:rsidP="009A6735">
      <w:pPr>
        <w:spacing w:after="0" w:line="240" w:lineRule="auto"/>
      </w:pPr>
      <w:r>
        <w:separator/>
      </w:r>
    </w:p>
  </w:endnote>
  <w:endnote w:type="continuationSeparator" w:id="0">
    <w:p w14:paraId="797E4E80" w14:textId="77777777" w:rsidR="009369CE" w:rsidRDefault="009369CE" w:rsidP="009A67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E6B03A" w14:textId="77777777" w:rsidR="009369CE" w:rsidRDefault="009369CE" w:rsidP="009A6735">
      <w:pPr>
        <w:spacing w:after="0" w:line="240" w:lineRule="auto"/>
      </w:pPr>
      <w:r>
        <w:separator/>
      </w:r>
    </w:p>
  </w:footnote>
  <w:footnote w:type="continuationSeparator" w:id="0">
    <w:p w14:paraId="13FBF263" w14:textId="77777777" w:rsidR="009369CE" w:rsidRDefault="009369CE" w:rsidP="009A67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7201003"/>
      <w:docPartObj>
        <w:docPartGallery w:val="Page Numbers (Top of Page)"/>
        <w:docPartUnique/>
      </w:docPartObj>
    </w:sdtPr>
    <w:sdtEndPr>
      <w:rPr>
        <w:noProof/>
      </w:rPr>
    </w:sdtEndPr>
    <w:sdtContent>
      <w:p w14:paraId="3B2C3179" w14:textId="323DBAEA" w:rsidR="009A6735" w:rsidRDefault="009A673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9C9D8D5" w14:textId="77777777" w:rsidR="009A6735" w:rsidRDefault="009A673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9E6"/>
    <w:rsid w:val="0000255D"/>
    <w:rsid w:val="000250F0"/>
    <w:rsid w:val="000F5307"/>
    <w:rsid w:val="003B65B7"/>
    <w:rsid w:val="004864ED"/>
    <w:rsid w:val="004A1335"/>
    <w:rsid w:val="004B7F35"/>
    <w:rsid w:val="004F5664"/>
    <w:rsid w:val="005120FE"/>
    <w:rsid w:val="00543CE0"/>
    <w:rsid w:val="00566B31"/>
    <w:rsid w:val="005C6447"/>
    <w:rsid w:val="005F44CB"/>
    <w:rsid w:val="00636410"/>
    <w:rsid w:val="006B129B"/>
    <w:rsid w:val="006C2D30"/>
    <w:rsid w:val="006D31EE"/>
    <w:rsid w:val="007134C9"/>
    <w:rsid w:val="00720AEA"/>
    <w:rsid w:val="00760894"/>
    <w:rsid w:val="0086733C"/>
    <w:rsid w:val="008906C6"/>
    <w:rsid w:val="009369CE"/>
    <w:rsid w:val="0099101F"/>
    <w:rsid w:val="009A6735"/>
    <w:rsid w:val="009B0A49"/>
    <w:rsid w:val="009C15F9"/>
    <w:rsid w:val="00A26451"/>
    <w:rsid w:val="00A6136D"/>
    <w:rsid w:val="00AE71F7"/>
    <w:rsid w:val="00B508F5"/>
    <w:rsid w:val="00B64597"/>
    <w:rsid w:val="00B705D8"/>
    <w:rsid w:val="00B91D8F"/>
    <w:rsid w:val="00C1642B"/>
    <w:rsid w:val="00C65B00"/>
    <w:rsid w:val="00C813E8"/>
    <w:rsid w:val="00CC73AF"/>
    <w:rsid w:val="00D30016"/>
    <w:rsid w:val="00D90475"/>
    <w:rsid w:val="00F039E6"/>
    <w:rsid w:val="00F25647"/>
    <w:rsid w:val="00FB5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9E15F"/>
  <w15:chartTrackingRefBased/>
  <w15:docId w15:val="{F024A53B-7F17-4955-A799-EF1D5358B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unhideWhenUsed/>
    <w:qFormat/>
    <w:rsid w:val="00F039E6"/>
    <w:pPr>
      <w:keepNext/>
      <w:keepLines/>
      <w:spacing w:after="240" w:line="240" w:lineRule="auto"/>
      <w:jc w:val="both"/>
      <w:outlineLvl w:val="3"/>
    </w:pPr>
    <w:rPr>
      <w:rFonts w:ascii="Arial" w:eastAsiaTheme="majorEastAsia" w:hAnsi="Arial"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F039E6"/>
    <w:rPr>
      <w:rFonts w:ascii="Arial" w:eastAsiaTheme="majorEastAsia" w:hAnsi="Arial" w:cstheme="majorBidi"/>
      <w:b/>
      <w:iCs/>
    </w:rPr>
  </w:style>
  <w:style w:type="paragraph" w:styleId="Header">
    <w:name w:val="header"/>
    <w:basedOn w:val="Normal"/>
    <w:link w:val="HeaderChar"/>
    <w:uiPriority w:val="99"/>
    <w:unhideWhenUsed/>
    <w:rsid w:val="009A67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6735"/>
  </w:style>
  <w:style w:type="paragraph" w:styleId="Footer">
    <w:name w:val="footer"/>
    <w:basedOn w:val="Normal"/>
    <w:link w:val="FooterChar"/>
    <w:uiPriority w:val="99"/>
    <w:unhideWhenUsed/>
    <w:rsid w:val="009A67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6735"/>
  </w:style>
  <w:style w:type="character" w:styleId="CommentReference">
    <w:name w:val="annotation reference"/>
    <w:basedOn w:val="DefaultParagraphFont"/>
    <w:uiPriority w:val="99"/>
    <w:semiHidden/>
    <w:unhideWhenUsed/>
    <w:rsid w:val="00AE71F7"/>
    <w:rPr>
      <w:sz w:val="16"/>
      <w:szCs w:val="16"/>
    </w:rPr>
  </w:style>
  <w:style w:type="paragraph" w:styleId="CommentText">
    <w:name w:val="annotation text"/>
    <w:basedOn w:val="Normal"/>
    <w:link w:val="CommentTextChar"/>
    <w:uiPriority w:val="99"/>
    <w:semiHidden/>
    <w:unhideWhenUsed/>
    <w:rsid w:val="00AE71F7"/>
    <w:pPr>
      <w:spacing w:line="240" w:lineRule="auto"/>
    </w:pPr>
    <w:rPr>
      <w:sz w:val="20"/>
      <w:szCs w:val="20"/>
    </w:rPr>
  </w:style>
  <w:style w:type="character" w:customStyle="1" w:styleId="CommentTextChar">
    <w:name w:val="Comment Text Char"/>
    <w:basedOn w:val="DefaultParagraphFont"/>
    <w:link w:val="CommentText"/>
    <w:uiPriority w:val="99"/>
    <w:semiHidden/>
    <w:rsid w:val="00AE71F7"/>
    <w:rPr>
      <w:sz w:val="20"/>
      <w:szCs w:val="20"/>
    </w:rPr>
  </w:style>
  <w:style w:type="paragraph" w:styleId="CommentSubject">
    <w:name w:val="annotation subject"/>
    <w:basedOn w:val="CommentText"/>
    <w:next w:val="CommentText"/>
    <w:link w:val="CommentSubjectChar"/>
    <w:uiPriority w:val="99"/>
    <w:semiHidden/>
    <w:unhideWhenUsed/>
    <w:rsid w:val="00AE71F7"/>
    <w:rPr>
      <w:b/>
      <w:bCs/>
    </w:rPr>
  </w:style>
  <w:style w:type="character" w:customStyle="1" w:styleId="CommentSubjectChar">
    <w:name w:val="Comment Subject Char"/>
    <w:basedOn w:val="CommentTextChar"/>
    <w:link w:val="CommentSubject"/>
    <w:uiPriority w:val="99"/>
    <w:semiHidden/>
    <w:rsid w:val="00AE71F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14</Pages>
  <Words>2141</Words>
  <Characters>12208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Danh</dc:creator>
  <cp:keywords/>
  <dc:description/>
  <cp:lastModifiedBy>Tran, Danh</cp:lastModifiedBy>
  <cp:revision>5</cp:revision>
  <dcterms:created xsi:type="dcterms:W3CDTF">2021-10-09T17:08:00Z</dcterms:created>
  <dcterms:modified xsi:type="dcterms:W3CDTF">2021-10-11T00:55:00Z</dcterms:modified>
</cp:coreProperties>
</file>