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24145" w14:textId="3DF2F6C7" w:rsidR="00531051" w:rsidRPr="00123E9D" w:rsidRDefault="00531051" w:rsidP="00531051">
      <w:pPr>
        <w:spacing w:before="240"/>
        <w:rPr>
          <w:rFonts w:ascii="Times New Roman" w:hAnsi="Times New Roman" w:cs="Times New Roman"/>
          <w:b/>
          <w:u w:val="single"/>
        </w:rPr>
      </w:pPr>
      <w:r w:rsidRPr="00123E9D">
        <w:rPr>
          <w:rFonts w:ascii="Times New Roman" w:hAnsi="Times New Roman" w:cs="Times New Roman"/>
          <w:b/>
          <w:u w:val="single"/>
        </w:rPr>
        <w:t>Supplemental</w:t>
      </w:r>
      <w:r w:rsidR="00123E9D" w:rsidRPr="00123E9D">
        <w:rPr>
          <w:rFonts w:ascii="Times New Roman" w:hAnsi="Times New Roman" w:cs="Times New Roman"/>
          <w:b/>
          <w:u w:val="single"/>
        </w:rPr>
        <w:t xml:space="preserve"> Digital Content </w:t>
      </w:r>
      <w:r w:rsidR="007F35EB">
        <w:rPr>
          <w:rFonts w:ascii="Times New Roman" w:hAnsi="Times New Roman" w:cs="Times New Roman"/>
          <w:b/>
          <w:u w:val="single"/>
        </w:rPr>
        <w:t>1</w:t>
      </w:r>
      <w:r w:rsidRPr="00123E9D">
        <w:rPr>
          <w:rFonts w:ascii="Times New Roman" w:hAnsi="Times New Roman" w:cs="Times New Roman"/>
          <w:b/>
          <w:u w:val="single"/>
        </w:rPr>
        <w:t>: Detailed Variable Specifications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706"/>
        <w:gridCol w:w="5479"/>
        <w:gridCol w:w="1890"/>
        <w:gridCol w:w="1890"/>
        <w:gridCol w:w="1705"/>
      </w:tblGrid>
      <w:tr w:rsidR="00531051" w14:paraId="314699A6" w14:textId="77777777" w:rsidTr="00526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1C9E96C3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Construct</w:t>
            </w:r>
          </w:p>
        </w:tc>
        <w:tc>
          <w:tcPr>
            <w:tcW w:w="5479" w:type="dxa"/>
          </w:tcPr>
          <w:p w14:paraId="0B0A6E24" w14:textId="77777777" w:rsidR="00531051" w:rsidRDefault="00531051" w:rsidP="00F03510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Measured Variable</w:t>
            </w:r>
          </w:p>
        </w:tc>
        <w:tc>
          <w:tcPr>
            <w:tcW w:w="1890" w:type="dxa"/>
          </w:tcPr>
          <w:p w14:paraId="2A301081" w14:textId="77777777" w:rsidR="00531051" w:rsidRDefault="00531051" w:rsidP="00F03510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Variable Type</w:t>
            </w:r>
          </w:p>
        </w:tc>
        <w:tc>
          <w:tcPr>
            <w:tcW w:w="1890" w:type="dxa"/>
          </w:tcPr>
          <w:p w14:paraId="10F5EBE6" w14:textId="77777777" w:rsidR="00531051" w:rsidRDefault="00531051" w:rsidP="00F03510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Purpose/Use in Analysis</w:t>
            </w:r>
          </w:p>
        </w:tc>
        <w:tc>
          <w:tcPr>
            <w:tcW w:w="1705" w:type="dxa"/>
          </w:tcPr>
          <w:p w14:paraId="45679186" w14:textId="77777777" w:rsidR="00531051" w:rsidRDefault="00531051" w:rsidP="00F03510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Data Source(s)</w:t>
            </w:r>
          </w:p>
        </w:tc>
      </w:tr>
      <w:tr w:rsidR="00531051" w14:paraId="2D300707" w14:textId="77777777" w:rsidTr="0052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7C813238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Health Department Spending </w:t>
            </w:r>
          </w:p>
        </w:tc>
        <w:tc>
          <w:tcPr>
            <w:tcW w:w="5479" w:type="dxa"/>
          </w:tcPr>
          <w:p w14:paraId="0E395822" w14:textId="1A846A9E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35">
              <w:rPr>
                <w:rFonts w:ascii="Times New Roman" w:hAnsi="Times New Roman" w:cs="Times New Roman"/>
                <w:sz w:val="24"/>
                <w:szCs w:val="24"/>
              </w:rPr>
              <w:t xml:space="preserve">Per capita total LHD expenditures: </w:t>
            </w:r>
          </w:p>
          <w:p w14:paraId="3D591279" w14:textId="7486E04A" w:rsidR="00531051" w:rsidRPr="00E62A04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(Total LHD expenditures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# residents living in LHD service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B1173C" w14:textId="2440F99A" w:rsidR="00531051" w:rsidRPr="006122CC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measures standard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ized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 xml:space="preserve"> on a per capita basis to allow for comparisons across LHDs that differ markedly in size</w:t>
            </w:r>
          </w:p>
        </w:tc>
        <w:tc>
          <w:tcPr>
            <w:tcW w:w="1890" w:type="dxa"/>
          </w:tcPr>
          <w:p w14:paraId="49D55A1F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890" w:type="dxa"/>
          </w:tcPr>
          <w:p w14:paraId="18EF44BC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 Variable</w:t>
            </w:r>
          </w:p>
          <w:p w14:paraId="2E2CA23C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ABA5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D963C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</w:tcPr>
          <w:p w14:paraId="2139459B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PHAST</w:t>
            </w:r>
          </w:p>
        </w:tc>
      </w:tr>
      <w:tr w:rsidR="00531051" w14:paraId="7ACE6EE2" w14:textId="77777777" w:rsidTr="0052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268A6878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Intergovernmental Revenue (IGR) of Interest: State 5930 Grants</w:t>
            </w:r>
          </w:p>
        </w:tc>
        <w:tc>
          <w:tcPr>
            <w:tcW w:w="5479" w:type="dxa"/>
          </w:tcPr>
          <w:p w14:paraId="0D9FB3D5" w14:textId="4D750BCE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35">
              <w:rPr>
                <w:rFonts w:ascii="Times New Roman" w:hAnsi="Times New Roman" w:cs="Times New Roman"/>
                <w:sz w:val="24"/>
                <w:szCs w:val="24"/>
              </w:rPr>
              <w:t>Per cap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ita LHD revenues from state </w:t>
            </w:r>
            <w:r w:rsidRPr="00AB4935">
              <w:rPr>
                <w:rFonts w:ascii="Times New Roman" w:hAnsi="Times New Roman" w:cs="Times New Roman"/>
                <w:sz w:val="24"/>
                <w:szCs w:val="24"/>
              </w:rPr>
              <w:t xml:space="preserve">5930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  <w:p w14:paraId="437530CC" w14:textId="33C90680" w:rsidR="00531051" w:rsidRPr="00E62A04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(Total LHD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revenues from state 5930 grant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# residents living in LHD service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BC6870" w14:textId="3E98A4A7" w:rsidR="00531051" w:rsidRPr="006122CC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measures standard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ized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 xml:space="preserve"> on a per capita basis to allow for comparisons across LHDs that differ markedly in size</w:t>
            </w:r>
          </w:p>
        </w:tc>
        <w:tc>
          <w:tcPr>
            <w:tcW w:w="1890" w:type="dxa"/>
          </w:tcPr>
          <w:p w14:paraId="3AFF5699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890" w:type="dxa"/>
          </w:tcPr>
          <w:p w14:paraId="70AA081E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Variable of Interest</w:t>
            </w:r>
          </w:p>
        </w:tc>
        <w:tc>
          <w:tcPr>
            <w:tcW w:w="1705" w:type="dxa"/>
          </w:tcPr>
          <w:p w14:paraId="46064D40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PHAST</w:t>
            </w:r>
          </w:p>
        </w:tc>
      </w:tr>
      <w:tr w:rsidR="00531051" w14:paraId="17A85AEF" w14:textId="77777777" w:rsidTr="0052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5C80BDC0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Other Revenue</w:t>
            </w:r>
          </w:p>
        </w:tc>
        <w:tc>
          <w:tcPr>
            <w:tcW w:w="5479" w:type="dxa"/>
          </w:tcPr>
          <w:p w14:paraId="572612C4" w14:textId="60A027C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35">
              <w:rPr>
                <w:rFonts w:ascii="Times New Roman" w:hAnsi="Times New Roman" w:cs="Times New Roman"/>
                <w:sz w:val="24"/>
                <w:szCs w:val="24"/>
              </w:rPr>
              <w:t>Per cap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 LHD revenues from all sources other than 5930 program</w:t>
            </w:r>
          </w:p>
          <w:p w14:paraId="6AAAD7DF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(Total LHD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revenues from all other sources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# residents living in LHD service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286AB7" w14:textId="77777777" w:rsidR="00531051" w:rsidRPr="00E62A04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BB2F" w14:textId="43E88CA0" w:rsidR="00531051" w:rsidRPr="00AB4935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All 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>measures standard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ized</w:t>
            </w:r>
            <w:r w:rsidRPr="00E62A04">
              <w:rPr>
                <w:rFonts w:ascii="Times New Roman" w:hAnsi="Times New Roman" w:cs="Times New Roman"/>
                <w:sz w:val="24"/>
                <w:szCs w:val="24"/>
              </w:rPr>
              <w:t xml:space="preserve"> on a per capita basis to allow for comparisons across LHDs that differ markedly in size</w:t>
            </w:r>
          </w:p>
        </w:tc>
        <w:tc>
          <w:tcPr>
            <w:tcW w:w="1890" w:type="dxa"/>
          </w:tcPr>
          <w:p w14:paraId="0BC0D843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Continuous</w:t>
            </w:r>
          </w:p>
        </w:tc>
        <w:tc>
          <w:tcPr>
            <w:tcW w:w="1890" w:type="dxa"/>
          </w:tcPr>
          <w:p w14:paraId="0035422F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1638AF43" w14:textId="77777777" w:rsidR="00531051" w:rsidRPr="00EA4064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PHAST</w:t>
            </w:r>
          </w:p>
        </w:tc>
      </w:tr>
      <w:tr w:rsidR="00531051" w14:paraId="533516C7" w14:textId="77777777" w:rsidTr="0052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30B55082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Financing Latitude (General): </w:t>
            </w: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Revenue Diversification</w:t>
            </w:r>
          </w:p>
        </w:tc>
        <w:tc>
          <w:tcPr>
            <w:tcW w:w="5479" w:type="dxa"/>
          </w:tcPr>
          <w:p w14:paraId="0A59339D" w14:textId="23312356" w:rsidR="00531051" w:rsidRPr="00EA4064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 xml:space="preserve">HHI Measure of Diversification: </w:t>
            </w:r>
          </w:p>
          <w:p w14:paraId="5F0E7657" w14:textId="40FE8778" w:rsidR="00531051" w:rsidRPr="00EA4064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[1 minus the summation (from i =1 to i = n) of R</w:t>
            </w:r>
            <w:r w:rsidRPr="00EA4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EA40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], divided by [1 minus (100%/n)], where R</w:t>
            </w:r>
            <w:r w:rsidRPr="00EA4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 xml:space="preserve"> is the proportion of total revenue generated from each source and n represents the total number of revenue sources </w:t>
            </w:r>
          </w:p>
          <w:p w14:paraId="48DEC2DE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case specifications set to equal those used in Paper 1</w:t>
            </w:r>
          </w:p>
        </w:tc>
        <w:tc>
          <w:tcPr>
            <w:tcW w:w="1890" w:type="dxa"/>
          </w:tcPr>
          <w:p w14:paraId="24E6A1A1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Continuous; Range 0-1</w:t>
            </w:r>
          </w:p>
        </w:tc>
        <w:tc>
          <w:tcPr>
            <w:tcW w:w="1890" w:type="dxa"/>
          </w:tcPr>
          <w:p w14:paraId="3ED3754E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514806AE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PHAST</w:t>
            </w:r>
          </w:p>
        </w:tc>
      </w:tr>
      <w:tr w:rsidR="00531051" w14:paraId="1F199533" w14:textId="77777777" w:rsidTr="0052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36B7BAC4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Slack: Operating Margin</w:t>
            </w:r>
          </w:p>
        </w:tc>
        <w:tc>
          <w:tcPr>
            <w:tcW w:w="5479" w:type="dxa"/>
          </w:tcPr>
          <w:p w14:paraId="1F120F4C" w14:textId="0C29AA4E" w:rsidR="00531051" w:rsidRPr="00EA4064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Operating Margin</w:t>
            </w:r>
          </w:p>
          <w:p w14:paraId="12E1AB48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(Total revenues-total expenses)/total revenues</w:t>
            </w:r>
          </w:p>
        </w:tc>
        <w:tc>
          <w:tcPr>
            <w:tcW w:w="1890" w:type="dxa"/>
          </w:tcPr>
          <w:p w14:paraId="7674A65F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890" w:type="dxa"/>
          </w:tcPr>
          <w:p w14:paraId="741F73B5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75A6E7DA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PHAST</w:t>
            </w:r>
          </w:p>
        </w:tc>
      </w:tr>
      <w:tr w:rsidR="00531051" w14:paraId="0E8D7B71" w14:textId="77777777" w:rsidTr="0052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337D9ADF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Context: Community Dispersion and Socioeconomics</w:t>
            </w:r>
          </w:p>
        </w:tc>
        <w:tc>
          <w:tcPr>
            <w:tcW w:w="5479" w:type="dxa"/>
          </w:tcPr>
          <w:p w14:paraId="66C0423D" w14:textId="1CF127EA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1212A22D" w14:textId="0EEC01CA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2013 OMB Classification Scheme:</w:t>
            </w:r>
          </w:p>
          <w:p w14:paraId="6FE44288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 Noncore</w:t>
            </w:r>
          </w:p>
          <w:p w14:paraId="22D93F5D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Micropolitan</w:t>
            </w:r>
          </w:p>
          <w:p w14:paraId="03609241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Metropolitan </w:t>
            </w:r>
          </w:p>
        </w:tc>
        <w:tc>
          <w:tcPr>
            <w:tcW w:w="1890" w:type="dxa"/>
          </w:tcPr>
          <w:p w14:paraId="2AD77552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  <w:tc>
          <w:tcPr>
            <w:tcW w:w="1890" w:type="dxa"/>
          </w:tcPr>
          <w:p w14:paraId="26BC9CFD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2CDF535A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Washington State Department of Health </w:t>
            </w:r>
            <w:hyperlink r:id="rId6" w:history="1">
              <w:r w:rsidRPr="00B25A5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Guidelines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051" w14:paraId="086D0D32" w14:textId="77777777" w:rsidTr="0052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64C54610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79" w:type="dxa"/>
          </w:tcPr>
          <w:p w14:paraId="3095F19A" w14:textId="6440CE20" w:rsidR="00531051" w:rsidRPr="00D56BFE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Median household income</w:t>
            </w:r>
          </w:p>
        </w:tc>
        <w:tc>
          <w:tcPr>
            <w:tcW w:w="1890" w:type="dxa"/>
          </w:tcPr>
          <w:p w14:paraId="03625C38" w14:textId="77777777" w:rsidR="00531051" w:rsidRPr="00EA4064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Zero-Truncated Continuous;</w:t>
            </w:r>
          </w:p>
          <w:p w14:paraId="6F787774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Range: 0 to +Infinity</w:t>
            </w:r>
          </w:p>
        </w:tc>
        <w:tc>
          <w:tcPr>
            <w:tcW w:w="1890" w:type="dxa"/>
          </w:tcPr>
          <w:p w14:paraId="7B8B964C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</w:t>
            </w:r>
          </w:p>
        </w:tc>
        <w:tc>
          <w:tcPr>
            <w:tcW w:w="1705" w:type="dxa"/>
          </w:tcPr>
          <w:p w14:paraId="3511D6E0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AHRF; Census</w:t>
            </w:r>
          </w:p>
        </w:tc>
      </w:tr>
      <w:tr w:rsidR="00531051" w14:paraId="7C35E6AC" w14:textId="77777777" w:rsidTr="0052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5A9FE505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79" w:type="dxa"/>
          </w:tcPr>
          <w:p w14:paraId="0359D5D8" w14:textId="200AFC22" w:rsidR="00531051" w:rsidRPr="00D56BFE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Percent living at or below 100% FPL</w:t>
            </w:r>
          </w:p>
        </w:tc>
        <w:tc>
          <w:tcPr>
            <w:tcW w:w="1890" w:type="dxa"/>
          </w:tcPr>
          <w:p w14:paraId="286D7199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Continuous; Range 0-1</w:t>
            </w:r>
          </w:p>
        </w:tc>
        <w:tc>
          <w:tcPr>
            <w:tcW w:w="1890" w:type="dxa"/>
          </w:tcPr>
          <w:p w14:paraId="09ABC1EB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1D3B04DA" w14:textId="77777777" w:rsidR="00531051" w:rsidRDefault="00531051" w:rsidP="00F03510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AHRF; Census</w:t>
            </w:r>
          </w:p>
        </w:tc>
      </w:tr>
      <w:tr w:rsidR="00531051" w14:paraId="70E47B85" w14:textId="77777777" w:rsidTr="0052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3ADF5FA0" w14:textId="77777777" w:rsidR="00531051" w:rsidRDefault="00531051" w:rsidP="00F03510">
            <w:pPr>
              <w:spacing w:before="24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79" w:type="dxa"/>
          </w:tcPr>
          <w:p w14:paraId="266462CE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Unemployment rate, 16+</w:t>
            </w:r>
          </w:p>
        </w:tc>
        <w:tc>
          <w:tcPr>
            <w:tcW w:w="1890" w:type="dxa"/>
          </w:tcPr>
          <w:p w14:paraId="742F3EF7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Continuous; Range 0-1</w:t>
            </w:r>
          </w:p>
        </w:tc>
        <w:tc>
          <w:tcPr>
            <w:tcW w:w="1890" w:type="dxa"/>
          </w:tcPr>
          <w:p w14:paraId="538F8A88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705" w:type="dxa"/>
          </w:tcPr>
          <w:p w14:paraId="44C26689" w14:textId="77777777" w:rsidR="00531051" w:rsidRDefault="00531051" w:rsidP="00F03510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4064">
              <w:rPr>
                <w:rFonts w:ascii="Times New Roman" w:hAnsi="Times New Roman" w:cs="Times New Roman"/>
                <w:sz w:val="24"/>
                <w:szCs w:val="24"/>
              </w:rPr>
              <w:t>AHRF; Bureau of Labor Statistics</w:t>
            </w:r>
          </w:p>
        </w:tc>
      </w:tr>
    </w:tbl>
    <w:p w14:paraId="086390C9" w14:textId="77777777" w:rsidR="00531051" w:rsidRDefault="00531051" w:rsidP="00531051">
      <w:pPr>
        <w:spacing w:before="240"/>
        <w:rPr>
          <w:rFonts w:ascii="Times New Roman" w:hAnsi="Times New Roman"/>
          <w:sz w:val="24"/>
          <w:szCs w:val="24"/>
        </w:rPr>
      </w:pPr>
    </w:p>
    <w:p w14:paraId="1E9E75D9" w14:textId="77777777" w:rsidR="007F35EB" w:rsidRDefault="00531051" w:rsidP="00531051">
      <w:pPr>
        <w:rPr>
          <w:rFonts w:ascii="Times New Roman" w:hAnsi="Times New Roman"/>
          <w:sz w:val="24"/>
          <w:szCs w:val="24"/>
        </w:rPr>
        <w:sectPr w:rsidR="007F35EB" w:rsidSect="005310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14:paraId="401BCD8A" w14:textId="6AA2D9BF" w:rsidR="007F35EB" w:rsidRPr="002A78D9" w:rsidRDefault="007F35EB" w:rsidP="007F35EB">
      <w:pPr>
        <w:spacing w:before="240"/>
        <w:rPr>
          <w:rFonts w:ascii="Times New Roman" w:hAnsi="Times New Roman"/>
          <w:b/>
          <w:iCs/>
          <w:sz w:val="32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lastRenderedPageBreak/>
        <w:t xml:space="preserve">Supplemental Digital Content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2</w:t>
      </w:r>
      <w:r w:rsidRPr="002A78D9">
        <w:rPr>
          <w:rFonts w:ascii="Times New Roman" w:hAnsi="Times New Roman"/>
          <w:b/>
          <w:i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Econometric Equation</w:t>
      </w:r>
    </w:p>
    <w:p w14:paraId="05A8FA75" w14:textId="77777777" w:rsidR="007F35EB" w:rsidRPr="00123E9D" w:rsidRDefault="007F35EB" w:rsidP="007F35EB">
      <w:pPr>
        <w:spacing w:before="240"/>
        <w:contextualSpacing/>
        <w:rPr>
          <w:rFonts w:ascii="Times New Roman" w:hAnsi="Times New Roman"/>
          <w:sz w:val="24"/>
          <w:szCs w:val="24"/>
        </w:rPr>
      </w:pPr>
    </w:p>
    <w:p w14:paraId="3E9D0D61" w14:textId="77777777" w:rsidR="007F35EB" w:rsidRPr="00DD255D" w:rsidRDefault="007F35EB" w:rsidP="007F35E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econometric equation underlying these analyses will adhere to the following general form:</w:t>
      </w:r>
    </w:p>
    <w:p w14:paraId="2A1728E4" w14:textId="77777777" w:rsidR="007F35EB" w:rsidRDefault="007F35EB" w:rsidP="007F35EB">
      <w:pPr>
        <w:spacing w:before="24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887DCF">
        <w:rPr>
          <w:rFonts w:ascii="Times New Roman" w:hAnsi="Times New Roman" w:cs="Times New Roman"/>
          <w:i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/>
          <w:sz w:val="24"/>
          <w:szCs w:val="24"/>
        </w:rPr>
        <w:t xml:space="preserve"> –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i,2006</w:t>
      </w:r>
      <w:r w:rsidRPr="00887DCF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87DCF">
        <w:rPr>
          <w:rFonts w:ascii="Times New Roman" w:hAnsi="Times New Roman" w:cs="Times New Roman"/>
          <w:i/>
          <w:sz w:val="24"/>
          <w:szCs w:val="24"/>
          <w:lang w:val="el-GR"/>
        </w:rPr>
        <w:t>β</w:t>
      </w:r>
      <w:r>
        <w:rPr>
          <w:rFonts w:ascii="Times New Roman" w:hAnsi="Times New Roman" w:cs="Times New Roman"/>
          <w:i/>
          <w:sz w:val="24"/>
          <w:szCs w:val="24"/>
        </w:rPr>
        <w:t xml:space="preserve"> (Grant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/>
          <w:sz w:val="24"/>
          <w:szCs w:val="24"/>
        </w:rPr>
        <w:t xml:space="preserve"> - Grant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i,2006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87DC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887DCF">
        <w:rPr>
          <w:rFonts w:ascii="Symbol" w:hAnsi="Symbol" w:cs="Times New Roman"/>
          <w:i/>
          <w:sz w:val="24"/>
          <w:szCs w:val="24"/>
        </w:rPr>
        <w:t></w:t>
      </w:r>
      <w:r>
        <w:rPr>
          <w:rFonts w:ascii="Symbol" w:hAnsi="Symbol" w:cs="Times New Roman"/>
          <w:i/>
          <w:sz w:val="24"/>
          <w:szCs w:val="24"/>
        </w:rPr>
        <w:t></w:t>
      </w:r>
      <w:r w:rsidRPr="00887DCF">
        <w:rPr>
          <w:rFonts w:ascii="Times New Roman" w:hAnsi="Times New Roman" w:cs="Times New Roman"/>
          <w:i/>
          <w:sz w:val="24"/>
          <w:szCs w:val="24"/>
        </w:rPr>
        <w:t>X</w:t>
      </w:r>
      <w:r w:rsidRPr="004F020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/>
          <w:sz w:val="24"/>
          <w:szCs w:val="24"/>
        </w:rPr>
        <w:t xml:space="preserve"> -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i,2006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87DC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4F020C">
        <w:rPr>
          <w:rFonts w:ascii="Times New Roman" w:hAnsi="Times New Roman" w:cs="Times New Roman"/>
          <w:i/>
          <w:iCs/>
          <w:sz w:val="24"/>
          <w:szCs w:val="24"/>
          <w:lang w:val="el-GR"/>
        </w:rPr>
        <w:t>ε</w:t>
      </w:r>
      <w:r w:rsidRPr="004F020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558886D2" w14:textId="77777777" w:rsidR="007F35EB" w:rsidRDefault="007F35EB" w:rsidP="007F35EB">
      <w:pPr>
        <w:spacing w:before="24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</w:t>
      </w:r>
    </w:p>
    <w:p w14:paraId="71A917E1" w14:textId="77777777" w:rsidR="007F35EB" w:rsidRPr="00887DCF" w:rsidRDefault="007F35EB" w:rsidP="007F35EB">
      <w:pPr>
        <w:spacing w:before="24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∆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it </w:t>
      </w:r>
      <w:r>
        <w:rPr>
          <w:rFonts w:ascii="Times New Roman" w:hAnsi="Times New Roman" w:cs="Times New Roman"/>
          <w:iCs/>
          <w:sz w:val="24"/>
          <w:szCs w:val="24"/>
        </w:rPr>
        <w:t xml:space="preserve">= </w:t>
      </w:r>
      <w:r w:rsidRPr="00887DCF">
        <w:rPr>
          <w:rFonts w:ascii="Times New Roman" w:hAnsi="Times New Roman" w:cs="Times New Roman"/>
          <w:i/>
          <w:sz w:val="24"/>
          <w:szCs w:val="24"/>
          <w:lang w:val="el-GR"/>
        </w:rPr>
        <w:t>β</w:t>
      </w:r>
      <w:r w:rsidRPr="00E142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∆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J</w:t>
      </w:r>
      <w:r w:rsidRPr="00E1420A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Grant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it </w:t>
      </w:r>
      <w:r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887DCF">
        <w:rPr>
          <w:rFonts w:ascii="Symbol" w:hAnsi="Symbol" w:cs="Times New Roman"/>
          <w:i/>
          <w:sz w:val="24"/>
          <w:szCs w:val="24"/>
        </w:rPr>
        <w:t>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∆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J</w:t>
      </w:r>
      <w:r w:rsidRPr="00E142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/>
          <w:sz w:val="24"/>
          <w:szCs w:val="24"/>
        </w:rPr>
        <w:t xml:space="preserve"> + </w:t>
      </w:r>
      <w:r>
        <w:rPr>
          <w:rFonts w:ascii="Symbol" w:hAnsi="Symbol" w:cs="Times New Roman"/>
          <w:i/>
          <w:sz w:val="24"/>
          <w:szCs w:val="24"/>
        </w:rPr>
        <w:t></w:t>
      </w:r>
      <w:r>
        <w:rPr>
          <w:rFonts w:ascii="Times New Roman" w:hAnsi="Times New Roman" w:cs="Times New Roman"/>
          <w:i/>
          <w:sz w:val="24"/>
          <w:szCs w:val="24"/>
        </w:rPr>
        <w:t>Year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4F020C">
        <w:rPr>
          <w:rFonts w:ascii="Times New Roman" w:hAnsi="Times New Roman" w:cs="Times New Roman"/>
          <w:i/>
          <w:iCs/>
          <w:sz w:val="24"/>
          <w:szCs w:val="24"/>
          <w:lang w:val="el-GR"/>
        </w:rPr>
        <w:t>ε</w:t>
      </w:r>
      <w:r w:rsidRPr="004F020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iCs/>
          <w:sz w:val="24"/>
          <w:szCs w:val="24"/>
        </w:rPr>
        <w:t>, where, for each LHD “i” at time “t”:</w:t>
      </w:r>
    </w:p>
    <w:p w14:paraId="7F05FAA9" w14:textId="77777777" w:rsidR="007F35EB" w:rsidRDefault="007F35EB" w:rsidP="007F35E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 w:rsidRPr="00AF4734">
        <w:rPr>
          <w:rFonts w:ascii="Times New Roman" w:hAnsi="Times New Roman" w:cs="Times New Roman"/>
          <w:sz w:val="24"/>
          <w:szCs w:val="24"/>
        </w:rPr>
        <w:t>Per capita total expenditures</w:t>
      </w:r>
      <w:r>
        <w:rPr>
          <w:rFonts w:ascii="Times New Roman" w:hAnsi="Times New Roman" w:cs="Times New Roman"/>
          <w:sz w:val="24"/>
          <w:szCs w:val="24"/>
        </w:rPr>
        <w:t xml:space="preserve"> for LHD i at time t </w:t>
      </w:r>
    </w:p>
    <w:p w14:paraId="236E2334" w14:textId="77777777" w:rsidR="007F35EB" w:rsidRDefault="007F35EB" w:rsidP="007F35E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B4935">
        <w:rPr>
          <w:rFonts w:ascii="Times New Roman" w:hAnsi="Times New Roman" w:cs="Times New Roman"/>
          <w:sz w:val="24"/>
          <w:szCs w:val="24"/>
        </w:rPr>
        <w:t>Per cap</w:t>
      </w:r>
      <w:r>
        <w:rPr>
          <w:rFonts w:ascii="Times New Roman" w:hAnsi="Times New Roman" w:cs="Times New Roman"/>
          <w:sz w:val="24"/>
          <w:szCs w:val="24"/>
        </w:rPr>
        <w:t xml:space="preserve">ita revenues from the state </w:t>
      </w:r>
      <w:r w:rsidRPr="00AB4935">
        <w:rPr>
          <w:rFonts w:ascii="Times New Roman" w:hAnsi="Times New Roman" w:cs="Times New Roman"/>
          <w:sz w:val="24"/>
          <w:szCs w:val="24"/>
        </w:rPr>
        <w:t>5930 block grant</w:t>
      </w:r>
      <w:r>
        <w:rPr>
          <w:rFonts w:ascii="Times New Roman" w:hAnsi="Times New Roman" w:cs="Times New Roman"/>
          <w:sz w:val="24"/>
          <w:szCs w:val="24"/>
        </w:rPr>
        <w:t xml:space="preserve"> received by LHD i at time t</w:t>
      </w:r>
    </w:p>
    <w:p w14:paraId="53493477" w14:textId="77777777" w:rsidR="007F35EB" w:rsidRPr="00AB4935" w:rsidRDefault="007F35EB" w:rsidP="007F35E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A6EAA5F" w14:textId="77777777" w:rsidR="007F35EB" w:rsidRDefault="007F35EB" w:rsidP="007F35E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it = </w:t>
      </w:r>
      <w:r>
        <w:rPr>
          <w:rFonts w:ascii="Times New Roman" w:hAnsi="Times New Roman" w:cs="Times New Roman"/>
          <w:sz w:val="24"/>
          <w:szCs w:val="24"/>
        </w:rPr>
        <w:t xml:space="preserve">A vector of controls that include institutional, epidemiological, demographic, economic, and structural (e.g., healthcare access) factors </w:t>
      </w:r>
    </w:p>
    <w:p w14:paraId="428AE2FE" w14:textId="77777777" w:rsidR="007F35EB" w:rsidRPr="000A15EF" w:rsidRDefault="007F35EB" w:rsidP="007F35E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7DCF">
        <w:rPr>
          <w:rFonts w:ascii="Times New Roman" w:hAnsi="Times New Roman" w:cs="Times New Roman"/>
          <w:iCs/>
          <w:sz w:val="24"/>
          <w:szCs w:val="24"/>
          <w:lang w:val="el-GR"/>
        </w:rPr>
        <w:t>ε</w:t>
      </w:r>
      <w:r w:rsidRPr="00887DCF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it </w:t>
      </w:r>
      <w:r w:rsidRPr="00887DCF">
        <w:rPr>
          <w:rFonts w:ascii="Times New Roman" w:hAnsi="Times New Roman" w:cs="Times New Roman"/>
          <w:iCs/>
          <w:sz w:val="24"/>
          <w:szCs w:val="24"/>
        </w:rPr>
        <w:t xml:space="preserve">= An error term that varies over both i and t </w:t>
      </w:r>
    </w:p>
    <w:p w14:paraId="6EB61F0C" w14:textId="79D5EAD2" w:rsidR="00531051" w:rsidRDefault="00531051" w:rsidP="00531051">
      <w:pPr>
        <w:rPr>
          <w:rFonts w:ascii="Times New Roman" w:hAnsi="Times New Roman"/>
          <w:sz w:val="24"/>
          <w:szCs w:val="24"/>
        </w:rPr>
      </w:pPr>
    </w:p>
    <w:sectPr w:rsidR="00531051" w:rsidSect="007F35EB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4A1E" w14:textId="77777777" w:rsidR="00531051" w:rsidRDefault="00531051" w:rsidP="00531051">
      <w:pPr>
        <w:spacing w:after="0" w:line="240" w:lineRule="auto"/>
      </w:pPr>
      <w:r>
        <w:separator/>
      </w:r>
    </w:p>
  </w:endnote>
  <w:endnote w:type="continuationSeparator" w:id="0">
    <w:p w14:paraId="3B4FD113" w14:textId="77777777" w:rsidR="00531051" w:rsidRDefault="00531051" w:rsidP="0053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E4826" w14:textId="77777777" w:rsidR="00531051" w:rsidRDefault="00531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7E061" w14:textId="77777777" w:rsidR="00531051" w:rsidRDefault="00531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4A91" w14:textId="77777777" w:rsidR="00531051" w:rsidRDefault="0053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B45EA" w14:textId="77777777" w:rsidR="00531051" w:rsidRDefault="00531051" w:rsidP="00531051">
      <w:pPr>
        <w:spacing w:after="0" w:line="240" w:lineRule="auto"/>
      </w:pPr>
      <w:r>
        <w:separator/>
      </w:r>
    </w:p>
  </w:footnote>
  <w:footnote w:type="continuationSeparator" w:id="0">
    <w:p w14:paraId="0B32650E" w14:textId="77777777" w:rsidR="00531051" w:rsidRDefault="00531051" w:rsidP="0053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F4CF" w14:textId="77777777" w:rsidR="00531051" w:rsidRDefault="0053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59CCC" w14:textId="77777777" w:rsidR="00531051" w:rsidRDefault="00531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AD26A" w14:textId="77777777" w:rsidR="00531051" w:rsidRDefault="00531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1"/>
    <w:rsid w:val="00123E9D"/>
    <w:rsid w:val="002E401C"/>
    <w:rsid w:val="00531051"/>
    <w:rsid w:val="006122CC"/>
    <w:rsid w:val="007F35EB"/>
    <w:rsid w:val="00D56BFE"/>
    <w:rsid w:val="00F0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5F21D"/>
  <w15:chartTrackingRefBased/>
  <w15:docId w15:val="{B6C2E70E-0271-4D84-B2BF-B7890C9E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5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31051"/>
    <w:rPr>
      <w:color w:val="0563C1" w:themeColor="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31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3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51"/>
  </w:style>
  <w:style w:type="paragraph" w:styleId="Footer">
    <w:name w:val="footer"/>
    <w:basedOn w:val="Normal"/>
    <w:link w:val="FooterChar"/>
    <w:uiPriority w:val="99"/>
    <w:unhideWhenUsed/>
    <w:rsid w:val="0053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51"/>
  </w:style>
  <w:style w:type="paragraph" w:styleId="BalloonText">
    <w:name w:val="Balloon Text"/>
    <w:basedOn w:val="Normal"/>
    <w:link w:val="BalloonTextChar"/>
    <w:uiPriority w:val="99"/>
    <w:semiHidden/>
    <w:unhideWhenUsed/>
    <w:rsid w:val="00F0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h.wa.gov/Portals/1/Documents/1500/RUCAGuide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Viall, Abigail H. (CDC/DDID/NCEZID/DHQP)</dc:creator>
  <cp:keywords/>
  <dc:description/>
  <cp:lastModifiedBy>Viall, Abigail H. (CDC/DDID/NCEZID/DHQP)</cp:lastModifiedBy>
  <cp:revision>6</cp:revision>
  <dcterms:created xsi:type="dcterms:W3CDTF">2021-05-09T19:01:00Z</dcterms:created>
  <dcterms:modified xsi:type="dcterms:W3CDTF">2021-05-09T19:11:00Z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2021-05-09T19:03:37Z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9467abf5-f7b8-41d1-a001-f3a9a1f86cf7</vt:lpwstr>
  </property>
  <property fmtid="{D5CDD505-2E9C-101B-9397-08002B2CF9AE}" pid="8" name="MSIP_Label_7b94a7b8-f06c-4dfe-bdcc-9b548fd58c31_ContentBits">
    <vt:lpwstr>0</vt:lpwstr>
  </property>
</Properties>
</file>