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0EFBC" w14:textId="77777777" w:rsidR="004221E2" w:rsidRDefault="004221E2" w:rsidP="004221E2">
      <w:r>
        <w:t>Appendix</w:t>
      </w:r>
    </w:p>
    <w:p w14:paraId="0D19F3D0" w14:textId="77777777" w:rsidR="004221E2" w:rsidRDefault="004221E2" w:rsidP="004221E2">
      <w:pPr>
        <w:jc w:val="center"/>
        <w:outlineLvl w:val="0"/>
      </w:pPr>
      <w:r>
        <w:t>Table A.1. Variable definitions and sources</w:t>
      </w:r>
    </w:p>
    <w:tbl>
      <w:tblPr>
        <w:tblStyle w:val="TableGrid"/>
        <w:tblW w:w="13896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40"/>
        <w:gridCol w:w="6120"/>
        <w:gridCol w:w="900"/>
        <w:gridCol w:w="4446"/>
      </w:tblGrid>
      <w:tr w:rsidR="004221E2" w:rsidRPr="00365123" w14:paraId="6E5728A2" w14:textId="77777777" w:rsidTr="00845404">
        <w:tc>
          <w:tcPr>
            <w:tcW w:w="1890" w:type="dxa"/>
          </w:tcPr>
          <w:p w14:paraId="37AB3759" w14:textId="77777777" w:rsidR="004221E2" w:rsidRPr="00365123" w:rsidRDefault="004221E2" w:rsidP="00845404">
            <w:r w:rsidRPr="00365123">
              <w:t>Variable name</w:t>
            </w:r>
          </w:p>
        </w:tc>
        <w:tc>
          <w:tcPr>
            <w:tcW w:w="6660" w:type="dxa"/>
            <w:gridSpan w:val="2"/>
          </w:tcPr>
          <w:p w14:paraId="3E77216E" w14:textId="77777777" w:rsidR="004221E2" w:rsidRPr="00365123" w:rsidRDefault="004221E2" w:rsidP="00845404">
            <w:r w:rsidRPr="00365123">
              <w:t>Description</w:t>
            </w:r>
          </w:p>
        </w:tc>
        <w:tc>
          <w:tcPr>
            <w:tcW w:w="5346" w:type="dxa"/>
            <w:gridSpan w:val="2"/>
          </w:tcPr>
          <w:p w14:paraId="7B4A5977" w14:textId="77777777" w:rsidR="004221E2" w:rsidRPr="00365123" w:rsidRDefault="004221E2" w:rsidP="00845404">
            <w:r w:rsidRPr="00365123">
              <w:t>Source</w:t>
            </w:r>
          </w:p>
        </w:tc>
      </w:tr>
      <w:tr w:rsidR="004221E2" w:rsidRPr="00365123" w14:paraId="076F258F" w14:textId="77777777" w:rsidTr="00845404">
        <w:tc>
          <w:tcPr>
            <w:tcW w:w="1890" w:type="dxa"/>
          </w:tcPr>
          <w:p w14:paraId="20BEB92D" w14:textId="77777777" w:rsidR="004221E2" w:rsidRPr="00365123" w:rsidRDefault="004221E2" w:rsidP="00845404">
            <w:r w:rsidRPr="00365123">
              <w:t>P</w:t>
            </w:r>
            <w:r>
              <w:t>rice</w:t>
            </w:r>
          </w:p>
        </w:tc>
        <w:tc>
          <w:tcPr>
            <w:tcW w:w="6660" w:type="dxa"/>
            <w:gridSpan w:val="2"/>
          </w:tcPr>
          <w:p w14:paraId="4FD2C398" w14:textId="77777777" w:rsidR="004221E2" w:rsidRPr="00365123" w:rsidRDefault="004221E2" w:rsidP="00845404">
            <w:pPr>
              <w:rPr>
                <w:vertAlign w:val="superscript"/>
              </w:rPr>
            </w:pPr>
            <w:r w:rsidRPr="00365123">
              <w:t>Adjusted vaccine price</w:t>
            </w:r>
            <w:r>
              <w:t xml:space="preserve"> per dose (excluding federal ex</w:t>
            </w:r>
            <w:r w:rsidRPr="00365123">
              <w:t>cise tax) in 201</w:t>
            </w:r>
            <w:r>
              <w:t>4</w:t>
            </w:r>
            <w:r w:rsidRPr="00365123">
              <w:t xml:space="preserve"> dollars</w:t>
            </w:r>
          </w:p>
        </w:tc>
        <w:tc>
          <w:tcPr>
            <w:tcW w:w="5346" w:type="dxa"/>
            <w:gridSpan w:val="2"/>
          </w:tcPr>
          <w:p w14:paraId="63A68CA9" w14:textId="77777777" w:rsidR="004221E2" w:rsidRPr="00365123" w:rsidRDefault="004221E2" w:rsidP="00845404">
            <w:r w:rsidRPr="00365123">
              <w:t xml:space="preserve">CDC Vaccine Price List; </w:t>
            </w:r>
            <w:r>
              <w:t>CPI</w:t>
            </w:r>
            <w:r w:rsidRPr="00365123">
              <w:t xml:space="preserve"> from Bureau of Labor Statistics database (used to adjust prices)</w:t>
            </w:r>
          </w:p>
        </w:tc>
      </w:tr>
      <w:tr w:rsidR="004221E2" w:rsidRPr="00365123" w14:paraId="33B65C30" w14:textId="77777777" w:rsidTr="00845404">
        <w:tc>
          <w:tcPr>
            <w:tcW w:w="1890" w:type="dxa"/>
          </w:tcPr>
          <w:p w14:paraId="4E00A395" w14:textId="77777777" w:rsidR="004221E2" w:rsidRDefault="004221E2" w:rsidP="00845404">
            <w:r>
              <w:t>DirCompete1</w:t>
            </w:r>
          </w:p>
          <w:p w14:paraId="099073A8" w14:textId="77777777" w:rsidR="004221E2" w:rsidRPr="00365123" w:rsidRDefault="004221E2" w:rsidP="00845404"/>
        </w:tc>
        <w:tc>
          <w:tcPr>
            <w:tcW w:w="6660" w:type="dxa"/>
            <w:gridSpan w:val="2"/>
          </w:tcPr>
          <w:p w14:paraId="05B1B66C" w14:textId="77777777" w:rsidR="004221E2" w:rsidRPr="00365123" w:rsidRDefault="004221E2" w:rsidP="00845404">
            <w:r>
              <w:t>B</w:t>
            </w:r>
            <w:r w:rsidRPr="00365123">
              <w:t>inary variable equal</w:t>
            </w:r>
            <w:r>
              <w:t>s</w:t>
            </w:r>
            <w:r w:rsidRPr="00365123">
              <w:t xml:space="preserve"> to one if there were products (excluding the product in question) purchased by CDC in y</w:t>
            </w:r>
            <w:r>
              <w:t xml:space="preserve">ear </w:t>
            </w:r>
            <w:proofErr w:type="spellStart"/>
            <w:r>
              <w:t>t</w:t>
            </w:r>
            <w:proofErr w:type="spellEnd"/>
            <w:r>
              <w:t xml:space="preserve"> that of the same vaccine t</w:t>
            </w:r>
            <w:r w:rsidRPr="00365123">
              <w:t xml:space="preserve">ype but produced by a different manufacturer </w:t>
            </w:r>
          </w:p>
        </w:tc>
        <w:tc>
          <w:tcPr>
            <w:tcW w:w="5346" w:type="dxa"/>
            <w:gridSpan w:val="2"/>
          </w:tcPr>
          <w:p w14:paraId="0DAFFE2A" w14:textId="77777777" w:rsidR="004221E2" w:rsidRPr="00365123" w:rsidRDefault="004221E2" w:rsidP="00845404">
            <w:r w:rsidRPr="00365123">
              <w:t>Author</w:t>
            </w:r>
            <w:r>
              <w:t xml:space="preserve"> created </w:t>
            </w:r>
            <w:r w:rsidRPr="00365123">
              <w:t>based on purchase data</w:t>
            </w:r>
          </w:p>
        </w:tc>
      </w:tr>
      <w:tr w:rsidR="004221E2" w:rsidRPr="00365123" w14:paraId="5DF7226B" w14:textId="77777777" w:rsidTr="00845404">
        <w:tc>
          <w:tcPr>
            <w:tcW w:w="1890" w:type="dxa"/>
          </w:tcPr>
          <w:p w14:paraId="75FB697D" w14:textId="77777777" w:rsidR="004221E2" w:rsidRPr="00365123" w:rsidRDefault="004221E2" w:rsidP="00845404">
            <w:r>
              <w:t>DirCompete2</w:t>
            </w:r>
          </w:p>
        </w:tc>
        <w:tc>
          <w:tcPr>
            <w:tcW w:w="6660" w:type="dxa"/>
            <w:gridSpan w:val="2"/>
          </w:tcPr>
          <w:p w14:paraId="490AC843" w14:textId="77777777" w:rsidR="004221E2" w:rsidRPr="00365123" w:rsidRDefault="004221E2" w:rsidP="00845404">
            <w:r>
              <w:t>B</w:t>
            </w:r>
            <w:r w:rsidRPr="00365123">
              <w:t>inary variable equal</w:t>
            </w:r>
            <w:r>
              <w:t>s</w:t>
            </w:r>
            <w:r w:rsidRPr="00365123">
              <w:t xml:space="preserve"> to one if there were products (excluding the product in question) purchased by CDC in year </w:t>
            </w:r>
            <w:proofErr w:type="spellStart"/>
            <w:r w:rsidRPr="00365123">
              <w:t>t</w:t>
            </w:r>
            <w:proofErr w:type="spellEnd"/>
            <w:r w:rsidRPr="00365123">
              <w:t xml:space="preserve"> that of the same </w:t>
            </w:r>
            <w:r>
              <w:t xml:space="preserve">vaccine </w:t>
            </w:r>
            <w:r w:rsidRPr="00365123">
              <w:t>type but produced by two or more other manufacturers</w:t>
            </w:r>
          </w:p>
        </w:tc>
        <w:tc>
          <w:tcPr>
            <w:tcW w:w="5346" w:type="dxa"/>
            <w:gridSpan w:val="2"/>
          </w:tcPr>
          <w:p w14:paraId="3DB182E3" w14:textId="77777777" w:rsidR="004221E2" w:rsidRPr="00365123" w:rsidRDefault="004221E2" w:rsidP="00845404">
            <w:r>
              <w:t>Author created</w:t>
            </w:r>
            <w:r w:rsidRPr="00365123">
              <w:t xml:space="preserve"> based on purchase data</w:t>
            </w:r>
          </w:p>
        </w:tc>
      </w:tr>
      <w:tr w:rsidR="004221E2" w:rsidRPr="00365123" w14:paraId="41681B31" w14:textId="77777777" w:rsidTr="00845404">
        <w:tc>
          <w:tcPr>
            <w:tcW w:w="1890" w:type="dxa"/>
          </w:tcPr>
          <w:p w14:paraId="6CF0488C" w14:textId="77777777" w:rsidR="004221E2" w:rsidRPr="00365123" w:rsidRDefault="004221E2" w:rsidP="00845404">
            <w:proofErr w:type="spellStart"/>
            <w:r>
              <w:t>IndirCompete</w:t>
            </w:r>
            <w:proofErr w:type="spellEnd"/>
          </w:p>
        </w:tc>
        <w:tc>
          <w:tcPr>
            <w:tcW w:w="6660" w:type="dxa"/>
            <w:gridSpan w:val="2"/>
          </w:tcPr>
          <w:p w14:paraId="591C0F5B" w14:textId="77777777" w:rsidR="004221E2" w:rsidRPr="00365123" w:rsidRDefault="004221E2" w:rsidP="00845404">
            <w:r>
              <w:t>B</w:t>
            </w:r>
            <w:r w:rsidRPr="00365123">
              <w:t>inary variable equal</w:t>
            </w:r>
            <w:r>
              <w:t>s</w:t>
            </w:r>
            <w:r w:rsidRPr="00365123">
              <w:t xml:space="preserve"> to one if there were products that of different </w:t>
            </w:r>
            <w:r>
              <w:t xml:space="preserve">vaccine </w:t>
            </w:r>
            <w:r w:rsidRPr="00365123">
              <w:t xml:space="preserve">types but </w:t>
            </w:r>
            <w:r>
              <w:t>partially overlapping in providing</w:t>
            </w:r>
            <w:r w:rsidRPr="00365123">
              <w:t xml:space="preserve"> protection</w:t>
            </w:r>
            <w:r>
              <w:t>s</w:t>
            </w:r>
            <w:r w:rsidRPr="00365123">
              <w:t xml:space="preserve"> and purchased by CDC in year t</w:t>
            </w:r>
          </w:p>
        </w:tc>
        <w:tc>
          <w:tcPr>
            <w:tcW w:w="5346" w:type="dxa"/>
            <w:gridSpan w:val="2"/>
          </w:tcPr>
          <w:p w14:paraId="2485F080" w14:textId="77777777" w:rsidR="004221E2" w:rsidRPr="00365123" w:rsidRDefault="004221E2" w:rsidP="00845404">
            <w:r w:rsidRPr="00365123">
              <w:t>Au</w:t>
            </w:r>
            <w:r>
              <w:t>thor created</w:t>
            </w:r>
            <w:r w:rsidRPr="00365123">
              <w:t xml:space="preserve"> based on purchase data</w:t>
            </w:r>
          </w:p>
        </w:tc>
      </w:tr>
      <w:tr w:rsidR="004221E2" w:rsidRPr="00365123" w14:paraId="52F656F1" w14:textId="77777777" w:rsidTr="00845404">
        <w:tc>
          <w:tcPr>
            <w:tcW w:w="1890" w:type="dxa"/>
          </w:tcPr>
          <w:p w14:paraId="51E80596" w14:textId="77777777" w:rsidR="004221E2" w:rsidRDefault="004221E2" w:rsidP="00845404">
            <w:r>
              <w:t>ShareComp1</w:t>
            </w:r>
          </w:p>
          <w:p w14:paraId="4D2B1CB7" w14:textId="77777777" w:rsidR="004221E2" w:rsidRPr="00365123" w:rsidRDefault="004221E2" w:rsidP="00845404">
            <w:r>
              <w:t>(for combination vaccines)</w:t>
            </w:r>
          </w:p>
        </w:tc>
        <w:tc>
          <w:tcPr>
            <w:tcW w:w="6660" w:type="dxa"/>
            <w:gridSpan w:val="2"/>
          </w:tcPr>
          <w:p w14:paraId="09F96E6D" w14:textId="77777777" w:rsidR="004221E2" w:rsidRDefault="004221E2" w:rsidP="00845404">
            <w:r>
              <w:t>Binary variable equals to one if there is at least another combination vaccine purchased by CDC in year t that shared one component with the combination vaccine in question</w:t>
            </w:r>
          </w:p>
        </w:tc>
        <w:tc>
          <w:tcPr>
            <w:tcW w:w="5346" w:type="dxa"/>
            <w:gridSpan w:val="2"/>
          </w:tcPr>
          <w:p w14:paraId="410E0C30" w14:textId="77777777" w:rsidR="004221E2" w:rsidRPr="00365123" w:rsidRDefault="004221E2" w:rsidP="00845404">
            <w:r>
              <w:t>Author created</w:t>
            </w:r>
            <w:r w:rsidRPr="00365123">
              <w:t xml:space="preserve"> based on purchase data</w:t>
            </w:r>
          </w:p>
        </w:tc>
      </w:tr>
      <w:tr w:rsidR="004221E2" w:rsidRPr="00365123" w14:paraId="31847BE0" w14:textId="77777777" w:rsidTr="00845404">
        <w:tc>
          <w:tcPr>
            <w:tcW w:w="1890" w:type="dxa"/>
          </w:tcPr>
          <w:p w14:paraId="4F723CA8" w14:textId="77777777" w:rsidR="004221E2" w:rsidRDefault="004221E2" w:rsidP="00845404">
            <w:r>
              <w:t>ShareComp2</w:t>
            </w:r>
          </w:p>
          <w:p w14:paraId="6C8DE274" w14:textId="77777777" w:rsidR="004221E2" w:rsidRPr="00365123" w:rsidRDefault="004221E2" w:rsidP="00845404">
            <w:r>
              <w:t>(for combination vaccines)</w:t>
            </w:r>
          </w:p>
        </w:tc>
        <w:tc>
          <w:tcPr>
            <w:tcW w:w="6660" w:type="dxa"/>
            <w:gridSpan w:val="2"/>
          </w:tcPr>
          <w:p w14:paraId="1A356BC9" w14:textId="77777777" w:rsidR="004221E2" w:rsidRDefault="004221E2" w:rsidP="00845404">
            <w:r>
              <w:t>Binary variable equals to one if there is at least another combination vaccine purchased by CDC in year t that shared two or more components with the combination vaccine in question</w:t>
            </w:r>
          </w:p>
        </w:tc>
        <w:tc>
          <w:tcPr>
            <w:tcW w:w="5346" w:type="dxa"/>
            <w:gridSpan w:val="2"/>
          </w:tcPr>
          <w:p w14:paraId="0E74CA60" w14:textId="77777777" w:rsidR="004221E2" w:rsidRPr="00365123" w:rsidRDefault="004221E2" w:rsidP="00845404">
            <w:r>
              <w:t>Author created</w:t>
            </w:r>
            <w:r w:rsidRPr="00365123">
              <w:t xml:space="preserve"> based on purchase data</w:t>
            </w:r>
          </w:p>
        </w:tc>
      </w:tr>
      <w:tr w:rsidR="004221E2" w:rsidRPr="00365123" w14:paraId="39AE5085" w14:textId="77777777" w:rsidTr="00845404">
        <w:tc>
          <w:tcPr>
            <w:tcW w:w="1890" w:type="dxa"/>
          </w:tcPr>
          <w:p w14:paraId="4291004A" w14:textId="77777777" w:rsidR="004221E2" w:rsidRPr="00365123" w:rsidRDefault="004221E2" w:rsidP="00845404">
            <w:r w:rsidRPr="00365123">
              <w:t>M</w:t>
            </w:r>
            <w:r>
              <w:t>anufacturer name change</w:t>
            </w:r>
          </w:p>
        </w:tc>
        <w:tc>
          <w:tcPr>
            <w:tcW w:w="6660" w:type="dxa"/>
            <w:gridSpan w:val="2"/>
          </w:tcPr>
          <w:p w14:paraId="4FC4EE66" w14:textId="77777777" w:rsidR="004221E2" w:rsidRPr="00365123" w:rsidRDefault="004221E2" w:rsidP="00845404">
            <w:r>
              <w:t>B</w:t>
            </w:r>
            <w:r w:rsidRPr="00365123">
              <w:t>inary variable equal</w:t>
            </w:r>
            <w:r>
              <w:t>s</w:t>
            </w:r>
            <w:r w:rsidRPr="00365123">
              <w:t xml:space="preserve"> to one if the manufacturer was merged by another manufacturer </w:t>
            </w:r>
            <w:r>
              <w:t>and changed its name in year t</w:t>
            </w:r>
          </w:p>
        </w:tc>
        <w:tc>
          <w:tcPr>
            <w:tcW w:w="5346" w:type="dxa"/>
            <w:gridSpan w:val="2"/>
          </w:tcPr>
          <w:p w14:paraId="50FA9EE3" w14:textId="77777777" w:rsidR="004221E2" w:rsidRPr="00365123" w:rsidRDefault="004221E2" w:rsidP="00845404">
            <w:r w:rsidRPr="00365123">
              <w:t>CDC Vaccine Price List; Morton and Kyle (2012)</w:t>
            </w:r>
          </w:p>
        </w:tc>
      </w:tr>
      <w:tr w:rsidR="004221E2" w:rsidRPr="00365123" w14:paraId="0E3E959A" w14:textId="77777777" w:rsidTr="00845404">
        <w:tc>
          <w:tcPr>
            <w:tcW w:w="1890" w:type="dxa"/>
          </w:tcPr>
          <w:p w14:paraId="6F53C0ED" w14:textId="77777777" w:rsidR="004221E2" w:rsidRPr="00365123" w:rsidRDefault="004221E2" w:rsidP="00845404">
            <w:r>
              <w:t>Name change t-1</w:t>
            </w:r>
          </w:p>
        </w:tc>
        <w:tc>
          <w:tcPr>
            <w:tcW w:w="6660" w:type="dxa"/>
            <w:gridSpan w:val="2"/>
          </w:tcPr>
          <w:p w14:paraId="7B1D304A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the </w:t>
            </w:r>
            <w:r>
              <w:t>manufacturer was merged by another manufacturer</w:t>
            </w:r>
            <w:r w:rsidRPr="00365123">
              <w:t xml:space="preserve"> </w:t>
            </w:r>
            <w:r>
              <w:t xml:space="preserve">and changed its name </w:t>
            </w:r>
            <w:r w:rsidRPr="00365123">
              <w:t>in year t-1</w:t>
            </w:r>
          </w:p>
        </w:tc>
        <w:tc>
          <w:tcPr>
            <w:tcW w:w="5346" w:type="dxa"/>
            <w:gridSpan w:val="2"/>
          </w:tcPr>
          <w:p w14:paraId="29D2922D" w14:textId="77777777" w:rsidR="004221E2" w:rsidRPr="00365123" w:rsidRDefault="004221E2" w:rsidP="00845404">
            <w:r>
              <w:t>NA</w:t>
            </w:r>
          </w:p>
        </w:tc>
      </w:tr>
      <w:tr w:rsidR="004221E2" w:rsidRPr="00365123" w14:paraId="792AB1E4" w14:textId="77777777" w:rsidTr="00845404">
        <w:tc>
          <w:tcPr>
            <w:tcW w:w="1890" w:type="dxa"/>
          </w:tcPr>
          <w:p w14:paraId="11FDF2D7" w14:textId="77777777" w:rsidR="004221E2" w:rsidRPr="00365123" w:rsidRDefault="004221E2" w:rsidP="00845404">
            <w:r w:rsidRPr="00365123">
              <w:t>Shortage</w:t>
            </w:r>
          </w:p>
        </w:tc>
        <w:tc>
          <w:tcPr>
            <w:tcW w:w="6660" w:type="dxa"/>
            <w:gridSpan w:val="2"/>
          </w:tcPr>
          <w:p w14:paraId="5659D6EE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the product had a shortage or limited supply in year t</w:t>
            </w:r>
          </w:p>
        </w:tc>
        <w:tc>
          <w:tcPr>
            <w:tcW w:w="5346" w:type="dxa"/>
            <w:gridSpan w:val="2"/>
          </w:tcPr>
          <w:p w14:paraId="4F974479" w14:textId="77777777" w:rsidR="004221E2" w:rsidRPr="00365123" w:rsidRDefault="004221E2" w:rsidP="00845404">
            <w:r w:rsidRPr="00365123">
              <w:t xml:space="preserve">CDC </w:t>
            </w:r>
            <w:r w:rsidRPr="00365123">
              <w:rPr>
                <w:lang w:val="en"/>
              </w:rPr>
              <w:t>Current Vaccine Shortages &amp; Delays websites</w:t>
            </w:r>
            <w:r>
              <w:rPr>
                <w:lang w:val="en"/>
              </w:rPr>
              <w:t xml:space="preserve"> (</w:t>
            </w:r>
            <w:r w:rsidRPr="00784BA3">
              <w:rPr>
                <w:lang w:val="en"/>
              </w:rPr>
              <w:t>http://www.cdc.gov/vaccines/vac-gen/shortages/default.htm</w:t>
            </w:r>
            <w:r>
              <w:rPr>
                <w:lang w:val="en"/>
              </w:rPr>
              <w:t>)</w:t>
            </w:r>
            <w:r w:rsidRPr="00365123">
              <w:rPr>
                <w:lang w:val="en"/>
              </w:rPr>
              <w:t xml:space="preserve">; </w:t>
            </w:r>
            <w:r>
              <w:rPr>
                <w:lang w:val="en"/>
              </w:rPr>
              <w:t xml:space="preserve">FDA website on </w:t>
            </w:r>
            <w:r w:rsidRPr="00053AD4">
              <w:t>CBER-Regulated Products: Current Shortages</w:t>
            </w:r>
            <w:r w:rsidRPr="00365123">
              <w:t xml:space="preserve"> </w:t>
            </w:r>
            <w:r>
              <w:t>(</w:t>
            </w:r>
            <w:r w:rsidRPr="00053AD4">
              <w:t xml:space="preserve">http://www.fda.gov/BiologicsBloodVaccines/SafetyAvailability/Shortages/ucm351921.htm </w:t>
            </w:r>
            <w:r>
              <w:t>) and resolved Shortages (</w:t>
            </w:r>
            <w:r w:rsidRPr="00053AD4">
              <w:t>http://www.fda.gov/BiologicsBloodVaccines/SafetyAvailability/Shortages/ucm351943.htm</w:t>
            </w:r>
            <w:r>
              <w:t xml:space="preserve">); </w:t>
            </w:r>
            <w:r w:rsidRPr="00365123">
              <w:t>National Vaccine Advisory Committee (2003); Shrestha et al. (20</w:t>
            </w:r>
            <w:r>
              <w:t>10</w:t>
            </w:r>
            <w:r w:rsidRPr="00365123">
              <w:t>)</w:t>
            </w:r>
            <w:r>
              <w:t xml:space="preserve">; </w:t>
            </w:r>
            <w:r w:rsidRPr="00033204">
              <w:t>Santibanez</w:t>
            </w:r>
            <w:r>
              <w:t xml:space="preserve"> et al. (2012)</w:t>
            </w:r>
          </w:p>
        </w:tc>
      </w:tr>
      <w:tr w:rsidR="004221E2" w:rsidRPr="00365123" w14:paraId="4E902A3A" w14:textId="77777777" w:rsidTr="00845404">
        <w:tc>
          <w:tcPr>
            <w:tcW w:w="2430" w:type="dxa"/>
            <w:gridSpan w:val="2"/>
          </w:tcPr>
          <w:p w14:paraId="75F77328" w14:textId="77777777" w:rsidR="004221E2" w:rsidRPr="00365123" w:rsidRDefault="004221E2" w:rsidP="00845404">
            <w:r w:rsidRPr="00365123">
              <w:lastRenderedPageBreak/>
              <w:t>Shortage t-1</w:t>
            </w:r>
          </w:p>
        </w:tc>
        <w:tc>
          <w:tcPr>
            <w:tcW w:w="7020" w:type="dxa"/>
            <w:gridSpan w:val="2"/>
          </w:tcPr>
          <w:p w14:paraId="3109C523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the product had a shortage or limited supply in year t-1</w:t>
            </w:r>
          </w:p>
        </w:tc>
        <w:tc>
          <w:tcPr>
            <w:tcW w:w="4446" w:type="dxa"/>
          </w:tcPr>
          <w:p w14:paraId="5EDC9014" w14:textId="77777777" w:rsidR="004221E2" w:rsidRPr="00365123" w:rsidRDefault="004221E2" w:rsidP="00845404">
            <w:r w:rsidRPr="00365123">
              <w:t>NA</w:t>
            </w:r>
          </w:p>
        </w:tc>
      </w:tr>
      <w:tr w:rsidR="004221E2" w:rsidRPr="00365123" w14:paraId="60DC5946" w14:textId="77777777" w:rsidTr="00845404">
        <w:tc>
          <w:tcPr>
            <w:tcW w:w="2430" w:type="dxa"/>
            <w:gridSpan w:val="2"/>
          </w:tcPr>
          <w:p w14:paraId="0BB0E08B" w14:textId="77777777" w:rsidR="004221E2" w:rsidRPr="00365123" w:rsidRDefault="004221E2" w:rsidP="00845404">
            <w:proofErr w:type="spellStart"/>
            <w:r w:rsidRPr="00365123">
              <w:t>Shortage_oth</w:t>
            </w:r>
            <w:proofErr w:type="spellEnd"/>
          </w:p>
        </w:tc>
        <w:tc>
          <w:tcPr>
            <w:tcW w:w="7020" w:type="dxa"/>
            <w:gridSpan w:val="2"/>
          </w:tcPr>
          <w:p w14:paraId="1BA2F66F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another product th</w:t>
            </w:r>
            <w:r>
              <w:t xml:space="preserve">at provided the same protection </w:t>
            </w:r>
            <w:r w:rsidRPr="00365123">
              <w:t>had a shortage or limited supply in year t</w:t>
            </w:r>
          </w:p>
        </w:tc>
        <w:tc>
          <w:tcPr>
            <w:tcW w:w="4446" w:type="dxa"/>
          </w:tcPr>
          <w:p w14:paraId="55D4D42B" w14:textId="77777777" w:rsidR="004221E2" w:rsidRPr="00365123" w:rsidRDefault="004221E2" w:rsidP="00845404">
            <w:r w:rsidRPr="00365123">
              <w:t>NA</w:t>
            </w:r>
          </w:p>
        </w:tc>
      </w:tr>
      <w:tr w:rsidR="004221E2" w:rsidRPr="00365123" w14:paraId="7637EBBD" w14:textId="77777777" w:rsidTr="00845404">
        <w:tc>
          <w:tcPr>
            <w:tcW w:w="2430" w:type="dxa"/>
            <w:gridSpan w:val="2"/>
          </w:tcPr>
          <w:p w14:paraId="0059C29A" w14:textId="77777777" w:rsidR="004221E2" w:rsidRPr="00365123" w:rsidRDefault="004221E2" w:rsidP="00845404">
            <w:proofErr w:type="spellStart"/>
            <w:r w:rsidRPr="00365123">
              <w:t>Shortage_oth</w:t>
            </w:r>
            <w:proofErr w:type="spellEnd"/>
            <w:r w:rsidRPr="00365123">
              <w:t xml:space="preserve"> t-1</w:t>
            </w:r>
          </w:p>
        </w:tc>
        <w:tc>
          <w:tcPr>
            <w:tcW w:w="7020" w:type="dxa"/>
            <w:gridSpan w:val="2"/>
          </w:tcPr>
          <w:p w14:paraId="0E8B3E34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another product that provided the same protection had a shortage or limited supply in year t-1</w:t>
            </w:r>
          </w:p>
        </w:tc>
        <w:tc>
          <w:tcPr>
            <w:tcW w:w="4446" w:type="dxa"/>
          </w:tcPr>
          <w:p w14:paraId="0EDE0379" w14:textId="77777777" w:rsidR="004221E2" w:rsidRPr="00365123" w:rsidRDefault="004221E2" w:rsidP="00845404">
            <w:r w:rsidRPr="00365123">
              <w:t>NA</w:t>
            </w:r>
          </w:p>
        </w:tc>
      </w:tr>
      <w:tr w:rsidR="004221E2" w:rsidRPr="00365123" w14:paraId="5E053A84" w14:textId="77777777" w:rsidTr="00845404">
        <w:tc>
          <w:tcPr>
            <w:tcW w:w="2430" w:type="dxa"/>
            <w:gridSpan w:val="2"/>
          </w:tcPr>
          <w:p w14:paraId="5A5B9931" w14:textId="77777777" w:rsidR="004221E2" w:rsidRPr="00365123" w:rsidRDefault="004221E2" w:rsidP="00845404">
            <w:proofErr w:type="spellStart"/>
            <w:r w:rsidRPr="00365123">
              <w:t>Pricecap</w:t>
            </w:r>
            <w:proofErr w:type="spellEnd"/>
          </w:p>
        </w:tc>
        <w:tc>
          <w:tcPr>
            <w:tcW w:w="7020" w:type="dxa"/>
            <w:gridSpan w:val="2"/>
          </w:tcPr>
          <w:p w14:paraId="0710CFA3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the vaccine brand was price capped</w:t>
            </w:r>
          </w:p>
        </w:tc>
        <w:tc>
          <w:tcPr>
            <w:tcW w:w="4446" w:type="dxa"/>
          </w:tcPr>
          <w:p w14:paraId="2AFA43BC" w14:textId="77777777" w:rsidR="004221E2" w:rsidRPr="00365123" w:rsidRDefault="004221E2" w:rsidP="00845404">
            <w:r w:rsidRPr="00365123">
              <w:t xml:space="preserve">1993 CDC Vaccine Price List; </w:t>
            </w:r>
            <w:proofErr w:type="spellStart"/>
            <w:r w:rsidRPr="00365123">
              <w:t>Rodewald</w:t>
            </w:r>
            <w:proofErr w:type="spellEnd"/>
            <w:r w:rsidRPr="00365123">
              <w:t xml:space="preserve"> et al. (2006)</w:t>
            </w:r>
          </w:p>
        </w:tc>
      </w:tr>
      <w:tr w:rsidR="004221E2" w:rsidRPr="00365123" w14:paraId="12C9C0CD" w14:textId="77777777" w:rsidTr="00845404">
        <w:tc>
          <w:tcPr>
            <w:tcW w:w="2430" w:type="dxa"/>
            <w:gridSpan w:val="2"/>
          </w:tcPr>
          <w:p w14:paraId="09A2D524" w14:textId="77777777" w:rsidR="004221E2" w:rsidRPr="00365123" w:rsidRDefault="004221E2" w:rsidP="00845404">
            <w:r w:rsidRPr="00365123">
              <w:t>Age</w:t>
            </w:r>
          </w:p>
        </w:tc>
        <w:tc>
          <w:tcPr>
            <w:tcW w:w="7020" w:type="dxa"/>
            <w:gridSpan w:val="2"/>
          </w:tcPr>
          <w:p w14:paraId="46D76ADE" w14:textId="77777777" w:rsidR="004221E2" w:rsidRPr="00365123" w:rsidRDefault="004221E2" w:rsidP="00845404">
            <w:r w:rsidRPr="00365123">
              <w:t>Years since product license was approved by FDA</w:t>
            </w:r>
          </w:p>
        </w:tc>
        <w:tc>
          <w:tcPr>
            <w:tcW w:w="4446" w:type="dxa"/>
          </w:tcPr>
          <w:p w14:paraId="512BA79B" w14:textId="77777777" w:rsidR="004221E2" w:rsidRPr="00365123" w:rsidRDefault="004221E2" w:rsidP="00845404">
            <w:r w:rsidRPr="00365123">
              <w:t>ACIP recommendation documents, FDA websites for List of Vaccine Approvals</w:t>
            </w:r>
            <w:r>
              <w:t xml:space="preserve"> (</w:t>
            </w:r>
            <w:hyperlink r:id="rId6" w:history="1">
              <w:r w:rsidRPr="005C53F7">
                <w:t>http://www.fda.gov/BiologicsBloodVaccines/Vaccines/ApprovedProducts/default.htm</w:t>
              </w:r>
            </w:hyperlink>
            <w:r>
              <w:t>),</w:t>
            </w:r>
            <w:r w:rsidRPr="00365123">
              <w:t xml:space="preserve"> </w:t>
            </w:r>
            <w:r w:rsidRPr="00365123">
              <w:rPr>
                <w:iCs/>
              </w:rPr>
              <w:t>RED BOOK Online</w:t>
            </w:r>
            <w:r w:rsidRPr="00365123">
              <w:rPr>
                <w:i/>
                <w:iCs/>
              </w:rPr>
              <w:t>®</w:t>
            </w:r>
          </w:p>
        </w:tc>
      </w:tr>
      <w:tr w:rsidR="004221E2" w:rsidRPr="00365123" w14:paraId="3C8428D7" w14:textId="77777777" w:rsidTr="00845404">
        <w:tc>
          <w:tcPr>
            <w:tcW w:w="2430" w:type="dxa"/>
            <w:gridSpan w:val="2"/>
          </w:tcPr>
          <w:p w14:paraId="60F623A1" w14:textId="77777777" w:rsidR="004221E2" w:rsidRPr="00365123" w:rsidRDefault="004221E2" w:rsidP="00845404">
            <w:r>
              <w:t>Thimerosal-free</w:t>
            </w:r>
          </w:p>
        </w:tc>
        <w:tc>
          <w:tcPr>
            <w:tcW w:w="7020" w:type="dxa"/>
            <w:gridSpan w:val="2"/>
          </w:tcPr>
          <w:p w14:paraId="5DC1C94E" w14:textId="77777777" w:rsidR="004221E2" w:rsidRPr="00365123" w:rsidRDefault="004221E2" w:rsidP="00845404">
            <w:r>
              <w:t>Binary variable indicating whether the product was thimerosal-free</w:t>
            </w:r>
          </w:p>
        </w:tc>
        <w:tc>
          <w:tcPr>
            <w:tcW w:w="4446" w:type="dxa"/>
          </w:tcPr>
          <w:p w14:paraId="6E548BCD" w14:textId="77777777" w:rsidR="004221E2" w:rsidRPr="00365123" w:rsidRDefault="004221E2" w:rsidP="00845404">
            <w:r w:rsidRPr="00365123">
              <w:t>CDC Vaccine Price List</w:t>
            </w:r>
          </w:p>
        </w:tc>
      </w:tr>
      <w:tr w:rsidR="004221E2" w:rsidRPr="00365123" w14:paraId="21B21B14" w14:textId="77777777" w:rsidTr="00845404">
        <w:tc>
          <w:tcPr>
            <w:tcW w:w="2430" w:type="dxa"/>
            <w:gridSpan w:val="2"/>
          </w:tcPr>
          <w:p w14:paraId="351F9334" w14:textId="77777777" w:rsidR="004221E2" w:rsidRPr="00365123" w:rsidRDefault="004221E2" w:rsidP="00845404">
            <w:proofErr w:type="spellStart"/>
            <w:r w:rsidRPr="00365123">
              <w:t>Aprvd</w:t>
            </w:r>
            <w:proofErr w:type="spellEnd"/>
            <w:r w:rsidRPr="00365123">
              <w:t xml:space="preserve"> doses</w:t>
            </w:r>
            <w:r>
              <w:t xml:space="preserve"> (for non-combination vaccines)</w:t>
            </w:r>
          </w:p>
        </w:tc>
        <w:tc>
          <w:tcPr>
            <w:tcW w:w="7020" w:type="dxa"/>
            <w:gridSpan w:val="2"/>
          </w:tcPr>
          <w:p w14:paraId="175EF63A" w14:textId="77777777" w:rsidR="004221E2" w:rsidRPr="00365123" w:rsidRDefault="004221E2" w:rsidP="00845404">
            <w:r w:rsidRPr="00365123">
              <w:t># doses approved to be administered in a series</w:t>
            </w:r>
          </w:p>
        </w:tc>
        <w:tc>
          <w:tcPr>
            <w:tcW w:w="4446" w:type="dxa"/>
          </w:tcPr>
          <w:p w14:paraId="3118DBB9" w14:textId="77777777" w:rsidR="004221E2" w:rsidRPr="00365123" w:rsidRDefault="004221E2" w:rsidP="00845404">
            <w:r w:rsidRPr="00365123">
              <w:t>ACIP recommendation documents; FDA websites; CDC’s Pink book (2012)</w:t>
            </w:r>
          </w:p>
        </w:tc>
      </w:tr>
      <w:tr w:rsidR="004221E2" w:rsidRPr="00365123" w14:paraId="4347FBD1" w14:textId="77777777" w:rsidTr="00845404">
        <w:tc>
          <w:tcPr>
            <w:tcW w:w="2430" w:type="dxa"/>
            <w:gridSpan w:val="2"/>
          </w:tcPr>
          <w:p w14:paraId="48C5A40F" w14:textId="77777777" w:rsidR="004221E2" w:rsidRDefault="004221E2" w:rsidP="00845404">
            <w:r>
              <w:t>Components</w:t>
            </w:r>
          </w:p>
          <w:p w14:paraId="6133AC76" w14:textId="77777777" w:rsidR="004221E2" w:rsidRPr="00365123" w:rsidRDefault="004221E2" w:rsidP="00845404">
            <w:r>
              <w:t>(for combination vaccines)</w:t>
            </w:r>
          </w:p>
        </w:tc>
        <w:tc>
          <w:tcPr>
            <w:tcW w:w="7020" w:type="dxa"/>
            <w:gridSpan w:val="2"/>
          </w:tcPr>
          <w:p w14:paraId="166C22FB" w14:textId="77777777" w:rsidR="004221E2" w:rsidRPr="00365123" w:rsidRDefault="004221E2" w:rsidP="00845404">
            <w:r>
              <w:t># antigen components (defined as below) a combination vaccine has</w:t>
            </w:r>
          </w:p>
        </w:tc>
        <w:tc>
          <w:tcPr>
            <w:tcW w:w="4446" w:type="dxa"/>
          </w:tcPr>
          <w:p w14:paraId="4D86B12D" w14:textId="77777777" w:rsidR="004221E2" w:rsidRPr="00365123" w:rsidRDefault="004221E2" w:rsidP="00845404">
            <w:r>
              <w:t>Created by author</w:t>
            </w:r>
          </w:p>
        </w:tc>
      </w:tr>
      <w:tr w:rsidR="004221E2" w:rsidRPr="00365123" w14:paraId="0AFACC53" w14:textId="77777777" w:rsidTr="00845404">
        <w:tc>
          <w:tcPr>
            <w:tcW w:w="2430" w:type="dxa"/>
            <w:gridSpan w:val="2"/>
          </w:tcPr>
          <w:p w14:paraId="3B944D0E" w14:textId="77777777" w:rsidR="004221E2" w:rsidRPr="00365123" w:rsidRDefault="004221E2" w:rsidP="00845404">
            <w:r w:rsidRPr="00365123">
              <w:t>Combination</w:t>
            </w:r>
          </w:p>
        </w:tc>
        <w:tc>
          <w:tcPr>
            <w:tcW w:w="7020" w:type="dxa"/>
            <w:gridSpan w:val="2"/>
          </w:tcPr>
          <w:p w14:paraId="435CDA8B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it is a combination vaccine</w:t>
            </w:r>
          </w:p>
        </w:tc>
        <w:tc>
          <w:tcPr>
            <w:tcW w:w="4446" w:type="dxa"/>
          </w:tcPr>
          <w:p w14:paraId="5C38D2C6" w14:textId="77777777" w:rsidR="004221E2" w:rsidRPr="00365123" w:rsidRDefault="004221E2" w:rsidP="00845404">
            <w:r w:rsidRPr="00365123">
              <w:t xml:space="preserve">Created by author </w:t>
            </w:r>
          </w:p>
        </w:tc>
      </w:tr>
      <w:tr w:rsidR="004221E2" w:rsidRPr="00365123" w14:paraId="22E97E8F" w14:textId="77777777" w:rsidTr="00845404">
        <w:tc>
          <w:tcPr>
            <w:tcW w:w="2430" w:type="dxa"/>
            <w:gridSpan w:val="2"/>
          </w:tcPr>
          <w:p w14:paraId="527D5030" w14:textId="77777777" w:rsidR="004221E2" w:rsidRPr="00365123" w:rsidRDefault="004221E2" w:rsidP="00845404">
            <w:r>
              <w:t>Antigen components</w:t>
            </w:r>
          </w:p>
        </w:tc>
        <w:tc>
          <w:tcPr>
            <w:tcW w:w="7020" w:type="dxa"/>
            <w:gridSpan w:val="2"/>
          </w:tcPr>
          <w:p w14:paraId="2C7A1895" w14:textId="77777777" w:rsidR="004221E2" w:rsidRPr="00365123" w:rsidRDefault="004221E2" w:rsidP="00845404"/>
        </w:tc>
        <w:tc>
          <w:tcPr>
            <w:tcW w:w="4446" w:type="dxa"/>
          </w:tcPr>
          <w:p w14:paraId="630DC91E" w14:textId="77777777" w:rsidR="004221E2" w:rsidRPr="00365123" w:rsidRDefault="004221E2" w:rsidP="00845404"/>
        </w:tc>
      </w:tr>
      <w:tr w:rsidR="004221E2" w:rsidRPr="00365123" w14:paraId="2AE43C7E" w14:textId="77777777" w:rsidTr="00845404">
        <w:tc>
          <w:tcPr>
            <w:tcW w:w="2430" w:type="dxa"/>
            <w:gridSpan w:val="2"/>
          </w:tcPr>
          <w:p w14:paraId="72A8F4AF" w14:textId="77777777" w:rsidR="004221E2" w:rsidRPr="00365123" w:rsidRDefault="004221E2" w:rsidP="00845404">
            <w:r w:rsidRPr="00365123">
              <w:t>DTP-containing</w:t>
            </w:r>
          </w:p>
        </w:tc>
        <w:tc>
          <w:tcPr>
            <w:tcW w:w="7020" w:type="dxa"/>
            <w:gridSpan w:val="2"/>
          </w:tcPr>
          <w:p w14:paraId="56BFDB61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it</w:t>
            </w:r>
            <w:r>
              <w:t xml:space="preserve"> is a</w:t>
            </w:r>
            <w:r w:rsidRPr="00365123">
              <w:t xml:space="preserve"> </w:t>
            </w:r>
            <w:r>
              <w:t>Diphtheria, Tetanus and P</w:t>
            </w:r>
            <w:r w:rsidRPr="00365123">
              <w:t>ertussis-containing vaccine</w:t>
            </w:r>
          </w:p>
        </w:tc>
        <w:tc>
          <w:tcPr>
            <w:tcW w:w="4446" w:type="dxa"/>
          </w:tcPr>
          <w:p w14:paraId="194FF12E" w14:textId="77777777" w:rsidR="004221E2" w:rsidRPr="00365123" w:rsidRDefault="004221E2" w:rsidP="00845404">
            <w:r>
              <w:t xml:space="preserve">ACIP Vaccine Acronyms (2015) </w:t>
            </w:r>
          </w:p>
        </w:tc>
      </w:tr>
      <w:tr w:rsidR="004221E2" w:rsidRPr="00365123" w14:paraId="3AF29EA5" w14:textId="77777777" w:rsidTr="00845404">
        <w:tc>
          <w:tcPr>
            <w:tcW w:w="2430" w:type="dxa"/>
            <w:gridSpan w:val="2"/>
          </w:tcPr>
          <w:p w14:paraId="10F16BE4" w14:textId="77777777" w:rsidR="004221E2" w:rsidRDefault="004221E2" w:rsidP="00845404">
            <w:r w:rsidRPr="00365123">
              <w:t>Hib-containing</w:t>
            </w:r>
          </w:p>
        </w:tc>
        <w:tc>
          <w:tcPr>
            <w:tcW w:w="7020" w:type="dxa"/>
            <w:gridSpan w:val="2"/>
          </w:tcPr>
          <w:p w14:paraId="18C4D38F" w14:textId="77777777" w:rsidR="004221E2" w:rsidRPr="00365123" w:rsidRDefault="004221E2" w:rsidP="00845404">
            <w:r w:rsidRPr="00365123">
              <w:t>Binary variable equal</w:t>
            </w:r>
            <w:r>
              <w:t>s</w:t>
            </w:r>
            <w:r w:rsidRPr="00365123">
              <w:t xml:space="preserve"> to one if it is </w:t>
            </w:r>
            <w:r>
              <w:t xml:space="preserve">a </w:t>
            </w:r>
            <w:proofErr w:type="spellStart"/>
            <w:r>
              <w:rPr>
                <w:iCs/>
              </w:rPr>
              <w:t>H</w:t>
            </w:r>
            <w:r w:rsidRPr="00365123">
              <w:rPr>
                <w:iCs/>
              </w:rPr>
              <w:t>aemophilus</w:t>
            </w:r>
            <w:proofErr w:type="spellEnd"/>
            <w:r w:rsidRPr="00365123">
              <w:rPr>
                <w:iCs/>
              </w:rPr>
              <w:t xml:space="preserve"> influenzae</w:t>
            </w:r>
            <w:r w:rsidRPr="00365123">
              <w:t xml:space="preserve"> type b-containing vaccine</w:t>
            </w:r>
          </w:p>
        </w:tc>
        <w:tc>
          <w:tcPr>
            <w:tcW w:w="4446" w:type="dxa"/>
          </w:tcPr>
          <w:p w14:paraId="51F4E499" w14:textId="77777777" w:rsidR="004221E2" w:rsidRDefault="004221E2" w:rsidP="00845404">
            <w:r>
              <w:t>ACIP Vaccine Acronyms (2015)</w:t>
            </w:r>
          </w:p>
        </w:tc>
      </w:tr>
      <w:tr w:rsidR="004221E2" w:rsidRPr="00365123" w14:paraId="3D71D2BD" w14:textId="77777777" w:rsidTr="00845404">
        <w:tc>
          <w:tcPr>
            <w:tcW w:w="2430" w:type="dxa"/>
            <w:gridSpan w:val="2"/>
          </w:tcPr>
          <w:p w14:paraId="08BCEA59" w14:textId="77777777" w:rsidR="004221E2" w:rsidRPr="00365123" w:rsidRDefault="004221E2" w:rsidP="00845404">
            <w:r w:rsidRPr="00365123">
              <w:t>Hep A-containing</w:t>
            </w:r>
          </w:p>
        </w:tc>
        <w:tc>
          <w:tcPr>
            <w:tcW w:w="7020" w:type="dxa"/>
            <w:gridSpan w:val="2"/>
          </w:tcPr>
          <w:p w14:paraId="527719F8" w14:textId="77777777" w:rsidR="004221E2" w:rsidRPr="00365123" w:rsidRDefault="004221E2" w:rsidP="00845404">
            <w:r w:rsidRPr="00365123">
              <w:t>Binary variable equal</w:t>
            </w:r>
            <w:r>
              <w:t>s to one if it is a</w:t>
            </w:r>
            <w:r w:rsidRPr="00365123">
              <w:t xml:space="preserve"> </w:t>
            </w:r>
            <w:r>
              <w:t>H</w:t>
            </w:r>
            <w:r w:rsidRPr="00365123">
              <w:t>epatitis A-containing vaccine</w:t>
            </w:r>
          </w:p>
        </w:tc>
        <w:tc>
          <w:tcPr>
            <w:tcW w:w="4446" w:type="dxa"/>
          </w:tcPr>
          <w:p w14:paraId="3E2C1D6E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67E83CA7" w14:textId="77777777" w:rsidTr="00845404">
        <w:tc>
          <w:tcPr>
            <w:tcW w:w="2430" w:type="dxa"/>
            <w:gridSpan w:val="2"/>
          </w:tcPr>
          <w:p w14:paraId="52AE64F7" w14:textId="77777777" w:rsidR="004221E2" w:rsidRPr="00365123" w:rsidRDefault="004221E2" w:rsidP="00845404">
            <w:r w:rsidRPr="00365123">
              <w:t>Hep B-containing</w:t>
            </w:r>
          </w:p>
        </w:tc>
        <w:tc>
          <w:tcPr>
            <w:tcW w:w="7020" w:type="dxa"/>
            <w:gridSpan w:val="2"/>
          </w:tcPr>
          <w:p w14:paraId="07643C70" w14:textId="77777777" w:rsidR="004221E2" w:rsidRPr="00365123" w:rsidRDefault="004221E2" w:rsidP="00845404">
            <w:r w:rsidRPr="00365123">
              <w:t>Binary</w:t>
            </w:r>
            <w:r>
              <w:t xml:space="preserve"> variable equals to one if it is a H</w:t>
            </w:r>
            <w:r w:rsidRPr="00365123">
              <w:t>epatitis B-containing vaccine</w:t>
            </w:r>
          </w:p>
        </w:tc>
        <w:tc>
          <w:tcPr>
            <w:tcW w:w="4446" w:type="dxa"/>
          </w:tcPr>
          <w:p w14:paraId="2B6F4CF6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1C7D55E7" w14:textId="77777777" w:rsidTr="00845404">
        <w:tc>
          <w:tcPr>
            <w:tcW w:w="2430" w:type="dxa"/>
            <w:gridSpan w:val="2"/>
          </w:tcPr>
          <w:p w14:paraId="536BB0DA" w14:textId="77777777" w:rsidR="004221E2" w:rsidRPr="00365123" w:rsidRDefault="004221E2" w:rsidP="00845404">
            <w:r w:rsidRPr="00365123">
              <w:t>HPV-containing</w:t>
            </w:r>
          </w:p>
        </w:tc>
        <w:tc>
          <w:tcPr>
            <w:tcW w:w="7020" w:type="dxa"/>
            <w:gridSpan w:val="2"/>
          </w:tcPr>
          <w:p w14:paraId="656C8165" w14:textId="77777777" w:rsidR="004221E2" w:rsidRPr="00365123" w:rsidRDefault="004221E2" w:rsidP="00845404">
            <w:r w:rsidRPr="00365123">
              <w:t>Binary</w:t>
            </w:r>
            <w:r>
              <w:t xml:space="preserve"> variable equals to one if it is a H</w:t>
            </w:r>
            <w:r w:rsidRPr="00365123">
              <w:t xml:space="preserve">uman </w:t>
            </w:r>
            <w:r>
              <w:t>P</w:t>
            </w:r>
            <w:r w:rsidRPr="00365123">
              <w:t>apillomavirus  vaccine</w:t>
            </w:r>
          </w:p>
        </w:tc>
        <w:tc>
          <w:tcPr>
            <w:tcW w:w="4446" w:type="dxa"/>
          </w:tcPr>
          <w:p w14:paraId="0EACF69B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008E9F9D" w14:textId="77777777" w:rsidTr="00845404">
        <w:tc>
          <w:tcPr>
            <w:tcW w:w="2430" w:type="dxa"/>
            <w:gridSpan w:val="2"/>
          </w:tcPr>
          <w:p w14:paraId="0F553E3C" w14:textId="77777777" w:rsidR="004221E2" w:rsidRPr="00365123" w:rsidRDefault="004221E2" w:rsidP="00845404">
            <w:r w:rsidRPr="00365123">
              <w:t>MMR-containing</w:t>
            </w:r>
          </w:p>
        </w:tc>
        <w:tc>
          <w:tcPr>
            <w:tcW w:w="7020" w:type="dxa"/>
            <w:gridSpan w:val="2"/>
          </w:tcPr>
          <w:p w14:paraId="544149EE" w14:textId="77777777" w:rsidR="004221E2" w:rsidRPr="00365123" w:rsidRDefault="004221E2" w:rsidP="00845404">
            <w:r w:rsidRPr="00365123">
              <w:t>Binary variable equal</w:t>
            </w:r>
            <w:r>
              <w:t>s to one if it is a</w:t>
            </w:r>
            <w:r w:rsidRPr="00365123">
              <w:t xml:space="preserve"> </w:t>
            </w:r>
            <w:r>
              <w:t>Measles, Mumps and R</w:t>
            </w:r>
            <w:r w:rsidRPr="00365123">
              <w:t>ubella-containing vaccine</w:t>
            </w:r>
          </w:p>
        </w:tc>
        <w:tc>
          <w:tcPr>
            <w:tcW w:w="4446" w:type="dxa"/>
          </w:tcPr>
          <w:p w14:paraId="67BE09E6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1B61E0A1" w14:textId="77777777" w:rsidTr="00845404">
        <w:tc>
          <w:tcPr>
            <w:tcW w:w="2430" w:type="dxa"/>
            <w:gridSpan w:val="2"/>
          </w:tcPr>
          <w:p w14:paraId="7A8E0274" w14:textId="77777777" w:rsidR="004221E2" w:rsidRPr="00365123" w:rsidRDefault="004221E2" w:rsidP="00845404">
            <w:r w:rsidRPr="00365123">
              <w:t>Men-containing</w:t>
            </w:r>
          </w:p>
        </w:tc>
        <w:tc>
          <w:tcPr>
            <w:tcW w:w="7020" w:type="dxa"/>
            <w:gridSpan w:val="2"/>
          </w:tcPr>
          <w:p w14:paraId="350113BA" w14:textId="77777777" w:rsidR="004221E2" w:rsidRPr="00365123" w:rsidRDefault="004221E2" w:rsidP="00845404">
            <w:r w:rsidRPr="00365123">
              <w:t>Binary</w:t>
            </w:r>
            <w:r>
              <w:t xml:space="preserve"> variable equals to one if it is a M</w:t>
            </w:r>
            <w:r w:rsidRPr="00365123">
              <w:t>eningococcal-containing vaccine</w:t>
            </w:r>
          </w:p>
        </w:tc>
        <w:tc>
          <w:tcPr>
            <w:tcW w:w="4446" w:type="dxa"/>
          </w:tcPr>
          <w:p w14:paraId="055EA80E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5CE03AAB" w14:textId="77777777" w:rsidTr="00845404">
        <w:tc>
          <w:tcPr>
            <w:tcW w:w="2430" w:type="dxa"/>
            <w:gridSpan w:val="2"/>
          </w:tcPr>
          <w:p w14:paraId="14F3352A" w14:textId="77777777" w:rsidR="004221E2" w:rsidRPr="00365123" w:rsidRDefault="004221E2" w:rsidP="00845404">
            <w:r w:rsidRPr="00365123">
              <w:t>Pneumo-containing</w:t>
            </w:r>
          </w:p>
        </w:tc>
        <w:tc>
          <w:tcPr>
            <w:tcW w:w="7020" w:type="dxa"/>
            <w:gridSpan w:val="2"/>
          </w:tcPr>
          <w:p w14:paraId="514B5A55" w14:textId="77777777" w:rsidR="004221E2" w:rsidRPr="00365123" w:rsidRDefault="004221E2" w:rsidP="00845404">
            <w:r w:rsidRPr="00365123">
              <w:t>Binary</w:t>
            </w:r>
            <w:r>
              <w:t xml:space="preserve"> variable equals to one if it is a P</w:t>
            </w:r>
            <w:r w:rsidRPr="00365123">
              <w:t>neumococcal vaccine</w:t>
            </w:r>
          </w:p>
        </w:tc>
        <w:tc>
          <w:tcPr>
            <w:tcW w:w="4446" w:type="dxa"/>
          </w:tcPr>
          <w:p w14:paraId="52D5530F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5A677883" w14:textId="77777777" w:rsidTr="00845404">
        <w:tc>
          <w:tcPr>
            <w:tcW w:w="2430" w:type="dxa"/>
            <w:gridSpan w:val="2"/>
          </w:tcPr>
          <w:p w14:paraId="21379242" w14:textId="77777777" w:rsidR="004221E2" w:rsidRPr="00365123" w:rsidRDefault="004221E2" w:rsidP="00845404">
            <w:r w:rsidRPr="00365123">
              <w:t>Polio-containing</w:t>
            </w:r>
          </w:p>
        </w:tc>
        <w:tc>
          <w:tcPr>
            <w:tcW w:w="7020" w:type="dxa"/>
            <w:gridSpan w:val="2"/>
          </w:tcPr>
          <w:p w14:paraId="6BF2A32C" w14:textId="77777777" w:rsidR="004221E2" w:rsidRPr="00365123" w:rsidRDefault="004221E2" w:rsidP="00845404">
            <w:r w:rsidRPr="00365123">
              <w:t>Binary</w:t>
            </w:r>
            <w:r>
              <w:t xml:space="preserve"> variable equals to one if it is a P</w:t>
            </w:r>
            <w:r w:rsidRPr="00365123">
              <w:t>oliovirus-containing vaccine</w:t>
            </w:r>
          </w:p>
        </w:tc>
        <w:tc>
          <w:tcPr>
            <w:tcW w:w="4446" w:type="dxa"/>
          </w:tcPr>
          <w:p w14:paraId="566ACDD6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4075277F" w14:textId="77777777" w:rsidTr="00845404">
        <w:tc>
          <w:tcPr>
            <w:tcW w:w="2430" w:type="dxa"/>
            <w:gridSpan w:val="2"/>
          </w:tcPr>
          <w:p w14:paraId="4E871766" w14:textId="77777777" w:rsidR="004221E2" w:rsidRPr="00365123" w:rsidRDefault="004221E2" w:rsidP="00845404">
            <w:r w:rsidRPr="00365123">
              <w:t>Rota-containing</w:t>
            </w:r>
          </w:p>
        </w:tc>
        <w:tc>
          <w:tcPr>
            <w:tcW w:w="7020" w:type="dxa"/>
            <w:gridSpan w:val="2"/>
          </w:tcPr>
          <w:p w14:paraId="2F998DC8" w14:textId="77777777" w:rsidR="004221E2" w:rsidRPr="00365123" w:rsidRDefault="004221E2" w:rsidP="00845404">
            <w:r w:rsidRPr="00365123">
              <w:t>Binary</w:t>
            </w:r>
            <w:r>
              <w:t xml:space="preserve"> variable equals to one if it is a R</w:t>
            </w:r>
            <w:r w:rsidRPr="00365123">
              <w:t>otavirus vaccine</w:t>
            </w:r>
          </w:p>
        </w:tc>
        <w:tc>
          <w:tcPr>
            <w:tcW w:w="4446" w:type="dxa"/>
          </w:tcPr>
          <w:p w14:paraId="30E0F073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5942845A" w14:textId="77777777" w:rsidTr="00845404">
        <w:tc>
          <w:tcPr>
            <w:tcW w:w="2430" w:type="dxa"/>
            <w:gridSpan w:val="2"/>
          </w:tcPr>
          <w:p w14:paraId="6979040F" w14:textId="77777777" w:rsidR="004221E2" w:rsidRPr="00365123" w:rsidRDefault="004221E2" w:rsidP="00845404">
            <w:r>
              <w:lastRenderedPageBreak/>
              <w:t>Var-containing</w:t>
            </w:r>
            <w:r w:rsidRPr="00365123">
              <w:t xml:space="preserve"> </w:t>
            </w:r>
          </w:p>
        </w:tc>
        <w:tc>
          <w:tcPr>
            <w:tcW w:w="7020" w:type="dxa"/>
            <w:gridSpan w:val="2"/>
          </w:tcPr>
          <w:p w14:paraId="629D93E1" w14:textId="77777777" w:rsidR="004221E2" w:rsidRPr="00365123" w:rsidRDefault="004221E2" w:rsidP="00845404">
            <w:r w:rsidRPr="00365123">
              <w:t>Binary</w:t>
            </w:r>
            <w:r>
              <w:t xml:space="preserve"> variable equals to one if it is a V</w:t>
            </w:r>
            <w:r w:rsidRPr="00365123">
              <w:t>aricella-containing vaccine</w:t>
            </w:r>
          </w:p>
        </w:tc>
        <w:tc>
          <w:tcPr>
            <w:tcW w:w="4446" w:type="dxa"/>
          </w:tcPr>
          <w:p w14:paraId="523F162C" w14:textId="77777777" w:rsidR="004221E2" w:rsidRPr="00365123" w:rsidRDefault="004221E2" w:rsidP="00845404">
            <w:r>
              <w:t>ACIP Vaccine Acronyms (2015)</w:t>
            </w:r>
          </w:p>
        </w:tc>
      </w:tr>
      <w:tr w:rsidR="004221E2" w:rsidRPr="00365123" w14:paraId="7E960210" w14:textId="77777777" w:rsidTr="00845404">
        <w:trPr>
          <w:trHeight w:val="215"/>
        </w:trPr>
        <w:tc>
          <w:tcPr>
            <w:tcW w:w="2430" w:type="dxa"/>
            <w:gridSpan w:val="2"/>
          </w:tcPr>
          <w:p w14:paraId="67DC5FE3" w14:textId="77777777" w:rsidR="004221E2" w:rsidRPr="00365123" w:rsidRDefault="004221E2" w:rsidP="00845404">
            <w:r w:rsidRPr="00365123">
              <w:t>T</w:t>
            </w:r>
          </w:p>
        </w:tc>
        <w:tc>
          <w:tcPr>
            <w:tcW w:w="7020" w:type="dxa"/>
            <w:gridSpan w:val="2"/>
          </w:tcPr>
          <w:p w14:paraId="0C577696" w14:textId="77777777" w:rsidR="004221E2" w:rsidRPr="00365123" w:rsidRDefault="004221E2" w:rsidP="00845404">
            <w:r>
              <w:t xml:space="preserve">        </w:t>
            </w:r>
            <w:r w:rsidRPr="00365123">
              <w:t>Linear time trend</w:t>
            </w:r>
          </w:p>
        </w:tc>
        <w:tc>
          <w:tcPr>
            <w:tcW w:w="4446" w:type="dxa"/>
          </w:tcPr>
          <w:p w14:paraId="126D1A48" w14:textId="77777777" w:rsidR="004221E2" w:rsidRPr="00365123" w:rsidRDefault="004221E2" w:rsidP="00845404">
            <w:r w:rsidRPr="00365123">
              <w:t>NA</w:t>
            </w:r>
          </w:p>
        </w:tc>
      </w:tr>
    </w:tbl>
    <w:p w14:paraId="5BDA0BB5" w14:textId="77777777" w:rsidR="004221E2" w:rsidRDefault="004221E2" w:rsidP="004221E2"/>
    <w:p w14:paraId="57000E2C" w14:textId="77777777" w:rsidR="004221E2" w:rsidRDefault="004221E2" w:rsidP="004221E2"/>
    <w:p w14:paraId="382C8BA5" w14:textId="77777777" w:rsidR="004221E2" w:rsidRDefault="004221E2" w:rsidP="004221E2"/>
    <w:p w14:paraId="1FF614BB" w14:textId="77777777" w:rsidR="004221E2" w:rsidRDefault="004221E2" w:rsidP="004221E2"/>
    <w:p w14:paraId="3E8610F7" w14:textId="77777777" w:rsidR="004221E2" w:rsidRDefault="004221E2" w:rsidP="004221E2"/>
    <w:p w14:paraId="3845B510" w14:textId="77777777" w:rsidR="004221E2" w:rsidRDefault="004221E2" w:rsidP="004221E2"/>
    <w:p w14:paraId="653FFEC7" w14:textId="77777777" w:rsidR="004221E2" w:rsidRDefault="004221E2" w:rsidP="004221E2"/>
    <w:p w14:paraId="631DFB92" w14:textId="77777777" w:rsidR="004221E2" w:rsidRDefault="004221E2" w:rsidP="004221E2"/>
    <w:p w14:paraId="104903BB" w14:textId="77777777" w:rsidR="004221E2" w:rsidRDefault="004221E2" w:rsidP="004221E2">
      <w:pPr>
        <w:spacing w:after="200" w:line="276" w:lineRule="auto"/>
      </w:pPr>
      <w:r>
        <w:br w:type="page"/>
      </w:r>
    </w:p>
    <w:p w14:paraId="5C20E1CB" w14:textId="77777777" w:rsidR="004221E2" w:rsidRPr="003219DE" w:rsidRDefault="004221E2" w:rsidP="004221E2">
      <w:pPr>
        <w:jc w:val="center"/>
        <w:outlineLvl w:val="0"/>
      </w:pPr>
      <w:r>
        <w:lastRenderedPageBreak/>
        <w:t>Table A.2. Manufacturer name-changing events affecting</w:t>
      </w:r>
      <w:r w:rsidRPr="003219DE">
        <w:t xml:space="preserve"> childhood vaccines purchased by the public sector, 1996-2014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700"/>
        <w:gridCol w:w="1261"/>
        <w:gridCol w:w="3696"/>
        <w:gridCol w:w="3341"/>
        <w:gridCol w:w="252"/>
      </w:tblGrid>
      <w:tr w:rsidR="004221E2" w14:paraId="1B473A8D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7482FFC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Affected vaccine type</w:t>
            </w:r>
          </w:p>
        </w:tc>
        <w:tc>
          <w:tcPr>
            <w:tcW w:w="987" w:type="pct"/>
            <w:vAlign w:val="bottom"/>
          </w:tcPr>
          <w:p w14:paraId="609CAAF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Affected vaccine brand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755704C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65EC0E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Manufacturer name before merger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1C1B0E6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Manufacturer name after merger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55042689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15AF41DF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169DF27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</w:t>
            </w:r>
          </w:p>
        </w:tc>
        <w:tc>
          <w:tcPr>
            <w:tcW w:w="987" w:type="pct"/>
            <w:vAlign w:val="bottom"/>
          </w:tcPr>
          <w:p w14:paraId="446B7E6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Tripedia</w:t>
            </w:r>
            <w:proofErr w:type="spellEnd"/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ADCC74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32D4C4E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Connaught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2793C0D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6A59E4E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7F40CFB5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7F7EB43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</w:t>
            </w:r>
          </w:p>
        </w:tc>
        <w:tc>
          <w:tcPr>
            <w:tcW w:w="987" w:type="pct"/>
            <w:vAlign w:val="bottom"/>
          </w:tcPr>
          <w:p w14:paraId="3AD4A8A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Infanrix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B55EBB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A40093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SmithKline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05AF79D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GSK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37E24A1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155AB7E7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746D48E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</w:t>
            </w:r>
          </w:p>
        </w:tc>
        <w:tc>
          <w:tcPr>
            <w:tcW w:w="987" w:type="pct"/>
            <w:vAlign w:val="bottom"/>
          </w:tcPr>
          <w:p w14:paraId="1F93241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Daptacel</w:t>
            </w:r>
            <w:proofErr w:type="spellEnd"/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ADC02D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56590FB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74779A5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2B69CFE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5B35CAFF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544DD59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</w:t>
            </w:r>
          </w:p>
        </w:tc>
        <w:tc>
          <w:tcPr>
            <w:tcW w:w="987" w:type="pct"/>
            <w:vAlign w:val="bottom"/>
          </w:tcPr>
          <w:p w14:paraId="4908A07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Tripedia</w:t>
            </w:r>
            <w:proofErr w:type="spellEnd"/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B0079B9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C4AAA8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277C4A9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66475FD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15983710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39B9827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DTAP-HIB</w:t>
            </w:r>
          </w:p>
        </w:tc>
        <w:tc>
          <w:tcPr>
            <w:tcW w:w="987" w:type="pct"/>
            <w:vAlign w:val="bottom"/>
          </w:tcPr>
          <w:p w14:paraId="1CCDC87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TRIHIBIT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1D8F9B6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948832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Connaught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5DDD0BE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041E330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78CDAB31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0B85180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DTAP-HIB</w:t>
            </w:r>
          </w:p>
        </w:tc>
        <w:tc>
          <w:tcPr>
            <w:tcW w:w="987" w:type="pct"/>
            <w:vAlign w:val="bottom"/>
          </w:tcPr>
          <w:p w14:paraId="0BF7E61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TRIHIBIT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4042CB8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5D861B2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7CCDB58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7ABB26D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5E4EB387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052D73B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DTP-HIB</w:t>
            </w:r>
          </w:p>
        </w:tc>
        <w:tc>
          <w:tcPr>
            <w:tcW w:w="987" w:type="pct"/>
            <w:vAlign w:val="bottom"/>
          </w:tcPr>
          <w:p w14:paraId="3BBCB8C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ActHIB</w:t>
            </w:r>
            <w:proofErr w:type="spellEnd"/>
            <w:r>
              <w:rPr>
                <w:rFonts w:eastAsia="Times New Roman"/>
                <w:color w:val="000000"/>
              </w:rPr>
              <w:t>/DTP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0A665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404F79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Connaught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7D9B297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4493346B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571177C3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0C4A26E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IPV</w:t>
            </w:r>
          </w:p>
        </w:tc>
        <w:tc>
          <w:tcPr>
            <w:tcW w:w="987" w:type="pct"/>
            <w:vAlign w:val="bottom"/>
          </w:tcPr>
          <w:p w14:paraId="13C30BC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IPOL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CA7193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18064D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Connaught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65A8AB7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12C628A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2BF86C03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542C546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IPV</w:t>
            </w:r>
          </w:p>
        </w:tc>
        <w:tc>
          <w:tcPr>
            <w:tcW w:w="987" w:type="pct"/>
            <w:vAlign w:val="bottom"/>
          </w:tcPr>
          <w:p w14:paraId="43AF923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IPOL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418A3AA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EF8E23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5D0C72F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41A32CB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0538615D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745473A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HEP A</w:t>
            </w:r>
          </w:p>
        </w:tc>
        <w:tc>
          <w:tcPr>
            <w:tcW w:w="987" w:type="pct"/>
            <w:vAlign w:val="bottom"/>
          </w:tcPr>
          <w:p w14:paraId="66E588D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Havrix</w:t>
            </w:r>
            <w:proofErr w:type="spellEnd"/>
            <w:r>
              <w:rPr>
                <w:rFonts w:eastAsia="Times New Roman"/>
                <w:color w:val="000000"/>
              </w:rPr>
              <w:t xml:space="preserve"> Pediatric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EC04CF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2549E69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SmithKline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034DC1F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GSK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5917E85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6E6B9783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5EFBD4D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HIB</w:t>
            </w:r>
          </w:p>
        </w:tc>
        <w:tc>
          <w:tcPr>
            <w:tcW w:w="987" w:type="pct"/>
            <w:vAlign w:val="bottom"/>
          </w:tcPr>
          <w:p w14:paraId="7E224FA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ActHIB</w:t>
            </w:r>
            <w:proofErr w:type="spellEnd"/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557391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E365629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Connaught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05945A2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2754772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4576C637" w14:textId="77777777" w:rsidTr="00845404">
        <w:trPr>
          <w:trHeight w:val="320"/>
          <w:jc w:val="center"/>
        </w:trPr>
        <w:tc>
          <w:tcPr>
            <w:tcW w:w="888" w:type="pct"/>
            <w:vAlign w:val="bottom"/>
          </w:tcPr>
          <w:p w14:paraId="30A06AF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HIB</w:t>
            </w:r>
          </w:p>
        </w:tc>
        <w:tc>
          <w:tcPr>
            <w:tcW w:w="987" w:type="pct"/>
            <w:vAlign w:val="bottom"/>
          </w:tcPr>
          <w:p w14:paraId="1534284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ActHIB</w:t>
            </w:r>
            <w:proofErr w:type="spellEnd"/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CF9D52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7731D3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4633F3C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521D349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  <w:tr w:rsidR="004221E2" w14:paraId="1D99F43C" w14:textId="77777777" w:rsidTr="00845404">
        <w:trPr>
          <w:trHeight w:val="320"/>
          <w:jc w:val="center"/>
        </w:trPr>
        <w:tc>
          <w:tcPr>
            <w:tcW w:w="888" w:type="pct"/>
            <w:tcBorders>
              <w:bottom w:val="double" w:sz="4" w:space="0" w:color="auto"/>
            </w:tcBorders>
            <w:vAlign w:val="bottom"/>
          </w:tcPr>
          <w:p w14:paraId="789F0B8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TD</w:t>
            </w:r>
          </w:p>
        </w:tc>
        <w:tc>
          <w:tcPr>
            <w:tcW w:w="987" w:type="pct"/>
            <w:tcBorders>
              <w:bottom w:val="double" w:sz="4" w:space="0" w:color="auto"/>
            </w:tcBorders>
            <w:vAlign w:val="bottom"/>
          </w:tcPr>
          <w:p w14:paraId="0889912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Decavac</w:t>
            </w:r>
            <w:proofErr w:type="spellEnd"/>
          </w:p>
        </w:tc>
        <w:tc>
          <w:tcPr>
            <w:tcW w:w="46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919899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135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97F7DB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Aventis Pasteur</w:t>
            </w:r>
          </w:p>
        </w:tc>
        <w:tc>
          <w:tcPr>
            <w:tcW w:w="122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0C50F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C8B0DB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</w:tc>
      </w:tr>
    </w:tbl>
    <w:p w14:paraId="363B519A" w14:textId="77777777" w:rsidR="004221E2" w:rsidRPr="00863221" w:rsidRDefault="004221E2" w:rsidP="004221E2">
      <w:pPr>
        <w:rPr>
          <w:rFonts w:eastAsia="Times New Roman"/>
          <w:color w:val="474747"/>
          <w:sz w:val="22"/>
          <w:szCs w:val="22"/>
        </w:rPr>
      </w:pPr>
      <w:r w:rsidRPr="000B3905">
        <w:rPr>
          <w:rFonts w:eastAsia="Times New Roman"/>
          <w:color w:val="000000" w:themeColor="text1"/>
          <w:sz w:val="22"/>
          <w:szCs w:val="22"/>
        </w:rPr>
        <w:t xml:space="preserve">Source: </w:t>
      </w:r>
      <w:r>
        <w:rPr>
          <w:rFonts w:eastAsia="Times New Roman"/>
          <w:color w:val="000000" w:themeColor="text1"/>
          <w:sz w:val="22"/>
          <w:szCs w:val="22"/>
        </w:rPr>
        <w:t>Events</w:t>
      </w:r>
      <w:r w:rsidRPr="000B3905">
        <w:rPr>
          <w:rFonts w:eastAsia="Times New Roman"/>
          <w:color w:val="000000" w:themeColor="text1"/>
          <w:sz w:val="22"/>
          <w:szCs w:val="22"/>
        </w:rPr>
        <w:t xml:space="preserve"> were identified by name changes in manufacturers of studied vaccines and confirmed </w:t>
      </w:r>
      <w:r w:rsidRPr="000B3905">
        <w:rPr>
          <w:color w:val="000000" w:themeColor="text1"/>
          <w:sz w:val="22"/>
          <w:szCs w:val="22"/>
        </w:rPr>
        <w:t xml:space="preserve">based on Table 12.4 from “Markets for Pharmaceutical Products” by Fiona Scoot Morton and Margaret Kyle (2012), Chapter 12 in M.V. Pauly, T.G. </w:t>
      </w:r>
      <w:proofErr w:type="spellStart"/>
      <w:r w:rsidRPr="000B3905">
        <w:rPr>
          <w:color w:val="000000" w:themeColor="text1"/>
          <w:sz w:val="22"/>
          <w:szCs w:val="22"/>
        </w:rPr>
        <w:t>Mcguire</w:t>
      </w:r>
      <w:proofErr w:type="spellEnd"/>
      <w:r w:rsidRPr="000B3905">
        <w:rPr>
          <w:color w:val="000000" w:themeColor="text1"/>
          <w:sz w:val="22"/>
          <w:szCs w:val="22"/>
        </w:rPr>
        <w:t>, and P.O. Barros, editors, Handbook of Health Economics Volume 2 (Elsevier), pp. 763-823.</w:t>
      </w:r>
      <w:r>
        <w:rPr>
          <w:rFonts w:eastAsia="Times New Roman"/>
          <w:color w:val="474747"/>
          <w:sz w:val="22"/>
          <w:szCs w:val="22"/>
        </w:rPr>
        <w:t xml:space="preserve">                     </w:t>
      </w:r>
    </w:p>
    <w:p w14:paraId="1CB65671" w14:textId="77777777" w:rsidR="004221E2" w:rsidRDefault="004221E2" w:rsidP="004221E2"/>
    <w:p w14:paraId="1A1EEA32" w14:textId="77777777" w:rsidR="004221E2" w:rsidRDefault="004221E2" w:rsidP="004221E2"/>
    <w:p w14:paraId="2F0B3C08" w14:textId="77777777" w:rsidR="004221E2" w:rsidRDefault="004221E2" w:rsidP="004221E2">
      <w:pPr>
        <w:spacing w:after="200" w:line="276" w:lineRule="auto"/>
      </w:pPr>
      <w:r>
        <w:br w:type="page"/>
      </w:r>
    </w:p>
    <w:p w14:paraId="5D0ADDC4" w14:textId="77777777" w:rsidR="004221E2" w:rsidRPr="003219DE" w:rsidRDefault="004221E2" w:rsidP="004221E2">
      <w:pPr>
        <w:jc w:val="center"/>
        <w:outlineLvl w:val="0"/>
      </w:pPr>
      <w:r>
        <w:lastRenderedPageBreak/>
        <w:t xml:space="preserve">Table A.3. </w:t>
      </w:r>
      <w:r w:rsidRPr="003219DE">
        <w:t>Shortages in childhood vaccines purchased by the public sector, 1996-2014</w:t>
      </w:r>
    </w:p>
    <w:tbl>
      <w:tblPr>
        <w:tblW w:w="5034" w:type="pct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270"/>
        <w:gridCol w:w="1639"/>
        <w:gridCol w:w="2256"/>
        <w:gridCol w:w="1088"/>
        <w:gridCol w:w="1818"/>
        <w:gridCol w:w="4887"/>
      </w:tblGrid>
      <w:tr w:rsidR="004221E2" w14:paraId="747560FF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04EA806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Event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34C748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Vaccine type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71EACEB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Vaccine brand(s)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EDC795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Shortage period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B28649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Affected year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17A6AD4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Manufacturer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705127EB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Reason</w:t>
            </w:r>
          </w:p>
        </w:tc>
      </w:tr>
      <w:tr w:rsidR="004221E2" w14:paraId="5ABA0B1E" w14:textId="77777777" w:rsidTr="00845404">
        <w:trPr>
          <w:trHeight w:val="809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561715F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4EB1896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BF11FD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Infanrix, </w:t>
            </w:r>
            <w:proofErr w:type="spellStart"/>
            <w:r>
              <w:rPr>
                <w:rFonts w:eastAsia="Times New Roman"/>
                <w:color w:val="000000"/>
              </w:rPr>
              <w:t>Treipedia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Deptacel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3C604D4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 2001 - Jul 2002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580AD00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2001-02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4479B28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GSK, Aventis Pasteur, Sanofi Pasteur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0BC3344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Manufacturing process updates, requirement to remove preservative.</w:t>
            </w:r>
          </w:p>
        </w:tc>
      </w:tr>
      <w:tr w:rsidR="004221E2" w14:paraId="3B2A5600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2E4970F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8073C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4E55E6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Daptacel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E642EA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 2012-Jul 2014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45D7E5A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2012-14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01C50E7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7FC81DC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Manufacturing delay</w:t>
            </w:r>
          </w:p>
        </w:tc>
      </w:tr>
      <w:tr w:rsidR="004221E2" w14:paraId="097208B4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6232032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3B00879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DTaP-IPV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341D5D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Kinrix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FB632D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 2010-Jul 2011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BC91462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2011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4C1FDFD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GSK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7DDC59E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Unknown</w:t>
            </w:r>
          </w:p>
        </w:tc>
      </w:tr>
      <w:tr w:rsidR="004221E2" w14:paraId="190FDB1A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76C498C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F25539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DTaP-IPV-Hib 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604D7A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Pentacel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2D19E4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 2012- Jul 2014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EB29CC8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2012-14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65356FF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4E150FE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Manufacturing delay</w:t>
            </w:r>
          </w:p>
        </w:tc>
      </w:tr>
      <w:tr w:rsidR="004221E2" w14:paraId="4504C672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1055212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CE6A60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Hep B-Hib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77CE70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Comvax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7DB730F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 2007-Aug 2010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7DE2328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2008-10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1FF7B4F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Merck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7CE7005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Recall due to potential equipment sterility issue</w:t>
            </w:r>
          </w:p>
        </w:tc>
      </w:tr>
      <w:tr w:rsidR="004221E2" w14:paraId="023E5B1B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633DF02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A3237B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Hib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38F7E5B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PedvaxHIB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42EF48F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 2007-Jul 2009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0CF18C0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2008-09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53F5629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Merck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07D49AA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Recall due to potential equipment sterility issue</w:t>
            </w:r>
          </w:p>
        </w:tc>
      </w:tr>
      <w:tr w:rsidR="004221E2" w14:paraId="0FE5B20C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2D39CB2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D32DDA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  <w:p w14:paraId="436D20C9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  <w:p w14:paraId="4C8F9AC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MMR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C32BE3B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MMRII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1B8BEC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 2001-Jul 2002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77B3D2C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3DE67DE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Merck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4E78EB3F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Manufacturing process updates (voluntary renovations at a vaccine filling suite which affected multiple vaccines)</w:t>
            </w:r>
          </w:p>
        </w:tc>
      </w:tr>
      <w:tr w:rsidR="004221E2" w14:paraId="5341ED54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79EC27E2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3C30BC6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MMRV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CA7A2B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ProQuad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661B179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 2007-Oct 2012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86490B0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2008-12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050F767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Merck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3D3FCA5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Unknown</w:t>
            </w:r>
          </w:p>
        </w:tc>
      </w:tr>
      <w:tr w:rsidR="004221E2" w14:paraId="3D32FEE0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233A902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8B9CDF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PCV7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B1F386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Prevnar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67C284D4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 2001-May 2003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C6E9D92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2002-03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2A9FBAB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Wyeth/</w:t>
            </w:r>
            <w:proofErr w:type="spellStart"/>
            <w:r>
              <w:rPr>
                <w:rFonts w:eastAsia="Times New Roman"/>
                <w:color w:val="000000"/>
              </w:rPr>
              <w:t>Lederle</w:t>
            </w:r>
            <w:proofErr w:type="spellEnd"/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4CCBB03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Fill line problems</w:t>
            </w:r>
          </w:p>
        </w:tc>
      </w:tr>
      <w:tr w:rsidR="004221E2" w14:paraId="7538CA5F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68689E4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08C1D6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PCV7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A4FA5B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Prevnar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C95666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 2003-Sep 2004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A85453E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2004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45BE4998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Wyeth/</w:t>
            </w:r>
            <w:proofErr w:type="spellStart"/>
            <w:r>
              <w:rPr>
                <w:rFonts w:eastAsia="Times New Roman"/>
                <w:color w:val="000000"/>
              </w:rPr>
              <w:t>Lederle</w:t>
            </w:r>
            <w:proofErr w:type="spellEnd"/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301A1F8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Fill line problems</w:t>
            </w:r>
          </w:p>
        </w:tc>
      </w:tr>
      <w:tr w:rsidR="004221E2" w14:paraId="7CD7D4F2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1EB8852A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7D97067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Tdap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BB9F895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Adacel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8824BD1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 2013-Jul 2014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9A342AF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5741D81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Sanofi Pasteur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140AC94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Increased demand</w:t>
            </w:r>
          </w:p>
        </w:tc>
      </w:tr>
      <w:tr w:rsidR="004221E2" w14:paraId="52613D56" w14:textId="77777777" w:rsidTr="00845404">
        <w:trPr>
          <w:trHeight w:val="324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7F113E4C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38FE98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  <w:p w14:paraId="52FE22D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</w:p>
          <w:p w14:paraId="7A8AE97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Var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E2C75BE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Varivax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4AADD450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 2001-Aug 2002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9B6D62F" w14:textId="77777777" w:rsidR="004221E2" w:rsidRDefault="004221E2" w:rsidP="008454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14:paraId="464389BD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Merck</w:t>
            </w:r>
          </w:p>
        </w:tc>
        <w:tc>
          <w:tcPr>
            <w:tcW w:w="1774" w:type="pct"/>
            <w:shd w:val="clear" w:color="auto" w:fill="auto"/>
            <w:noWrap/>
            <w:vAlign w:val="bottom"/>
            <w:hideMark/>
          </w:tcPr>
          <w:p w14:paraId="2807E823" w14:textId="77777777" w:rsidR="004221E2" w:rsidRDefault="004221E2" w:rsidP="008454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Manufacturing process updates (voluntary renovations at a vaccine filling suite which affected multiple vaccines)</w:t>
            </w:r>
          </w:p>
        </w:tc>
      </w:tr>
    </w:tbl>
    <w:p w14:paraId="777AF60A" w14:textId="77777777" w:rsidR="004221E2" w:rsidRPr="00863221" w:rsidRDefault="004221E2" w:rsidP="004221E2">
      <w:pPr>
        <w:rPr>
          <w:rFonts w:eastAsia="Times New Roman"/>
          <w:color w:val="474747"/>
          <w:sz w:val="22"/>
          <w:szCs w:val="22"/>
        </w:rPr>
      </w:pPr>
      <w:r w:rsidRPr="00863221">
        <w:rPr>
          <w:sz w:val="22"/>
          <w:szCs w:val="22"/>
        </w:rPr>
        <w:t xml:space="preserve">Sources: </w:t>
      </w:r>
      <w:r w:rsidRPr="00863221">
        <w:rPr>
          <w:rFonts w:eastAsia="Times New Roman"/>
          <w:color w:val="000000"/>
          <w:sz w:val="22"/>
          <w:szCs w:val="22"/>
        </w:rPr>
        <w:t>1. Shrestha et al. 20</w:t>
      </w:r>
      <w:r>
        <w:rPr>
          <w:rFonts w:eastAsia="Times New Roman"/>
          <w:color w:val="000000"/>
          <w:sz w:val="22"/>
          <w:szCs w:val="22"/>
        </w:rPr>
        <w:t>10</w:t>
      </w:r>
      <w:r w:rsidRPr="00863221">
        <w:rPr>
          <w:rFonts w:eastAsia="Times New Roman"/>
          <w:color w:val="000000"/>
          <w:sz w:val="22"/>
          <w:szCs w:val="22"/>
        </w:rPr>
        <w:t xml:space="preserve">. Modeling the national pediatric vaccine stockpile: Supply shortages, health impacts and cost consequences. Vaccine 28(38): 6318-6332. 2. Santibanez et al. 2012. Effects of a nationwide Hib vaccine shortage on vaccination coverage in the United States. Vaccine 30(5): 941-947. 3. U.S. Food and Drug Administration. CBER-Regulated Products: Current Shortages (Feb, 2014): </w:t>
      </w:r>
      <w:hyperlink r:id="rId7" w:history="1">
        <w:r w:rsidRPr="00863221">
          <w:rPr>
            <w:rStyle w:val="Hyperlink"/>
            <w:rFonts w:eastAsia="Times New Roman"/>
            <w:sz w:val="22"/>
            <w:szCs w:val="22"/>
          </w:rPr>
          <w:t>http://www.fda.gov/BiologicsBloodVaccines/SafetyAvailability/Shortages/ucm351921.htm</w:t>
        </w:r>
      </w:hyperlink>
      <w:r w:rsidRPr="00863221">
        <w:rPr>
          <w:rFonts w:eastAsia="Times New Roman"/>
          <w:color w:val="000000"/>
          <w:sz w:val="22"/>
          <w:szCs w:val="22"/>
        </w:rPr>
        <w:t xml:space="preserve">. 4. </w:t>
      </w:r>
      <w:proofErr w:type="spellStart"/>
      <w:r w:rsidRPr="00863221">
        <w:rPr>
          <w:rFonts w:eastAsia="Times New Roman"/>
          <w:color w:val="000000"/>
          <w:sz w:val="22"/>
          <w:szCs w:val="22"/>
        </w:rPr>
        <w:t>Trunong</w:t>
      </w:r>
      <w:proofErr w:type="spellEnd"/>
      <w:r w:rsidRPr="00863221">
        <w:rPr>
          <w:rFonts w:eastAsia="Times New Roman"/>
          <w:color w:val="000000"/>
          <w:sz w:val="22"/>
          <w:szCs w:val="22"/>
        </w:rPr>
        <w:t>. 2012. The pediatric vaccine stockpiling problem. Vaccine 30(43): 6175-6179. 5. CDC Current Vaccine Shortages &amp; Delays. 6. National Vaccine Advisory Committee, 2003. Strengthening the supply of routinely recommended vaccines in the United States. JAMA 290(23): 3122-3128. 7. U.S. Food and Drug Administration. CBER-Regulated Products: Resolved Shortages (Oct, 2014):</w:t>
      </w:r>
      <w:r w:rsidRPr="00863221">
        <w:rPr>
          <w:rFonts w:eastAsia="Times New Roman"/>
          <w:color w:val="0563C1"/>
          <w:sz w:val="22"/>
          <w:szCs w:val="22"/>
          <w:u w:val="single"/>
        </w:rPr>
        <w:t xml:space="preserve"> </w:t>
      </w:r>
      <w:hyperlink r:id="rId8" w:history="1">
        <w:r w:rsidRPr="00863221">
          <w:rPr>
            <w:rFonts w:eastAsia="Times New Roman"/>
            <w:color w:val="0563C1"/>
            <w:sz w:val="22"/>
            <w:szCs w:val="22"/>
            <w:u w:val="single"/>
          </w:rPr>
          <w:t>http://www.fda.gov/BiologicsBloodVaccines/SafetyAvailability/Shortages/ucm351943.htm</w:t>
        </w:r>
      </w:hyperlink>
      <w:r w:rsidRPr="00863221">
        <w:rPr>
          <w:rFonts w:eastAsia="Times New Roman"/>
          <w:color w:val="0563C1"/>
          <w:sz w:val="22"/>
          <w:szCs w:val="22"/>
          <w:u w:val="single"/>
        </w:rPr>
        <w:t>.</w:t>
      </w:r>
      <w:r>
        <w:rPr>
          <w:rFonts w:eastAsia="Times New Roman"/>
          <w:color w:val="0563C1"/>
          <w:sz w:val="22"/>
          <w:szCs w:val="22"/>
          <w:u w:val="single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8. A</w:t>
      </w:r>
      <w:r w:rsidRPr="00863221">
        <w:rPr>
          <w:rFonts w:eastAsia="Times New Roman"/>
          <w:color w:val="000000"/>
          <w:sz w:val="22"/>
          <w:szCs w:val="22"/>
        </w:rPr>
        <w:t xml:space="preserve">merican Academy of Family Physicians website </w:t>
      </w:r>
      <w:hyperlink r:id="rId9" w:history="1">
        <w:r w:rsidRPr="00863221">
          <w:rPr>
            <w:rStyle w:val="Hyperlink"/>
            <w:rFonts w:eastAsia="Times New Roman"/>
            <w:sz w:val="22"/>
            <w:szCs w:val="22"/>
          </w:rPr>
          <w:t>http://www.aafp.org/news/health-of-the-public/20120507sanofidtapshortage.html</w:t>
        </w:r>
      </w:hyperlink>
      <w:r w:rsidRPr="00863221">
        <w:rPr>
          <w:rFonts w:eastAsia="Times New Roman"/>
          <w:color w:val="000000"/>
          <w:sz w:val="22"/>
          <w:szCs w:val="22"/>
        </w:rPr>
        <w:t xml:space="preserve"> 9. </w:t>
      </w:r>
      <w:r w:rsidRPr="00863221">
        <w:rPr>
          <w:rFonts w:eastAsia="Times New Roman"/>
          <w:color w:val="474747"/>
          <w:sz w:val="22"/>
          <w:szCs w:val="22"/>
        </w:rPr>
        <w:t xml:space="preserve">http://www.ashp.org/menu/DrugShortages/CurrentShortages/bulletin.aspx?id=1051 July 28, May 20, 2015, University of Utah, Drug Information Service. </w:t>
      </w:r>
    </w:p>
    <w:p w14:paraId="433DC9C1" w14:textId="77777777" w:rsidR="004221E2" w:rsidRPr="000B3905" w:rsidRDefault="004221E2" w:rsidP="004221E2">
      <w:pPr>
        <w:spacing w:after="200" w:line="276" w:lineRule="auto"/>
        <w:rPr>
          <w:rFonts w:eastAsia="Times New Roman"/>
          <w:color w:val="474747"/>
          <w:sz w:val="22"/>
          <w:szCs w:val="22"/>
        </w:rPr>
      </w:pPr>
    </w:p>
    <w:p w14:paraId="3471CF26" w14:textId="77777777" w:rsidR="005A37C5" w:rsidRDefault="005A37C5"/>
    <w:sectPr w:rsidR="005A37C5" w:rsidSect="00603433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79CF7" w14:textId="77777777" w:rsidR="00A01E40" w:rsidRDefault="00A01E40" w:rsidP="00A01E40">
      <w:r>
        <w:separator/>
      </w:r>
    </w:p>
  </w:endnote>
  <w:endnote w:type="continuationSeparator" w:id="0">
    <w:p w14:paraId="5763FB9A" w14:textId="77777777" w:rsidR="00A01E40" w:rsidRDefault="00A01E40" w:rsidP="00A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4F31E" w14:textId="77777777" w:rsidR="00A01E40" w:rsidRDefault="00A01E40" w:rsidP="00A01E40">
      <w:r>
        <w:separator/>
      </w:r>
    </w:p>
  </w:footnote>
  <w:footnote w:type="continuationSeparator" w:id="0">
    <w:p w14:paraId="0F6DCE76" w14:textId="77777777" w:rsidR="00A01E40" w:rsidRDefault="00A01E40" w:rsidP="00A0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E2"/>
    <w:rsid w:val="004221E2"/>
    <w:rsid w:val="005A37C5"/>
    <w:rsid w:val="00A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3454"/>
  <w15:docId w15:val="{2879ACB0-6FF7-4B5F-9B6A-333A71C6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1E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BiologicsBloodVaccines/SafetyAvailability/Shortages/ucm35194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a.gov/BiologicsBloodVaccines/SafetyAvailability/Shortages/ucm35192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/BiologicsBloodVaccines/Vaccines/ApprovedProducts/default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afp.org/news/health-of-the-public/20120507sanofidtapshort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Sharp</dc:creator>
  <cp:lastModifiedBy>Bauman, Ann (CDC/DDID/NCIRD/OD)</cp:lastModifiedBy>
  <cp:revision>2</cp:revision>
  <dcterms:created xsi:type="dcterms:W3CDTF">2021-12-07T15:38:00Z</dcterms:created>
  <dcterms:modified xsi:type="dcterms:W3CDTF">2021-12-07T15:38:00Z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2021-12-07T15:37:38Z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f016ded3-d507-424e-af64-74640128759d</vt:lpwstr>
  </property>
  <property fmtid="{D5CDD505-2E9C-101B-9397-08002B2CF9AE}" pid="8" name="MSIP_Label_8af03ff0-41c5-4c41-b55e-fabb8fae94be_ContentBits">
    <vt:lpwstr>0</vt:lpwstr>
  </property>
</Properties>
</file>