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907F1" w14:textId="4D350E27" w:rsidR="00142A33" w:rsidRDefault="00142A33" w:rsidP="00142A33">
      <w:pPr>
        <w:spacing w:line="480" w:lineRule="auto"/>
        <w:rPr>
          <w:rFonts w:ascii="Times New Roman" w:hAnsi="Times New Roman" w:cs="Times New Roman"/>
          <w:b/>
          <w:sz w:val="26"/>
          <w:szCs w:val="26"/>
        </w:rPr>
      </w:pPr>
      <w:bookmarkStart w:id="0" w:name="_Hlk54939110"/>
      <w:r w:rsidRPr="001E3C5E">
        <w:rPr>
          <w:rFonts w:ascii="Times New Roman" w:hAnsi="Times New Roman" w:cs="Times New Roman"/>
          <w:b/>
          <w:sz w:val="26"/>
          <w:szCs w:val="26"/>
        </w:rPr>
        <w:t>Quantification</w:t>
      </w:r>
      <w:r>
        <w:rPr>
          <w:rFonts w:ascii="Times New Roman" w:hAnsi="Times New Roman" w:cs="Times New Roman"/>
          <w:b/>
          <w:sz w:val="26"/>
          <w:szCs w:val="26"/>
        </w:rPr>
        <w:t xml:space="preserve"> of</w:t>
      </w:r>
      <w:r w:rsidRPr="001E3C5E">
        <w:rPr>
          <w:rFonts w:ascii="Times New Roman" w:hAnsi="Times New Roman" w:cs="Times New Roman"/>
          <w:b/>
          <w:sz w:val="26"/>
          <w:szCs w:val="26"/>
        </w:rPr>
        <w:t xml:space="preserve"> Glyph</w:t>
      </w:r>
      <w:r>
        <w:rPr>
          <w:rFonts w:ascii="Times New Roman" w:hAnsi="Times New Roman" w:cs="Times New Roman"/>
          <w:b/>
          <w:sz w:val="26"/>
          <w:szCs w:val="26"/>
        </w:rPr>
        <w:t>osate</w:t>
      </w:r>
      <w:r w:rsidRPr="001E3C5E">
        <w:rPr>
          <w:rFonts w:ascii="Times New Roman" w:hAnsi="Times New Roman" w:cs="Times New Roman"/>
          <w:b/>
          <w:sz w:val="26"/>
          <w:szCs w:val="26"/>
        </w:rPr>
        <w:t xml:space="preserve"> </w:t>
      </w:r>
      <w:r>
        <w:rPr>
          <w:rFonts w:ascii="Times New Roman" w:hAnsi="Times New Roman" w:cs="Times New Roman"/>
          <w:b/>
          <w:sz w:val="26"/>
          <w:szCs w:val="26"/>
        </w:rPr>
        <w:t xml:space="preserve">and Other Organophosphorus Compounds </w:t>
      </w:r>
      <w:r w:rsidRPr="001E3C5E">
        <w:rPr>
          <w:rFonts w:ascii="Times New Roman" w:hAnsi="Times New Roman" w:cs="Times New Roman"/>
          <w:b/>
          <w:sz w:val="26"/>
          <w:szCs w:val="26"/>
        </w:rPr>
        <w:t>in</w:t>
      </w:r>
      <w:r>
        <w:rPr>
          <w:rFonts w:ascii="Times New Roman" w:hAnsi="Times New Roman" w:cs="Times New Roman"/>
          <w:b/>
          <w:sz w:val="26"/>
          <w:szCs w:val="26"/>
        </w:rPr>
        <w:t xml:space="preserve"> Human</w:t>
      </w:r>
      <w:r w:rsidRPr="001E3C5E">
        <w:rPr>
          <w:rFonts w:ascii="Times New Roman" w:hAnsi="Times New Roman" w:cs="Times New Roman"/>
          <w:b/>
          <w:sz w:val="26"/>
          <w:szCs w:val="26"/>
        </w:rPr>
        <w:t xml:space="preserve"> Urine via </w:t>
      </w:r>
      <w:r>
        <w:rPr>
          <w:rFonts w:ascii="Times New Roman" w:hAnsi="Times New Roman" w:cs="Times New Roman"/>
          <w:b/>
          <w:sz w:val="26"/>
          <w:szCs w:val="26"/>
        </w:rPr>
        <w:t>Ion Chromatography Isotope Dilution Tandem Mass Spectrometry</w:t>
      </w:r>
    </w:p>
    <w:p w14:paraId="72125C19" w14:textId="77777777" w:rsidR="00142A33" w:rsidRPr="006E4038" w:rsidRDefault="00142A33" w:rsidP="00142A33">
      <w:pPr>
        <w:spacing w:line="480" w:lineRule="auto"/>
        <w:rPr>
          <w:rFonts w:ascii="Times New Roman" w:hAnsi="Times New Roman" w:cs="Times New Roman"/>
          <w:sz w:val="24"/>
          <w:szCs w:val="24"/>
        </w:rPr>
      </w:pPr>
      <w:r w:rsidRPr="006E4038">
        <w:rPr>
          <w:rFonts w:ascii="Times New Roman" w:hAnsi="Times New Roman" w:cs="Times New Roman"/>
          <w:sz w:val="24"/>
          <w:szCs w:val="24"/>
        </w:rPr>
        <w:t>Andre Sch</w:t>
      </w:r>
      <w:r w:rsidRPr="00E2089D">
        <w:rPr>
          <w:rFonts w:ascii="Times New Roman" w:hAnsi="Times New Roman" w:cs="Times New Roman"/>
          <w:sz w:val="24"/>
          <w:szCs w:val="24"/>
        </w:rPr>
        <w:t>ü</w:t>
      </w:r>
      <w:r>
        <w:rPr>
          <w:rFonts w:ascii="Times New Roman" w:hAnsi="Times New Roman" w:cs="Times New Roman"/>
          <w:sz w:val="24"/>
          <w:szCs w:val="24"/>
        </w:rPr>
        <w:t>t</w:t>
      </w:r>
      <w:r w:rsidRPr="006E4038">
        <w:rPr>
          <w:rFonts w:ascii="Times New Roman" w:hAnsi="Times New Roman" w:cs="Times New Roman"/>
          <w:sz w:val="24"/>
          <w:szCs w:val="24"/>
        </w:rPr>
        <w:t>ze, Pilar Morales, Meghan Vidal, Antonia M. Calafat, Maria Ospina</w:t>
      </w:r>
    </w:p>
    <w:p w14:paraId="45642A16" w14:textId="77777777" w:rsidR="00142A33" w:rsidRPr="006E4038" w:rsidRDefault="00142A33" w:rsidP="00142A33">
      <w:pPr>
        <w:spacing w:line="480" w:lineRule="auto"/>
        <w:rPr>
          <w:rFonts w:ascii="Times New Roman" w:hAnsi="Times New Roman" w:cs="Times New Roman"/>
          <w:b/>
          <w:bCs/>
          <w:sz w:val="24"/>
          <w:szCs w:val="24"/>
        </w:rPr>
      </w:pPr>
    </w:p>
    <w:p w14:paraId="2EAF6356" w14:textId="77777777" w:rsidR="00142A33" w:rsidRDefault="00142A33" w:rsidP="00142A33">
      <w:pPr>
        <w:spacing w:line="480" w:lineRule="auto"/>
        <w:rPr>
          <w:rFonts w:ascii="Times New Roman" w:hAnsi="Times New Roman" w:cs="Times New Roman"/>
          <w:sz w:val="24"/>
          <w:szCs w:val="24"/>
        </w:rPr>
      </w:pPr>
      <w:r w:rsidRPr="006E4038">
        <w:rPr>
          <w:rFonts w:ascii="Times New Roman" w:hAnsi="Times New Roman" w:cs="Times New Roman"/>
          <w:sz w:val="24"/>
          <w:szCs w:val="24"/>
        </w:rPr>
        <w:t>Division of Laboratory Sciences, National Center for Environmental Health, Centers for Disease Control and Prevention, 4770 Buford Hwy, MS S103-2, Atlanta, GA 30341, USA</w:t>
      </w:r>
      <w:r w:rsidRPr="006E4038" w:rsidDel="00B773ED">
        <w:rPr>
          <w:rFonts w:ascii="Times New Roman" w:hAnsi="Times New Roman" w:cs="Times New Roman"/>
          <w:sz w:val="24"/>
          <w:szCs w:val="24"/>
        </w:rPr>
        <w:t xml:space="preserve"> </w:t>
      </w:r>
    </w:p>
    <w:p w14:paraId="1982AFD0" w14:textId="77777777" w:rsidR="00142A33" w:rsidRPr="006E4038" w:rsidRDefault="00142A33" w:rsidP="00142A33">
      <w:pPr>
        <w:spacing w:line="480" w:lineRule="auto"/>
        <w:rPr>
          <w:rFonts w:ascii="Times New Roman" w:hAnsi="Times New Roman" w:cs="Times New Roman"/>
          <w:sz w:val="24"/>
          <w:szCs w:val="24"/>
        </w:rPr>
      </w:pPr>
    </w:p>
    <w:p w14:paraId="459F82AC" w14:textId="06B6F448" w:rsidR="00142A33" w:rsidRDefault="00142A33" w:rsidP="00142A33">
      <w:pPr>
        <w:spacing w:line="480" w:lineRule="auto"/>
        <w:rPr>
          <w:rFonts w:ascii="Times New Roman" w:hAnsi="Times New Roman" w:cs="Times New Roman"/>
          <w:sz w:val="24"/>
          <w:szCs w:val="24"/>
        </w:rPr>
      </w:pPr>
      <w:r>
        <w:rPr>
          <w:rFonts w:ascii="Times New Roman" w:hAnsi="Times New Roman" w:cs="Times New Roman"/>
          <w:sz w:val="24"/>
          <w:szCs w:val="24"/>
        </w:rPr>
        <w:t>Corresponding author: Andre Sch</w:t>
      </w:r>
      <w:r w:rsidRPr="00E2089D">
        <w:rPr>
          <w:rFonts w:ascii="Times New Roman" w:hAnsi="Times New Roman" w:cs="Times New Roman"/>
          <w:sz w:val="24"/>
          <w:szCs w:val="24"/>
        </w:rPr>
        <w:t>ü</w:t>
      </w:r>
      <w:r>
        <w:rPr>
          <w:rFonts w:ascii="Times New Roman" w:hAnsi="Times New Roman" w:cs="Times New Roman"/>
          <w:sz w:val="24"/>
          <w:szCs w:val="24"/>
        </w:rPr>
        <w:t>tze,</w:t>
      </w:r>
      <w:r w:rsidR="00197E59">
        <w:rPr>
          <w:rFonts w:ascii="Times New Roman" w:hAnsi="Times New Roman" w:cs="Times New Roman"/>
          <w:sz w:val="24"/>
          <w:szCs w:val="24"/>
        </w:rPr>
        <w:t xml:space="preserve"> </w:t>
      </w:r>
      <w:hyperlink r:id="rId9" w:history="1">
        <w:r w:rsidR="00197E59" w:rsidRPr="00197E59">
          <w:rPr>
            <w:rStyle w:val="Hyperlink"/>
            <w:rFonts w:ascii="Times New Roman" w:hAnsi="Times New Roman" w:cs="Times New Roman"/>
            <w:sz w:val="24"/>
            <w:szCs w:val="24"/>
          </w:rPr>
          <w:t>aschuetze@cdc.gov</w:t>
        </w:r>
      </w:hyperlink>
      <w:r>
        <w:rPr>
          <w:rFonts w:ascii="Times New Roman" w:hAnsi="Times New Roman" w:cs="Times New Roman"/>
          <w:sz w:val="24"/>
          <w:szCs w:val="24"/>
        </w:rPr>
        <w:t xml:space="preserve">, </w:t>
      </w:r>
      <w:r w:rsidRPr="00FD7C5B">
        <w:rPr>
          <w:rFonts w:ascii="Times New Roman" w:hAnsi="Times New Roman" w:cs="Times New Roman"/>
          <w:sz w:val="24"/>
          <w:szCs w:val="24"/>
        </w:rPr>
        <w:t>770-488-7845</w:t>
      </w:r>
    </w:p>
    <w:p w14:paraId="1364DE99" w14:textId="77777777" w:rsidR="00142A33" w:rsidRPr="006E4038" w:rsidRDefault="00142A33" w:rsidP="00142A33">
      <w:pPr>
        <w:spacing w:line="480" w:lineRule="auto"/>
        <w:rPr>
          <w:rFonts w:ascii="Times New Roman" w:hAnsi="Times New Roman" w:cs="Times New Roman"/>
          <w:sz w:val="24"/>
          <w:szCs w:val="24"/>
        </w:rPr>
      </w:pPr>
    </w:p>
    <w:p w14:paraId="1FBC4C74" w14:textId="77777777" w:rsidR="00142A33" w:rsidRPr="006E4038" w:rsidRDefault="00142A33" w:rsidP="00142A33">
      <w:pPr>
        <w:spacing w:line="480" w:lineRule="auto"/>
        <w:rPr>
          <w:rFonts w:ascii="Times New Roman" w:hAnsi="Times New Roman" w:cs="Times New Roman"/>
          <w:b/>
          <w:bCs/>
          <w:sz w:val="24"/>
          <w:szCs w:val="24"/>
        </w:rPr>
      </w:pPr>
      <w:r w:rsidRPr="006E4038">
        <w:rPr>
          <w:rFonts w:ascii="Times New Roman" w:hAnsi="Times New Roman" w:cs="Times New Roman"/>
          <w:b/>
          <w:bCs/>
          <w:sz w:val="24"/>
          <w:szCs w:val="24"/>
        </w:rPr>
        <w:t xml:space="preserve"> </w:t>
      </w:r>
    </w:p>
    <w:bookmarkEnd w:id="0"/>
    <w:p w14:paraId="15CDD2D0" w14:textId="77777777" w:rsidR="00142A33" w:rsidRPr="006E4038" w:rsidRDefault="00142A33" w:rsidP="00142A33">
      <w:pPr>
        <w:spacing w:line="480" w:lineRule="auto"/>
        <w:rPr>
          <w:rFonts w:ascii="Times New Roman" w:hAnsi="Times New Roman" w:cs="Times New Roman"/>
          <w:b/>
          <w:bCs/>
          <w:sz w:val="24"/>
          <w:szCs w:val="24"/>
        </w:rPr>
      </w:pPr>
      <w:r w:rsidRPr="006E4038">
        <w:rPr>
          <w:rFonts w:ascii="Times New Roman" w:hAnsi="Times New Roman" w:cs="Times New Roman"/>
          <w:b/>
          <w:bCs/>
          <w:sz w:val="24"/>
          <w:szCs w:val="24"/>
        </w:rPr>
        <w:t>Disclaimer</w:t>
      </w:r>
    </w:p>
    <w:p w14:paraId="141D32C8" w14:textId="77777777" w:rsidR="00142A33" w:rsidRPr="006E4038" w:rsidRDefault="00142A33" w:rsidP="00142A33">
      <w:pPr>
        <w:spacing w:line="480" w:lineRule="auto"/>
        <w:rPr>
          <w:rFonts w:ascii="Times New Roman" w:hAnsi="Times New Roman" w:cs="Times New Roman"/>
          <w:sz w:val="24"/>
          <w:szCs w:val="24"/>
        </w:rPr>
      </w:pPr>
      <w:r w:rsidRPr="006E4038">
        <w:rPr>
          <w:rFonts w:ascii="Times New Roman" w:hAnsi="Times New Roman" w:cs="Times New Roman"/>
          <w:sz w:val="24"/>
          <w:szCs w:val="24"/>
        </w:rPr>
        <w:t>The findings and conclusions in this report are those of the authors and do not necessarily represent the views of the CDC. The use of trade names is for identification purposes only and does not constitute endorsement by the U.S. Department of Health and Human Services or the CDC.</w:t>
      </w:r>
    </w:p>
    <w:p w14:paraId="60E14C5B" w14:textId="076CBF3F" w:rsidR="00D04922" w:rsidRDefault="00D04922"/>
    <w:p w14:paraId="71F17587" w14:textId="1E59F829" w:rsidR="00142A33" w:rsidRDefault="00142A33"/>
    <w:p w14:paraId="7C9202CD" w14:textId="08825E60" w:rsidR="00142A33" w:rsidRDefault="00142A33"/>
    <w:p w14:paraId="0C6B2B92" w14:textId="06733757" w:rsidR="00142A33" w:rsidRDefault="00142A33"/>
    <w:p w14:paraId="0D1EBA08" w14:textId="6ED38BF0" w:rsidR="00142A33" w:rsidRDefault="00142A33"/>
    <w:p w14:paraId="44AC5785" w14:textId="22A6615C" w:rsidR="00142A33" w:rsidRDefault="00142A33"/>
    <w:p w14:paraId="63F1CA4E" w14:textId="281F364D" w:rsidR="00142A33" w:rsidRDefault="00142A33"/>
    <w:p w14:paraId="5072EC75" w14:textId="497834C2" w:rsidR="008E26EF" w:rsidRPr="00CC598F" w:rsidRDefault="008E26EF">
      <w:pPr>
        <w:rPr>
          <w:rFonts w:ascii="Times New Roman" w:hAnsi="Times New Roman" w:cs="Times New Roman"/>
        </w:rPr>
      </w:pPr>
      <w:r w:rsidRPr="00CC598F">
        <w:rPr>
          <w:rFonts w:ascii="Times New Roman" w:hAnsi="Times New Roman" w:cs="Times New Roman"/>
        </w:rPr>
        <w:lastRenderedPageBreak/>
        <w:t>Supplemental Material</w:t>
      </w:r>
    </w:p>
    <w:p w14:paraId="0E43A65A" w14:textId="77777777" w:rsidR="008E26EF" w:rsidRDefault="008E26EF"/>
    <w:tbl>
      <w:tblPr>
        <w:tblW w:w="5000" w:type="pct"/>
        <w:tblLayout w:type="fixed"/>
        <w:tblLook w:val="04A0" w:firstRow="1" w:lastRow="0" w:firstColumn="1" w:lastColumn="0" w:noHBand="0" w:noVBand="1"/>
      </w:tblPr>
      <w:tblGrid>
        <w:gridCol w:w="2699"/>
        <w:gridCol w:w="6661"/>
      </w:tblGrid>
      <w:tr w:rsidR="00142A33" w:rsidRPr="00142A33" w14:paraId="18793399" w14:textId="77777777" w:rsidTr="00142A33">
        <w:trPr>
          <w:trHeight w:val="300"/>
        </w:trPr>
        <w:tc>
          <w:tcPr>
            <w:tcW w:w="1442" w:type="pct"/>
            <w:tcBorders>
              <w:top w:val="single" w:sz="4" w:space="0" w:color="auto"/>
              <w:left w:val="nil"/>
              <w:bottom w:val="single" w:sz="4" w:space="0" w:color="auto"/>
              <w:right w:val="nil"/>
            </w:tcBorders>
            <w:shd w:val="clear" w:color="auto" w:fill="auto"/>
            <w:noWrap/>
            <w:vAlign w:val="bottom"/>
            <w:hideMark/>
          </w:tcPr>
          <w:p w14:paraId="75FC297F" w14:textId="127B38DD" w:rsidR="00142A33" w:rsidRPr="00142A33" w:rsidRDefault="00142A33" w:rsidP="006E0D61">
            <w:pPr>
              <w:spacing w:after="0" w:line="480" w:lineRule="auto"/>
              <w:rPr>
                <w:rFonts w:ascii="Times New Roman" w:hAnsi="Times New Roman" w:cs="Times New Roman"/>
                <w:b/>
                <w:bCs/>
                <w:sz w:val="24"/>
                <w:szCs w:val="24"/>
              </w:rPr>
            </w:pPr>
            <w:r w:rsidRPr="00142A33">
              <w:rPr>
                <w:rFonts w:ascii="Times New Roman" w:hAnsi="Times New Roman" w:cs="Times New Roman"/>
                <w:b/>
                <w:bCs/>
                <w:sz w:val="24"/>
                <w:szCs w:val="24"/>
              </w:rPr>
              <w:t>Column phase</w:t>
            </w:r>
          </w:p>
        </w:tc>
        <w:tc>
          <w:tcPr>
            <w:tcW w:w="3558" w:type="pct"/>
            <w:tcBorders>
              <w:top w:val="single" w:sz="4" w:space="0" w:color="auto"/>
              <w:left w:val="nil"/>
              <w:bottom w:val="single" w:sz="4" w:space="0" w:color="auto"/>
              <w:right w:val="nil"/>
            </w:tcBorders>
            <w:shd w:val="clear" w:color="auto" w:fill="auto"/>
            <w:noWrap/>
            <w:vAlign w:val="bottom"/>
            <w:hideMark/>
          </w:tcPr>
          <w:p w14:paraId="65D0DB48" w14:textId="4A24686E" w:rsidR="00142A33" w:rsidRPr="00142A33" w:rsidRDefault="00142A33" w:rsidP="006E0D61">
            <w:pPr>
              <w:spacing w:after="0" w:line="480" w:lineRule="auto"/>
              <w:rPr>
                <w:rFonts w:ascii="Times New Roman" w:hAnsi="Times New Roman" w:cs="Times New Roman"/>
                <w:b/>
                <w:bCs/>
                <w:sz w:val="24"/>
                <w:szCs w:val="24"/>
              </w:rPr>
            </w:pPr>
            <w:r w:rsidRPr="00142A33">
              <w:rPr>
                <w:rFonts w:ascii="Times New Roman" w:hAnsi="Times New Roman" w:cs="Times New Roman"/>
                <w:b/>
                <w:bCs/>
                <w:sz w:val="24"/>
                <w:szCs w:val="24"/>
              </w:rPr>
              <w:t>Problem</w:t>
            </w:r>
          </w:p>
        </w:tc>
      </w:tr>
      <w:tr w:rsidR="00142A33" w:rsidRPr="00142A33" w14:paraId="16F1F448" w14:textId="77777777" w:rsidTr="00B752A5">
        <w:trPr>
          <w:trHeight w:val="300"/>
        </w:trPr>
        <w:tc>
          <w:tcPr>
            <w:tcW w:w="1442" w:type="pct"/>
            <w:tcBorders>
              <w:top w:val="single" w:sz="4" w:space="0" w:color="auto"/>
              <w:left w:val="nil"/>
              <w:bottom w:val="nil"/>
              <w:right w:val="nil"/>
            </w:tcBorders>
            <w:shd w:val="clear" w:color="auto" w:fill="auto"/>
            <w:noWrap/>
            <w:hideMark/>
          </w:tcPr>
          <w:p w14:paraId="7CBD3145"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reversed phase</w:t>
            </w:r>
          </w:p>
        </w:tc>
        <w:tc>
          <w:tcPr>
            <w:tcW w:w="3558" w:type="pct"/>
            <w:tcBorders>
              <w:top w:val="single" w:sz="4" w:space="0" w:color="auto"/>
              <w:left w:val="nil"/>
              <w:bottom w:val="nil"/>
              <w:right w:val="nil"/>
            </w:tcBorders>
            <w:shd w:val="clear" w:color="auto" w:fill="auto"/>
            <w:noWrap/>
            <w:hideMark/>
          </w:tcPr>
          <w:p w14:paraId="01182938"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no or little retention, little retention with interferences, carry-over</w:t>
            </w:r>
          </w:p>
        </w:tc>
      </w:tr>
      <w:tr w:rsidR="00142A33" w:rsidRPr="00142A33" w14:paraId="193EC0C6" w14:textId="77777777" w:rsidTr="00B752A5">
        <w:trPr>
          <w:trHeight w:val="300"/>
        </w:trPr>
        <w:tc>
          <w:tcPr>
            <w:tcW w:w="1442" w:type="pct"/>
            <w:tcBorders>
              <w:top w:val="nil"/>
              <w:left w:val="nil"/>
              <w:bottom w:val="nil"/>
              <w:right w:val="nil"/>
            </w:tcBorders>
            <w:shd w:val="clear" w:color="auto" w:fill="auto"/>
            <w:noWrap/>
            <w:hideMark/>
          </w:tcPr>
          <w:p w14:paraId="5B3524B4"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 xml:space="preserve">weak-anion exchange </w:t>
            </w:r>
          </w:p>
        </w:tc>
        <w:tc>
          <w:tcPr>
            <w:tcW w:w="3558" w:type="pct"/>
            <w:tcBorders>
              <w:top w:val="nil"/>
              <w:left w:val="nil"/>
              <w:bottom w:val="nil"/>
              <w:right w:val="nil"/>
            </w:tcBorders>
            <w:shd w:val="clear" w:color="auto" w:fill="auto"/>
            <w:noWrap/>
            <w:hideMark/>
          </w:tcPr>
          <w:p w14:paraId="20CDFBBA" w14:textId="1B018119"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interferences, sensitivity</w:t>
            </w:r>
            <w:r w:rsidR="00892EF7">
              <w:rPr>
                <w:rFonts w:ascii="Times New Roman" w:hAnsi="Times New Roman" w:cs="Times New Roman"/>
                <w:sz w:val="24"/>
                <w:szCs w:val="24"/>
              </w:rPr>
              <w:t>,</w:t>
            </w:r>
            <w:r w:rsidRPr="00142A33">
              <w:rPr>
                <w:rFonts w:ascii="Times New Roman" w:hAnsi="Times New Roman" w:cs="Times New Roman"/>
                <w:sz w:val="24"/>
                <w:szCs w:val="24"/>
              </w:rPr>
              <w:t xml:space="preserve"> carry-over (if metal casing or </w:t>
            </w:r>
            <w:r w:rsidR="00197E59">
              <w:rPr>
                <w:rFonts w:ascii="Times New Roman" w:hAnsi="Times New Roman" w:cs="Times New Roman"/>
                <w:sz w:val="24"/>
                <w:szCs w:val="24"/>
              </w:rPr>
              <w:t>frits</w:t>
            </w:r>
            <w:r w:rsidRPr="00142A33">
              <w:rPr>
                <w:rFonts w:ascii="Times New Roman" w:hAnsi="Times New Roman" w:cs="Times New Roman"/>
                <w:sz w:val="24"/>
                <w:szCs w:val="24"/>
              </w:rPr>
              <w:t>)</w:t>
            </w:r>
          </w:p>
        </w:tc>
      </w:tr>
      <w:tr w:rsidR="00142A33" w:rsidRPr="00142A33" w14:paraId="23D31264" w14:textId="77777777" w:rsidTr="00B752A5">
        <w:trPr>
          <w:trHeight w:val="300"/>
        </w:trPr>
        <w:tc>
          <w:tcPr>
            <w:tcW w:w="1442" w:type="pct"/>
            <w:tcBorders>
              <w:top w:val="nil"/>
              <w:left w:val="nil"/>
              <w:bottom w:val="nil"/>
              <w:right w:val="nil"/>
            </w:tcBorders>
            <w:shd w:val="clear" w:color="auto" w:fill="auto"/>
            <w:noWrap/>
            <w:hideMark/>
          </w:tcPr>
          <w:p w14:paraId="17763A3C"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strong anion exchange</w:t>
            </w:r>
          </w:p>
        </w:tc>
        <w:tc>
          <w:tcPr>
            <w:tcW w:w="3558" w:type="pct"/>
            <w:tcBorders>
              <w:top w:val="nil"/>
              <w:left w:val="nil"/>
              <w:bottom w:val="nil"/>
              <w:right w:val="nil"/>
            </w:tcBorders>
            <w:shd w:val="clear" w:color="auto" w:fill="auto"/>
            <w:noWrap/>
            <w:hideMark/>
          </w:tcPr>
          <w:p w14:paraId="2DA4BC28" w14:textId="6FF4784F"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strong retention, solvents not compatible with MS, interferences</w:t>
            </w:r>
            <w:r w:rsidR="00892EF7">
              <w:rPr>
                <w:rFonts w:ascii="Times New Roman" w:hAnsi="Times New Roman" w:cs="Times New Roman"/>
                <w:sz w:val="24"/>
                <w:szCs w:val="24"/>
              </w:rPr>
              <w:t>,</w:t>
            </w:r>
            <w:r w:rsidRPr="00142A33">
              <w:rPr>
                <w:rFonts w:ascii="Times New Roman" w:hAnsi="Times New Roman" w:cs="Times New Roman"/>
                <w:sz w:val="24"/>
                <w:szCs w:val="24"/>
              </w:rPr>
              <w:t xml:space="preserve"> carry-over </w:t>
            </w:r>
          </w:p>
        </w:tc>
      </w:tr>
      <w:tr w:rsidR="00142A33" w:rsidRPr="00142A33" w14:paraId="5478F8DE" w14:textId="77777777" w:rsidTr="00B752A5">
        <w:trPr>
          <w:trHeight w:val="300"/>
        </w:trPr>
        <w:tc>
          <w:tcPr>
            <w:tcW w:w="1442" w:type="pct"/>
            <w:tcBorders>
              <w:top w:val="nil"/>
              <w:left w:val="nil"/>
              <w:bottom w:val="nil"/>
              <w:right w:val="nil"/>
            </w:tcBorders>
            <w:shd w:val="clear" w:color="auto" w:fill="auto"/>
            <w:noWrap/>
            <w:hideMark/>
          </w:tcPr>
          <w:p w14:paraId="73754138"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HILIC</w:t>
            </w:r>
          </w:p>
        </w:tc>
        <w:tc>
          <w:tcPr>
            <w:tcW w:w="3558" w:type="pct"/>
            <w:tcBorders>
              <w:top w:val="nil"/>
              <w:left w:val="nil"/>
              <w:bottom w:val="nil"/>
              <w:right w:val="nil"/>
            </w:tcBorders>
            <w:shd w:val="clear" w:color="auto" w:fill="auto"/>
            <w:noWrap/>
            <w:hideMark/>
          </w:tcPr>
          <w:p w14:paraId="7453F8B4" w14:textId="0CDFB88D"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interferences, sensitivity, stability</w:t>
            </w:r>
            <w:r w:rsidR="00892EF7">
              <w:rPr>
                <w:rFonts w:ascii="Times New Roman" w:hAnsi="Times New Roman" w:cs="Times New Roman"/>
                <w:sz w:val="24"/>
                <w:szCs w:val="24"/>
              </w:rPr>
              <w:t>,</w:t>
            </w:r>
            <w:r w:rsidRPr="00142A33">
              <w:rPr>
                <w:rFonts w:ascii="Times New Roman" w:hAnsi="Times New Roman" w:cs="Times New Roman"/>
                <w:sz w:val="24"/>
                <w:szCs w:val="24"/>
              </w:rPr>
              <w:t xml:space="preserve"> carry-over </w:t>
            </w:r>
          </w:p>
        </w:tc>
      </w:tr>
      <w:tr w:rsidR="00142A33" w:rsidRPr="00142A33" w14:paraId="60785A8C" w14:textId="77777777" w:rsidTr="00B752A5">
        <w:trPr>
          <w:trHeight w:val="300"/>
        </w:trPr>
        <w:tc>
          <w:tcPr>
            <w:tcW w:w="1442" w:type="pct"/>
            <w:tcBorders>
              <w:top w:val="nil"/>
              <w:left w:val="nil"/>
              <w:right w:val="nil"/>
            </w:tcBorders>
            <w:shd w:val="clear" w:color="auto" w:fill="auto"/>
            <w:noWrap/>
            <w:hideMark/>
          </w:tcPr>
          <w:p w14:paraId="3FF030A5" w14:textId="7DB7A713" w:rsidR="00142A33" w:rsidRPr="00142A33" w:rsidRDefault="00892EF7" w:rsidP="00B752A5">
            <w:pPr>
              <w:spacing w:after="0" w:line="480" w:lineRule="auto"/>
              <w:rPr>
                <w:rFonts w:ascii="Times New Roman" w:hAnsi="Times New Roman" w:cs="Times New Roman"/>
                <w:sz w:val="24"/>
                <w:szCs w:val="24"/>
              </w:rPr>
            </w:pPr>
            <w:r>
              <w:rPr>
                <w:rFonts w:ascii="Times New Roman" w:hAnsi="Times New Roman" w:cs="Times New Roman"/>
                <w:sz w:val="24"/>
                <w:szCs w:val="24"/>
              </w:rPr>
              <w:t>Non-conventional</w:t>
            </w:r>
            <w:r w:rsidR="00142A33" w:rsidRPr="00142A33">
              <w:rPr>
                <w:rFonts w:ascii="Times New Roman" w:hAnsi="Times New Roman" w:cs="Times New Roman"/>
                <w:sz w:val="24"/>
                <w:szCs w:val="24"/>
              </w:rPr>
              <w:t xml:space="preserve"> phases</w:t>
            </w:r>
          </w:p>
        </w:tc>
        <w:tc>
          <w:tcPr>
            <w:tcW w:w="3558" w:type="pct"/>
            <w:tcBorders>
              <w:top w:val="nil"/>
              <w:left w:val="nil"/>
              <w:right w:val="nil"/>
            </w:tcBorders>
            <w:shd w:val="clear" w:color="auto" w:fill="auto"/>
            <w:noWrap/>
            <w:hideMark/>
          </w:tcPr>
          <w:p w14:paraId="7C86F52B" w14:textId="7777777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TiO2, too much retention HCl required for elution (not MS compatible)</w:t>
            </w:r>
          </w:p>
        </w:tc>
      </w:tr>
      <w:tr w:rsidR="00142A33" w:rsidRPr="00142A33" w14:paraId="1BD639EB" w14:textId="77777777" w:rsidTr="00B752A5">
        <w:trPr>
          <w:trHeight w:val="300"/>
        </w:trPr>
        <w:tc>
          <w:tcPr>
            <w:tcW w:w="1442" w:type="pct"/>
            <w:tcBorders>
              <w:top w:val="nil"/>
              <w:left w:val="nil"/>
              <w:bottom w:val="single" w:sz="4" w:space="0" w:color="auto"/>
              <w:right w:val="nil"/>
            </w:tcBorders>
            <w:shd w:val="clear" w:color="auto" w:fill="auto"/>
            <w:noWrap/>
            <w:hideMark/>
          </w:tcPr>
          <w:p w14:paraId="0436844E" w14:textId="77777777" w:rsidR="00142A33" w:rsidRPr="00142A33" w:rsidRDefault="00142A33" w:rsidP="00B752A5">
            <w:pPr>
              <w:spacing w:after="0" w:line="480" w:lineRule="auto"/>
              <w:rPr>
                <w:rFonts w:ascii="Times New Roman" w:hAnsi="Times New Roman" w:cs="Times New Roman"/>
                <w:sz w:val="24"/>
                <w:szCs w:val="24"/>
              </w:rPr>
            </w:pPr>
          </w:p>
        </w:tc>
        <w:tc>
          <w:tcPr>
            <w:tcW w:w="3558" w:type="pct"/>
            <w:tcBorders>
              <w:top w:val="nil"/>
              <w:left w:val="nil"/>
              <w:bottom w:val="single" w:sz="4" w:space="0" w:color="auto"/>
              <w:right w:val="nil"/>
            </w:tcBorders>
            <w:shd w:val="clear" w:color="auto" w:fill="auto"/>
            <w:noWrap/>
            <w:hideMark/>
          </w:tcPr>
          <w:p w14:paraId="3A7E56D7" w14:textId="09918A67" w:rsidR="00142A33" w:rsidRPr="00142A33" w:rsidRDefault="00142A33" w:rsidP="00B752A5">
            <w:pPr>
              <w:spacing w:after="0" w:line="480" w:lineRule="auto"/>
              <w:rPr>
                <w:rFonts w:ascii="Times New Roman" w:hAnsi="Times New Roman" w:cs="Times New Roman"/>
                <w:sz w:val="24"/>
                <w:szCs w:val="24"/>
              </w:rPr>
            </w:pPr>
            <w:r w:rsidRPr="00142A33">
              <w:rPr>
                <w:rFonts w:ascii="Times New Roman" w:hAnsi="Times New Roman" w:cs="Times New Roman"/>
                <w:sz w:val="24"/>
                <w:szCs w:val="24"/>
              </w:rPr>
              <w:t>Mixed-mode anion and cation exchange mechanism present, interferences, carry-over</w:t>
            </w:r>
            <w:r w:rsidR="00892EF7">
              <w:rPr>
                <w:rFonts w:ascii="Times New Roman" w:hAnsi="Times New Roman" w:cs="Times New Roman"/>
                <w:sz w:val="24"/>
                <w:szCs w:val="24"/>
              </w:rPr>
              <w:t>,</w:t>
            </w:r>
            <w:r w:rsidRPr="00142A33">
              <w:rPr>
                <w:rFonts w:ascii="Times New Roman" w:hAnsi="Times New Roman" w:cs="Times New Roman"/>
                <w:sz w:val="24"/>
                <w:szCs w:val="24"/>
              </w:rPr>
              <w:t xml:space="preserve"> sensitivity</w:t>
            </w:r>
          </w:p>
        </w:tc>
      </w:tr>
    </w:tbl>
    <w:p w14:paraId="0478AE9D" w14:textId="77777777" w:rsidR="00142A33" w:rsidRPr="00142A33" w:rsidRDefault="00142A33" w:rsidP="006E0D61">
      <w:pPr>
        <w:spacing w:line="480" w:lineRule="auto"/>
        <w:rPr>
          <w:rFonts w:ascii="Times New Roman" w:hAnsi="Times New Roman" w:cs="Times New Roman"/>
          <w:sz w:val="24"/>
          <w:szCs w:val="24"/>
        </w:rPr>
      </w:pPr>
    </w:p>
    <w:p w14:paraId="24CF6007" w14:textId="77777777" w:rsidR="00142A33" w:rsidRPr="00142A33" w:rsidRDefault="00142A33" w:rsidP="006E0D61">
      <w:pPr>
        <w:spacing w:line="480" w:lineRule="auto"/>
        <w:rPr>
          <w:rFonts w:ascii="Times New Roman" w:hAnsi="Times New Roman" w:cs="Times New Roman"/>
          <w:sz w:val="24"/>
          <w:szCs w:val="24"/>
        </w:rPr>
      </w:pPr>
      <w:r w:rsidRPr="00142A33">
        <w:rPr>
          <w:rFonts w:ascii="Times New Roman" w:hAnsi="Times New Roman" w:cs="Times New Roman"/>
          <w:sz w:val="24"/>
          <w:szCs w:val="24"/>
        </w:rPr>
        <w:t xml:space="preserve">Solvents used include water, methanol, iso-propanol and acetonitrile in combination with various buffers/modifiers ranging between pH 3 to 9 with a molar range of 5 mM to 100 mM include ammonium </w:t>
      </w:r>
      <w:proofErr w:type="spellStart"/>
      <w:r w:rsidRPr="00142A33">
        <w:rPr>
          <w:rFonts w:ascii="Times New Roman" w:hAnsi="Times New Roman" w:cs="Times New Roman"/>
          <w:sz w:val="24"/>
          <w:szCs w:val="24"/>
        </w:rPr>
        <w:t>formate</w:t>
      </w:r>
      <w:proofErr w:type="spellEnd"/>
      <w:r w:rsidRPr="00142A33">
        <w:rPr>
          <w:rFonts w:ascii="Times New Roman" w:hAnsi="Times New Roman" w:cs="Times New Roman"/>
          <w:sz w:val="24"/>
          <w:szCs w:val="24"/>
        </w:rPr>
        <w:t>, ammonium acetate, sodium phosphate, disodium phosphate. Phosphate buffers are not MS compatible and were intended for the transfer between clean-up column and analytical column. We concluded that only a PEEK based system will be able to run without carry-over including the autosampler.</w:t>
      </w:r>
    </w:p>
    <w:p w14:paraId="4BB4E684" w14:textId="77777777" w:rsidR="00142A33" w:rsidRDefault="00142A33"/>
    <w:sectPr w:rsidR="00142A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34198" w14:textId="77777777" w:rsidR="00766DCE" w:rsidRDefault="00766DCE" w:rsidP="005D0F00">
      <w:pPr>
        <w:spacing w:after="0" w:line="240" w:lineRule="auto"/>
      </w:pPr>
      <w:r>
        <w:separator/>
      </w:r>
    </w:p>
  </w:endnote>
  <w:endnote w:type="continuationSeparator" w:id="0">
    <w:p w14:paraId="4BB7A618" w14:textId="77777777" w:rsidR="00766DCE" w:rsidRDefault="00766DCE" w:rsidP="005D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58CF4" w14:textId="77777777" w:rsidR="00766DCE" w:rsidRDefault="00766DCE" w:rsidP="005D0F00">
      <w:pPr>
        <w:spacing w:after="0" w:line="240" w:lineRule="auto"/>
      </w:pPr>
      <w:r>
        <w:separator/>
      </w:r>
    </w:p>
  </w:footnote>
  <w:footnote w:type="continuationSeparator" w:id="0">
    <w:p w14:paraId="30C49BB5" w14:textId="77777777" w:rsidR="00766DCE" w:rsidRDefault="00766DCE" w:rsidP="005D0F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22"/>
    <w:rsid w:val="00015B9C"/>
    <w:rsid w:val="00067AAF"/>
    <w:rsid w:val="00141ED6"/>
    <w:rsid w:val="00142A33"/>
    <w:rsid w:val="00197E59"/>
    <w:rsid w:val="0021758D"/>
    <w:rsid w:val="003804CE"/>
    <w:rsid w:val="003C4BB4"/>
    <w:rsid w:val="00411D9A"/>
    <w:rsid w:val="004801A7"/>
    <w:rsid w:val="004D7E99"/>
    <w:rsid w:val="00515995"/>
    <w:rsid w:val="005C0FDF"/>
    <w:rsid w:val="005D0F00"/>
    <w:rsid w:val="005E3D99"/>
    <w:rsid w:val="006E0D61"/>
    <w:rsid w:val="00765DC9"/>
    <w:rsid w:val="00766DCE"/>
    <w:rsid w:val="00892EF7"/>
    <w:rsid w:val="008E26EF"/>
    <w:rsid w:val="009966EE"/>
    <w:rsid w:val="009D4ADC"/>
    <w:rsid w:val="00A2666E"/>
    <w:rsid w:val="00A37173"/>
    <w:rsid w:val="00AC57B3"/>
    <w:rsid w:val="00B752A5"/>
    <w:rsid w:val="00CC2129"/>
    <w:rsid w:val="00CC598F"/>
    <w:rsid w:val="00D04922"/>
    <w:rsid w:val="00D24758"/>
    <w:rsid w:val="00EB6C83"/>
    <w:rsid w:val="00FD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E0D488"/>
  <w15:chartTrackingRefBased/>
  <w15:docId w15:val="{7120C724-2456-4A7A-B0AB-2D9CE27C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22"/>
    <w:rPr>
      <w:rFonts w:ascii="Segoe UI" w:hAnsi="Segoe UI" w:cs="Segoe UI"/>
      <w:sz w:val="18"/>
      <w:szCs w:val="18"/>
    </w:rPr>
  </w:style>
  <w:style w:type="character" w:styleId="Hyperlink">
    <w:name w:val="Hyperlink"/>
    <w:basedOn w:val="DefaultParagraphFont"/>
    <w:uiPriority w:val="99"/>
    <w:unhideWhenUsed/>
    <w:rsid w:val="00142A33"/>
    <w:rPr>
      <w:color w:val="0000FF"/>
      <w:u w:val="single"/>
    </w:rPr>
  </w:style>
  <w:style w:type="character" w:styleId="CommentReference">
    <w:name w:val="annotation reference"/>
    <w:basedOn w:val="DefaultParagraphFont"/>
    <w:uiPriority w:val="99"/>
    <w:semiHidden/>
    <w:unhideWhenUsed/>
    <w:rsid w:val="00141ED6"/>
    <w:rPr>
      <w:sz w:val="16"/>
      <w:szCs w:val="16"/>
    </w:rPr>
  </w:style>
  <w:style w:type="paragraph" w:styleId="CommentText">
    <w:name w:val="annotation text"/>
    <w:basedOn w:val="Normal"/>
    <w:link w:val="CommentTextChar"/>
    <w:uiPriority w:val="99"/>
    <w:semiHidden/>
    <w:unhideWhenUsed/>
    <w:rsid w:val="00141ED6"/>
    <w:pPr>
      <w:spacing w:line="240" w:lineRule="auto"/>
    </w:pPr>
    <w:rPr>
      <w:sz w:val="20"/>
      <w:szCs w:val="20"/>
    </w:rPr>
  </w:style>
  <w:style w:type="character" w:customStyle="1" w:styleId="CommentTextChar">
    <w:name w:val="Comment Text Char"/>
    <w:basedOn w:val="DefaultParagraphFont"/>
    <w:link w:val="CommentText"/>
    <w:uiPriority w:val="99"/>
    <w:semiHidden/>
    <w:rsid w:val="00141ED6"/>
    <w:rPr>
      <w:sz w:val="20"/>
      <w:szCs w:val="20"/>
    </w:rPr>
  </w:style>
  <w:style w:type="paragraph" w:styleId="CommentSubject">
    <w:name w:val="annotation subject"/>
    <w:basedOn w:val="CommentText"/>
    <w:next w:val="CommentText"/>
    <w:link w:val="CommentSubjectChar"/>
    <w:uiPriority w:val="99"/>
    <w:semiHidden/>
    <w:unhideWhenUsed/>
    <w:rsid w:val="00141ED6"/>
    <w:rPr>
      <w:b/>
      <w:bCs/>
    </w:rPr>
  </w:style>
  <w:style w:type="character" w:customStyle="1" w:styleId="CommentSubjectChar">
    <w:name w:val="Comment Subject Char"/>
    <w:basedOn w:val="CommentTextChar"/>
    <w:link w:val="CommentSubject"/>
    <w:uiPriority w:val="99"/>
    <w:semiHidden/>
    <w:rsid w:val="00141ED6"/>
    <w:rPr>
      <w:b/>
      <w:bCs/>
      <w:sz w:val="20"/>
      <w:szCs w:val="20"/>
    </w:rPr>
  </w:style>
  <w:style w:type="paragraph" w:styleId="Revision">
    <w:name w:val="Revision"/>
    <w:hidden/>
    <w:uiPriority w:val="99"/>
    <w:semiHidden/>
    <w:rsid w:val="00141ED6"/>
    <w:pPr>
      <w:spacing w:after="0" w:line="240" w:lineRule="auto"/>
    </w:pPr>
  </w:style>
  <w:style w:type="character" w:styleId="UnresolvedMention">
    <w:name w:val="Unresolved Mention"/>
    <w:basedOn w:val="DefaultParagraphFont"/>
    <w:uiPriority w:val="99"/>
    <w:semiHidden/>
    <w:unhideWhenUsed/>
    <w:rsid w:val="00197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7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aschuetz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9" ma:contentTypeDescription="Create a new document." ma:contentTypeScope="" ma:versionID="6098b710291c1d7d4b412f302ee2f877">
  <xsd:schema xmlns:xsd="http://www.w3.org/2001/XMLSchema" xmlns:xs="http://www.w3.org/2001/XMLSchema" xmlns:p="http://schemas.microsoft.com/office/2006/metadata/properties" xmlns:ns3="2bcba8e5-f2ac-4ae6-9ab6-15ec63b77eb2" xmlns:ns4="2df172ae-0a2a-4634-8ad7-83f9b02fa473" targetNamespace="http://schemas.microsoft.com/office/2006/metadata/properties" ma:root="true" ma:fieldsID="30ad5de8f1620c3b8f551de9aaa8e3d8" ns3:_="" ns4:_="">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56738-CA95-412A-ADBA-7C0075123138}">
  <ds:schemaRefs>
    <ds:schemaRef ds:uri="http://schemas.microsoft.com/sharepoint/v3/contenttype/forms"/>
  </ds:schemaRefs>
</ds:datastoreItem>
</file>

<file path=customXml/itemProps2.xml><?xml version="1.0" encoding="utf-8"?>
<ds:datastoreItem xmlns:ds="http://schemas.openxmlformats.org/officeDocument/2006/customXml" ds:itemID="{48E5B7E4-9DAA-41A0-9280-81E63D054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20458-F7F9-441E-9132-62312CD6CB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Schutze, Andre (CDC/DDNID/NCEH/DLS)</dc:creator>
  <cp:keywords/>
  <dc:description/>
  <cp:lastModifiedBy>Ospina, Maria (CDC/DDNID/NCEH/DLS)</cp:lastModifiedBy>
  <cp:revision>2</cp:revision>
  <dcterms:created xsi:type="dcterms:W3CDTF">2021-12-14T13:43:00Z</dcterms:created>
  <dcterms:modified xsi:type="dcterms:W3CDTF">2021-12-14T13:43:00Z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2020-12-10T12:33:33Z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f4849af4-ea2f-493b-b332-3c688a2e6f25</vt:lpwstr>
  </property>
  <property fmtid="{D5CDD505-2E9C-101B-9397-08002B2CF9AE}" pid="8" name="MSIP_Label_7b94a7b8-f06c-4dfe-bdcc-9b548fd58c31_ContentBits">
    <vt:lpwstr>0</vt:lpwstr>
  </property>
  <property fmtid="{D5CDD505-2E9C-101B-9397-08002B2CF9AE}" pid="9" name="ContentTypeId">
    <vt:lpwstr>0x01010003AB69B27F8ADF4F8ADDF94EB421FC25</vt:lpwstr>
  </property>
</Properties>
</file>