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8E36" w14:textId="77777777" w:rsidR="00CB60C0" w:rsidRPr="00995938" w:rsidRDefault="00CB60C0" w:rsidP="00CB60C0">
      <w:pPr>
        <w:spacing w:after="0" w:line="360" w:lineRule="auto"/>
        <w:rPr>
          <w:rFonts w:ascii="Arial" w:eastAsia="Times New Roman" w:hAnsi="Arial" w:cs="Arial"/>
          <w:b/>
          <w:bCs/>
          <w:color w:val="000000"/>
        </w:rPr>
      </w:pPr>
      <w:r w:rsidRPr="00995938">
        <w:rPr>
          <w:rFonts w:ascii="Arial" w:eastAsia="Times New Roman" w:hAnsi="Arial" w:cs="Arial"/>
          <w:b/>
          <w:bCs/>
          <w:color w:val="000000"/>
        </w:rPr>
        <w:t>SUPPLEMENTA</w:t>
      </w:r>
      <w:r>
        <w:rPr>
          <w:rFonts w:ascii="Arial" w:eastAsia="Times New Roman" w:hAnsi="Arial" w:cs="Arial"/>
          <w:b/>
          <w:bCs/>
          <w:color w:val="000000"/>
        </w:rPr>
        <w:t>RY</w:t>
      </w:r>
      <w:r w:rsidRPr="00995938">
        <w:rPr>
          <w:rFonts w:ascii="Arial" w:eastAsia="Times New Roman" w:hAnsi="Arial" w:cs="Arial"/>
          <w:b/>
          <w:bCs/>
          <w:color w:val="000000"/>
        </w:rPr>
        <w:t xml:space="preserve"> INFORMATION</w:t>
      </w:r>
    </w:p>
    <w:p w14:paraId="5CE8AF9E" w14:textId="77777777" w:rsidR="00CB60C0" w:rsidRPr="00995938" w:rsidRDefault="00CB60C0" w:rsidP="00CB60C0">
      <w:pPr>
        <w:spacing w:after="0" w:line="360" w:lineRule="auto"/>
        <w:rPr>
          <w:rFonts w:ascii="Arial" w:eastAsia="Times New Roman" w:hAnsi="Arial" w:cs="Arial"/>
          <w:b/>
          <w:bCs/>
          <w:color w:val="000000"/>
        </w:rPr>
      </w:pPr>
    </w:p>
    <w:p w14:paraId="65A61FEE" w14:textId="77777777" w:rsidR="00CB60C0" w:rsidRDefault="00CB60C0" w:rsidP="00CB60C0">
      <w:pPr>
        <w:spacing w:after="0" w:line="360" w:lineRule="auto"/>
        <w:rPr>
          <w:rFonts w:ascii="Arial" w:eastAsia="Times New Roman" w:hAnsi="Arial" w:cs="Arial"/>
          <w:b/>
          <w:bCs/>
          <w:color w:val="000000"/>
        </w:rPr>
      </w:pPr>
      <w:r>
        <w:rPr>
          <w:rFonts w:ascii="Arial" w:eastAsia="Times New Roman" w:hAnsi="Arial" w:cs="Arial"/>
          <w:b/>
          <w:bCs/>
          <w:color w:val="000000"/>
        </w:rPr>
        <w:t>Supplementary Methods</w:t>
      </w:r>
    </w:p>
    <w:p w14:paraId="3123DE01" w14:textId="77777777" w:rsidR="00CB60C0" w:rsidRPr="001A568F" w:rsidRDefault="00CB60C0" w:rsidP="00CB60C0">
      <w:pPr>
        <w:spacing w:after="0" w:line="360" w:lineRule="auto"/>
        <w:rPr>
          <w:rFonts w:ascii="Arial" w:eastAsia="Times New Roman" w:hAnsi="Arial" w:cs="Arial"/>
          <w:i/>
          <w:iCs/>
          <w:color w:val="000000"/>
        </w:rPr>
      </w:pPr>
      <w:r w:rsidRPr="001A568F">
        <w:rPr>
          <w:rFonts w:ascii="Arial" w:eastAsia="Times New Roman" w:hAnsi="Arial" w:cs="Arial"/>
          <w:i/>
          <w:iCs/>
          <w:color w:val="000000"/>
        </w:rPr>
        <w:t>Sample preparation for fecal metabolomics</w:t>
      </w:r>
    </w:p>
    <w:p w14:paraId="48089F75" w14:textId="77777777" w:rsidR="00CB60C0" w:rsidRDefault="00CB60C0" w:rsidP="00CB60C0">
      <w:pPr>
        <w:spacing w:line="480" w:lineRule="auto"/>
        <w:rPr>
          <w:rFonts w:ascii="Arial" w:hAnsi="Arial" w:cs="Arial"/>
        </w:rPr>
      </w:pPr>
      <w:r>
        <w:rPr>
          <w:rFonts w:ascii="Arial" w:hAnsi="Arial" w:cs="Arial"/>
        </w:rPr>
        <w:t xml:space="preserve">Ninety-two fecal samples (250-300 mg) were randomized and homogenized in 50:50 </w:t>
      </w:r>
      <w:proofErr w:type="spellStart"/>
      <w:proofErr w:type="gramStart"/>
      <w:r>
        <w:rPr>
          <w:rFonts w:ascii="Arial" w:hAnsi="Arial" w:cs="Arial"/>
        </w:rPr>
        <w:t>acetonitrile:water</w:t>
      </w:r>
      <w:proofErr w:type="spellEnd"/>
      <w:proofErr w:type="gramEnd"/>
      <w:r>
        <w:rPr>
          <w:rFonts w:ascii="Arial" w:hAnsi="Arial" w:cs="Arial"/>
        </w:rPr>
        <w:t xml:space="preserve"> (5 </w:t>
      </w:r>
      <w:r w:rsidRPr="00720C06">
        <w:rPr>
          <w:rFonts w:ascii="Symbol" w:hAnsi="Symbol" w:cs="Arial"/>
        </w:rPr>
        <w:t></w:t>
      </w:r>
      <w:r>
        <w:rPr>
          <w:rFonts w:ascii="Arial" w:hAnsi="Arial" w:cs="Arial"/>
        </w:rPr>
        <w:t xml:space="preserve">L/ mg fecal mass) in </w:t>
      </w:r>
      <w:proofErr w:type="spellStart"/>
      <w:r>
        <w:rPr>
          <w:rFonts w:ascii="Arial" w:hAnsi="Arial" w:cs="Arial"/>
        </w:rPr>
        <w:t>MagNALyser</w:t>
      </w:r>
      <w:proofErr w:type="spellEnd"/>
      <w:r>
        <w:rPr>
          <w:rFonts w:ascii="Arial" w:hAnsi="Arial" w:cs="Arial"/>
        </w:rPr>
        <w:t xml:space="preserve"> tubes with ceramic beads, using an Omni Bead </w:t>
      </w:r>
      <w:proofErr w:type="spellStart"/>
      <w:r>
        <w:rPr>
          <w:rFonts w:ascii="Arial" w:hAnsi="Arial" w:cs="Arial"/>
        </w:rPr>
        <w:t>Ruptor</w:t>
      </w:r>
      <w:proofErr w:type="spellEnd"/>
      <w:r>
        <w:rPr>
          <w:rFonts w:ascii="Arial" w:hAnsi="Arial" w:cs="Arial"/>
        </w:rPr>
        <w:t xml:space="preserve"> (5 meters per second, two 30-sec cycles, 15 sec dwell time in between cycles). Samples were centrifuged at 16,000 relative centrifugal force (</w:t>
      </w:r>
      <w:proofErr w:type="spellStart"/>
      <w:r>
        <w:rPr>
          <w:rFonts w:ascii="Arial" w:hAnsi="Arial" w:cs="Arial"/>
        </w:rPr>
        <w:t>rcf</w:t>
      </w:r>
      <w:proofErr w:type="spellEnd"/>
      <w:r>
        <w:rPr>
          <w:rFonts w:ascii="Arial" w:hAnsi="Arial" w:cs="Arial"/>
        </w:rPr>
        <w:t xml:space="preserve">) for 15 min, the supernatant was transferred, and centrifuged again at 16,000 </w:t>
      </w:r>
      <w:proofErr w:type="spellStart"/>
      <w:r>
        <w:rPr>
          <w:rFonts w:ascii="Arial" w:hAnsi="Arial" w:cs="Arial"/>
        </w:rPr>
        <w:t>rcf</w:t>
      </w:r>
      <w:proofErr w:type="spellEnd"/>
      <w:r>
        <w:rPr>
          <w:rFonts w:ascii="Arial" w:hAnsi="Arial" w:cs="Arial"/>
        </w:rPr>
        <w:t xml:space="preserve"> for 5 min. </w:t>
      </w:r>
      <w:r w:rsidRPr="003D5429">
        <w:rPr>
          <w:rFonts w:ascii="Arial" w:hAnsi="Arial" w:cs="Arial"/>
        </w:rPr>
        <w:t xml:space="preserve">Quality control (QC) samples were prepared by pooling </w:t>
      </w:r>
      <w:r>
        <w:rPr>
          <w:rFonts w:ascii="Arial" w:hAnsi="Arial" w:cs="Arial"/>
        </w:rPr>
        <w:t xml:space="preserve">70 </w:t>
      </w:r>
      <w:r w:rsidRPr="003D5429">
        <w:rPr>
          <w:rFonts w:ascii="Arial" w:hAnsi="Arial" w:cs="Arial"/>
        </w:rPr>
        <w:t xml:space="preserve">µL </w:t>
      </w:r>
      <w:r>
        <w:rPr>
          <w:rFonts w:ascii="Arial" w:hAnsi="Arial" w:cs="Arial"/>
        </w:rPr>
        <w:t>supernatant</w:t>
      </w:r>
      <w:r w:rsidRPr="003D5429">
        <w:rPr>
          <w:rFonts w:ascii="Arial" w:hAnsi="Arial" w:cs="Arial"/>
        </w:rPr>
        <w:t xml:space="preserve"> from each of the study samples and processed identically to the study samples. </w:t>
      </w:r>
      <w:r>
        <w:rPr>
          <w:rFonts w:ascii="Arial" w:hAnsi="Arial" w:cs="Arial"/>
        </w:rPr>
        <w:t xml:space="preserve">An aliquot of the supernatant (100 </w:t>
      </w:r>
      <w:r>
        <w:rPr>
          <w:rFonts w:ascii="Symbol" w:hAnsi="Symbol" w:cs="Arial"/>
        </w:rPr>
        <w:t></w:t>
      </w:r>
      <w:r>
        <w:rPr>
          <w:rFonts w:ascii="Arial" w:hAnsi="Arial" w:cs="Arial"/>
        </w:rPr>
        <w:t xml:space="preserve">L) from each sample was transferred to 2.0 mL tubes and dried overnight by </w:t>
      </w:r>
      <w:proofErr w:type="spellStart"/>
      <w:r>
        <w:rPr>
          <w:rFonts w:ascii="Arial" w:hAnsi="Arial" w:cs="Arial"/>
        </w:rPr>
        <w:t>SpeedVac</w:t>
      </w:r>
      <w:proofErr w:type="spellEnd"/>
      <w:r>
        <w:rPr>
          <w:rFonts w:ascii="Arial" w:hAnsi="Arial" w:cs="Arial"/>
        </w:rPr>
        <w:t xml:space="preserve"> and then reconstituted in 200 </w:t>
      </w:r>
      <w:r>
        <w:rPr>
          <w:rFonts w:ascii="Symbol" w:hAnsi="Symbol" w:cs="Arial"/>
        </w:rPr>
        <w:t></w:t>
      </w:r>
      <w:r>
        <w:rPr>
          <w:rFonts w:ascii="Arial" w:hAnsi="Arial" w:cs="Arial"/>
        </w:rPr>
        <w:t xml:space="preserve">L of reconstitution solution (95:5 water-methanol solvent containing 500 ng/ml tryptophan d-5). Samples were centrifuged at 16,000 </w:t>
      </w:r>
      <w:proofErr w:type="spellStart"/>
      <w:r>
        <w:rPr>
          <w:rFonts w:ascii="Arial" w:hAnsi="Arial" w:cs="Arial"/>
        </w:rPr>
        <w:t>rcf</w:t>
      </w:r>
      <w:proofErr w:type="spellEnd"/>
      <w:r>
        <w:rPr>
          <w:rFonts w:ascii="Arial" w:hAnsi="Arial" w:cs="Arial"/>
        </w:rPr>
        <w:t xml:space="preserve"> at 4°C for 4 minutes and the supernatants were transferred to autosampler vials. The study samples were randomized with interspersed QC pools before data acquisition. An injection volume of 5 </w:t>
      </w:r>
      <w:r>
        <w:rPr>
          <w:rFonts w:ascii="Symbol" w:hAnsi="Symbol" w:cs="Arial"/>
        </w:rPr>
        <w:t></w:t>
      </w:r>
      <w:r>
        <w:rPr>
          <w:rFonts w:ascii="Arial" w:hAnsi="Arial" w:cs="Arial"/>
        </w:rPr>
        <w:t>L was used for the UPLC-MS analysis.</w:t>
      </w:r>
    </w:p>
    <w:p w14:paraId="0DDA3635" w14:textId="77777777" w:rsidR="00CB60C0" w:rsidRPr="00CE4915" w:rsidRDefault="00CB60C0" w:rsidP="00CB60C0">
      <w:pPr>
        <w:spacing w:line="480" w:lineRule="auto"/>
        <w:rPr>
          <w:rFonts w:ascii="Arial" w:hAnsi="Arial" w:cs="Arial"/>
          <w:bCs/>
          <w:i/>
          <w:iCs/>
        </w:rPr>
      </w:pPr>
      <w:r>
        <w:rPr>
          <w:rFonts w:ascii="Arial" w:hAnsi="Arial" w:cs="Arial"/>
          <w:bCs/>
          <w:i/>
          <w:iCs/>
        </w:rPr>
        <w:t>Data</w:t>
      </w:r>
      <w:r w:rsidRPr="00CE4915">
        <w:rPr>
          <w:rFonts w:ascii="Arial" w:hAnsi="Arial" w:cs="Arial"/>
          <w:bCs/>
          <w:i/>
          <w:iCs/>
        </w:rPr>
        <w:t xml:space="preserve"> acquisition and preprocessing</w:t>
      </w:r>
    </w:p>
    <w:p w14:paraId="075E358C" w14:textId="77777777" w:rsidR="00CB60C0" w:rsidRDefault="00CB60C0" w:rsidP="00CB60C0">
      <w:pPr>
        <w:spacing w:line="480" w:lineRule="auto"/>
        <w:rPr>
          <w:rFonts w:ascii="Arial" w:hAnsi="Arial" w:cs="Arial"/>
        </w:rPr>
      </w:pPr>
      <w:r w:rsidRPr="004E2D4C">
        <w:rPr>
          <w:rFonts w:ascii="Arial" w:hAnsi="Arial" w:cs="Arial"/>
        </w:rPr>
        <w:t xml:space="preserve">Metabolomics data were acquired on a Vanquish UHPLC system coupled to a Q </w:t>
      </w:r>
      <w:proofErr w:type="spellStart"/>
      <w:r w:rsidRPr="004E2D4C">
        <w:rPr>
          <w:rFonts w:ascii="Arial" w:hAnsi="Arial" w:cs="Arial"/>
        </w:rPr>
        <w:t>Exactive</w:t>
      </w:r>
      <w:proofErr w:type="spellEnd"/>
      <w:r w:rsidRPr="004E2D4C">
        <w:rPr>
          <w:rFonts w:ascii="Arial" w:hAnsi="Arial" w:cs="Arial"/>
        </w:rPr>
        <w:t>™ HF-X Hybrid Quadrupole-Orbitrap Mass Spectrometer (Thermo Fisher Scientific, San Jose, CA)</w:t>
      </w:r>
      <w:r>
        <w:rPr>
          <w:rFonts w:ascii="Arial" w:hAnsi="Arial" w:cs="Arial"/>
        </w:rPr>
        <w:t xml:space="preserve"> using previously reported methods</w:t>
      </w:r>
      <w:r>
        <w:rPr>
          <w:rFonts w:ascii="Arial" w:hAnsi="Arial" w:cs="Arial"/>
        </w:rPr>
        <w:fldChar w:fldCharType="begin" w:fldLock="1"/>
      </w:r>
      <w:r>
        <w:rPr>
          <w:rFonts w:ascii="Arial" w:hAnsi="Arial" w:cs="Arial"/>
        </w:rPr>
        <w:instrText>ADDIN CSL_CITATION {"citationItems":[{"id":"ITEM-1","itemData":{"DOI":"10.1007/s00204-020-02729-y","ISSN":"14320738","PMID":"32277266","abstract":"Inorganic arsenic (iAs) is an environmental diabetogen, but mechanisms underlying its diabetogenic effects are poorly understood. Exposures to arsenite (iAsIII) and its methylated metabolites, methylarsonite (MAsIII) and dimethylarsinite (DMAsIII), have been shown to inhibit glucose-stimulated insulin secretion (GSIS) in pancreatic β-cells and isolated pancreatic islets. GSIS is regulated by complex mechanisms. Increase in ATP production through metabolism of glucose and other substrates is the ultimate trigger for GSIS in β-cells. In the present study, we used metabolomics to identify metabolites and pathways perturbed in cultured INS-1 832/13 rat insulinoma cells and isolated murine pancreatic islets by exposures to iAsIII, MAsIII and DMAsIII. We found that the exposures perturbed multiple metabolites, which were enriched primarily in the pathways of amino acid, carbohydrate, phospholipid and carnitine metabolism. However, the effects of arsenicals in INS-1 832/13 cells differed from those in the islets and were exposure specific with very few overlaps between the three arsenicals. In INS-1 832/13 cells, all three arsenicals decreased succinate, a metabolite of Krebs cycle, which provides substrates for ATP synthesis in mitochondria. Acetylcarnitine was decreased consistently by exposures to arsenicals in both the cells and the islets. Acetylcarnitine is usually found in equilibrium with acetyl-CoA, which is the central metabolite in the catabolism of macronutrients and the key substrate for Krebs cycle. It is also thought to play an antioxidant function in mitochondria. Thus, while each of the three trivalent arsenicals perturbed specific metabolic pathways, which may or may not be associated with GSIS, all three arsenicals appeared to impair mechanisms that support ATP production or antioxidant defense in mitochondria. These results suggest that impaired ATP production and/or mitochondrial dysfunction caused by oxidative stress may be the mechanisms underlying the inhibition of GSIS in β-cells exposed to trivalent arsenicals.","author":[{"dropping-particle":"","family":"Li","given":"Yuan Yuan","non-dropping-particle":"","parse-names":false,"suffix":""},{"dropping-particle":"","family":"Douillet","given":"Christelle","non-dropping-particle":"","parse-names":false,"suffix":""},{"dropping-particle":"","family":"Huang","given":"Madelyn","non-dropping-particle":"","parse-names":false,"suffix":""},{"dropping-particle":"","family":"Beck","given":"Rowan","non-dropping-particle":"","parse-names":false,"suffix":""},{"dropping-particle":"","family":"Sumner","given":"Susan Jenkins","non-dropping-particle":"","parse-names":false,"suffix":""},{"dropping-particle":"","family":"Styblo","given":"Miroslav","non-dropping-particle":"","parse-names":false,"suffix":""}],"container-title":"Archives of Toxicology","id":"ITEM-1","issue":"6","issued":{"date-parts":[["2020"]]},"page":"1955-1972","title":"Exposure to inorganic arsenic and its methylated metabolites alters metabolomics profiles in INS-1 832/13 insulinoma cells and isolated pancreatic islets","type":"article-journal","volume":"94"},"uris":["http://www.mendeley.com/documents/?uuid=19c37f01-2065-4d30-8917-bf08aaef1518"]},{"id":"ITEM-2","itemData":{"DOI":"10.3389/fnut.2020.584585","ISSN":"2296861X","abstract":" Objective: Over 50 million people worldwide are estimated to use opioids, of which ~30 million use opiates (opium and its derivatives). Use of opiates has been associated with a variety of adverse complications such as neurological and behavioral outcomes, addiction, cancers, diabetes, and cardiovascular disease. While it is well known that opiates exert their neurobiological effects through binding with mu, kappa, and delta receptors to exert analgesic and sedative effects, mechanistic links to other health effects are not well understood. Our study focuses on the identification of biochemical perturbations in Golestan Cohort Study (GCS) opium users.  Methods: We used untargeted metabolomics to evaluate the metabolic profiles of 218 opium users and 80 non-users participating in the GCS. Urine samples were obtained from adult (age 40–75) opium users living in the Golestan Province of Iran. Untargeted analysis of urine was conducted using a UPLC-Q-Exactive HFx Mass Spectrometry and a 700 MHz NMR Spectrometry.  Results: These GCS opium users had a significantly higher intake of tobacco and alcohol and a significantly decreased BMI compared with non-users. Metabolites derived from opium (codeine, morphine, and related glucuronides), nicotine, and curing or combustion of plant material were increased in opium users compared with non-users. Endogenous compounds which differentiated the opium users and non-users largely included vitamins and co-factors, metabolites involved in neurotransmission, Kreb's cycle, purine metabolism, central carbon metabolism, histone modification, and acetylation.  Conclusions: Our study reveals biochemical perturbations in GCS opium users that are important to the development of intervention strategies to mitigate against the development of adverse effects of substance abuse. ","author":[{"dropping-particle":"","family":"Li","given":"Yuan-Yuan","non-dropping-particle":"","parse-names":false,"suffix":""},{"dropping-particle":"","family":"Ghanbari","given":"Reza","non-dropping-particle":"","parse-names":false,"suffix":""},{"dropping-particle":"","family":"Pathmasiri","given":"Wimal","non-dropping-particle":"","parse-names":false,"suffix":""},{"dropping-particle":"","family":"McRitchie","given":"Susan","non-dropping-particle":"","parse-names":false,"suffix":""},{"dropping-particle":"","family":"Poustchi","given":"Hossein","non-dropping-particle":"","parse-names":false,"suffix":""},{"dropping-particle":"","family":"Shayanrad","given":"Amaneh","non-dropping-particle":"","parse-names":false,"suffix":""},{"dropping-particle":"","family":"Roshandel","given":"Gholamreza","non-dropping-particle":"","parse-names":false,"suffix":""},{"dropping-particle":"","family":"Etemadi","given":"Arash","non-dropping-particle":"","parse-names":false,"suffix":""},{"dropping-particle":"","family":"Pollock","given":"Jonathan D.","non-dropping-particle":"","parse-names":false,"suffix":""},{"dropping-particle":"","family":"Malekzadeh","given":"Reza","non-dropping-particle":"","parse-names":false,"suffix":""},{"dropping-particle":"","family":"Sumner","given":"Susan C. J.","non-dropping-particle":"","parse-names":false,"suffix":""}],"container-title":"Frontiers in Nutrition","id":"ITEM-2","issued":{"date-parts":[["2020"]]},"page":"2020-2021","title":"Untargeted Metabolomics: Biochemical Perturbations in Golestan Cohort Study Opium Users Inform Intervention Strategies","type":"article-journal","volume":"7"},"uris":["http://www.mendeley.com/documents/?uuid=b083fd69-afef-461e-8b82-56ff13906d0e"]},{"id":"ITEM-3","itemData":{"DOI":"10.3389/fphar.2018.01575","ISSN":"16639812","abstract":"Due to the surge in type 2 diabetes mellitus (T2DM), treatments for chronic metabolic dysregulations with fewer side-effects are sought. Lycii Cortex (LyC), a traditional Chinese Medicine (TCM) herb has a long history of being widely prescribed to treat T2DM as alternative medicine; however, the bioactive molecules and working mechanism remained unknown. Previous studies revealed kukoamine B (KB) as a major and featured compound for LyC with bioactivities for anti-oxidation and acute inflammation, which may be related to anti-diabetes properties. This study aims to understand the efficacy and the mode of action of KB in the diabetic (db/db) mouse model using a metabolomics approach. Parallel comparison was conducted using the first-line anti-diabetic drugs, metformin and rosligtazone, as positive controls. The db/db mice were treated with KB (50 mg kg-day-1) for 9 weeks. Bodyweight and fasting blood glucose were monitored every 5 and 7 days, respectively. Metabolomics and high-throughput molecular approaches, including lipidomics, targeted metabolomics (Biocrates p180), and cytokine profiling were applied to measure the alteration of serum metabolites and inflammatory biomarkers between different treatments vs. control (db/db mice treated with vehicle). After 9 weeks of treatment, KB lowered blood glucose, without the adverse effects of bodyweight gain and hepatomegaly shown after rosiglitazone treatment. Lipidomics analysis revealed that KB reduced levels of circulating triglycerides, cholesterol, phosphatidylethanolamine, and increased levels of phosphatidylcholines. KB also increased acylcarnitines, and reduced systemic inflammation (cytokine array). Pathway analysis suggested that KB may regulate nuclear transcription factors (e.g., NF-κB and/or PPAR) to reduce inflammation and facilitate a shift toward metabolic and inflammatory homeostasis. Comparison of KB with first-line drugs suggests that rosiglitazone may over-regulate lipid metabolism and anti-inflammatory responses, which may be associated with adverse side effects, while metformin had less impact on lipid and anti-inflammation profiles. Our research from holistic and systemic views supports the conclusion that KB is the bioactive compound of LyC for managing T2DM, and suggests KB as a nutraceutical or a pharmaceutical candidate for T2D treatment. In addition, our research provides insights related to metformin and rosiglitazone action, beyond lowering blood glucose.","author":[{"dropping-particle":"","family":"Li","given":"Yuan Yuan","non-dropping-particle":"","parse-names":false,"suffix":""},{"dropping-particle":"","family":"Stewart","given":"Delisha A.","non-dropping-particle":"","parse-names":false,"suffix":""},{"dropping-particle":"","family":"Ye","given":"Xiao Min","non-dropping-particle":"","parse-names":false,"suffix":""},{"dropping-particle":"","family":"Yin","given":"Li Hua","non-dropping-particle":"","parse-names":false,"suffix":""},{"dropping-particle":"","family":"Pathmasiri","given":"Wimal W.","non-dropping-particle":"","parse-names":false,"suffix":""},{"dropping-particle":"","family":"McRitchie","given":"Susan L.","non-dropping-particle":"","parse-names":false,"suffix":""},{"dropping-particle":"","family":"Fennell","given":"Timothy R.","non-dropping-particle":"","parse-names":false,"suffix":""},{"dropping-particle":"","family":"Cheung","given":"Hon Yeung","non-dropping-particle":"","parse-names":false,"suffix":""},{"dropping-particle":"","family":"Sumner","given":"Susan J.","non-dropping-particle":"","parse-names":false,"suffix":""}],"container-title":"Frontiers in Pharmacology","id":"ITEM-3","issue":"JAN","issued":{"date-parts":[["2019"]]},"page":"1-16","title":"A metabolomics approach to investigate kukoamine B - A potent natural product with anti-diabetic properties","type":"article-journal","volume":"9"},"uris":["http://www.mendeley.com/documents/?uuid=da114e00-20f4-4301-9341-dd020bf44cc9"]}],"mendeley":{"formattedCitation":"&lt;sup&gt;19,20,60&lt;/sup&gt;","plainTextFormattedCitation":"19,20,60","previouslyFormattedCitation":"&lt;sup&gt;13–15&lt;/sup&gt;"},"properties":{"noteIndex":0},"schema":"https://github.com/citation-style-language/schema/raw/master/csl-citation.json"}</w:instrText>
      </w:r>
      <w:r>
        <w:rPr>
          <w:rFonts w:ascii="Arial" w:hAnsi="Arial" w:cs="Arial"/>
        </w:rPr>
        <w:fldChar w:fldCharType="separate"/>
      </w:r>
      <w:r w:rsidRPr="001F337E">
        <w:rPr>
          <w:rFonts w:ascii="Arial" w:hAnsi="Arial" w:cs="Arial"/>
          <w:noProof/>
          <w:vertAlign w:val="superscript"/>
        </w:rPr>
        <w:t>19,20,60</w:t>
      </w:r>
      <w:r>
        <w:rPr>
          <w:rFonts w:ascii="Arial" w:hAnsi="Arial" w:cs="Arial"/>
        </w:rPr>
        <w:fldChar w:fldCharType="end"/>
      </w:r>
      <w:r w:rsidRPr="004E2D4C">
        <w:rPr>
          <w:rFonts w:ascii="Arial" w:hAnsi="Arial" w:cs="Arial"/>
        </w:rPr>
        <w:t xml:space="preserve">. Metabolites were separated via an HSS T3 C18 column (2.1 × 100 mm, 1.7 µm, Waters Corporation) at 50 °C with binary mobile phase of water (A) and methanol (B), each containing 0.1% formic acid (v/v). The UHPLC linear gradient started from 2% B, and increased to 100% B in 16 min, then held for 4 min, with the flow rate at 400 µL/min. Data dependent acquisition of the untargeted data was acquired from 70 to 1050 m/z in </w:t>
      </w:r>
      <w:r w:rsidRPr="004E2D4C">
        <w:rPr>
          <w:rFonts w:ascii="Arial" w:hAnsi="Arial" w:cs="Arial"/>
        </w:rPr>
        <w:lastRenderedPageBreak/>
        <w:t>positive mode. Peak picking, alignment, and normalization was performed using Progenesis QI using the “normalize to all” function (version 2.1, Waters Corporation). Signals with highly varied pe</w:t>
      </w:r>
      <w:r>
        <w:rPr>
          <w:rFonts w:ascii="Arial" w:hAnsi="Arial" w:cs="Arial"/>
        </w:rPr>
        <w:t>ak intensity (RSD &gt;30% across QC</w:t>
      </w:r>
      <w:r w:rsidRPr="004E2D4C">
        <w:rPr>
          <w:rFonts w:ascii="Arial" w:hAnsi="Arial" w:cs="Arial"/>
        </w:rPr>
        <w:t xml:space="preserve">s), or retention time&gt;19.00 min, or with </w:t>
      </w:r>
      <w:r>
        <w:rPr>
          <w:rFonts w:ascii="Arial" w:hAnsi="Arial" w:cs="Arial"/>
        </w:rPr>
        <w:t>missing values in all QC</w:t>
      </w:r>
      <w:r w:rsidRPr="004E2D4C">
        <w:rPr>
          <w:rFonts w:ascii="Arial" w:hAnsi="Arial" w:cs="Arial"/>
        </w:rPr>
        <w:t>s or all experimental samples wer</w:t>
      </w:r>
      <w:r>
        <w:rPr>
          <w:rFonts w:ascii="Arial" w:hAnsi="Arial" w:cs="Arial"/>
        </w:rPr>
        <w:t>e excluded.</w:t>
      </w:r>
    </w:p>
    <w:p w14:paraId="4438E85E" w14:textId="77777777" w:rsidR="00CB60C0" w:rsidRDefault="00CB60C0" w:rsidP="00CB60C0">
      <w:pPr>
        <w:spacing w:line="480" w:lineRule="auto"/>
        <w:rPr>
          <w:rFonts w:ascii="Arial" w:hAnsi="Arial" w:cs="Arial"/>
        </w:rPr>
      </w:pPr>
    </w:p>
    <w:p w14:paraId="563733F1" w14:textId="77777777" w:rsidR="00CB60C0" w:rsidRDefault="00CB60C0" w:rsidP="00CB60C0">
      <w:pPr>
        <w:spacing w:after="0" w:line="360" w:lineRule="auto"/>
        <w:rPr>
          <w:rFonts w:ascii="Arial" w:eastAsia="Times New Roman" w:hAnsi="Arial" w:cs="Arial"/>
          <w:b/>
          <w:bCs/>
          <w:color w:val="000000"/>
        </w:rPr>
      </w:pPr>
    </w:p>
    <w:p w14:paraId="1ED07D91" w14:textId="77777777" w:rsidR="00CB60C0" w:rsidRDefault="00CB60C0" w:rsidP="00CB60C0">
      <w:pPr>
        <w:spacing w:after="0" w:line="360" w:lineRule="auto"/>
        <w:rPr>
          <w:rFonts w:ascii="Arial" w:eastAsia="Times New Roman" w:hAnsi="Arial" w:cs="Arial"/>
          <w:bCs/>
          <w:color w:val="000000"/>
        </w:rPr>
      </w:pPr>
      <w:r w:rsidRPr="00995938">
        <w:rPr>
          <w:rFonts w:ascii="Arial" w:eastAsia="Times New Roman" w:hAnsi="Arial" w:cs="Arial"/>
          <w:b/>
          <w:bCs/>
          <w:color w:val="000000"/>
        </w:rPr>
        <w:t xml:space="preserve">Figure S1. </w:t>
      </w:r>
      <w:r w:rsidRPr="00995938">
        <w:rPr>
          <w:rFonts w:ascii="Arial" w:eastAsia="Times New Roman" w:hAnsi="Arial" w:cs="Arial"/>
          <w:bCs/>
          <w:color w:val="000000"/>
        </w:rPr>
        <w:t>Principle Component Analysis (PCA) plot demonstrating the spread of the study samples and the high reproducibility of the QC pools.</w:t>
      </w:r>
    </w:p>
    <w:p w14:paraId="3F6DF56C" w14:textId="77777777" w:rsidR="00CB60C0" w:rsidRPr="00995938" w:rsidRDefault="00CB60C0" w:rsidP="00CB60C0">
      <w:pPr>
        <w:spacing w:after="0" w:line="360" w:lineRule="auto"/>
        <w:rPr>
          <w:rFonts w:ascii="Arial" w:eastAsia="Times New Roman" w:hAnsi="Arial" w:cs="Arial"/>
          <w:b/>
          <w:bCs/>
          <w:color w:val="000000"/>
        </w:rPr>
      </w:pPr>
    </w:p>
    <w:p w14:paraId="786D1097" w14:textId="77777777" w:rsidR="00CB60C0" w:rsidRDefault="00CB60C0" w:rsidP="00CB60C0">
      <w:pPr>
        <w:spacing w:after="0" w:line="360" w:lineRule="auto"/>
        <w:rPr>
          <w:rFonts w:ascii="Arial" w:eastAsia="Times New Roman" w:hAnsi="Arial" w:cs="Arial"/>
          <w:bCs/>
          <w:color w:val="000000"/>
        </w:rPr>
      </w:pPr>
      <w:r w:rsidRPr="00995938">
        <w:rPr>
          <w:rFonts w:ascii="Arial" w:eastAsia="Times New Roman" w:hAnsi="Arial" w:cs="Arial"/>
          <w:b/>
          <w:bCs/>
          <w:color w:val="000000"/>
        </w:rPr>
        <w:t xml:space="preserve">Figure S2. </w:t>
      </w:r>
      <w:r w:rsidRPr="00995938">
        <w:rPr>
          <w:rFonts w:ascii="Arial" w:eastAsia="Times New Roman" w:hAnsi="Arial" w:cs="Arial"/>
          <w:bCs/>
          <w:color w:val="000000"/>
        </w:rPr>
        <w:t>ROC (Receiver operating characteristic) curves for logistic regression models (Table 4). The model using BMI, microbiome genus (or lowest available taxon), and microbial metabolites has a statistically higher AUC than the model with only BMI as the predictor (p=0.013).</w:t>
      </w:r>
    </w:p>
    <w:p w14:paraId="0B226154" w14:textId="77777777" w:rsidR="00CB60C0" w:rsidRDefault="00CB60C0" w:rsidP="00CB60C0">
      <w:pPr>
        <w:spacing w:after="0" w:line="360" w:lineRule="auto"/>
        <w:rPr>
          <w:rFonts w:ascii="Arial" w:eastAsia="Times New Roman" w:hAnsi="Arial" w:cs="Arial"/>
          <w:bCs/>
          <w:color w:val="000000"/>
        </w:rPr>
      </w:pPr>
    </w:p>
    <w:p w14:paraId="40FC795B" w14:textId="77777777" w:rsidR="00CB60C0" w:rsidRPr="001F337E" w:rsidRDefault="00CB60C0" w:rsidP="00CB60C0">
      <w:pPr>
        <w:spacing w:after="0" w:line="360" w:lineRule="auto"/>
        <w:rPr>
          <w:rFonts w:ascii="Arial" w:eastAsia="Times New Roman" w:hAnsi="Arial" w:cs="Arial"/>
          <w:bCs/>
          <w:color w:val="000000"/>
        </w:rPr>
      </w:pPr>
      <w:r>
        <w:rPr>
          <w:rFonts w:ascii="Arial" w:eastAsia="Times New Roman" w:hAnsi="Arial" w:cs="Arial"/>
          <w:b/>
          <w:color w:val="000000"/>
        </w:rPr>
        <w:t>Table S1.</w:t>
      </w:r>
      <w:r>
        <w:rPr>
          <w:rFonts w:ascii="Arial" w:eastAsia="Times New Roman" w:hAnsi="Arial" w:cs="Arial"/>
          <w:bCs/>
          <w:color w:val="000000"/>
        </w:rPr>
        <w:t xml:space="preserve"> Summary of medication use of OA cases and controls.</w:t>
      </w:r>
    </w:p>
    <w:p w14:paraId="30C8677C" w14:textId="77777777" w:rsidR="00CB60C0" w:rsidRPr="00995938" w:rsidRDefault="00CB60C0" w:rsidP="00CB60C0">
      <w:pPr>
        <w:spacing w:after="0" w:line="360" w:lineRule="auto"/>
        <w:rPr>
          <w:rFonts w:ascii="Arial" w:eastAsia="Times New Roman" w:hAnsi="Arial" w:cs="Arial"/>
          <w:b/>
          <w:bCs/>
          <w:color w:val="000000"/>
        </w:rPr>
      </w:pPr>
    </w:p>
    <w:p w14:paraId="1336C835" w14:textId="77777777" w:rsidR="00CB60C0" w:rsidRPr="00995938" w:rsidRDefault="00CB60C0" w:rsidP="00CB60C0">
      <w:pPr>
        <w:spacing w:after="0" w:line="360" w:lineRule="auto"/>
        <w:rPr>
          <w:rFonts w:ascii="Arial" w:eastAsia="Times New Roman" w:hAnsi="Arial" w:cs="Arial"/>
          <w:bCs/>
          <w:color w:val="000000"/>
        </w:rPr>
      </w:pPr>
      <w:r w:rsidRPr="00995938">
        <w:rPr>
          <w:rFonts w:ascii="Arial" w:eastAsia="Times New Roman" w:hAnsi="Arial" w:cs="Arial"/>
          <w:b/>
          <w:bCs/>
          <w:color w:val="000000"/>
        </w:rPr>
        <w:t>Table S</w:t>
      </w:r>
      <w:r>
        <w:rPr>
          <w:rFonts w:ascii="Arial" w:eastAsia="Times New Roman" w:hAnsi="Arial" w:cs="Arial"/>
          <w:b/>
          <w:bCs/>
          <w:color w:val="000000"/>
        </w:rPr>
        <w:t>2</w:t>
      </w:r>
      <w:r w:rsidRPr="00995938">
        <w:rPr>
          <w:rFonts w:ascii="Arial" w:eastAsia="Times New Roman" w:hAnsi="Arial" w:cs="Arial"/>
          <w:b/>
          <w:bCs/>
          <w:color w:val="000000"/>
        </w:rPr>
        <w:t xml:space="preserve">. </w:t>
      </w:r>
      <w:r w:rsidRPr="00995938">
        <w:rPr>
          <w:rFonts w:ascii="Arial" w:eastAsia="Times New Roman" w:hAnsi="Arial" w:cs="Arial"/>
          <w:bCs/>
          <w:color w:val="000000"/>
        </w:rPr>
        <w:t>All assigned metabolites with p &lt; 0.05 between OA cases vs controls.</w:t>
      </w:r>
    </w:p>
    <w:p w14:paraId="37AB49A9" w14:textId="77777777" w:rsidR="00CB60C0" w:rsidRPr="00995938" w:rsidRDefault="00CB60C0" w:rsidP="00CB60C0">
      <w:pPr>
        <w:spacing w:after="0" w:line="360" w:lineRule="auto"/>
        <w:rPr>
          <w:rFonts w:ascii="Arial" w:eastAsia="Times New Roman" w:hAnsi="Arial" w:cs="Arial"/>
          <w:b/>
          <w:bCs/>
          <w:color w:val="000000"/>
        </w:rPr>
      </w:pPr>
    </w:p>
    <w:p w14:paraId="413598E8" w14:textId="77777777" w:rsidR="00CB60C0" w:rsidRPr="00995938" w:rsidRDefault="00CB60C0" w:rsidP="00CB60C0">
      <w:pPr>
        <w:spacing w:after="0" w:line="360" w:lineRule="auto"/>
        <w:rPr>
          <w:rFonts w:ascii="Arial" w:eastAsia="Times New Roman" w:hAnsi="Arial" w:cs="Arial"/>
          <w:bCs/>
          <w:color w:val="000000"/>
        </w:rPr>
      </w:pPr>
      <w:r w:rsidRPr="00995938">
        <w:rPr>
          <w:rFonts w:ascii="Arial" w:eastAsia="Times New Roman" w:hAnsi="Arial" w:cs="Arial"/>
          <w:b/>
          <w:bCs/>
          <w:color w:val="000000"/>
        </w:rPr>
        <w:t>Table S</w:t>
      </w:r>
      <w:r>
        <w:rPr>
          <w:rFonts w:ascii="Arial" w:eastAsia="Times New Roman" w:hAnsi="Arial" w:cs="Arial"/>
          <w:b/>
          <w:bCs/>
          <w:color w:val="000000"/>
        </w:rPr>
        <w:t>3</w:t>
      </w:r>
      <w:r w:rsidRPr="00995938">
        <w:rPr>
          <w:rFonts w:ascii="Arial" w:eastAsia="Times New Roman" w:hAnsi="Arial" w:cs="Arial"/>
          <w:b/>
          <w:bCs/>
          <w:color w:val="000000"/>
        </w:rPr>
        <w:t xml:space="preserve">. </w:t>
      </w:r>
      <w:r w:rsidRPr="00995938">
        <w:rPr>
          <w:rFonts w:ascii="Arial" w:eastAsia="Times New Roman" w:hAnsi="Arial" w:cs="Arial"/>
          <w:bCs/>
          <w:color w:val="000000"/>
        </w:rPr>
        <w:t>List of microbial related metabolites used for matching with the untargeted data.</w:t>
      </w:r>
    </w:p>
    <w:p w14:paraId="02EE5AC3" w14:textId="77777777" w:rsidR="00881EFB" w:rsidRDefault="00881EFB"/>
    <w:sectPr w:rsidR="00881EFB" w:rsidSect="00937091">
      <w:pgSz w:w="15840" w:h="12240" w:orient="landscape"/>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C0"/>
    <w:rsid w:val="00881EFB"/>
    <w:rsid w:val="00CB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993C"/>
  <w15:chartTrackingRefBased/>
  <w15:docId w15:val="{E6F89CC4-FB97-4882-9E0F-1F202858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C0"/>
    <w:pPr>
      <w:spacing w:line="256" w:lineRule="auto"/>
    </w:pPr>
    <w:rPr>
      <w:rFonts w:asciiTheme="minorHAnsi" w:hAnsiTheme="minorHAnsi" w:cstheme="min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B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12054</Characters>
  <Application>Microsoft Office Word</Application>
  <DocSecurity>0</DocSecurity>
  <Lines>100</Lines>
  <Paragraphs>28</Paragraphs>
  <ScaleCrop>false</ScaleCrop>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Loeser, Richard</dc:creator>
  <cp:keywords/>
  <dc:description/>
  <cp:lastModifiedBy>Loeser, Richard</cp:lastModifiedBy>
  <cp:revision>1</cp:revision>
  <dcterms:created xsi:type="dcterms:W3CDTF">2021-10-26T17:26:00Z</dcterms:created>
  <dcterms:modified xsi:type="dcterms:W3CDTF">2021-10-26T17:26:00Z</dcterms:modified>
</cp:coreProperties>
</file>