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23C" w:rsidRDefault="006F023C" w:rsidP="006F023C">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SUPPLEMENTARY MATERIAL</w:t>
      </w:r>
      <w:r w:rsidR="006F1671">
        <w:rPr>
          <w:rFonts w:ascii="Times New Roman" w:hAnsi="Times New Roman" w:cs="Times New Roman"/>
          <w:b/>
          <w:sz w:val="28"/>
          <w:szCs w:val="28"/>
        </w:rPr>
        <w:t>S</w:t>
      </w:r>
    </w:p>
    <w:p w:rsidR="00A76EB7" w:rsidRDefault="00A76EB7" w:rsidP="006F023C">
      <w:pPr>
        <w:jc w:val="center"/>
        <w:rPr>
          <w:rFonts w:ascii="Times New Roman" w:hAnsi="Times New Roman" w:cs="Times New Roman"/>
          <w:b/>
          <w:sz w:val="28"/>
          <w:szCs w:val="28"/>
        </w:rPr>
      </w:pPr>
    </w:p>
    <w:p w:rsidR="003F2670" w:rsidRDefault="003F2670" w:rsidP="006F023C">
      <w:pPr>
        <w:jc w:val="center"/>
        <w:rPr>
          <w:rFonts w:ascii="Times New Roman" w:hAnsi="Times New Roman" w:cs="Times New Roman"/>
          <w:b/>
          <w:sz w:val="28"/>
          <w:szCs w:val="28"/>
        </w:rPr>
      </w:pPr>
    </w:p>
    <w:p w:rsidR="003F2670" w:rsidRPr="00AB782C" w:rsidRDefault="006E79C0" w:rsidP="003F2670">
      <w:pPr>
        <w:rPr>
          <w:rFonts w:ascii="Times New Roman" w:hAnsi="Times New Roman" w:cs="Times New Roman"/>
          <w:b/>
          <w:sz w:val="24"/>
          <w:szCs w:val="24"/>
        </w:rPr>
      </w:pPr>
      <w:r>
        <w:rPr>
          <w:rFonts w:ascii="Times New Roman" w:hAnsi="Times New Roman" w:cs="Times New Roman"/>
          <w:b/>
          <w:sz w:val="24"/>
          <w:szCs w:val="24"/>
        </w:rPr>
        <w:t xml:space="preserve">Section </w:t>
      </w:r>
      <w:r w:rsidR="003F2670" w:rsidRPr="00AB782C">
        <w:rPr>
          <w:rFonts w:ascii="Times New Roman" w:hAnsi="Times New Roman" w:cs="Times New Roman"/>
          <w:b/>
          <w:sz w:val="24"/>
          <w:szCs w:val="24"/>
        </w:rPr>
        <w:t xml:space="preserve">A.  Multiple Imputation of Missing Values, Derivation of Predicted Values, and Adjusting Standard Errors in Regression Models to Account for the Resulting Extra Sampling Variability </w:t>
      </w:r>
    </w:p>
    <w:p w:rsidR="003F2670" w:rsidRPr="00AB782C" w:rsidRDefault="003F2670" w:rsidP="003F2670">
      <w:pPr>
        <w:spacing w:line="480" w:lineRule="auto"/>
        <w:rPr>
          <w:rFonts w:ascii="Times New Roman" w:hAnsi="Times New Roman" w:cs="Times New Roman"/>
          <w:sz w:val="24"/>
          <w:szCs w:val="24"/>
        </w:rPr>
      </w:pPr>
      <w:r w:rsidRPr="00AB782C">
        <w:rPr>
          <w:rFonts w:ascii="Times New Roman" w:hAnsi="Times New Roman" w:cs="Times New Roman"/>
          <w:b/>
          <w:sz w:val="24"/>
          <w:szCs w:val="24"/>
        </w:rPr>
        <w:tab/>
      </w:r>
      <w:r w:rsidRPr="00AB782C">
        <w:rPr>
          <w:rFonts w:ascii="Times New Roman" w:hAnsi="Times New Roman" w:cs="Times New Roman"/>
          <w:sz w:val="24"/>
          <w:szCs w:val="24"/>
        </w:rPr>
        <w:t xml:space="preserve">Estimation of any two-stage residual inclusion (2SRI) model requires the computation of residuals from the first-stage regression, which then comprise the elements of a predictor variable (Residual) employed in the second-stage regression.  Because Residual is derived as a function of the first-stage predictor variables, its values will reflect the sampling variability of those first-stage variables.  Correspondingly, the standard errors of the odds ratios for all predictor variables in the second-stage, including Residual, should incorporate this extra sampling variability </w:t>
      </w:r>
      <w:r w:rsidR="007768CD">
        <w:rPr>
          <w:rFonts w:ascii="Times New Roman" w:hAnsi="Times New Roman" w:cs="Times New Roman"/>
          <w:sz w:val="24"/>
          <w:szCs w:val="24"/>
        </w:rPr>
        <w:t>(1, 2)</w:t>
      </w:r>
      <w:r w:rsidRPr="00AB782C">
        <w:rPr>
          <w:rFonts w:ascii="Times New Roman" w:hAnsi="Times New Roman" w:cs="Times New Roman"/>
          <w:sz w:val="24"/>
          <w:szCs w:val="24"/>
        </w:rPr>
        <w:t xml:space="preserve">.  Similarly, when multiple imputation (MI) procedures are used to fill in missing data, the imputed variable values are derived as a function of observables that reflect sampling variability.  Hence, the imputed values for each such variable are imbued with sampling variability, which should be </w:t>
      </w:r>
      <w:r w:rsidR="00F75CBF">
        <w:rPr>
          <w:rFonts w:ascii="Times New Roman" w:hAnsi="Times New Roman" w:cs="Times New Roman"/>
          <w:sz w:val="24"/>
          <w:szCs w:val="24"/>
        </w:rPr>
        <w:t>accounted for in</w:t>
      </w:r>
      <w:r w:rsidRPr="00AB782C">
        <w:rPr>
          <w:rFonts w:ascii="Times New Roman" w:hAnsi="Times New Roman" w:cs="Times New Roman"/>
          <w:sz w:val="24"/>
          <w:szCs w:val="24"/>
        </w:rPr>
        <w:t xml:space="preserve"> the standard error of the estimated odds ratios for the variable </w:t>
      </w:r>
      <w:r w:rsidR="007768CD">
        <w:rPr>
          <w:rFonts w:ascii="Times New Roman" w:hAnsi="Times New Roman" w:cs="Times New Roman"/>
          <w:sz w:val="24"/>
          <w:szCs w:val="24"/>
        </w:rPr>
        <w:t>(3)</w:t>
      </w:r>
      <w:r w:rsidRPr="00AB782C">
        <w:rPr>
          <w:rFonts w:ascii="Times New Roman" w:hAnsi="Times New Roman" w:cs="Times New Roman"/>
          <w:sz w:val="24"/>
          <w:szCs w:val="24"/>
        </w:rPr>
        <w:t xml:space="preserve">.  Our base-case model for the determinants of an advanced stage diagnosis of breast cancer employs both 2SRI and MI. Thus, the model needs to be estimated in a way that permits both sources of sampling variability to be reflected in the standard errors.  Below we briefly describe how these issues were addressed (with the key </w:t>
      </w:r>
      <w:r w:rsidR="006E79C0">
        <w:rPr>
          <w:rFonts w:ascii="Times New Roman" w:hAnsi="Times New Roman" w:cs="Times New Roman"/>
          <w:sz w:val="24"/>
          <w:szCs w:val="24"/>
        </w:rPr>
        <w:t xml:space="preserve">MI statements from </w:t>
      </w:r>
      <w:r w:rsidRPr="00AB782C">
        <w:rPr>
          <w:rFonts w:ascii="Times New Roman" w:hAnsi="Times New Roman" w:cs="Times New Roman"/>
          <w:sz w:val="24"/>
          <w:szCs w:val="24"/>
        </w:rPr>
        <w:t xml:space="preserve">Stata Version 12 in parentheses); greater detail, including the code employed, is available from the corresponding author.  </w:t>
      </w:r>
    </w:p>
    <w:p w:rsidR="003F2670" w:rsidRPr="00AB782C" w:rsidRDefault="003F2670" w:rsidP="003F2670">
      <w:pPr>
        <w:numPr>
          <w:ilvl w:val="0"/>
          <w:numId w:val="1"/>
        </w:numPr>
        <w:spacing w:line="480" w:lineRule="auto"/>
        <w:contextualSpacing/>
        <w:rPr>
          <w:rFonts w:ascii="Times New Roman" w:hAnsi="Times New Roman" w:cs="Times New Roman"/>
          <w:sz w:val="24"/>
          <w:szCs w:val="24"/>
        </w:rPr>
      </w:pPr>
      <w:r w:rsidRPr="00AB782C">
        <w:rPr>
          <w:rFonts w:ascii="Times New Roman" w:hAnsi="Times New Roman" w:cs="Times New Roman"/>
          <w:sz w:val="24"/>
          <w:szCs w:val="24"/>
          <w:u w:val="single"/>
        </w:rPr>
        <w:t xml:space="preserve">2SRI Model without Missing Value Imputation (e.g., model #8 in Table </w:t>
      </w:r>
      <w:r>
        <w:rPr>
          <w:rFonts w:ascii="Times New Roman" w:hAnsi="Times New Roman" w:cs="Times New Roman"/>
          <w:sz w:val="24"/>
          <w:szCs w:val="24"/>
          <w:u w:val="single"/>
        </w:rPr>
        <w:t>4</w:t>
      </w:r>
      <w:r w:rsidRPr="00AB782C">
        <w:rPr>
          <w:rFonts w:ascii="Times New Roman" w:hAnsi="Times New Roman" w:cs="Times New Roman"/>
          <w:sz w:val="24"/>
          <w:szCs w:val="24"/>
          <w:u w:val="single"/>
        </w:rPr>
        <w:t>)</w:t>
      </w:r>
      <w:r w:rsidRPr="00AB782C">
        <w:rPr>
          <w:rFonts w:ascii="Times New Roman" w:hAnsi="Times New Roman" w:cs="Times New Roman"/>
          <w:sz w:val="24"/>
          <w:szCs w:val="24"/>
        </w:rPr>
        <w:t xml:space="preserve">.  We created 100 bootstrapped samples (that is, samples constructed by sampling with replacement) involving all the variables in the first-stage and the second-stage regression equations for </w:t>
      </w:r>
      <w:r w:rsidRPr="00AB782C">
        <w:rPr>
          <w:rFonts w:ascii="Times New Roman" w:hAnsi="Times New Roman" w:cs="Times New Roman"/>
          <w:sz w:val="24"/>
          <w:szCs w:val="24"/>
        </w:rPr>
        <w:lastRenderedPageBreak/>
        <w:t>the 2SRI model – except (of course) Residual, whose values were derived from the first-stage regression for each bootstrap sample. We then executed the bootstrapped analysis, wherein the standard error of the estimated odds ratio for each variable in the second-stage equation was equal to the standard deviation of the 100 odds ratios estimated for that variable.  (To accomplish this, in a way that accounted for Residual, the authors wrote their own bootstrap program in Stata.)</w:t>
      </w:r>
    </w:p>
    <w:p w:rsidR="003F2670" w:rsidRPr="00AB782C" w:rsidRDefault="003F2670" w:rsidP="003F2670">
      <w:pPr>
        <w:numPr>
          <w:ilvl w:val="0"/>
          <w:numId w:val="1"/>
        </w:numPr>
        <w:spacing w:line="480" w:lineRule="auto"/>
        <w:contextualSpacing/>
        <w:rPr>
          <w:rFonts w:ascii="Times New Roman" w:hAnsi="Times New Roman" w:cs="Times New Roman"/>
          <w:sz w:val="24"/>
          <w:szCs w:val="24"/>
          <w:u w:val="single"/>
        </w:rPr>
      </w:pPr>
      <w:r w:rsidRPr="00AB782C">
        <w:rPr>
          <w:rFonts w:ascii="Times New Roman" w:hAnsi="Times New Roman" w:cs="Times New Roman"/>
          <w:sz w:val="24"/>
          <w:szCs w:val="24"/>
          <w:u w:val="single"/>
        </w:rPr>
        <w:t xml:space="preserve">Missing Value Imputation Only (e.g., models #5, 11, 12 in Table </w:t>
      </w:r>
      <w:r>
        <w:rPr>
          <w:rFonts w:ascii="Times New Roman" w:hAnsi="Times New Roman" w:cs="Times New Roman"/>
          <w:sz w:val="24"/>
          <w:szCs w:val="24"/>
          <w:u w:val="single"/>
        </w:rPr>
        <w:t>4</w:t>
      </w:r>
      <w:r w:rsidRPr="00AB782C">
        <w:rPr>
          <w:rFonts w:ascii="Times New Roman" w:hAnsi="Times New Roman" w:cs="Times New Roman"/>
          <w:sz w:val="24"/>
          <w:szCs w:val="24"/>
          <w:u w:val="single"/>
        </w:rPr>
        <w:t>)</w:t>
      </w:r>
      <w:r w:rsidRPr="00AB782C">
        <w:rPr>
          <w:rFonts w:ascii="Times New Roman" w:hAnsi="Times New Roman" w:cs="Times New Roman"/>
          <w:sz w:val="24"/>
          <w:szCs w:val="24"/>
        </w:rPr>
        <w:t>. The multiple imputation process here involves essentially three steps:</w:t>
      </w:r>
    </w:p>
    <w:p w:rsidR="003F2670" w:rsidRPr="00AB782C" w:rsidRDefault="003F2670" w:rsidP="003F2670">
      <w:pPr>
        <w:numPr>
          <w:ilvl w:val="0"/>
          <w:numId w:val="2"/>
        </w:numPr>
        <w:spacing w:line="480" w:lineRule="auto"/>
        <w:contextualSpacing/>
        <w:rPr>
          <w:rFonts w:ascii="Times New Roman" w:hAnsi="Times New Roman" w:cs="Times New Roman"/>
          <w:sz w:val="24"/>
          <w:szCs w:val="24"/>
          <w:u w:val="single"/>
        </w:rPr>
      </w:pPr>
      <w:r w:rsidRPr="00AB782C">
        <w:rPr>
          <w:rFonts w:ascii="Times New Roman" w:hAnsi="Times New Roman" w:cs="Times New Roman"/>
          <w:sz w:val="24"/>
          <w:szCs w:val="24"/>
          <w:u w:val="single"/>
        </w:rPr>
        <w:t>Imputation</w:t>
      </w:r>
      <w:r w:rsidRPr="00AB782C">
        <w:rPr>
          <w:rFonts w:ascii="Times New Roman" w:hAnsi="Times New Roman" w:cs="Times New Roman"/>
          <w:sz w:val="24"/>
          <w:szCs w:val="24"/>
        </w:rPr>
        <w:t xml:space="preserve">.  In the base-case analysis, there were three variables with a significant number of missing observations: </w:t>
      </w:r>
      <w:r>
        <w:rPr>
          <w:rFonts w:ascii="Times New Roman" w:hAnsi="Times New Roman" w:cs="Times New Roman"/>
          <w:sz w:val="24"/>
          <w:szCs w:val="24"/>
        </w:rPr>
        <w:t>mole-subtype</w:t>
      </w:r>
      <w:r w:rsidRPr="00AB782C">
        <w:rPr>
          <w:rFonts w:ascii="Times New Roman" w:hAnsi="Times New Roman" w:cs="Times New Roman"/>
          <w:sz w:val="24"/>
          <w:szCs w:val="24"/>
        </w:rPr>
        <w:t xml:space="preserve"> (28.1%), BMI (22.7%), and </w:t>
      </w:r>
      <w:r>
        <w:rPr>
          <w:rFonts w:ascii="Times New Roman" w:hAnsi="Times New Roman" w:cs="Times New Roman"/>
          <w:sz w:val="24"/>
          <w:szCs w:val="24"/>
        </w:rPr>
        <w:t>g</w:t>
      </w:r>
      <w:r w:rsidRPr="00AB782C">
        <w:rPr>
          <w:rFonts w:ascii="Times New Roman" w:hAnsi="Times New Roman" w:cs="Times New Roman"/>
          <w:sz w:val="24"/>
          <w:szCs w:val="24"/>
        </w:rPr>
        <w:t xml:space="preserve">rade (9.1%).  For each variable, patients with missing values were assigned imputed values via a regression model using all patients not missing that variable, with predictor variables chosen to yield statistically tight predictions.  For the continuous variable BMI, a linear regression model was estimated by ordinary least squares.  For </w:t>
      </w:r>
      <w:r>
        <w:rPr>
          <w:rFonts w:ascii="Times New Roman" w:hAnsi="Times New Roman" w:cs="Times New Roman"/>
          <w:sz w:val="24"/>
          <w:szCs w:val="24"/>
        </w:rPr>
        <w:t>mole-subtype</w:t>
      </w:r>
      <w:r w:rsidRPr="00AB782C">
        <w:rPr>
          <w:rFonts w:ascii="Times New Roman" w:hAnsi="Times New Roman" w:cs="Times New Roman"/>
          <w:sz w:val="24"/>
          <w:szCs w:val="24"/>
        </w:rPr>
        <w:t xml:space="preserve"> and </w:t>
      </w:r>
      <w:r>
        <w:rPr>
          <w:rFonts w:ascii="Times New Roman" w:hAnsi="Times New Roman" w:cs="Times New Roman"/>
          <w:sz w:val="24"/>
          <w:szCs w:val="24"/>
        </w:rPr>
        <w:t>g</w:t>
      </w:r>
      <w:r w:rsidRPr="00AB782C">
        <w:rPr>
          <w:rFonts w:ascii="Times New Roman" w:hAnsi="Times New Roman" w:cs="Times New Roman"/>
          <w:sz w:val="24"/>
          <w:szCs w:val="24"/>
        </w:rPr>
        <w:t xml:space="preserve">rade, each of which is a 4-level categorical variable, the regression models were multinomial logit.  The predictors employed for all three variables were method of detection, stage at </w:t>
      </w:r>
      <w:r>
        <w:rPr>
          <w:rFonts w:ascii="Times New Roman" w:hAnsi="Times New Roman" w:cs="Times New Roman"/>
          <w:sz w:val="24"/>
          <w:szCs w:val="24"/>
        </w:rPr>
        <w:t>d</w:t>
      </w:r>
      <w:r w:rsidRPr="00AB782C">
        <w:rPr>
          <w:rFonts w:ascii="Times New Roman" w:hAnsi="Times New Roman" w:cs="Times New Roman"/>
          <w:sz w:val="24"/>
          <w:szCs w:val="24"/>
        </w:rPr>
        <w:t xml:space="preserve">iagnosis, age category, comorbidity score, hypertension (yes/no), diabetes (yes/no), race/ethnicity status, educational status, marital status, urban/rural status, insurance, and histology status.  (By implication, there is no requirement that predictors be limited to those implied by our conceptual model, nor is there a concern about model overfitting; rather, the aim is to arrive at highly accurate </w:t>
      </w:r>
      <w:r w:rsidR="006E79C0">
        <w:rPr>
          <w:rFonts w:ascii="Times New Roman" w:hAnsi="Times New Roman" w:cs="Times New Roman"/>
          <w:sz w:val="24"/>
          <w:szCs w:val="24"/>
        </w:rPr>
        <w:t>with</w:t>
      </w:r>
      <w:r w:rsidRPr="00AB782C">
        <w:rPr>
          <w:rFonts w:ascii="Times New Roman" w:hAnsi="Times New Roman" w:cs="Times New Roman"/>
          <w:sz w:val="24"/>
          <w:szCs w:val="24"/>
        </w:rPr>
        <w:t xml:space="preserve">in-sample predictions for missing observations.)  </w:t>
      </w:r>
    </w:p>
    <w:p w:rsidR="003F2670" w:rsidRPr="00AB782C" w:rsidRDefault="003F2670" w:rsidP="003F2670">
      <w:pPr>
        <w:spacing w:line="480" w:lineRule="auto"/>
        <w:ind w:left="1080" w:firstLine="360"/>
        <w:rPr>
          <w:rFonts w:ascii="Times New Roman" w:hAnsi="Times New Roman" w:cs="Times New Roman"/>
          <w:sz w:val="24"/>
          <w:szCs w:val="24"/>
        </w:rPr>
      </w:pPr>
      <w:r w:rsidRPr="00AB782C">
        <w:rPr>
          <w:rFonts w:ascii="Times New Roman" w:hAnsi="Times New Roman" w:cs="Times New Roman"/>
          <w:sz w:val="24"/>
          <w:szCs w:val="24"/>
        </w:rPr>
        <w:lastRenderedPageBreak/>
        <w:t xml:space="preserve">The next step was to build in sampling variability to the set of predicted values for each variable, </w:t>
      </w:r>
      <w:r w:rsidR="006E79C0">
        <w:rPr>
          <w:rFonts w:ascii="Times New Roman" w:hAnsi="Times New Roman" w:cs="Times New Roman"/>
          <w:sz w:val="24"/>
          <w:szCs w:val="24"/>
        </w:rPr>
        <w:t>since</w:t>
      </w:r>
      <w:r w:rsidRPr="00AB782C">
        <w:rPr>
          <w:rFonts w:ascii="Times New Roman" w:hAnsi="Times New Roman" w:cs="Times New Roman"/>
          <w:sz w:val="24"/>
          <w:szCs w:val="24"/>
        </w:rPr>
        <w:t xml:space="preserve"> they are in fact derived from an estimated regression.  To accomplish this, random draws were made from the simulated error term distribution for the regression, and the </w:t>
      </w:r>
      <w:r w:rsidRPr="00AB782C">
        <w:rPr>
          <w:rFonts w:ascii="Times New Roman" w:hAnsi="Times New Roman" w:cs="Times New Roman"/>
          <w:i/>
          <w:sz w:val="24"/>
          <w:szCs w:val="24"/>
        </w:rPr>
        <w:t xml:space="preserve">imputed value </w:t>
      </w:r>
      <w:r w:rsidRPr="00AB782C">
        <w:rPr>
          <w:rFonts w:ascii="Times New Roman" w:hAnsi="Times New Roman" w:cs="Times New Roman"/>
          <w:sz w:val="24"/>
          <w:szCs w:val="24"/>
        </w:rPr>
        <w:t xml:space="preserve">for each missing value was the sum of the predicted value for the individual and a random error term draw. </w:t>
      </w:r>
    </w:p>
    <w:p w:rsidR="003F2670" w:rsidRPr="00AB782C" w:rsidRDefault="003F2670" w:rsidP="003F2670">
      <w:pPr>
        <w:spacing w:line="480" w:lineRule="auto"/>
        <w:ind w:left="1080" w:firstLine="360"/>
        <w:rPr>
          <w:rFonts w:ascii="Times New Roman" w:hAnsi="Times New Roman" w:cs="Times New Roman"/>
          <w:sz w:val="24"/>
          <w:szCs w:val="24"/>
        </w:rPr>
      </w:pPr>
      <w:r w:rsidRPr="00AB782C">
        <w:rPr>
          <w:rFonts w:ascii="Times New Roman" w:hAnsi="Times New Roman" w:cs="Times New Roman"/>
          <w:sz w:val="24"/>
          <w:szCs w:val="24"/>
        </w:rPr>
        <w:t xml:space="preserve">(The key Stata commands for multiple imputation here are </w:t>
      </w:r>
      <w:r w:rsidR="00F75CBF">
        <w:rPr>
          <w:rFonts w:ascii="Times New Roman" w:hAnsi="Times New Roman" w:cs="Times New Roman"/>
          <w:sz w:val="24"/>
          <w:szCs w:val="24"/>
        </w:rPr>
        <w:t>“</w:t>
      </w:r>
      <w:r w:rsidRPr="00AB782C">
        <w:rPr>
          <w:rFonts w:ascii="Times New Roman" w:hAnsi="Times New Roman" w:cs="Times New Roman"/>
          <w:sz w:val="24"/>
          <w:szCs w:val="24"/>
        </w:rPr>
        <w:t>mi set</w:t>
      </w:r>
      <w:r w:rsidR="00F75CBF">
        <w:rPr>
          <w:rFonts w:ascii="Times New Roman" w:hAnsi="Times New Roman" w:cs="Times New Roman"/>
          <w:sz w:val="24"/>
          <w:szCs w:val="24"/>
        </w:rPr>
        <w:t>”</w:t>
      </w:r>
      <w:r w:rsidRPr="00AB782C">
        <w:rPr>
          <w:rFonts w:ascii="Times New Roman" w:hAnsi="Times New Roman" w:cs="Times New Roman"/>
          <w:sz w:val="24"/>
          <w:szCs w:val="24"/>
        </w:rPr>
        <w:t xml:space="preserve">; </w:t>
      </w:r>
      <w:r w:rsidR="00F75CBF">
        <w:rPr>
          <w:rFonts w:ascii="Times New Roman" w:hAnsi="Times New Roman" w:cs="Times New Roman"/>
          <w:sz w:val="24"/>
          <w:szCs w:val="24"/>
        </w:rPr>
        <w:t>“</w:t>
      </w:r>
      <w:r w:rsidRPr="00AB782C">
        <w:rPr>
          <w:rFonts w:ascii="Times New Roman" w:hAnsi="Times New Roman" w:cs="Times New Roman"/>
          <w:sz w:val="24"/>
          <w:szCs w:val="24"/>
        </w:rPr>
        <w:t>mi register imputed</w:t>
      </w:r>
      <w:r w:rsidR="00F75CBF">
        <w:rPr>
          <w:rFonts w:ascii="Times New Roman" w:hAnsi="Times New Roman" w:cs="Times New Roman"/>
          <w:sz w:val="24"/>
          <w:szCs w:val="24"/>
        </w:rPr>
        <w:t>”</w:t>
      </w:r>
      <w:r w:rsidRPr="00AB782C">
        <w:rPr>
          <w:rFonts w:ascii="Times New Roman" w:hAnsi="Times New Roman" w:cs="Times New Roman"/>
          <w:sz w:val="24"/>
          <w:szCs w:val="24"/>
        </w:rPr>
        <w:t xml:space="preserve">; </w:t>
      </w:r>
      <w:r w:rsidR="00F75CBF">
        <w:rPr>
          <w:rFonts w:ascii="Times New Roman" w:hAnsi="Times New Roman" w:cs="Times New Roman"/>
          <w:sz w:val="24"/>
          <w:szCs w:val="24"/>
        </w:rPr>
        <w:t>“</w:t>
      </w:r>
      <w:r w:rsidRPr="00AB782C">
        <w:rPr>
          <w:rFonts w:ascii="Times New Roman" w:hAnsi="Times New Roman" w:cs="Times New Roman"/>
          <w:sz w:val="24"/>
          <w:szCs w:val="24"/>
        </w:rPr>
        <w:t>mi register passive</w:t>
      </w:r>
      <w:r w:rsidR="00F75CBF">
        <w:rPr>
          <w:rFonts w:ascii="Times New Roman" w:hAnsi="Times New Roman" w:cs="Times New Roman"/>
          <w:sz w:val="24"/>
          <w:szCs w:val="24"/>
        </w:rPr>
        <w:t>”</w:t>
      </w:r>
      <w:r w:rsidRPr="00AB782C">
        <w:rPr>
          <w:rFonts w:ascii="Times New Roman" w:hAnsi="Times New Roman" w:cs="Times New Roman"/>
          <w:sz w:val="24"/>
          <w:szCs w:val="24"/>
        </w:rPr>
        <w:t xml:space="preserve">; </w:t>
      </w:r>
      <w:r w:rsidR="00F75CBF">
        <w:rPr>
          <w:rFonts w:ascii="Times New Roman" w:hAnsi="Times New Roman" w:cs="Times New Roman"/>
          <w:sz w:val="24"/>
          <w:szCs w:val="24"/>
        </w:rPr>
        <w:t>“</w:t>
      </w:r>
      <w:r w:rsidRPr="00AB782C">
        <w:rPr>
          <w:rFonts w:ascii="Times New Roman" w:hAnsi="Times New Roman" w:cs="Times New Roman"/>
          <w:sz w:val="24"/>
          <w:szCs w:val="24"/>
        </w:rPr>
        <w:t>mi register regular</w:t>
      </w:r>
      <w:r w:rsidR="00F75CBF">
        <w:rPr>
          <w:rFonts w:ascii="Times New Roman" w:hAnsi="Times New Roman" w:cs="Times New Roman"/>
          <w:sz w:val="24"/>
          <w:szCs w:val="24"/>
        </w:rPr>
        <w:t>”</w:t>
      </w:r>
      <w:r w:rsidRPr="00AB782C">
        <w:rPr>
          <w:rFonts w:ascii="Times New Roman" w:hAnsi="Times New Roman" w:cs="Times New Roman"/>
          <w:sz w:val="24"/>
          <w:szCs w:val="24"/>
        </w:rPr>
        <w:t xml:space="preserve">; and </w:t>
      </w:r>
      <w:r w:rsidR="00F75CBF">
        <w:rPr>
          <w:rFonts w:ascii="Times New Roman" w:hAnsi="Times New Roman" w:cs="Times New Roman"/>
          <w:sz w:val="24"/>
          <w:szCs w:val="24"/>
        </w:rPr>
        <w:t>“</w:t>
      </w:r>
      <w:r w:rsidRPr="00AB782C">
        <w:rPr>
          <w:rFonts w:ascii="Times New Roman" w:hAnsi="Times New Roman" w:cs="Times New Roman"/>
          <w:sz w:val="24"/>
          <w:szCs w:val="24"/>
        </w:rPr>
        <w:t>mi impute chained</w:t>
      </w:r>
      <w:r w:rsidR="00F75CBF">
        <w:rPr>
          <w:rFonts w:ascii="Times New Roman" w:hAnsi="Times New Roman" w:cs="Times New Roman"/>
          <w:sz w:val="24"/>
          <w:szCs w:val="24"/>
        </w:rPr>
        <w:t>”</w:t>
      </w:r>
      <w:r w:rsidRPr="00AB782C">
        <w:rPr>
          <w:rFonts w:ascii="Times New Roman" w:hAnsi="Times New Roman" w:cs="Times New Roman"/>
          <w:sz w:val="24"/>
          <w:szCs w:val="24"/>
        </w:rPr>
        <w:t>.)</w:t>
      </w:r>
    </w:p>
    <w:p w:rsidR="003F2670" w:rsidRPr="00AB782C" w:rsidRDefault="003F2670" w:rsidP="003F2670">
      <w:pPr>
        <w:numPr>
          <w:ilvl w:val="0"/>
          <w:numId w:val="2"/>
        </w:numPr>
        <w:spacing w:line="480" w:lineRule="auto"/>
        <w:contextualSpacing/>
        <w:rPr>
          <w:rFonts w:ascii="Times New Roman" w:hAnsi="Times New Roman" w:cs="Times New Roman"/>
          <w:sz w:val="24"/>
          <w:szCs w:val="24"/>
          <w:u w:val="single"/>
        </w:rPr>
      </w:pPr>
      <w:r w:rsidRPr="00AB782C">
        <w:rPr>
          <w:rFonts w:ascii="Times New Roman" w:hAnsi="Times New Roman" w:cs="Times New Roman"/>
          <w:sz w:val="24"/>
          <w:szCs w:val="24"/>
          <w:u w:val="single"/>
        </w:rPr>
        <w:t>Completed Data Set Analysis</w:t>
      </w:r>
      <w:r w:rsidRPr="00AB782C">
        <w:rPr>
          <w:rFonts w:ascii="Times New Roman" w:hAnsi="Times New Roman" w:cs="Times New Roman"/>
          <w:sz w:val="24"/>
          <w:szCs w:val="24"/>
        </w:rPr>
        <w:t>.  Consistent with current practice, we perform</w:t>
      </w:r>
      <w:r w:rsidR="006E79C0">
        <w:rPr>
          <w:rFonts w:ascii="Times New Roman" w:hAnsi="Times New Roman" w:cs="Times New Roman"/>
          <w:sz w:val="24"/>
          <w:szCs w:val="24"/>
        </w:rPr>
        <w:t>ed</w:t>
      </w:r>
      <w:r w:rsidRPr="00AB782C">
        <w:rPr>
          <w:rFonts w:ascii="Times New Roman" w:hAnsi="Times New Roman" w:cs="Times New Roman"/>
          <w:sz w:val="24"/>
          <w:szCs w:val="24"/>
        </w:rPr>
        <w:t xml:space="preserve"> 10 imputations (each as noted in a.), yielding 10 completed data sets.  With each data set, we estimated the regression model of interest, e.g., single-equation logistic model for predicting advanced-stage diagnosis, resulting in 10 estimated models in parallel.  </w:t>
      </w:r>
    </w:p>
    <w:p w:rsidR="003F2670" w:rsidRPr="00AB782C" w:rsidRDefault="003F2670" w:rsidP="003F2670">
      <w:pPr>
        <w:numPr>
          <w:ilvl w:val="0"/>
          <w:numId w:val="2"/>
        </w:numPr>
        <w:spacing w:line="480" w:lineRule="auto"/>
        <w:contextualSpacing/>
        <w:rPr>
          <w:rFonts w:ascii="Times New Roman" w:hAnsi="Times New Roman" w:cs="Times New Roman"/>
          <w:sz w:val="24"/>
          <w:szCs w:val="24"/>
          <w:u w:val="single"/>
        </w:rPr>
      </w:pPr>
      <w:r w:rsidRPr="00AB782C">
        <w:rPr>
          <w:rFonts w:ascii="Times New Roman" w:hAnsi="Times New Roman" w:cs="Times New Roman"/>
          <w:sz w:val="24"/>
          <w:szCs w:val="24"/>
          <w:u w:val="single"/>
        </w:rPr>
        <w:t>Pooling to Get Final Estimated Model</w:t>
      </w:r>
      <w:r w:rsidRPr="00AB782C">
        <w:rPr>
          <w:rFonts w:ascii="Times New Roman" w:hAnsi="Times New Roman" w:cs="Times New Roman"/>
          <w:sz w:val="24"/>
          <w:szCs w:val="24"/>
        </w:rPr>
        <w:t xml:space="preserve">.  For each predictor variable in the model of interest, its odds ratio is the average of the 10 estimated odds ratios from step b.; and the corresponding standard error – which reflects the sampling variability imbedded in the imputed values – is a function of the estimated regression coefficients and standard errors for that variable across all 10 estimated models </w:t>
      </w:r>
      <w:r w:rsidR="007768CD">
        <w:rPr>
          <w:rFonts w:ascii="Times New Roman" w:hAnsi="Times New Roman" w:cs="Times New Roman"/>
          <w:sz w:val="24"/>
          <w:szCs w:val="24"/>
        </w:rPr>
        <w:t>(3)</w:t>
      </w:r>
      <w:r w:rsidRPr="00AB782C">
        <w:rPr>
          <w:rFonts w:ascii="Times New Roman" w:hAnsi="Times New Roman" w:cs="Times New Roman"/>
          <w:sz w:val="24"/>
          <w:szCs w:val="24"/>
        </w:rPr>
        <w:t>.  (Key Stata command for b. and c. is "mi estimate, post: logit".)</w:t>
      </w:r>
    </w:p>
    <w:p w:rsidR="003F2670" w:rsidRPr="00AB782C" w:rsidRDefault="003F2670" w:rsidP="003F2670">
      <w:pPr>
        <w:spacing w:line="480" w:lineRule="auto"/>
        <w:ind w:left="1080"/>
        <w:rPr>
          <w:rFonts w:ascii="Times New Roman" w:hAnsi="Times New Roman" w:cs="Times New Roman"/>
          <w:sz w:val="24"/>
          <w:szCs w:val="24"/>
        </w:rPr>
      </w:pPr>
      <w:r w:rsidRPr="00AB782C">
        <w:rPr>
          <w:rFonts w:ascii="Times New Roman" w:hAnsi="Times New Roman" w:cs="Times New Roman"/>
          <w:sz w:val="24"/>
          <w:szCs w:val="24"/>
        </w:rPr>
        <w:t>A</w:t>
      </w:r>
      <w:r>
        <w:rPr>
          <w:rFonts w:ascii="Times New Roman" w:hAnsi="Times New Roman" w:cs="Times New Roman"/>
          <w:sz w:val="24"/>
          <w:szCs w:val="24"/>
        </w:rPr>
        <w:t>n important</w:t>
      </w:r>
      <w:r w:rsidRPr="00AB782C">
        <w:rPr>
          <w:rFonts w:ascii="Times New Roman" w:hAnsi="Times New Roman" w:cs="Times New Roman"/>
          <w:sz w:val="24"/>
          <w:szCs w:val="24"/>
        </w:rPr>
        <w:t xml:space="preserve"> (though generally not directly testable) assumption for MI to lead to consistent estimates of regression parameters and odds ratios is that the missing data are “missing at random” (MAR).  This means that the probability a variable is missing for a given individual is not a function of the (unobserved) value of the variable, though it may be a function of other, observed variables.  Indeed, those latter variables are the ones that should be employed in predicting (replacement) variable values in the imputation step of MI.  </w:t>
      </w:r>
    </w:p>
    <w:p w:rsidR="003F2670" w:rsidRPr="00902A47" w:rsidRDefault="003F2670" w:rsidP="003F2670">
      <w:pPr>
        <w:numPr>
          <w:ilvl w:val="0"/>
          <w:numId w:val="1"/>
        </w:numPr>
        <w:spacing w:line="480" w:lineRule="auto"/>
        <w:contextualSpacing/>
        <w:rPr>
          <w:rFonts w:ascii="Times New Roman" w:hAnsi="Times New Roman" w:cs="Times New Roman"/>
          <w:sz w:val="24"/>
          <w:szCs w:val="24"/>
          <w:u w:val="single"/>
        </w:rPr>
      </w:pPr>
      <w:r w:rsidRPr="00AB782C">
        <w:rPr>
          <w:rFonts w:ascii="Times New Roman" w:hAnsi="Times New Roman" w:cs="Times New Roman"/>
          <w:sz w:val="24"/>
          <w:szCs w:val="24"/>
          <w:u w:val="single"/>
        </w:rPr>
        <w:t xml:space="preserve">2SRI Model with Missing Value Imputation (e.g., #7 (Base-case), 9, 10 in Table </w:t>
      </w:r>
      <w:r>
        <w:rPr>
          <w:rFonts w:ascii="Times New Roman" w:hAnsi="Times New Roman" w:cs="Times New Roman"/>
          <w:sz w:val="24"/>
          <w:szCs w:val="24"/>
          <w:u w:val="single"/>
        </w:rPr>
        <w:t>4</w:t>
      </w:r>
      <w:r w:rsidRPr="00AB782C">
        <w:rPr>
          <w:rFonts w:ascii="Times New Roman" w:hAnsi="Times New Roman" w:cs="Times New Roman"/>
          <w:sz w:val="24"/>
          <w:szCs w:val="24"/>
          <w:u w:val="single"/>
        </w:rPr>
        <w:t>)</w:t>
      </w:r>
      <w:r w:rsidRPr="00AB782C">
        <w:rPr>
          <w:rFonts w:ascii="Times New Roman" w:hAnsi="Times New Roman" w:cs="Times New Roman"/>
          <w:sz w:val="24"/>
          <w:szCs w:val="24"/>
        </w:rPr>
        <w:t xml:space="preserve">.  In this case, we have two sources of sampling variability to reflect appropriately in the regression model standard errors.  In response, we combined the MI and bootstrap procedures in the following way.  First, we conducted imputation, as described in 2.a., and now it is useful to characterize what emerged as one large data set (call it A), consisting of all the variables in the 2SRI model that were not imputed </w:t>
      </w:r>
      <w:r w:rsidRPr="00AB782C">
        <w:rPr>
          <w:rFonts w:ascii="Times New Roman" w:hAnsi="Times New Roman" w:cs="Times New Roman"/>
          <w:i/>
          <w:sz w:val="24"/>
          <w:szCs w:val="24"/>
        </w:rPr>
        <w:t>and</w:t>
      </w:r>
      <w:r w:rsidRPr="00AB782C">
        <w:rPr>
          <w:rFonts w:ascii="Times New Roman" w:hAnsi="Times New Roman" w:cs="Times New Roman"/>
          <w:sz w:val="24"/>
          <w:szCs w:val="24"/>
        </w:rPr>
        <w:t xml:space="preserve"> the implied 30 variables here that were imputed in the 10 successive imputations: namely, </w:t>
      </w:r>
    </w:p>
    <w:p w:rsidR="003F2670" w:rsidRDefault="003F2670" w:rsidP="003F2670">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mole-subtype</w:t>
      </w:r>
      <w:r w:rsidRPr="00AB782C">
        <w:rPr>
          <w:rFonts w:ascii="Times New Roman" w:hAnsi="Times New Roman" w:cs="Times New Roman"/>
          <w:sz w:val="24"/>
          <w:szCs w:val="24"/>
          <w:vertAlign w:val="subscript"/>
        </w:rPr>
        <w:t>1</w:t>
      </w:r>
      <w:r w:rsidRPr="00AB782C">
        <w:rPr>
          <w:rFonts w:ascii="Times New Roman" w:hAnsi="Times New Roman" w:cs="Times New Roman"/>
          <w:sz w:val="24"/>
          <w:szCs w:val="24"/>
        </w:rPr>
        <w:t>,…..,</w:t>
      </w:r>
      <w:r>
        <w:rPr>
          <w:rFonts w:ascii="Times New Roman" w:hAnsi="Times New Roman" w:cs="Times New Roman"/>
          <w:sz w:val="24"/>
          <w:szCs w:val="24"/>
        </w:rPr>
        <w:t>mole-subtype</w:t>
      </w:r>
      <w:r w:rsidRPr="00AB782C">
        <w:rPr>
          <w:rFonts w:ascii="Times New Roman" w:hAnsi="Times New Roman" w:cs="Times New Roman"/>
          <w:sz w:val="24"/>
          <w:szCs w:val="24"/>
          <w:vertAlign w:val="subscript"/>
        </w:rPr>
        <w:t>10</w:t>
      </w:r>
      <w:r w:rsidRPr="00AB782C">
        <w:rPr>
          <w:rFonts w:ascii="Times New Roman" w:hAnsi="Times New Roman" w:cs="Times New Roman"/>
          <w:sz w:val="24"/>
          <w:szCs w:val="24"/>
        </w:rPr>
        <w:t>, BMI</w:t>
      </w:r>
      <w:r w:rsidRPr="00AB782C">
        <w:rPr>
          <w:rFonts w:ascii="Times New Roman" w:hAnsi="Times New Roman" w:cs="Times New Roman"/>
          <w:sz w:val="24"/>
          <w:szCs w:val="24"/>
          <w:vertAlign w:val="subscript"/>
        </w:rPr>
        <w:t>1</w:t>
      </w:r>
      <w:r w:rsidRPr="00AB782C">
        <w:rPr>
          <w:rFonts w:ascii="Times New Roman" w:hAnsi="Times New Roman" w:cs="Times New Roman"/>
          <w:sz w:val="24"/>
          <w:szCs w:val="24"/>
        </w:rPr>
        <w:t>,…, BMI</w:t>
      </w:r>
      <w:r w:rsidRPr="00AB782C">
        <w:rPr>
          <w:rFonts w:ascii="Times New Roman" w:hAnsi="Times New Roman" w:cs="Times New Roman"/>
          <w:sz w:val="24"/>
          <w:szCs w:val="24"/>
          <w:vertAlign w:val="subscript"/>
        </w:rPr>
        <w:t>10</w:t>
      </w:r>
      <w:r w:rsidRPr="00AB782C">
        <w:rPr>
          <w:rFonts w:ascii="Times New Roman" w:hAnsi="Times New Roman" w:cs="Times New Roman"/>
          <w:sz w:val="24"/>
          <w:szCs w:val="24"/>
        </w:rPr>
        <w:t xml:space="preserve">, </w:t>
      </w:r>
      <w:r>
        <w:rPr>
          <w:rFonts w:ascii="Times New Roman" w:hAnsi="Times New Roman" w:cs="Times New Roman"/>
          <w:sz w:val="24"/>
          <w:szCs w:val="24"/>
        </w:rPr>
        <w:t>g</w:t>
      </w:r>
      <w:r w:rsidRPr="00AB782C">
        <w:rPr>
          <w:rFonts w:ascii="Times New Roman" w:hAnsi="Times New Roman" w:cs="Times New Roman"/>
          <w:sz w:val="24"/>
          <w:szCs w:val="24"/>
        </w:rPr>
        <w:t>rade</w:t>
      </w:r>
      <w:r w:rsidRPr="00AB782C">
        <w:rPr>
          <w:rFonts w:ascii="Times New Roman" w:hAnsi="Times New Roman" w:cs="Times New Roman"/>
          <w:sz w:val="24"/>
          <w:szCs w:val="24"/>
          <w:vertAlign w:val="subscript"/>
        </w:rPr>
        <w:t>1</w:t>
      </w:r>
      <w:r w:rsidRPr="00AB782C">
        <w:rPr>
          <w:rFonts w:ascii="Times New Roman" w:hAnsi="Times New Roman" w:cs="Times New Roman"/>
          <w:sz w:val="24"/>
          <w:szCs w:val="24"/>
        </w:rPr>
        <w:t>,….,</w:t>
      </w:r>
      <w:r>
        <w:rPr>
          <w:rFonts w:ascii="Times New Roman" w:hAnsi="Times New Roman" w:cs="Times New Roman"/>
          <w:sz w:val="24"/>
          <w:szCs w:val="24"/>
        </w:rPr>
        <w:t>g</w:t>
      </w:r>
      <w:r w:rsidRPr="00AB782C">
        <w:rPr>
          <w:rFonts w:ascii="Times New Roman" w:hAnsi="Times New Roman" w:cs="Times New Roman"/>
          <w:sz w:val="24"/>
          <w:szCs w:val="24"/>
        </w:rPr>
        <w:t>rade</w:t>
      </w:r>
      <w:r w:rsidRPr="00AB782C">
        <w:rPr>
          <w:rFonts w:ascii="Times New Roman" w:hAnsi="Times New Roman" w:cs="Times New Roman"/>
          <w:sz w:val="24"/>
          <w:szCs w:val="24"/>
          <w:vertAlign w:val="subscript"/>
        </w:rPr>
        <w:t>10</w:t>
      </w:r>
      <w:r w:rsidRPr="00AB782C">
        <w:rPr>
          <w:rFonts w:ascii="Times New Roman" w:hAnsi="Times New Roman" w:cs="Times New Roman"/>
          <w:sz w:val="24"/>
          <w:szCs w:val="24"/>
        </w:rPr>
        <w:t>.  Data set A can be so described since all the non-imputed variables take on precisely the same values across the 10 imputed data sets.  Then, we applied the bootstrap method to A in the estimation of the 2SRI model of interest in order to adjust the SEs in the second stage.  Specifically, we drew 100 bootstrap samples from A, and estimated the 2SRI model for each sample, which also involved deriving values for Residual for use in the second-stage regression. In the final estimated 2SRI model, the standard error of the odds ratio for each variable was the standard deviation of the 100 estimated odds ratios for the variable.  In this way, the standard errors ultimately reflect the sampling variability from both the MI process and the fact that Residual is computed.  (Key Stata commands are "program"; "mi estimate, saving(</w:t>
      </w:r>
      <w:r w:rsidR="00D4586B">
        <w:rPr>
          <w:rFonts w:ascii="Times New Roman" w:hAnsi="Times New Roman" w:cs="Times New Roman"/>
          <w:sz w:val="24"/>
          <w:szCs w:val="24"/>
        </w:rPr>
        <w:t xml:space="preserve"> </w:t>
      </w:r>
      <w:r w:rsidRPr="00AB782C">
        <w:rPr>
          <w:rFonts w:ascii="Times New Roman" w:hAnsi="Times New Roman" w:cs="Times New Roman"/>
          <w:sz w:val="24"/>
          <w:szCs w:val="24"/>
        </w:rPr>
        <w:t>): logit"; "mi estimate, post: logit"; and "bootstrap:"</w:t>
      </w:r>
      <w:r w:rsidR="006E79C0">
        <w:rPr>
          <w:rFonts w:ascii="Times New Roman" w:hAnsi="Times New Roman" w:cs="Times New Roman"/>
          <w:sz w:val="24"/>
          <w:szCs w:val="24"/>
        </w:rPr>
        <w:t>.</w:t>
      </w:r>
      <w:r w:rsidRPr="00AB782C">
        <w:rPr>
          <w:rFonts w:ascii="Times New Roman" w:hAnsi="Times New Roman" w:cs="Times New Roman"/>
          <w:sz w:val="24"/>
          <w:szCs w:val="24"/>
        </w:rPr>
        <w:t>)</w:t>
      </w:r>
    </w:p>
    <w:p w:rsidR="00FE7F2C" w:rsidRDefault="00FE7F2C" w:rsidP="003F2670">
      <w:pPr>
        <w:spacing w:line="480" w:lineRule="auto"/>
        <w:ind w:left="720"/>
        <w:contextualSpacing/>
        <w:rPr>
          <w:rFonts w:ascii="Times New Roman" w:hAnsi="Times New Roman" w:cs="Times New Roman"/>
          <w:sz w:val="24"/>
          <w:szCs w:val="24"/>
        </w:rPr>
      </w:pPr>
      <w:r>
        <w:rPr>
          <w:rFonts w:ascii="Times New Roman" w:hAnsi="Times New Roman" w:cs="Times New Roman"/>
          <w:sz w:val="24"/>
          <w:szCs w:val="24"/>
        </w:rPr>
        <w:tab/>
        <w:t xml:space="preserve">The computer programs used to carry out our bootstrapping analyses and imputation of missing variable values are available from the corresponding author upon request.  The reader should be aware, however, that the codes developed here (implemented in Stata) are highly specific to models employed in this paper.  </w:t>
      </w:r>
    </w:p>
    <w:p w:rsidR="00FE7F2C" w:rsidRDefault="00FE7F2C" w:rsidP="003F2670">
      <w:pPr>
        <w:spacing w:line="480" w:lineRule="auto"/>
        <w:ind w:left="720"/>
        <w:contextualSpacing/>
        <w:rPr>
          <w:rFonts w:ascii="Times New Roman" w:hAnsi="Times New Roman" w:cs="Times New Roman"/>
          <w:sz w:val="24"/>
          <w:szCs w:val="24"/>
        </w:rPr>
      </w:pPr>
    </w:p>
    <w:p w:rsidR="003F2670" w:rsidRDefault="006E79C0" w:rsidP="003F267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Section </w:t>
      </w:r>
      <w:r w:rsidR="003F2670" w:rsidRPr="00902A47">
        <w:rPr>
          <w:rFonts w:ascii="Times New Roman" w:hAnsi="Times New Roman" w:cs="Times New Roman"/>
          <w:b/>
          <w:sz w:val="24"/>
          <w:szCs w:val="24"/>
        </w:rPr>
        <w:t>B.  First-Stage Regression Analysis in Support of the Base-Case Two-Stage Residual Inclusion (2SRI) Instrumental Variables Model for Breast Cancer Stage of Diagnosis</w:t>
      </w:r>
    </w:p>
    <w:p w:rsidR="003F2670" w:rsidRPr="00A43B5D" w:rsidRDefault="003F2670" w:rsidP="003F2670">
      <w:pPr>
        <w:spacing w:line="480" w:lineRule="auto"/>
        <w:rPr>
          <w:rFonts w:ascii="Times New Roman" w:hAnsi="Times New Roman" w:cs="Times New Roman"/>
          <w:sz w:val="24"/>
          <w:szCs w:val="24"/>
        </w:rPr>
      </w:pPr>
      <w:r w:rsidRPr="00902A47">
        <w:rPr>
          <w:rFonts w:ascii="Times New Roman" w:hAnsi="Times New Roman" w:cs="Times New Roman"/>
          <w:b/>
          <w:sz w:val="24"/>
          <w:szCs w:val="24"/>
        </w:rPr>
        <w:tab/>
      </w:r>
      <w:r w:rsidRPr="00902A47">
        <w:rPr>
          <w:rFonts w:ascii="Times New Roman" w:hAnsi="Times New Roman" w:cs="Times New Roman"/>
          <w:sz w:val="24"/>
          <w:szCs w:val="24"/>
        </w:rPr>
        <w:t>The estimated model below is specified expressly</w:t>
      </w:r>
      <w:r>
        <w:rPr>
          <w:rFonts w:ascii="Times New Roman" w:hAnsi="Times New Roman" w:cs="Times New Roman"/>
          <w:sz w:val="24"/>
          <w:szCs w:val="24"/>
        </w:rPr>
        <w:t xml:space="preserve"> as</w:t>
      </w:r>
      <w:r w:rsidRPr="00902A47">
        <w:rPr>
          <w:rFonts w:ascii="Times New Roman" w:hAnsi="Times New Roman" w:cs="Times New Roman"/>
          <w:sz w:val="24"/>
          <w:szCs w:val="24"/>
        </w:rPr>
        <w:t xml:space="preserve"> prescribed in the 2SRI instrumental variables (IV) approach to estimation in the face of potential selection bias.  Such bias is a threat if method of detection is an important predictor of stage at diagnosis and if stage and method are both influenced by certain common covariates, some of which are unobservable in the current data set.  Under these hypothesized circumstances, the first-stage regression is a binary logistic formulation in which the log odds of detection by mammography (versus some other method) is a function of (1) all the other predictors in the second-stage regression for stage at diagnosis and (2) the selected IV’s</w:t>
      </w:r>
      <w:r>
        <w:rPr>
          <w:rFonts w:ascii="Times New Roman" w:hAnsi="Times New Roman" w:cs="Times New Roman"/>
          <w:sz w:val="24"/>
          <w:szCs w:val="24"/>
        </w:rPr>
        <w:t xml:space="preserve"> – state, histology, and </w:t>
      </w:r>
      <w:r w:rsidR="006E79C0">
        <w:rPr>
          <w:rFonts w:ascii="Times New Roman" w:hAnsi="Times New Roman" w:cs="Times New Roman"/>
          <w:sz w:val="24"/>
          <w:szCs w:val="24"/>
        </w:rPr>
        <w:t>mammography-capacity</w:t>
      </w:r>
      <w:r>
        <w:rPr>
          <w:rFonts w:ascii="Times New Roman" w:hAnsi="Times New Roman" w:cs="Times New Roman"/>
          <w:sz w:val="24"/>
          <w:szCs w:val="24"/>
        </w:rPr>
        <w:t xml:space="preserve"> – which </w:t>
      </w:r>
      <w:r w:rsidRPr="00902A47">
        <w:rPr>
          <w:rFonts w:ascii="Times New Roman" w:hAnsi="Times New Roman" w:cs="Times New Roman"/>
          <w:sz w:val="24"/>
          <w:szCs w:val="24"/>
        </w:rPr>
        <w:t xml:space="preserve">play a pivotal role in the 2SRI model’s effort to </w:t>
      </w:r>
      <w:r w:rsidR="006E79C0">
        <w:rPr>
          <w:rFonts w:ascii="Times New Roman" w:hAnsi="Times New Roman" w:cs="Times New Roman"/>
          <w:sz w:val="24"/>
          <w:szCs w:val="24"/>
        </w:rPr>
        <w:t xml:space="preserve">detect and </w:t>
      </w:r>
      <w:r w:rsidRPr="00902A47">
        <w:rPr>
          <w:rFonts w:ascii="Times New Roman" w:hAnsi="Times New Roman" w:cs="Times New Roman"/>
          <w:sz w:val="24"/>
          <w:szCs w:val="24"/>
        </w:rPr>
        <w:t xml:space="preserve">reduce </w:t>
      </w:r>
      <w:r w:rsidR="006E79C0">
        <w:rPr>
          <w:rFonts w:ascii="Times New Roman" w:hAnsi="Times New Roman" w:cs="Times New Roman"/>
          <w:sz w:val="24"/>
          <w:szCs w:val="24"/>
        </w:rPr>
        <w:t>selection bias</w:t>
      </w:r>
      <w:r w:rsidRPr="00902A47">
        <w:rPr>
          <w:rFonts w:ascii="Times New Roman" w:hAnsi="Times New Roman" w:cs="Times New Roman"/>
          <w:sz w:val="24"/>
          <w:szCs w:val="24"/>
        </w:rPr>
        <w:t xml:space="preserve">.  </w:t>
      </w:r>
      <w:r>
        <w:rPr>
          <w:rFonts w:ascii="Times New Roman" w:hAnsi="Times New Roman" w:cs="Times New Roman"/>
          <w:sz w:val="24"/>
          <w:szCs w:val="24"/>
        </w:rPr>
        <w:t xml:space="preserve"> A “strong” IV in the current context will be highly significantly related to method of detection (the “</w:t>
      </w:r>
      <w:r w:rsidR="006E79C0">
        <w:rPr>
          <w:rFonts w:ascii="Times New Roman" w:hAnsi="Times New Roman" w:cs="Times New Roman"/>
          <w:sz w:val="24"/>
          <w:szCs w:val="24"/>
        </w:rPr>
        <w:t>intervention</w:t>
      </w:r>
      <w:r>
        <w:rPr>
          <w:rFonts w:ascii="Times New Roman" w:hAnsi="Times New Roman" w:cs="Times New Roman"/>
          <w:sz w:val="24"/>
          <w:szCs w:val="24"/>
        </w:rPr>
        <w:t xml:space="preserve">”) while not being significantly related to stage at diagnosis (the “outcome”) </w:t>
      </w:r>
      <w:r>
        <w:rPr>
          <w:rFonts w:ascii="Times New Roman" w:hAnsi="Times New Roman" w:cs="Times New Roman"/>
          <w:i/>
          <w:sz w:val="24"/>
          <w:szCs w:val="24"/>
        </w:rPr>
        <w:t>except</w:t>
      </w:r>
      <w:r>
        <w:rPr>
          <w:rFonts w:ascii="Times New Roman" w:hAnsi="Times New Roman" w:cs="Times New Roman"/>
          <w:sz w:val="24"/>
          <w:szCs w:val="24"/>
        </w:rPr>
        <w:t xml:space="preserve"> through its influence on method of detection.   </w:t>
      </w:r>
    </w:p>
    <w:p w:rsidR="003F2670" w:rsidRDefault="003F2670" w:rsidP="003F26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w:t>
      </w:r>
      <w:r w:rsidR="006E79C0">
        <w:rPr>
          <w:rFonts w:ascii="Times New Roman" w:hAnsi="Times New Roman" w:cs="Times New Roman"/>
          <w:sz w:val="24"/>
          <w:szCs w:val="24"/>
        </w:rPr>
        <w:t xml:space="preserve">mammography-capacity </w:t>
      </w:r>
      <w:r>
        <w:rPr>
          <w:rFonts w:ascii="Times New Roman" w:hAnsi="Times New Roman" w:cs="Times New Roman"/>
          <w:sz w:val="24"/>
          <w:szCs w:val="24"/>
        </w:rPr>
        <w:t xml:space="preserve">is a compelling measure of </w:t>
      </w:r>
      <w:r w:rsidR="00F75CBF">
        <w:rPr>
          <w:rFonts w:ascii="Times New Roman" w:hAnsi="Times New Roman" w:cs="Times New Roman"/>
          <w:sz w:val="24"/>
          <w:szCs w:val="24"/>
        </w:rPr>
        <w:t>the woman’s</w:t>
      </w:r>
      <w:r>
        <w:rPr>
          <w:rFonts w:ascii="Times New Roman" w:hAnsi="Times New Roman" w:cs="Times New Roman"/>
          <w:sz w:val="24"/>
          <w:szCs w:val="24"/>
        </w:rPr>
        <w:t xml:space="preserve"> physical access to screening, there will still be individual-specific variations in actual distance and time to screening facilities and that may influence the propensity to be tested.  </w:t>
      </w:r>
      <w:r w:rsidRPr="00C278DE">
        <w:rPr>
          <w:rFonts w:ascii="Times New Roman" w:hAnsi="Times New Roman" w:cs="Times New Roman"/>
          <w:sz w:val="24"/>
          <w:szCs w:val="24"/>
        </w:rPr>
        <w:t>Elkin et al. (</w:t>
      </w:r>
      <w:r w:rsidR="007768CD">
        <w:rPr>
          <w:rFonts w:ascii="Times New Roman" w:hAnsi="Times New Roman" w:cs="Times New Roman"/>
          <w:sz w:val="24"/>
          <w:szCs w:val="24"/>
        </w:rPr>
        <w:t>4</w:t>
      </w:r>
      <w:r w:rsidRPr="00C278DE">
        <w:rPr>
          <w:rFonts w:ascii="Times New Roman" w:hAnsi="Times New Roman" w:cs="Times New Roman"/>
          <w:sz w:val="24"/>
          <w:szCs w:val="24"/>
        </w:rPr>
        <w:t>) found that distance or time to appointment may or may not influence screening behavior, depending on a complex of factors.</w:t>
      </w:r>
      <w:r>
        <w:rPr>
          <w:rFonts w:ascii="Times New Roman" w:hAnsi="Times New Roman" w:cs="Times New Roman"/>
          <w:sz w:val="24"/>
          <w:szCs w:val="24"/>
        </w:rPr>
        <w:t xml:space="preserve">  </w:t>
      </w:r>
    </w:p>
    <w:p w:rsidR="003F2670" w:rsidRDefault="00F75CBF" w:rsidP="003F2670">
      <w:pPr>
        <w:spacing w:line="480" w:lineRule="auto"/>
        <w:ind w:firstLine="720"/>
        <w:rPr>
          <w:rFonts w:ascii="Times New Roman" w:hAnsi="Times New Roman" w:cs="Times New Roman"/>
          <w:sz w:val="24"/>
          <w:szCs w:val="24"/>
        </w:rPr>
      </w:pPr>
      <w:r>
        <w:rPr>
          <w:rFonts w:ascii="Times New Roman" w:hAnsi="Times New Roman" w:cs="Times New Roman"/>
          <w:sz w:val="24"/>
          <w:szCs w:val="24"/>
        </w:rPr>
        <w:t>Although</w:t>
      </w:r>
      <w:r w:rsidR="003F2670" w:rsidRPr="00902A47">
        <w:rPr>
          <w:rFonts w:ascii="Times New Roman" w:hAnsi="Times New Roman" w:cs="Times New Roman"/>
          <w:sz w:val="24"/>
          <w:szCs w:val="24"/>
        </w:rPr>
        <w:t xml:space="preserve"> the model below is </w:t>
      </w:r>
      <w:r w:rsidR="003F2670">
        <w:rPr>
          <w:rFonts w:ascii="Times New Roman" w:hAnsi="Times New Roman" w:cs="Times New Roman"/>
          <w:sz w:val="24"/>
          <w:szCs w:val="24"/>
        </w:rPr>
        <w:t xml:space="preserve">thus </w:t>
      </w:r>
      <w:r w:rsidR="003F2670" w:rsidRPr="00902A47">
        <w:rPr>
          <w:rFonts w:ascii="Times New Roman" w:hAnsi="Times New Roman" w:cs="Times New Roman"/>
          <w:sz w:val="24"/>
          <w:szCs w:val="24"/>
        </w:rPr>
        <w:t xml:space="preserve">ancillary to the main task of predicting stage, the results are arguably of interest in their own right: </w:t>
      </w:r>
    </w:p>
    <w:p w:rsidR="003F2670" w:rsidRDefault="006E79C0" w:rsidP="003F2670">
      <w:pPr>
        <w:spacing w:after="200" w:line="276"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Section</w:t>
      </w:r>
      <w:r w:rsidR="003F2670" w:rsidRPr="00902A47">
        <w:rPr>
          <w:rFonts w:ascii="Times New Roman" w:eastAsia="Times New Roman" w:hAnsi="Times New Roman" w:cs="Times New Roman"/>
          <w:b/>
          <w:sz w:val="24"/>
          <w:szCs w:val="24"/>
          <w:lang w:eastAsia="zh-CN"/>
        </w:rPr>
        <w:t xml:space="preserve"> B Table:  First-Stage Logistic Regression Results for 2SRI Model in the Base Case: Determinants of Detection of Breast Cancer by </w:t>
      </w:r>
      <w:r w:rsidR="003F2670" w:rsidRPr="00902A47">
        <w:rPr>
          <w:rFonts w:ascii="Times New Roman" w:eastAsia="Times New Roman" w:hAnsi="Times New Roman" w:cs="Times New Roman"/>
          <w:b/>
          <w:i/>
          <w:sz w:val="24"/>
          <w:szCs w:val="24"/>
          <w:lang w:eastAsia="zh-CN"/>
        </w:rPr>
        <w:t>Mammograph</w:t>
      </w:r>
      <w:r w:rsidR="003F2670" w:rsidRPr="00902A47">
        <w:rPr>
          <w:rFonts w:ascii="Times New Roman" w:eastAsia="Times New Roman" w:hAnsi="Times New Roman" w:cs="Times New Roman"/>
          <w:b/>
          <w:sz w:val="24"/>
          <w:szCs w:val="24"/>
          <w:lang w:eastAsia="zh-CN"/>
        </w:rPr>
        <w:t xml:space="preserve">y vs. </w:t>
      </w:r>
      <w:r w:rsidR="003F2670" w:rsidRPr="00902A47">
        <w:rPr>
          <w:rFonts w:ascii="Times New Roman" w:eastAsia="Times New Roman" w:hAnsi="Times New Roman" w:cs="Times New Roman"/>
          <w:b/>
          <w:i/>
          <w:sz w:val="24"/>
          <w:szCs w:val="24"/>
          <w:lang w:eastAsia="zh-CN"/>
        </w:rPr>
        <w:t>Other</w:t>
      </w:r>
      <w:r w:rsidR="003F2670" w:rsidRPr="00902A47">
        <w:rPr>
          <w:rFonts w:ascii="Times New Roman" w:eastAsia="Times New Roman" w:hAnsi="Times New Roman" w:cs="Times New Roman"/>
          <w:b/>
          <w:sz w:val="24"/>
          <w:szCs w:val="24"/>
          <w:lang w:eastAsia="zh-CN"/>
        </w:rPr>
        <w:t xml:space="preserve"> Methods</w:t>
      </w:r>
    </w:p>
    <w:tbl>
      <w:tblPr>
        <w:tblW w:w="0" w:type="auto"/>
        <w:jc w:val="center"/>
        <w:tblLayout w:type="fixed"/>
        <w:tblCellMar>
          <w:left w:w="67" w:type="dxa"/>
          <w:right w:w="67" w:type="dxa"/>
        </w:tblCellMar>
        <w:tblLook w:val="0400" w:firstRow="0" w:lastRow="0" w:firstColumn="0" w:lastColumn="0" w:noHBand="0" w:noVBand="1"/>
      </w:tblPr>
      <w:tblGrid>
        <w:gridCol w:w="2228"/>
        <w:gridCol w:w="1170"/>
        <w:gridCol w:w="1358"/>
        <w:gridCol w:w="774"/>
        <w:gridCol w:w="753"/>
        <w:gridCol w:w="676"/>
        <w:gridCol w:w="33"/>
      </w:tblGrid>
      <w:tr w:rsidR="003F2670" w:rsidRPr="00AB782C" w:rsidTr="00D54FD2">
        <w:trPr>
          <w:gridAfter w:val="1"/>
          <w:wAfter w:w="33" w:type="dxa"/>
          <w:cantSplit/>
          <w:trHeight w:val="474"/>
          <w:tblHeader/>
          <w:jc w:val="center"/>
        </w:trPr>
        <w:tc>
          <w:tcPr>
            <w:tcW w:w="2228" w:type="dxa"/>
            <w:tcBorders>
              <w:top w:val="double" w:sz="4" w:space="0" w:color="auto"/>
              <w:left w:val="nil"/>
              <w:bottom w:val="single" w:sz="2" w:space="0" w:color="000000"/>
              <w:right w:val="nil"/>
            </w:tcBorders>
            <w:shd w:val="clear" w:color="auto" w:fill="FFFFFF"/>
            <w:vAlign w:val="bottom"/>
          </w:tcPr>
          <w:p w:rsidR="003F2670" w:rsidRPr="00AB782C" w:rsidRDefault="003F2670" w:rsidP="00D54FD2">
            <w:pPr>
              <w:keepNext/>
              <w:adjustRightInd w:val="0"/>
              <w:spacing w:before="67" w:after="67" w:line="276" w:lineRule="auto"/>
              <w:rPr>
                <w:rFonts w:ascii="Times New Roman" w:eastAsia="Times New Roman" w:hAnsi="Times New Roman" w:cs="Times New Roman"/>
                <w:b/>
                <w:i/>
                <w:iCs/>
                <w:color w:val="000000"/>
                <w:sz w:val="18"/>
                <w:szCs w:val="18"/>
                <w:lang w:eastAsia="zh-CN"/>
              </w:rPr>
            </w:pPr>
            <w:r w:rsidRPr="00AB782C">
              <w:rPr>
                <w:rFonts w:ascii="Times New Roman" w:eastAsia="Times New Roman" w:hAnsi="Times New Roman" w:cs="Times New Roman"/>
                <w:b/>
                <w:i/>
                <w:iCs/>
                <w:color w:val="000000"/>
                <w:sz w:val="18"/>
                <w:szCs w:val="18"/>
                <w:lang w:eastAsia="zh-CN"/>
              </w:rPr>
              <w:t>Variable</w:t>
            </w:r>
          </w:p>
        </w:tc>
        <w:tc>
          <w:tcPr>
            <w:tcW w:w="1170" w:type="dxa"/>
            <w:tcBorders>
              <w:top w:val="double" w:sz="4" w:space="0" w:color="auto"/>
              <w:left w:val="nil"/>
              <w:bottom w:val="single" w:sz="2" w:space="0" w:color="000000"/>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Odds ratio</w:t>
            </w:r>
          </w:p>
        </w:tc>
        <w:tc>
          <w:tcPr>
            <w:tcW w:w="1358" w:type="dxa"/>
            <w:tcBorders>
              <w:top w:val="double" w:sz="4" w:space="0" w:color="auto"/>
              <w:left w:val="nil"/>
              <w:bottom w:val="single" w:sz="2" w:space="0" w:color="000000"/>
              <w:right w:val="nil"/>
            </w:tcBorders>
            <w:shd w:val="clear" w:color="auto" w:fill="FFFFFF"/>
            <w:vAlign w:val="bottom"/>
          </w:tcPr>
          <w:p w:rsidR="003F2670" w:rsidRPr="00AB782C" w:rsidRDefault="003F2670" w:rsidP="006356FE">
            <w:pPr>
              <w:keepNext/>
              <w:adjustRightInd w:val="0"/>
              <w:spacing w:before="67" w:after="67" w:line="276" w:lineRule="auto"/>
              <w:jc w:val="center"/>
              <w:rPr>
                <w:rFonts w:ascii="Times New Roman" w:eastAsia="Times New Roman" w:hAnsi="Times New Roman" w:cs="Times New Roman"/>
                <w:i/>
                <w:iCs/>
                <w:color w:val="000000"/>
                <w:sz w:val="18"/>
                <w:szCs w:val="18"/>
                <w:lang w:eastAsia="zh-CN"/>
              </w:rPr>
            </w:pPr>
          </w:p>
        </w:tc>
        <w:tc>
          <w:tcPr>
            <w:tcW w:w="774" w:type="dxa"/>
            <w:tcBorders>
              <w:top w:val="double" w:sz="4" w:space="0" w:color="auto"/>
              <w:left w:val="nil"/>
              <w:bottom w:val="single" w:sz="2" w:space="0" w:color="000000"/>
              <w:right w:val="nil"/>
            </w:tcBorders>
            <w:shd w:val="clear" w:color="auto" w:fill="FFFFFF"/>
            <w:vAlign w:val="bottom"/>
          </w:tcPr>
          <w:p w:rsidR="003F2670" w:rsidRPr="00AB782C" w:rsidRDefault="00D57310" w:rsidP="00D57310">
            <w:pPr>
              <w:keepNext/>
              <w:adjustRightInd w:val="0"/>
              <w:spacing w:before="67" w:after="67" w:line="276" w:lineRule="auto"/>
              <w:jc w:val="center"/>
              <w:rPr>
                <w:rFonts w:ascii="Times New Roman" w:eastAsia="Times New Roman" w:hAnsi="Times New Roman" w:cs="Times New Roman"/>
                <w:i/>
                <w:iCs/>
                <w:color w:val="000000"/>
                <w:sz w:val="18"/>
                <w:szCs w:val="18"/>
                <w:lang w:eastAsia="zh-CN"/>
              </w:rPr>
            </w:pPr>
            <w:r>
              <w:rPr>
                <w:rFonts w:ascii="Times New Roman" w:eastAsia="Times New Roman" w:hAnsi="Times New Roman" w:cs="Times New Roman"/>
                <w:i/>
                <w:iCs/>
                <w:color w:val="000000"/>
                <w:sz w:val="18"/>
                <w:szCs w:val="18"/>
                <w:lang w:eastAsia="zh-CN"/>
              </w:rPr>
              <w:t>p</w:t>
            </w:r>
            <w:r w:rsidR="003F2670" w:rsidRPr="00AB782C">
              <w:rPr>
                <w:rFonts w:ascii="Times New Roman" w:eastAsia="Times New Roman" w:hAnsi="Times New Roman" w:cs="Times New Roman"/>
                <w:i/>
                <w:iCs/>
                <w:color w:val="000000"/>
                <w:sz w:val="18"/>
                <w:szCs w:val="18"/>
                <w:lang w:eastAsia="zh-CN"/>
              </w:rPr>
              <w:t>|</w:t>
            </w:r>
          </w:p>
        </w:tc>
        <w:tc>
          <w:tcPr>
            <w:tcW w:w="1429" w:type="dxa"/>
            <w:gridSpan w:val="2"/>
            <w:tcBorders>
              <w:top w:val="double" w:sz="4" w:space="0" w:color="auto"/>
              <w:left w:val="nil"/>
              <w:bottom w:val="single" w:sz="2" w:space="0" w:color="000000"/>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95% CI</w:t>
            </w: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adjustRightInd w:val="0"/>
              <w:spacing w:before="67" w:after="67" w:line="276" w:lineRule="auto"/>
              <w:rPr>
                <w:rFonts w:ascii="Calibri" w:eastAsia="Times New Roman" w:hAnsi="Calibri" w:cs="Times New Roman"/>
                <w:b/>
                <w:i/>
                <w:iCs/>
                <w:color w:val="000000"/>
                <w:sz w:val="18"/>
                <w:szCs w:val="18"/>
                <w:lang w:eastAsia="zh-CN"/>
              </w:rPr>
            </w:pPr>
            <w:r w:rsidRPr="00AB782C">
              <w:rPr>
                <w:rFonts w:ascii="Times New Roman" w:eastAsia="Times New Roman" w:hAnsi="Times New Roman" w:cs="Times New Roman"/>
                <w:b/>
                <w:i/>
                <w:iCs/>
                <w:color w:val="000000"/>
                <w:sz w:val="18"/>
                <w:szCs w:val="18"/>
                <w:lang w:eastAsia="zh-CN"/>
              </w:rPr>
              <w:t>Age group</w:t>
            </w:r>
          </w:p>
        </w:tc>
        <w:tc>
          <w:tcPr>
            <w:tcW w:w="1170"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53" w:type="dxa"/>
            <w:tcBorders>
              <w:top w:val="nil"/>
              <w:left w:val="nil"/>
              <w:bottom w:val="nil"/>
              <w:right w:val="nil"/>
            </w:tcBorders>
            <w:shd w:val="clear" w:color="auto" w:fill="FFFFFF"/>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09" w:type="dxa"/>
            <w:gridSpan w:val="2"/>
            <w:tcBorders>
              <w:top w:val="nil"/>
              <w:left w:val="nil"/>
              <w:bottom w:val="nil"/>
              <w:right w:val="nil"/>
            </w:tcBorders>
            <w:shd w:val="clear" w:color="auto" w:fill="FFFFFF"/>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50-64</w:t>
            </w:r>
          </w:p>
        </w:tc>
        <w:tc>
          <w:tcPr>
            <w:tcW w:w="1170"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Ref</w:t>
            </w: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53" w:type="dxa"/>
            <w:tcBorders>
              <w:top w:val="nil"/>
              <w:left w:val="nil"/>
              <w:bottom w:val="nil"/>
              <w:right w:val="nil"/>
            </w:tcBorders>
            <w:shd w:val="clear" w:color="auto" w:fill="FFFFFF"/>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09" w:type="dxa"/>
            <w:gridSpan w:val="2"/>
            <w:tcBorders>
              <w:top w:val="nil"/>
              <w:left w:val="nil"/>
              <w:bottom w:val="nil"/>
              <w:right w:val="nil"/>
            </w:tcBorders>
            <w:shd w:val="clear" w:color="auto" w:fill="FFFFFF"/>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Under 40</w:t>
            </w:r>
          </w:p>
        </w:tc>
        <w:tc>
          <w:tcPr>
            <w:tcW w:w="1170" w:type="dxa"/>
            <w:tcBorders>
              <w:top w:val="nil"/>
              <w:left w:val="nil"/>
              <w:bottom w:val="nil"/>
              <w:right w:val="nil"/>
            </w:tcBorders>
            <w:shd w:val="clear" w:color="auto" w:fill="FFFFFF"/>
            <w:vAlign w:val="bottom"/>
          </w:tcPr>
          <w:p w:rsidR="003F2670" w:rsidRPr="00AB782C" w:rsidRDefault="003F2670" w:rsidP="00D5731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0.21</w:t>
            </w:r>
          </w:p>
        </w:tc>
        <w:tc>
          <w:tcPr>
            <w:tcW w:w="1358"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D5731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 xml:space="preserve">&lt; </w:t>
            </w:r>
            <w:r w:rsidR="003F2670" w:rsidRPr="00AB782C">
              <w:rPr>
                <w:rFonts w:ascii="Times New Roman" w:eastAsia="Times New Roman" w:hAnsi="Times New Roman" w:cs="Times New Roman"/>
                <w:color w:val="000000"/>
                <w:sz w:val="18"/>
                <w:szCs w:val="18"/>
                <w:lang w:eastAsia="zh-CN"/>
              </w:rPr>
              <w:t>0.00</w:t>
            </w:r>
            <w:r>
              <w:rPr>
                <w:rFonts w:ascii="Times New Roman" w:eastAsia="Times New Roman" w:hAnsi="Times New Roman" w:cs="Times New Roman"/>
                <w:color w:val="000000"/>
                <w:sz w:val="18"/>
                <w:szCs w:val="18"/>
                <w:lang w:eastAsia="zh-CN"/>
              </w:rPr>
              <w:t>1</w:t>
            </w:r>
          </w:p>
        </w:tc>
        <w:tc>
          <w:tcPr>
            <w:tcW w:w="753"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0.16</w:t>
            </w:r>
          </w:p>
        </w:tc>
        <w:tc>
          <w:tcPr>
            <w:tcW w:w="709" w:type="dxa"/>
            <w:gridSpan w:val="2"/>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0.27</w:t>
            </w: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40_49</w:t>
            </w:r>
          </w:p>
        </w:tc>
        <w:tc>
          <w:tcPr>
            <w:tcW w:w="1170"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0.62</w:t>
            </w:r>
          </w:p>
        </w:tc>
        <w:tc>
          <w:tcPr>
            <w:tcW w:w="1358"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D5731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 xml:space="preserve">&lt; </w:t>
            </w:r>
            <w:r w:rsidR="003F2670" w:rsidRPr="00AB782C">
              <w:rPr>
                <w:rFonts w:ascii="Times New Roman" w:eastAsia="Times New Roman" w:hAnsi="Times New Roman" w:cs="Times New Roman"/>
                <w:color w:val="000000"/>
                <w:sz w:val="18"/>
                <w:szCs w:val="18"/>
                <w:lang w:eastAsia="zh-CN"/>
              </w:rPr>
              <w:t>0.00</w:t>
            </w:r>
            <w:r>
              <w:rPr>
                <w:rFonts w:ascii="Times New Roman" w:eastAsia="Times New Roman" w:hAnsi="Times New Roman" w:cs="Times New Roman"/>
                <w:color w:val="000000"/>
                <w:sz w:val="18"/>
                <w:szCs w:val="18"/>
                <w:lang w:eastAsia="zh-CN"/>
              </w:rPr>
              <w:t>1</w:t>
            </w:r>
          </w:p>
        </w:tc>
        <w:tc>
          <w:tcPr>
            <w:tcW w:w="753"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0.5</w:t>
            </w:r>
            <w:r w:rsidR="00D57310">
              <w:rPr>
                <w:rFonts w:ascii="Times New Roman" w:eastAsia="Times New Roman" w:hAnsi="Times New Roman" w:cs="Times New Roman"/>
                <w:color w:val="000000"/>
                <w:sz w:val="18"/>
                <w:szCs w:val="18"/>
                <w:lang w:eastAsia="zh-CN"/>
              </w:rPr>
              <w:t>5</w:t>
            </w:r>
          </w:p>
        </w:tc>
        <w:tc>
          <w:tcPr>
            <w:tcW w:w="709" w:type="dxa"/>
            <w:gridSpan w:val="2"/>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0.7</w:t>
            </w:r>
            <w:r w:rsidR="00D57310">
              <w:rPr>
                <w:rFonts w:ascii="Times New Roman" w:eastAsia="Times New Roman" w:hAnsi="Times New Roman" w:cs="Times New Roman"/>
                <w:color w:val="000000"/>
                <w:sz w:val="18"/>
                <w:szCs w:val="18"/>
                <w:lang w:eastAsia="zh-CN"/>
              </w:rPr>
              <w:t>1</w:t>
            </w: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65_69</w:t>
            </w:r>
          </w:p>
        </w:tc>
        <w:tc>
          <w:tcPr>
            <w:tcW w:w="1170"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1.3</w:t>
            </w:r>
            <w:r w:rsidR="00D57310">
              <w:rPr>
                <w:rFonts w:ascii="Times New Roman" w:eastAsia="Times New Roman" w:hAnsi="Times New Roman" w:cs="Times New Roman"/>
                <w:color w:val="000000"/>
                <w:sz w:val="18"/>
                <w:szCs w:val="18"/>
                <w:lang w:eastAsia="zh-CN"/>
              </w:rPr>
              <w:t>8</w:t>
            </w:r>
          </w:p>
        </w:tc>
        <w:tc>
          <w:tcPr>
            <w:tcW w:w="1358"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0.001</w:t>
            </w:r>
          </w:p>
        </w:tc>
        <w:tc>
          <w:tcPr>
            <w:tcW w:w="753"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1.1</w:t>
            </w:r>
            <w:r w:rsidR="00D57310">
              <w:rPr>
                <w:rFonts w:ascii="Times New Roman" w:eastAsia="Times New Roman" w:hAnsi="Times New Roman" w:cs="Times New Roman"/>
                <w:color w:val="000000"/>
                <w:sz w:val="18"/>
                <w:szCs w:val="18"/>
                <w:lang w:eastAsia="zh-CN"/>
              </w:rPr>
              <w:t>5</w:t>
            </w:r>
          </w:p>
        </w:tc>
        <w:tc>
          <w:tcPr>
            <w:tcW w:w="709" w:type="dxa"/>
            <w:gridSpan w:val="2"/>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1.6</w:t>
            </w:r>
            <w:r w:rsidR="00D57310">
              <w:rPr>
                <w:rFonts w:ascii="Times New Roman" w:eastAsia="Times New Roman" w:hAnsi="Times New Roman" w:cs="Times New Roman"/>
                <w:color w:val="000000"/>
                <w:sz w:val="18"/>
                <w:szCs w:val="18"/>
                <w:lang w:eastAsia="zh-CN"/>
              </w:rPr>
              <w:t>6</w:t>
            </w: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70_79</w:t>
            </w:r>
          </w:p>
        </w:tc>
        <w:tc>
          <w:tcPr>
            <w:tcW w:w="1170"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1.04</w:t>
            </w:r>
          </w:p>
        </w:tc>
        <w:tc>
          <w:tcPr>
            <w:tcW w:w="1358"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0.6</w:t>
            </w:r>
            <w:r w:rsidR="00D57310">
              <w:rPr>
                <w:rFonts w:ascii="Times New Roman" w:eastAsia="Times New Roman" w:hAnsi="Times New Roman" w:cs="Times New Roman"/>
                <w:color w:val="000000"/>
                <w:sz w:val="18"/>
                <w:szCs w:val="18"/>
                <w:lang w:eastAsia="zh-CN"/>
              </w:rPr>
              <w:t>1</w:t>
            </w:r>
          </w:p>
        </w:tc>
        <w:tc>
          <w:tcPr>
            <w:tcW w:w="753"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0.8</w:t>
            </w:r>
            <w:r w:rsidR="00D57310">
              <w:rPr>
                <w:rFonts w:ascii="Times New Roman" w:eastAsia="Times New Roman" w:hAnsi="Times New Roman" w:cs="Times New Roman"/>
                <w:color w:val="000000"/>
                <w:sz w:val="18"/>
                <w:szCs w:val="18"/>
                <w:lang w:eastAsia="zh-CN"/>
              </w:rPr>
              <w:t>9</w:t>
            </w:r>
          </w:p>
        </w:tc>
        <w:tc>
          <w:tcPr>
            <w:tcW w:w="709" w:type="dxa"/>
            <w:gridSpan w:val="2"/>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1.23</w:t>
            </w: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80+</w:t>
            </w:r>
          </w:p>
        </w:tc>
        <w:tc>
          <w:tcPr>
            <w:tcW w:w="1170"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0.7</w:t>
            </w:r>
            <w:r w:rsidR="00D57310">
              <w:rPr>
                <w:rFonts w:ascii="Times New Roman" w:eastAsia="Times New Roman" w:hAnsi="Times New Roman" w:cs="Times New Roman"/>
                <w:color w:val="000000"/>
                <w:sz w:val="18"/>
                <w:szCs w:val="18"/>
                <w:lang w:eastAsia="zh-CN"/>
              </w:rPr>
              <w:t>3</w:t>
            </w:r>
          </w:p>
        </w:tc>
        <w:tc>
          <w:tcPr>
            <w:tcW w:w="1358"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0.003</w:t>
            </w:r>
          </w:p>
        </w:tc>
        <w:tc>
          <w:tcPr>
            <w:tcW w:w="753"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0.5</w:t>
            </w:r>
            <w:r w:rsidR="00D57310">
              <w:rPr>
                <w:rFonts w:ascii="Times New Roman" w:eastAsia="Times New Roman" w:hAnsi="Times New Roman" w:cs="Times New Roman"/>
                <w:color w:val="000000"/>
                <w:sz w:val="18"/>
                <w:szCs w:val="18"/>
                <w:lang w:eastAsia="zh-CN"/>
              </w:rPr>
              <w:t>9</w:t>
            </w:r>
          </w:p>
        </w:tc>
        <w:tc>
          <w:tcPr>
            <w:tcW w:w="709" w:type="dxa"/>
            <w:gridSpan w:val="2"/>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w:t>
            </w:r>
            <w:r w:rsidR="00D57310">
              <w:rPr>
                <w:rFonts w:ascii="Times New Roman" w:eastAsia="Times New Roman" w:hAnsi="Times New Roman" w:cs="Times New Roman"/>
                <w:color w:val="000000"/>
                <w:sz w:val="18"/>
                <w:szCs w:val="18"/>
                <w:lang w:eastAsia="zh-CN"/>
              </w:rPr>
              <w:t>90</w:t>
            </w: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keepNext/>
              <w:adjustRightInd w:val="0"/>
              <w:spacing w:before="67" w:after="67" w:line="276" w:lineRule="auto"/>
              <w:rPr>
                <w:rFonts w:ascii="Calibri" w:eastAsia="Times New Roman" w:hAnsi="Calibri" w:cs="Times New Roman"/>
                <w:b/>
                <w:i/>
                <w:iCs/>
                <w:color w:val="000000"/>
                <w:sz w:val="18"/>
                <w:szCs w:val="18"/>
                <w:lang w:eastAsia="zh-CN"/>
              </w:rPr>
            </w:pPr>
            <w:r>
              <w:rPr>
                <w:rFonts w:ascii="Times New Roman" w:eastAsia="Times New Roman" w:hAnsi="Times New Roman" w:cs="Times New Roman" w:hint="eastAsia"/>
                <w:b/>
                <w:i/>
                <w:iCs/>
                <w:color w:val="000000"/>
                <w:sz w:val="18"/>
                <w:szCs w:val="18"/>
                <w:lang w:eastAsia="zh-CN"/>
              </w:rPr>
              <w:t>Mole-Subtype</w:t>
            </w:r>
          </w:p>
        </w:tc>
        <w:tc>
          <w:tcPr>
            <w:tcW w:w="1170"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53"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09" w:type="dxa"/>
            <w:gridSpan w:val="2"/>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keepNext/>
              <w:adjustRightInd w:val="0"/>
              <w:spacing w:before="67" w:after="67" w:line="276" w:lineRule="auto"/>
              <w:rPr>
                <w:rFonts w:ascii="Times New Roman" w:eastAsia="Times New Roman" w:hAnsi="Times New Roman" w:cs="Times New Roman"/>
                <w:i/>
                <w:iCs/>
                <w:color w:val="000000"/>
                <w:sz w:val="18"/>
                <w:szCs w:val="18"/>
                <w:lang w:eastAsia="zh-CN"/>
              </w:rPr>
            </w:pPr>
            <w:r>
              <w:rPr>
                <w:rFonts w:ascii="Times New Roman" w:eastAsia="Times New Roman" w:hAnsi="Times New Roman" w:cs="Times New Roman"/>
                <w:i/>
                <w:iCs/>
                <w:color w:val="000000"/>
                <w:sz w:val="18"/>
                <w:szCs w:val="18"/>
                <w:lang w:eastAsia="zh-CN"/>
              </w:rPr>
              <w:t xml:space="preserve">   Luminal A</w:t>
            </w:r>
          </w:p>
        </w:tc>
        <w:tc>
          <w:tcPr>
            <w:tcW w:w="1170"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Ref</w:t>
            </w: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53"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09" w:type="dxa"/>
            <w:gridSpan w:val="2"/>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keepNext/>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w:t>
            </w:r>
            <w:r>
              <w:rPr>
                <w:rFonts w:ascii="Times New Roman" w:eastAsia="Times New Roman" w:hAnsi="Times New Roman" w:cs="Times New Roman"/>
                <w:i/>
                <w:iCs/>
                <w:color w:val="000000"/>
                <w:sz w:val="18"/>
                <w:szCs w:val="18"/>
                <w:lang w:eastAsia="zh-CN"/>
              </w:rPr>
              <w:t xml:space="preserve"> Triple Negative</w:t>
            </w:r>
            <w:r w:rsidRPr="00AB782C">
              <w:rPr>
                <w:rFonts w:ascii="Times New Roman" w:eastAsia="Times New Roman" w:hAnsi="Times New Roman" w:cs="Times New Roman"/>
                <w:i/>
                <w:iCs/>
                <w:color w:val="000000"/>
                <w:sz w:val="18"/>
                <w:szCs w:val="18"/>
                <w:lang w:eastAsia="zh-CN"/>
              </w:rPr>
              <w:tab/>
            </w:r>
          </w:p>
        </w:tc>
        <w:tc>
          <w:tcPr>
            <w:tcW w:w="1170"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0.6</w:t>
            </w:r>
            <w:r w:rsidR="006356FE">
              <w:rPr>
                <w:rFonts w:ascii="Times New Roman" w:eastAsia="Times New Roman" w:hAnsi="Times New Roman" w:cs="Times New Roman"/>
                <w:color w:val="000000"/>
                <w:sz w:val="18"/>
                <w:szCs w:val="18"/>
                <w:lang w:eastAsia="zh-CN"/>
              </w:rPr>
              <w:t>3</w:t>
            </w:r>
          </w:p>
        </w:tc>
        <w:tc>
          <w:tcPr>
            <w:tcW w:w="1358"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6356FE">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 xml:space="preserve">&lt; </w:t>
            </w:r>
            <w:r w:rsidR="003F2670" w:rsidRPr="00AB782C">
              <w:rPr>
                <w:rFonts w:ascii="Times New Roman" w:eastAsia="Times New Roman" w:hAnsi="Times New Roman" w:cs="Times New Roman"/>
                <w:color w:val="000000"/>
                <w:sz w:val="18"/>
                <w:szCs w:val="18"/>
                <w:lang w:eastAsia="zh-CN"/>
              </w:rPr>
              <w:t>0.00</w:t>
            </w:r>
            <w:r>
              <w:rPr>
                <w:rFonts w:ascii="Times New Roman" w:eastAsia="Times New Roman" w:hAnsi="Times New Roman" w:cs="Times New Roman"/>
                <w:color w:val="000000"/>
                <w:sz w:val="18"/>
                <w:szCs w:val="18"/>
                <w:lang w:eastAsia="zh-CN"/>
              </w:rPr>
              <w:t>1</w:t>
            </w:r>
          </w:p>
        </w:tc>
        <w:tc>
          <w:tcPr>
            <w:tcW w:w="753"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0.5</w:t>
            </w:r>
            <w:r w:rsidR="006356FE">
              <w:rPr>
                <w:rFonts w:ascii="Times New Roman" w:eastAsia="Times New Roman" w:hAnsi="Times New Roman" w:cs="Times New Roman"/>
                <w:color w:val="000000"/>
                <w:sz w:val="18"/>
                <w:szCs w:val="18"/>
                <w:lang w:eastAsia="zh-CN"/>
              </w:rPr>
              <w:t>3</w:t>
            </w:r>
          </w:p>
        </w:tc>
        <w:tc>
          <w:tcPr>
            <w:tcW w:w="709" w:type="dxa"/>
            <w:gridSpan w:val="2"/>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0.75</w:t>
            </w: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keepNext/>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w:t>
            </w:r>
            <w:r>
              <w:rPr>
                <w:rFonts w:ascii="Times New Roman" w:eastAsia="Times New Roman" w:hAnsi="Times New Roman" w:cs="Times New Roman"/>
                <w:i/>
                <w:iCs/>
                <w:color w:val="000000"/>
                <w:sz w:val="18"/>
                <w:szCs w:val="18"/>
                <w:lang w:eastAsia="zh-CN"/>
              </w:rPr>
              <w:t xml:space="preserve"> HER2 Type</w:t>
            </w:r>
          </w:p>
        </w:tc>
        <w:tc>
          <w:tcPr>
            <w:tcW w:w="1170"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1.1</w:t>
            </w:r>
            <w:r w:rsidR="006356FE">
              <w:rPr>
                <w:rFonts w:ascii="Times New Roman" w:eastAsia="Times New Roman" w:hAnsi="Times New Roman" w:cs="Times New Roman"/>
                <w:color w:val="000000"/>
                <w:sz w:val="18"/>
                <w:szCs w:val="18"/>
                <w:lang w:eastAsia="zh-CN"/>
              </w:rPr>
              <w:t>7</w:t>
            </w:r>
          </w:p>
        </w:tc>
        <w:tc>
          <w:tcPr>
            <w:tcW w:w="1358"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0.0</w:t>
            </w:r>
            <w:r w:rsidR="006356FE">
              <w:rPr>
                <w:rFonts w:ascii="Times New Roman" w:eastAsia="Times New Roman" w:hAnsi="Times New Roman" w:cs="Times New Roman"/>
                <w:color w:val="000000"/>
                <w:sz w:val="18"/>
                <w:szCs w:val="18"/>
                <w:lang w:eastAsia="zh-CN"/>
              </w:rPr>
              <w:t>8</w:t>
            </w:r>
          </w:p>
        </w:tc>
        <w:tc>
          <w:tcPr>
            <w:tcW w:w="753"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0.9</w:t>
            </w:r>
            <w:r w:rsidR="006356FE">
              <w:rPr>
                <w:rFonts w:ascii="Times New Roman" w:eastAsia="Times New Roman" w:hAnsi="Times New Roman" w:cs="Times New Roman"/>
                <w:color w:val="000000"/>
                <w:sz w:val="18"/>
                <w:szCs w:val="18"/>
                <w:lang w:eastAsia="zh-CN"/>
              </w:rPr>
              <w:t>9</w:t>
            </w:r>
          </w:p>
        </w:tc>
        <w:tc>
          <w:tcPr>
            <w:tcW w:w="709" w:type="dxa"/>
            <w:gridSpan w:val="2"/>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1.3</w:t>
            </w:r>
            <w:r w:rsidR="006356FE">
              <w:rPr>
                <w:rFonts w:ascii="Times New Roman" w:eastAsia="Times New Roman" w:hAnsi="Times New Roman" w:cs="Times New Roman"/>
                <w:color w:val="000000"/>
                <w:sz w:val="18"/>
                <w:szCs w:val="18"/>
                <w:lang w:eastAsia="zh-CN"/>
              </w:rPr>
              <w:t>8</w:t>
            </w: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keepNext/>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w:t>
            </w:r>
            <w:r>
              <w:rPr>
                <w:rFonts w:ascii="Times New Roman" w:eastAsia="Times New Roman" w:hAnsi="Times New Roman" w:cs="Times New Roman"/>
                <w:i/>
                <w:iCs/>
                <w:color w:val="000000"/>
                <w:sz w:val="18"/>
                <w:szCs w:val="18"/>
                <w:lang w:eastAsia="zh-CN"/>
              </w:rPr>
              <w:t xml:space="preserve"> Luminal B</w:t>
            </w:r>
            <w:r w:rsidRPr="00AB782C">
              <w:rPr>
                <w:rFonts w:ascii="Times New Roman" w:eastAsia="Times New Roman" w:hAnsi="Times New Roman" w:cs="Times New Roman" w:hint="eastAsia"/>
                <w:i/>
                <w:iCs/>
                <w:color w:val="000000"/>
                <w:sz w:val="18"/>
                <w:szCs w:val="18"/>
                <w:lang w:eastAsia="zh-CN"/>
              </w:rPr>
              <w:t xml:space="preserve"> </w:t>
            </w:r>
          </w:p>
        </w:tc>
        <w:tc>
          <w:tcPr>
            <w:tcW w:w="1170"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0.80</w:t>
            </w:r>
          </w:p>
        </w:tc>
        <w:tc>
          <w:tcPr>
            <w:tcW w:w="1358"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0.0</w:t>
            </w:r>
            <w:r w:rsidR="006356FE">
              <w:rPr>
                <w:rFonts w:ascii="Times New Roman" w:eastAsia="Times New Roman" w:hAnsi="Times New Roman" w:cs="Times New Roman"/>
                <w:color w:val="000000"/>
                <w:sz w:val="18"/>
                <w:szCs w:val="18"/>
                <w:lang w:eastAsia="zh-CN"/>
              </w:rPr>
              <w:t>7</w:t>
            </w:r>
          </w:p>
        </w:tc>
        <w:tc>
          <w:tcPr>
            <w:tcW w:w="753"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0.63</w:t>
            </w:r>
          </w:p>
        </w:tc>
        <w:tc>
          <w:tcPr>
            <w:tcW w:w="709" w:type="dxa"/>
            <w:gridSpan w:val="2"/>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1.0</w:t>
            </w:r>
            <w:r w:rsidR="006356FE">
              <w:rPr>
                <w:rFonts w:ascii="Times New Roman" w:eastAsia="Times New Roman" w:hAnsi="Times New Roman" w:cs="Times New Roman"/>
                <w:color w:val="000000"/>
                <w:sz w:val="18"/>
                <w:szCs w:val="18"/>
                <w:lang w:eastAsia="zh-CN"/>
              </w:rPr>
              <w:t>2</w:t>
            </w: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adjustRightInd w:val="0"/>
              <w:spacing w:before="67" w:after="67" w:line="276" w:lineRule="auto"/>
              <w:rPr>
                <w:rFonts w:ascii="Times New Roman" w:eastAsia="Times New Roman" w:hAnsi="Times New Roman" w:cs="Times New Roman"/>
                <w:b/>
                <w:i/>
                <w:iCs/>
                <w:color w:val="000000"/>
                <w:sz w:val="18"/>
                <w:szCs w:val="18"/>
                <w:lang w:eastAsia="zh-CN"/>
              </w:rPr>
            </w:pPr>
            <w:r w:rsidRPr="00AB782C">
              <w:rPr>
                <w:rFonts w:ascii="Times New Roman" w:eastAsia="Times New Roman" w:hAnsi="Times New Roman" w:cs="Times New Roman"/>
                <w:b/>
                <w:i/>
                <w:iCs/>
                <w:color w:val="000000"/>
                <w:sz w:val="18"/>
                <w:szCs w:val="18"/>
                <w:lang w:eastAsia="zh-CN"/>
              </w:rPr>
              <w:t>Grade</w:t>
            </w:r>
          </w:p>
        </w:tc>
        <w:tc>
          <w:tcPr>
            <w:tcW w:w="1170"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53"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09" w:type="dxa"/>
            <w:gridSpan w:val="2"/>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Well differentiated</w:t>
            </w:r>
          </w:p>
        </w:tc>
        <w:tc>
          <w:tcPr>
            <w:tcW w:w="1170"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Ref</w:t>
            </w: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53"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09" w:type="dxa"/>
            <w:gridSpan w:val="2"/>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Moderately differentiated</w:t>
            </w:r>
          </w:p>
        </w:tc>
        <w:tc>
          <w:tcPr>
            <w:tcW w:w="1170"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w:t>
            </w:r>
            <w:r w:rsidR="00745AD9">
              <w:rPr>
                <w:rFonts w:ascii="Times New Roman" w:eastAsia="Times New Roman" w:hAnsi="Times New Roman" w:cs="Times New Roman"/>
                <w:color w:val="000000"/>
                <w:sz w:val="18"/>
                <w:szCs w:val="18"/>
                <w:lang w:eastAsia="zh-CN"/>
              </w:rPr>
              <w:t>80</w:t>
            </w: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0.002</w:t>
            </w:r>
          </w:p>
        </w:tc>
        <w:tc>
          <w:tcPr>
            <w:tcW w:w="753"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0.6</w:t>
            </w:r>
            <w:r w:rsidR="00745AD9">
              <w:rPr>
                <w:rFonts w:ascii="Times New Roman" w:eastAsia="Times New Roman" w:hAnsi="Times New Roman" w:cs="Times New Roman"/>
                <w:color w:val="000000"/>
                <w:sz w:val="18"/>
                <w:szCs w:val="18"/>
                <w:lang w:eastAsia="zh-CN"/>
              </w:rPr>
              <w:t>9</w:t>
            </w:r>
          </w:p>
        </w:tc>
        <w:tc>
          <w:tcPr>
            <w:tcW w:w="709" w:type="dxa"/>
            <w:gridSpan w:val="2"/>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0.92</w:t>
            </w: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Poorly or undifferentiated</w:t>
            </w:r>
          </w:p>
        </w:tc>
        <w:tc>
          <w:tcPr>
            <w:tcW w:w="1170"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0.51</w:t>
            </w: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745AD9">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 xml:space="preserve">&lt; </w:t>
            </w:r>
            <w:r w:rsidR="003F2670" w:rsidRPr="00AB782C">
              <w:rPr>
                <w:rFonts w:ascii="Times New Roman" w:eastAsia="Times New Roman" w:hAnsi="Times New Roman" w:cs="Times New Roman"/>
                <w:color w:val="000000"/>
                <w:sz w:val="18"/>
                <w:szCs w:val="18"/>
                <w:lang w:eastAsia="zh-CN"/>
              </w:rPr>
              <w:t>0.00</w:t>
            </w:r>
            <w:r>
              <w:rPr>
                <w:rFonts w:ascii="Times New Roman" w:eastAsia="Times New Roman" w:hAnsi="Times New Roman" w:cs="Times New Roman"/>
                <w:color w:val="000000"/>
                <w:sz w:val="18"/>
                <w:szCs w:val="18"/>
                <w:lang w:eastAsia="zh-CN"/>
              </w:rPr>
              <w:t>1</w:t>
            </w:r>
          </w:p>
        </w:tc>
        <w:tc>
          <w:tcPr>
            <w:tcW w:w="753"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0.4</w:t>
            </w:r>
            <w:r w:rsidR="00745AD9">
              <w:rPr>
                <w:rFonts w:ascii="Times New Roman" w:eastAsia="Times New Roman" w:hAnsi="Times New Roman" w:cs="Times New Roman"/>
                <w:color w:val="000000"/>
                <w:sz w:val="18"/>
                <w:szCs w:val="18"/>
                <w:lang w:eastAsia="zh-CN"/>
              </w:rPr>
              <w:t>4</w:t>
            </w:r>
          </w:p>
        </w:tc>
        <w:tc>
          <w:tcPr>
            <w:tcW w:w="709" w:type="dxa"/>
            <w:gridSpan w:val="2"/>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w:t>
            </w:r>
            <w:r w:rsidR="00745AD9">
              <w:rPr>
                <w:rFonts w:ascii="Times New Roman" w:eastAsia="Times New Roman" w:hAnsi="Times New Roman" w:cs="Times New Roman"/>
                <w:color w:val="000000"/>
                <w:sz w:val="18"/>
                <w:szCs w:val="18"/>
                <w:lang w:eastAsia="zh-CN"/>
              </w:rPr>
              <w:t>60</w:t>
            </w: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adjustRightInd w:val="0"/>
              <w:spacing w:before="67" w:after="67" w:line="276" w:lineRule="auto"/>
              <w:rPr>
                <w:rFonts w:ascii="Times New Roman" w:eastAsia="Times New Roman" w:hAnsi="Times New Roman" w:cs="Times New Roman"/>
                <w:b/>
                <w:i/>
                <w:iCs/>
                <w:color w:val="000000"/>
                <w:sz w:val="18"/>
                <w:szCs w:val="18"/>
                <w:lang w:eastAsia="zh-CN"/>
              </w:rPr>
            </w:pPr>
            <w:r w:rsidRPr="00AB782C">
              <w:rPr>
                <w:rFonts w:ascii="Times New Roman" w:eastAsia="Times New Roman" w:hAnsi="Times New Roman" w:cs="Times New Roman"/>
                <w:b/>
                <w:i/>
                <w:iCs/>
                <w:color w:val="000000"/>
                <w:sz w:val="18"/>
                <w:szCs w:val="18"/>
                <w:lang w:eastAsia="zh-CN"/>
              </w:rPr>
              <w:t>Comorbidity status</w:t>
            </w:r>
          </w:p>
        </w:tc>
        <w:tc>
          <w:tcPr>
            <w:tcW w:w="1170"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53"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09" w:type="dxa"/>
            <w:gridSpan w:val="2"/>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None</w:t>
            </w:r>
          </w:p>
        </w:tc>
        <w:tc>
          <w:tcPr>
            <w:tcW w:w="1170"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Ref</w:t>
            </w: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53"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09" w:type="dxa"/>
            <w:gridSpan w:val="2"/>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Mild </w:t>
            </w:r>
          </w:p>
        </w:tc>
        <w:tc>
          <w:tcPr>
            <w:tcW w:w="1170"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1.05</w:t>
            </w: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0.3</w:t>
            </w:r>
            <w:r w:rsidR="00745AD9">
              <w:rPr>
                <w:rFonts w:ascii="Times New Roman" w:eastAsia="Times New Roman" w:hAnsi="Times New Roman" w:cs="Times New Roman"/>
                <w:color w:val="000000"/>
                <w:sz w:val="18"/>
                <w:szCs w:val="18"/>
                <w:lang w:eastAsia="zh-CN"/>
              </w:rPr>
              <w:t>9</w:t>
            </w:r>
          </w:p>
        </w:tc>
        <w:tc>
          <w:tcPr>
            <w:tcW w:w="753"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0.9</w:t>
            </w:r>
            <w:r w:rsidR="00745AD9">
              <w:rPr>
                <w:rFonts w:ascii="Times New Roman" w:eastAsia="Times New Roman" w:hAnsi="Times New Roman" w:cs="Times New Roman"/>
                <w:color w:val="000000"/>
                <w:sz w:val="18"/>
                <w:szCs w:val="18"/>
                <w:lang w:eastAsia="zh-CN"/>
              </w:rPr>
              <w:t>4</w:t>
            </w:r>
          </w:p>
        </w:tc>
        <w:tc>
          <w:tcPr>
            <w:tcW w:w="709" w:type="dxa"/>
            <w:gridSpan w:val="2"/>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1.1</w:t>
            </w:r>
            <w:r w:rsidR="00745AD9">
              <w:rPr>
                <w:rFonts w:ascii="Times New Roman" w:eastAsia="Times New Roman" w:hAnsi="Times New Roman" w:cs="Times New Roman"/>
                <w:color w:val="000000"/>
                <w:sz w:val="18"/>
                <w:szCs w:val="18"/>
                <w:lang w:eastAsia="zh-CN"/>
              </w:rPr>
              <w:t>8</w:t>
            </w: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Moderate </w:t>
            </w:r>
          </w:p>
        </w:tc>
        <w:tc>
          <w:tcPr>
            <w:tcW w:w="1170"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0.85</w:t>
            </w: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0.10</w:t>
            </w:r>
          </w:p>
        </w:tc>
        <w:tc>
          <w:tcPr>
            <w:tcW w:w="753"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0.7</w:t>
            </w:r>
            <w:r w:rsidR="00745AD9">
              <w:rPr>
                <w:rFonts w:ascii="Times New Roman" w:eastAsia="Times New Roman" w:hAnsi="Times New Roman" w:cs="Times New Roman"/>
                <w:color w:val="000000"/>
                <w:sz w:val="18"/>
                <w:szCs w:val="18"/>
                <w:lang w:eastAsia="zh-CN"/>
              </w:rPr>
              <w:t>1</w:t>
            </w:r>
          </w:p>
        </w:tc>
        <w:tc>
          <w:tcPr>
            <w:tcW w:w="709" w:type="dxa"/>
            <w:gridSpan w:val="2"/>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1.03</w:t>
            </w: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Severe </w:t>
            </w:r>
          </w:p>
        </w:tc>
        <w:tc>
          <w:tcPr>
            <w:tcW w:w="1170"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0.60</w:t>
            </w: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745AD9"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 xml:space="preserve">&lt; </w:t>
            </w:r>
            <w:r w:rsidR="003F2670" w:rsidRPr="00AB782C">
              <w:rPr>
                <w:rFonts w:ascii="Times New Roman" w:eastAsia="Times New Roman" w:hAnsi="Times New Roman" w:cs="Times New Roman"/>
                <w:color w:val="000000"/>
                <w:sz w:val="18"/>
                <w:szCs w:val="18"/>
                <w:lang w:eastAsia="zh-CN"/>
              </w:rPr>
              <w:t>0.00</w:t>
            </w:r>
            <w:r>
              <w:rPr>
                <w:rFonts w:ascii="Times New Roman" w:eastAsia="Times New Roman" w:hAnsi="Times New Roman" w:cs="Times New Roman"/>
                <w:color w:val="000000"/>
                <w:sz w:val="18"/>
                <w:szCs w:val="18"/>
                <w:lang w:eastAsia="zh-CN"/>
              </w:rPr>
              <w:t>1</w:t>
            </w:r>
          </w:p>
        </w:tc>
        <w:tc>
          <w:tcPr>
            <w:tcW w:w="753"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0.46</w:t>
            </w:r>
          </w:p>
        </w:tc>
        <w:tc>
          <w:tcPr>
            <w:tcW w:w="709" w:type="dxa"/>
            <w:gridSpan w:val="2"/>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0.79</w:t>
            </w: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adjustRightInd w:val="0"/>
              <w:spacing w:before="67" w:after="67" w:line="276" w:lineRule="auto"/>
              <w:rPr>
                <w:rFonts w:ascii="Times New Roman" w:eastAsia="Times New Roman" w:hAnsi="Times New Roman" w:cs="Times New Roman"/>
                <w:b/>
                <w:i/>
                <w:iCs/>
                <w:color w:val="000000"/>
                <w:sz w:val="18"/>
                <w:szCs w:val="18"/>
                <w:lang w:eastAsia="zh-CN"/>
              </w:rPr>
            </w:pPr>
            <w:r w:rsidRPr="00AB782C">
              <w:rPr>
                <w:rFonts w:ascii="Times New Roman" w:eastAsia="Times New Roman" w:hAnsi="Times New Roman" w:cs="Times New Roman"/>
                <w:b/>
                <w:i/>
                <w:iCs/>
                <w:color w:val="000000"/>
                <w:sz w:val="18"/>
                <w:szCs w:val="18"/>
                <w:lang w:eastAsia="zh-CN"/>
              </w:rPr>
              <w:t>Race/ethnicity</w:t>
            </w:r>
          </w:p>
        </w:tc>
        <w:tc>
          <w:tcPr>
            <w:tcW w:w="1170"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53"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09" w:type="dxa"/>
            <w:gridSpan w:val="2"/>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White</w:t>
            </w:r>
          </w:p>
        </w:tc>
        <w:tc>
          <w:tcPr>
            <w:tcW w:w="1170"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Ref</w:t>
            </w: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53"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09" w:type="dxa"/>
            <w:gridSpan w:val="2"/>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Black</w:t>
            </w:r>
          </w:p>
        </w:tc>
        <w:tc>
          <w:tcPr>
            <w:tcW w:w="1170"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0.93</w:t>
            </w: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0.2</w:t>
            </w:r>
            <w:r w:rsidR="00745AD9">
              <w:rPr>
                <w:rFonts w:ascii="Times New Roman" w:eastAsia="Times New Roman" w:hAnsi="Times New Roman" w:cs="Times New Roman"/>
                <w:color w:val="000000"/>
                <w:sz w:val="18"/>
                <w:szCs w:val="18"/>
                <w:lang w:eastAsia="zh-CN"/>
              </w:rPr>
              <w:t>9</w:t>
            </w:r>
          </w:p>
        </w:tc>
        <w:tc>
          <w:tcPr>
            <w:tcW w:w="753"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0.82</w:t>
            </w:r>
          </w:p>
        </w:tc>
        <w:tc>
          <w:tcPr>
            <w:tcW w:w="709" w:type="dxa"/>
            <w:gridSpan w:val="2"/>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1.06</w:t>
            </w: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API</w:t>
            </w:r>
          </w:p>
        </w:tc>
        <w:tc>
          <w:tcPr>
            <w:tcW w:w="1170"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0.79</w:t>
            </w: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0.0</w:t>
            </w:r>
            <w:r w:rsidR="00745AD9">
              <w:rPr>
                <w:rFonts w:ascii="Times New Roman" w:eastAsia="Times New Roman" w:hAnsi="Times New Roman" w:cs="Times New Roman"/>
                <w:color w:val="000000"/>
                <w:sz w:val="18"/>
                <w:szCs w:val="18"/>
                <w:lang w:eastAsia="zh-CN"/>
              </w:rPr>
              <w:t>5</w:t>
            </w:r>
          </w:p>
        </w:tc>
        <w:tc>
          <w:tcPr>
            <w:tcW w:w="753"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0.6</w:t>
            </w:r>
            <w:r w:rsidR="00745AD9">
              <w:rPr>
                <w:rFonts w:ascii="Times New Roman" w:eastAsia="Times New Roman" w:hAnsi="Times New Roman" w:cs="Times New Roman"/>
                <w:color w:val="000000"/>
                <w:sz w:val="18"/>
                <w:szCs w:val="18"/>
                <w:lang w:eastAsia="zh-CN"/>
              </w:rPr>
              <w:t>3</w:t>
            </w:r>
          </w:p>
        </w:tc>
        <w:tc>
          <w:tcPr>
            <w:tcW w:w="709" w:type="dxa"/>
            <w:gridSpan w:val="2"/>
            <w:tcBorders>
              <w:top w:val="nil"/>
              <w:left w:val="nil"/>
              <w:bottom w:val="nil"/>
              <w:right w:val="nil"/>
            </w:tcBorders>
            <w:shd w:val="clear" w:color="auto" w:fill="FFFFFF"/>
            <w:vAlign w:val="bottom"/>
          </w:tcPr>
          <w:p w:rsidR="003F2670" w:rsidRPr="00AB782C" w:rsidRDefault="00745AD9">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1</w:t>
            </w:r>
            <w:r w:rsidR="003F2670" w:rsidRPr="00AB782C">
              <w:rPr>
                <w:rFonts w:ascii="Times New Roman" w:eastAsia="Times New Roman" w:hAnsi="Times New Roman" w:cs="Times New Roman"/>
                <w:color w:val="000000"/>
                <w:sz w:val="18"/>
                <w:szCs w:val="18"/>
                <w:lang w:eastAsia="zh-CN"/>
              </w:rPr>
              <w:t>.</w:t>
            </w:r>
            <w:r>
              <w:rPr>
                <w:rFonts w:ascii="Times New Roman" w:eastAsia="Times New Roman" w:hAnsi="Times New Roman" w:cs="Times New Roman"/>
                <w:color w:val="000000"/>
                <w:sz w:val="18"/>
                <w:szCs w:val="18"/>
                <w:lang w:eastAsia="zh-CN"/>
              </w:rPr>
              <w:t>00</w:t>
            </w: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AI_AN</w:t>
            </w:r>
          </w:p>
        </w:tc>
        <w:tc>
          <w:tcPr>
            <w:tcW w:w="1170"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0.93</w:t>
            </w: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0.81</w:t>
            </w:r>
          </w:p>
        </w:tc>
        <w:tc>
          <w:tcPr>
            <w:tcW w:w="753"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0.5</w:t>
            </w:r>
            <w:r w:rsidR="00745AD9">
              <w:rPr>
                <w:rFonts w:ascii="Times New Roman" w:eastAsia="Times New Roman" w:hAnsi="Times New Roman" w:cs="Times New Roman"/>
                <w:color w:val="000000"/>
                <w:sz w:val="18"/>
                <w:szCs w:val="18"/>
                <w:lang w:eastAsia="zh-CN"/>
              </w:rPr>
              <w:t>3</w:t>
            </w:r>
          </w:p>
        </w:tc>
        <w:tc>
          <w:tcPr>
            <w:tcW w:w="709" w:type="dxa"/>
            <w:gridSpan w:val="2"/>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1.65</w:t>
            </w:r>
          </w:p>
        </w:tc>
      </w:tr>
      <w:tr w:rsidR="003F2670" w:rsidRPr="00AB782C" w:rsidTr="00D54FD2">
        <w:trPr>
          <w:cantSplit/>
          <w:jc w:val="center"/>
        </w:trPr>
        <w:tc>
          <w:tcPr>
            <w:tcW w:w="2228" w:type="dxa"/>
            <w:tcBorders>
              <w:top w:val="nil"/>
              <w:left w:val="nil"/>
              <w:bottom w:val="nil"/>
              <w:right w:val="nil"/>
            </w:tcBorders>
            <w:shd w:val="clear" w:color="auto" w:fill="FFFFFF"/>
            <w:vAlign w:val="bottom"/>
          </w:tcPr>
          <w:p w:rsidR="003F2670" w:rsidRPr="00AB782C" w:rsidRDefault="003F2670" w:rsidP="00D54FD2">
            <w:pPr>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Hispanic</w:t>
            </w:r>
          </w:p>
        </w:tc>
        <w:tc>
          <w:tcPr>
            <w:tcW w:w="1170"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0.72</w:t>
            </w: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0.001</w:t>
            </w:r>
          </w:p>
        </w:tc>
        <w:tc>
          <w:tcPr>
            <w:tcW w:w="753"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0.59</w:t>
            </w:r>
          </w:p>
        </w:tc>
        <w:tc>
          <w:tcPr>
            <w:tcW w:w="709" w:type="dxa"/>
            <w:gridSpan w:val="2"/>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0.8</w:t>
            </w:r>
            <w:r w:rsidR="00745AD9">
              <w:rPr>
                <w:rFonts w:ascii="Times New Roman" w:eastAsia="Times New Roman" w:hAnsi="Times New Roman" w:cs="Times New Roman"/>
                <w:color w:val="000000"/>
                <w:sz w:val="18"/>
                <w:szCs w:val="18"/>
                <w:lang w:eastAsia="zh-CN"/>
              </w:rPr>
              <w:t>8</w:t>
            </w: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Default="003F2670" w:rsidP="00D54FD2">
            <w:pPr>
              <w:adjustRightInd w:val="0"/>
              <w:spacing w:before="67" w:after="67" w:line="276" w:lineRule="auto"/>
              <w:rPr>
                <w:rFonts w:ascii="Times New Roman" w:eastAsia="Times New Roman" w:hAnsi="Times New Roman" w:cs="Times New Roman"/>
                <w:b/>
                <w:i/>
                <w:iCs/>
                <w:color w:val="000000"/>
                <w:sz w:val="18"/>
                <w:szCs w:val="18"/>
                <w:lang w:eastAsia="zh-CN"/>
              </w:rPr>
            </w:pPr>
          </w:p>
          <w:p w:rsidR="003F2670" w:rsidRPr="00AB782C" w:rsidRDefault="003F2670" w:rsidP="00D54FD2">
            <w:pPr>
              <w:adjustRightInd w:val="0"/>
              <w:spacing w:before="67" w:after="67" w:line="276" w:lineRule="auto"/>
              <w:rPr>
                <w:rFonts w:ascii="Times New Roman" w:eastAsia="Times New Roman" w:hAnsi="Times New Roman" w:cs="Times New Roman"/>
                <w:b/>
                <w:i/>
                <w:iCs/>
                <w:color w:val="000000"/>
                <w:sz w:val="18"/>
                <w:szCs w:val="18"/>
                <w:lang w:eastAsia="zh-CN"/>
              </w:rPr>
            </w:pPr>
            <w:r w:rsidRPr="00AB782C">
              <w:rPr>
                <w:rFonts w:ascii="Times New Roman" w:eastAsia="Times New Roman" w:hAnsi="Times New Roman" w:cs="Times New Roman"/>
                <w:b/>
                <w:i/>
                <w:iCs/>
                <w:color w:val="000000"/>
                <w:sz w:val="18"/>
                <w:szCs w:val="18"/>
                <w:lang w:eastAsia="zh-CN"/>
              </w:rPr>
              <w:t>Education status</w:t>
            </w:r>
          </w:p>
        </w:tc>
        <w:tc>
          <w:tcPr>
            <w:tcW w:w="1170"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53"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09" w:type="dxa"/>
            <w:gridSpan w:val="2"/>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&lt;25% w/o HS educ</w:t>
            </w:r>
          </w:p>
        </w:tc>
        <w:tc>
          <w:tcPr>
            <w:tcW w:w="1170"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Ref</w:t>
            </w: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53"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09" w:type="dxa"/>
            <w:gridSpan w:val="2"/>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r>
      <w:tr w:rsidR="003F2670" w:rsidRPr="00AB782C" w:rsidTr="00D54FD2">
        <w:trPr>
          <w:cantSplit/>
          <w:jc w:val="center"/>
        </w:trPr>
        <w:tc>
          <w:tcPr>
            <w:tcW w:w="2228" w:type="dxa"/>
            <w:tcBorders>
              <w:top w:val="nil"/>
              <w:left w:val="nil"/>
              <w:bottom w:val="nil"/>
              <w:right w:val="nil"/>
            </w:tcBorders>
            <w:shd w:val="clear" w:color="auto" w:fill="FFFFFF"/>
            <w:vAlign w:val="bottom"/>
          </w:tcPr>
          <w:p w:rsidR="003F2670" w:rsidRPr="00AB782C" w:rsidRDefault="003F2670" w:rsidP="00D54FD2">
            <w:pPr>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 25% w/o HS educ</w:t>
            </w:r>
          </w:p>
        </w:tc>
        <w:tc>
          <w:tcPr>
            <w:tcW w:w="1170"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0.92</w:t>
            </w: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0.21</w:t>
            </w:r>
          </w:p>
        </w:tc>
        <w:tc>
          <w:tcPr>
            <w:tcW w:w="753"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0.81</w:t>
            </w:r>
          </w:p>
        </w:tc>
        <w:tc>
          <w:tcPr>
            <w:tcW w:w="709" w:type="dxa"/>
            <w:gridSpan w:val="2"/>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1.0</w:t>
            </w:r>
            <w:r w:rsidR="00503760">
              <w:rPr>
                <w:rFonts w:ascii="Times New Roman" w:eastAsia="Times New Roman" w:hAnsi="Times New Roman" w:cs="Times New Roman"/>
                <w:color w:val="000000"/>
                <w:sz w:val="18"/>
                <w:szCs w:val="18"/>
                <w:lang w:eastAsia="zh-CN"/>
              </w:rPr>
              <w:t>5</w:t>
            </w: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adjustRightInd w:val="0"/>
              <w:spacing w:before="67" w:after="67" w:line="276" w:lineRule="auto"/>
              <w:rPr>
                <w:rFonts w:ascii="Times New Roman" w:eastAsia="Times New Roman" w:hAnsi="Times New Roman" w:cs="Times New Roman"/>
                <w:b/>
                <w:i/>
                <w:iCs/>
                <w:color w:val="000000"/>
                <w:sz w:val="18"/>
                <w:szCs w:val="18"/>
                <w:lang w:eastAsia="zh-CN"/>
              </w:rPr>
            </w:pPr>
            <w:r w:rsidRPr="00AB782C">
              <w:rPr>
                <w:rFonts w:ascii="Times New Roman" w:eastAsia="Times New Roman" w:hAnsi="Times New Roman" w:cs="Times New Roman"/>
                <w:b/>
                <w:i/>
                <w:iCs/>
                <w:color w:val="000000"/>
                <w:sz w:val="18"/>
                <w:szCs w:val="18"/>
                <w:lang w:eastAsia="zh-CN"/>
              </w:rPr>
              <w:t>Marital status</w:t>
            </w:r>
          </w:p>
        </w:tc>
        <w:tc>
          <w:tcPr>
            <w:tcW w:w="1170"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53"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09" w:type="dxa"/>
            <w:gridSpan w:val="2"/>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Married</w:t>
            </w:r>
          </w:p>
        </w:tc>
        <w:tc>
          <w:tcPr>
            <w:tcW w:w="1170"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Ref</w:t>
            </w: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53"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09" w:type="dxa"/>
            <w:gridSpan w:val="2"/>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Single</w:t>
            </w:r>
          </w:p>
        </w:tc>
        <w:tc>
          <w:tcPr>
            <w:tcW w:w="1170"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0.8</w:t>
            </w:r>
            <w:r w:rsidR="00503760">
              <w:rPr>
                <w:rFonts w:ascii="Times New Roman" w:eastAsia="Times New Roman" w:hAnsi="Times New Roman" w:cs="Times New Roman"/>
                <w:color w:val="000000"/>
                <w:sz w:val="18"/>
                <w:szCs w:val="18"/>
                <w:lang w:eastAsia="zh-CN"/>
              </w:rPr>
              <w:t>4</w:t>
            </w: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0.0</w:t>
            </w:r>
            <w:r w:rsidR="00503760">
              <w:rPr>
                <w:rFonts w:ascii="Times New Roman" w:eastAsia="Times New Roman" w:hAnsi="Times New Roman" w:cs="Times New Roman"/>
                <w:color w:val="000000"/>
                <w:sz w:val="18"/>
                <w:szCs w:val="18"/>
                <w:lang w:eastAsia="zh-CN"/>
              </w:rPr>
              <w:t>2</w:t>
            </w:r>
          </w:p>
        </w:tc>
        <w:tc>
          <w:tcPr>
            <w:tcW w:w="753"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0.72</w:t>
            </w:r>
          </w:p>
        </w:tc>
        <w:tc>
          <w:tcPr>
            <w:tcW w:w="709" w:type="dxa"/>
            <w:gridSpan w:val="2"/>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0.9</w:t>
            </w:r>
            <w:r w:rsidR="00503760">
              <w:rPr>
                <w:rFonts w:ascii="Times New Roman" w:eastAsia="Times New Roman" w:hAnsi="Times New Roman" w:cs="Times New Roman"/>
                <w:color w:val="000000"/>
                <w:sz w:val="18"/>
                <w:szCs w:val="18"/>
                <w:lang w:eastAsia="zh-CN"/>
              </w:rPr>
              <w:t>7</w:t>
            </w:r>
          </w:p>
        </w:tc>
      </w:tr>
      <w:tr w:rsidR="003F2670" w:rsidRPr="00AB782C" w:rsidTr="00D54FD2">
        <w:trPr>
          <w:cantSplit/>
          <w:jc w:val="center"/>
        </w:trPr>
        <w:tc>
          <w:tcPr>
            <w:tcW w:w="2228" w:type="dxa"/>
            <w:tcBorders>
              <w:top w:val="nil"/>
              <w:left w:val="nil"/>
              <w:bottom w:val="nil"/>
              <w:right w:val="nil"/>
            </w:tcBorders>
            <w:shd w:val="clear" w:color="auto" w:fill="FFFFFF"/>
            <w:vAlign w:val="bottom"/>
          </w:tcPr>
          <w:p w:rsidR="003F2670" w:rsidRPr="00AB782C" w:rsidRDefault="003F2670" w:rsidP="00D54FD2">
            <w:pPr>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Separated / widowed /</w:t>
            </w:r>
          </w:p>
          <w:p w:rsidR="003F2670" w:rsidRPr="00AB782C" w:rsidRDefault="003F2670" w:rsidP="00D54FD2">
            <w:pPr>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divorced</w:t>
            </w:r>
          </w:p>
        </w:tc>
        <w:tc>
          <w:tcPr>
            <w:tcW w:w="1170"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0.8</w:t>
            </w:r>
            <w:r w:rsidR="00503760">
              <w:rPr>
                <w:rFonts w:ascii="Times New Roman" w:eastAsia="Times New Roman" w:hAnsi="Times New Roman" w:cs="Times New Roman"/>
                <w:color w:val="000000"/>
                <w:sz w:val="18"/>
                <w:szCs w:val="18"/>
                <w:lang w:eastAsia="zh-CN"/>
              </w:rPr>
              <w:t>5</w:t>
            </w: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0.006</w:t>
            </w:r>
          </w:p>
        </w:tc>
        <w:tc>
          <w:tcPr>
            <w:tcW w:w="753"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0.75</w:t>
            </w:r>
          </w:p>
        </w:tc>
        <w:tc>
          <w:tcPr>
            <w:tcW w:w="709" w:type="dxa"/>
            <w:gridSpan w:val="2"/>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0.95</w:t>
            </w: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adjustRightInd w:val="0"/>
              <w:spacing w:before="67" w:after="67" w:line="276" w:lineRule="auto"/>
              <w:rPr>
                <w:rFonts w:ascii="Times New Roman" w:eastAsia="Times New Roman" w:hAnsi="Times New Roman" w:cs="Times New Roman"/>
                <w:b/>
                <w:i/>
                <w:iCs/>
                <w:color w:val="000000"/>
                <w:sz w:val="18"/>
                <w:szCs w:val="18"/>
                <w:lang w:eastAsia="zh-CN"/>
              </w:rPr>
            </w:pPr>
            <w:r w:rsidRPr="00AB782C">
              <w:rPr>
                <w:rFonts w:ascii="Times New Roman" w:eastAsia="Times New Roman" w:hAnsi="Times New Roman" w:cs="Times New Roman"/>
                <w:b/>
                <w:i/>
                <w:iCs/>
                <w:color w:val="000000"/>
                <w:sz w:val="18"/>
                <w:szCs w:val="18"/>
                <w:lang w:eastAsia="zh-CN"/>
              </w:rPr>
              <w:t>Poverty status</w:t>
            </w:r>
          </w:p>
        </w:tc>
        <w:tc>
          <w:tcPr>
            <w:tcW w:w="1170"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53"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09" w:type="dxa"/>
            <w:gridSpan w:val="2"/>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&lt; 20% below federal level</w:t>
            </w:r>
          </w:p>
        </w:tc>
        <w:tc>
          <w:tcPr>
            <w:tcW w:w="1170"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Ref</w:t>
            </w: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53"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09" w:type="dxa"/>
            <w:gridSpan w:val="2"/>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r>
      <w:tr w:rsidR="003F2670" w:rsidRPr="00AB782C" w:rsidTr="00D54FD2">
        <w:trPr>
          <w:cantSplit/>
          <w:jc w:val="center"/>
        </w:trPr>
        <w:tc>
          <w:tcPr>
            <w:tcW w:w="2228" w:type="dxa"/>
            <w:tcBorders>
              <w:top w:val="nil"/>
              <w:left w:val="nil"/>
              <w:bottom w:val="nil"/>
              <w:right w:val="nil"/>
            </w:tcBorders>
            <w:shd w:val="clear" w:color="auto" w:fill="FFFFFF"/>
            <w:vAlign w:val="bottom"/>
          </w:tcPr>
          <w:p w:rsidR="003F2670" w:rsidRPr="00AB782C" w:rsidRDefault="003F2670" w:rsidP="00D54FD2">
            <w:pPr>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 20% below federal level</w:t>
            </w:r>
          </w:p>
        </w:tc>
        <w:tc>
          <w:tcPr>
            <w:tcW w:w="1170"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1.0</w:t>
            </w:r>
            <w:r w:rsidR="00503760">
              <w:rPr>
                <w:rFonts w:ascii="Times New Roman" w:eastAsia="Times New Roman" w:hAnsi="Times New Roman" w:cs="Times New Roman"/>
                <w:color w:val="000000"/>
                <w:sz w:val="18"/>
                <w:szCs w:val="18"/>
                <w:lang w:eastAsia="zh-CN"/>
              </w:rPr>
              <w:t>1</w:t>
            </w: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0.94</w:t>
            </w:r>
          </w:p>
        </w:tc>
        <w:tc>
          <w:tcPr>
            <w:tcW w:w="753"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0.87</w:t>
            </w:r>
          </w:p>
        </w:tc>
        <w:tc>
          <w:tcPr>
            <w:tcW w:w="709" w:type="dxa"/>
            <w:gridSpan w:val="2"/>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1.1</w:t>
            </w:r>
            <w:r w:rsidR="00503760">
              <w:rPr>
                <w:rFonts w:ascii="Times New Roman" w:eastAsia="Times New Roman" w:hAnsi="Times New Roman" w:cs="Times New Roman"/>
                <w:color w:val="000000"/>
                <w:sz w:val="18"/>
                <w:szCs w:val="18"/>
                <w:lang w:eastAsia="zh-CN"/>
              </w:rPr>
              <w:t>6</w:t>
            </w: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adjustRightInd w:val="0"/>
              <w:spacing w:before="67" w:after="67" w:line="276" w:lineRule="auto"/>
              <w:rPr>
                <w:rFonts w:ascii="Times New Roman" w:eastAsia="Times New Roman" w:hAnsi="Times New Roman" w:cs="Times New Roman"/>
                <w:b/>
                <w:i/>
                <w:iCs/>
                <w:color w:val="000000"/>
                <w:sz w:val="18"/>
                <w:szCs w:val="18"/>
                <w:lang w:eastAsia="zh-CN"/>
              </w:rPr>
            </w:pPr>
            <w:r w:rsidRPr="00AB782C">
              <w:rPr>
                <w:rFonts w:ascii="Times New Roman" w:eastAsia="Times New Roman" w:hAnsi="Times New Roman" w:cs="Times New Roman"/>
                <w:b/>
                <w:i/>
                <w:iCs/>
                <w:color w:val="000000"/>
                <w:sz w:val="18"/>
                <w:szCs w:val="18"/>
                <w:lang w:eastAsia="zh-CN"/>
              </w:rPr>
              <w:t>Urban/rural status</w:t>
            </w:r>
          </w:p>
        </w:tc>
        <w:tc>
          <w:tcPr>
            <w:tcW w:w="1170"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53"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09" w:type="dxa"/>
            <w:gridSpan w:val="2"/>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Urban</w:t>
            </w:r>
          </w:p>
        </w:tc>
        <w:tc>
          <w:tcPr>
            <w:tcW w:w="1170"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Ref</w:t>
            </w: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53"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09" w:type="dxa"/>
            <w:gridSpan w:val="2"/>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Rural</w:t>
            </w:r>
          </w:p>
        </w:tc>
        <w:tc>
          <w:tcPr>
            <w:tcW w:w="1170"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0.92</w:t>
            </w: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0.3</w:t>
            </w:r>
            <w:r w:rsidR="00503760">
              <w:rPr>
                <w:rFonts w:ascii="Times New Roman" w:eastAsia="Times New Roman" w:hAnsi="Times New Roman" w:cs="Times New Roman"/>
                <w:color w:val="000000"/>
                <w:sz w:val="18"/>
                <w:szCs w:val="18"/>
                <w:lang w:eastAsia="zh-CN"/>
              </w:rPr>
              <w:t>4</w:t>
            </w:r>
          </w:p>
        </w:tc>
        <w:tc>
          <w:tcPr>
            <w:tcW w:w="753"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0.7</w:t>
            </w:r>
            <w:r w:rsidR="00503760">
              <w:rPr>
                <w:rFonts w:ascii="Times New Roman" w:eastAsia="Times New Roman" w:hAnsi="Times New Roman" w:cs="Times New Roman"/>
                <w:color w:val="000000"/>
                <w:sz w:val="18"/>
                <w:szCs w:val="18"/>
                <w:lang w:eastAsia="zh-CN"/>
              </w:rPr>
              <w:t>8</w:t>
            </w:r>
          </w:p>
        </w:tc>
        <w:tc>
          <w:tcPr>
            <w:tcW w:w="709" w:type="dxa"/>
            <w:gridSpan w:val="2"/>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1.09</w:t>
            </w:r>
          </w:p>
        </w:tc>
      </w:tr>
      <w:tr w:rsidR="003F2670" w:rsidRPr="00AB782C" w:rsidTr="00D54FD2">
        <w:trPr>
          <w:cantSplit/>
          <w:jc w:val="center"/>
        </w:trPr>
        <w:tc>
          <w:tcPr>
            <w:tcW w:w="2228" w:type="dxa"/>
            <w:tcBorders>
              <w:top w:val="nil"/>
              <w:left w:val="nil"/>
              <w:bottom w:val="nil"/>
              <w:right w:val="nil"/>
            </w:tcBorders>
            <w:shd w:val="clear" w:color="auto" w:fill="FFFFFF"/>
            <w:vAlign w:val="bottom"/>
          </w:tcPr>
          <w:p w:rsidR="003F2670" w:rsidRPr="00AB782C" w:rsidRDefault="003F2670" w:rsidP="00D54FD2">
            <w:pPr>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Urban-rural mix</w:t>
            </w:r>
          </w:p>
        </w:tc>
        <w:tc>
          <w:tcPr>
            <w:tcW w:w="1170"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1.07</w:t>
            </w: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0.23</w:t>
            </w:r>
          </w:p>
        </w:tc>
        <w:tc>
          <w:tcPr>
            <w:tcW w:w="753"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0.9</w:t>
            </w:r>
            <w:r w:rsidR="00503760">
              <w:rPr>
                <w:rFonts w:ascii="Times New Roman" w:eastAsia="Times New Roman" w:hAnsi="Times New Roman" w:cs="Times New Roman"/>
                <w:color w:val="000000"/>
                <w:sz w:val="18"/>
                <w:szCs w:val="18"/>
                <w:lang w:eastAsia="zh-CN"/>
              </w:rPr>
              <w:t>6</w:t>
            </w:r>
          </w:p>
        </w:tc>
        <w:tc>
          <w:tcPr>
            <w:tcW w:w="709" w:type="dxa"/>
            <w:gridSpan w:val="2"/>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1.2</w:t>
            </w:r>
            <w:r w:rsidR="00503760">
              <w:rPr>
                <w:rFonts w:ascii="Times New Roman" w:eastAsia="Times New Roman" w:hAnsi="Times New Roman" w:cs="Times New Roman"/>
                <w:color w:val="000000"/>
                <w:sz w:val="18"/>
                <w:szCs w:val="18"/>
                <w:lang w:eastAsia="zh-CN"/>
              </w:rPr>
              <w:t>1</w:t>
            </w: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adjustRightInd w:val="0"/>
              <w:spacing w:before="67" w:after="67" w:line="276" w:lineRule="auto"/>
              <w:rPr>
                <w:rFonts w:ascii="Times New Roman" w:eastAsia="Times New Roman" w:hAnsi="Times New Roman" w:cs="Times New Roman"/>
                <w:b/>
                <w:i/>
                <w:iCs/>
                <w:color w:val="000000"/>
                <w:sz w:val="18"/>
                <w:szCs w:val="18"/>
                <w:lang w:eastAsia="zh-CN"/>
              </w:rPr>
            </w:pPr>
            <w:r w:rsidRPr="00AB782C">
              <w:rPr>
                <w:rFonts w:ascii="Times New Roman" w:eastAsia="Times New Roman" w:hAnsi="Times New Roman" w:cs="Times New Roman"/>
                <w:b/>
                <w:i/>
                <w:iCs/>
                <w:color w:val="000000"/>
                <w:sz w:val="18"/>
                <w:szCs w:val="18"/>
                <w:lang w:eastAsia="zh-CN"/>
              </w:rPr>
              <w:t>Insurance</w:t>
            </w:r>
          </w:p>
        </w:tc>
        <w:tc>
          <w:tcPr>
            <w:tcW w:w="1170"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53"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09" w:type="dxa"/>
            <w:gridSpan w:val="2"/>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hint="eastAsia"/>
                <w:i/>
                <w:iCs/>
                <w:color w:val="000000"/>
                <w:sz w:val="18"/>
                <w:szCs w:val="18"/>
                <w:lang w:eastAsia="zh-CN"/>
              </w:rPr>
              <w:t xml:space="preserve">   Private </w:t>
            </w:r>
          </w:p>
        </w:tc>
        <w:tc>
          <w:tcPr>
            <w:tcW w:w="1170"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Ref</w:t>
            </w: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53"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09" w:type="dxa"/>
            <w:gridSpan w:val="2"/>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Uninsured</w:t>
            </w:r>
          </w:p>
        </w:tc>
        <w:tc>
          <w:tcPr>
            <w:tcW w:w="1170"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0.56</w:t>
            </w: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50376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 xml:space="preserve">&lt; </w:t>
            </w:r>
            <w:r w:rsidR="003F2670" w:rsidRPr="00AB782C">
              <w:rPr>
                <w:rFonts w:ascii="Times New Roman" w:eastAsia="Times New Roman" w:hAnsi="Times New Roman" w:cs="Times New Roman"/>
                <w:color w:val="000000"/>
                <w:sz w:val="18"/>
                <w:szCs w:val="18"/>
                <w:lang w:eastAsia="zh-CN"/>
              </w:rPr>
              <w:t>0.00</w:t>
            </w:r>
            <w:r>
              <w:rPr>
                <w:rFonts w:ascii="Times New Roman" w:eastAsia="Times New Roman" w:hAnsi="Times New Roman" w:cs="Times New Roman"/>
                <w:color w:val="000000"/>
                <w:sz w:val="18"/>
                <w:szCs w:val="18"/>
                <w:lang w:eastAsia="zh-CN"/>
              </w:rPr>
              <w:t>1</w:t>
            </w:r>
          </w:p>
        </w:tc>
        <w:tc>
          <w:tcPr>
            <w:tcW w:w="753"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0.4</w:t>
            </w:r>
            <w:r w:rsidR="00503760">
              <w:rPr>
                <w:rFonts w:ascii="Times New Roman" w:eastAsia="Times New Roman" w:hAnsi="Times New Roman" w:cs="Times New Roman"/>
                <w:color w:val="000000"/>
                <w:sz w:val="18"/>
                <w:szCs w:val="18"/>
                <w:lang w:eastAsia="zh-CN"/>
              </w:rPr>
              <w:t>2</w:t>
            </w:r>
          </w:p>
        </w:tc>
        <w:tc>
          <w:tcPr>
            <w:tcW w:w="709" w:type="dxa"/>
            <w:gridSpan w:val="2"/>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0.7</w:t>
            </w:r>
            <w:r w:rsidR="00503760">
              <w:rPr>
                <w:rFonts w:ascii="Times New Roman" w:eastAsia="Times New Roman" w:hAnsi="Times New Roman" w:cs="Times New Roman"/>
                <w:color w:val="000000"/>
                <w:sz w:val="18"/>
                <w:szCs w:val="18"/>
                <w:lang w:eastAsia="zh-CN"/>
              </w:rPr>
              <w:t>6</w:t>
            </w: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Medicaid</w:t>
            </w:r>
          </w:p>
        </w:tc>
        <w:tc>
          <w:tcPr>
            <w:tcW w:w="1170"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0.7</w:t>
            </w:r>
            <w:r w:rsidR="00503760">
              <w:rPr>
                <w:rFonts w:ascii="Times New Roman" w:eastAsia="Times New Roman" w:hAnsi="Times New Roman" w:cs="Times New Roman"/>
                <w:color w:val="000000"/>
                <w:sz w:val="18"/>
                <w:szCs w:val="18"/>
                <w:lang w:eastAsia="zh-CN"/>
              </w:rPr>
              <w:t>1</w:t>
            </w: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50376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 xml:space="preserve">&lt; </w:t>
            </w:r>
            <w:r w:rsidR="003F2670" w:rsidRPr="00AB782C">
              <w:rPr>
                <w:rFonts w:ascii="Times New Roman" w:eastAsia="Times New Roman" w:hAnsi="Times New Roman" w:cs="Times New Roman"/>
                <w:color w:val="000000"/>
                <w:sz w:val="18"/>
                <w:szCs w:val="18"/>
                <w:lang w:eastAsia="zh-CN"/>
              </w:rPr>
              <w:t>0.00</w:t>
            </w:r>
            <w:r>
              <w:rPr>
                <w:rFonts w:ascii="Times New Roman" w:eastAsia="Times New Roman" w:hAnsi="Times New Roman" w:cs="Times New Roman"/>
                <w:color w:val="000000"/>
                <w:sz w:val="18"/>
                <w:szCs w:val="18"/>
                <w:lang w:eastAsia="zh-CN"/>
              </w:rPr>
              <w:t>1</w:t>
            </w:r>
          </w:p>
        </w:tc>
        <w:tc>
          <w:tcPr>
            <w:tcW w:w="753"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0.6</w:t>
            </w:r>
            <w:r w:rsidR="00503760">
              <w:rPr>
                <w:rFonts w:ascii="Times New Roman" w:eastAsia="Times New Roman" w:hAnsi="Times New Roman" w:cs="Times New Roman"/>
                <w:color w:val="000000"/>
                <w:sz w:val="18"/>
                <w:szCs w:val="18"/>
                <w:lang w:eastAsia="zh-CN"/>
              </w:rPr>
              <w:t>1</w:t>
            </w:r>
          </w:p>
        </w:tc>
        <w:tc>
          <w:tcPr>
            <w:tcW w:w="709" w:type="dxa"/>
            <w:gridSpan w:val="2"/>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0.8</w:t>
            </w:r>
            <w:r w:rsidR="00503760">
              <w:rPr>
                <w:rFonts w:ascii="Times New Roman" w:eastAsia="Times New Roman" w:hAnsi="Times New Roman" w:cs="Times New Roman"/>
                <w:color w:val="000000"/>
                <w:sz w:val="18"/>
                <w:szCs w:val="18"/>
                <w:lang w:eastAsia="zh-CN"/>
              </w:rPr>
              <w:t>3</w:t>
            </w:r>
          </w:p>
        </w:tc>
      </w:tr>
      <w:tr w:rsidR="003F2670" w:rsidRPr="00AB782C" w:rsidTr="00D54FD2">
        <w:trPr>
          <w:cantSplit/>
          <w:jc w:val="center"/>
        </w:trPr>
        <w:tc>
          <w:tcPr>
            <w:tcW w:w="2228" w:type="dxa"/>
            <w:tcBorders>
              <w:top w:val="nil"/>
              <w:left w:val="nil"/>
              <w:bottom w:val="nil"/>
              <w:right w:val="nil"/>
            </w:tcBorders>
            <w:shd w:val="clear" w:color="auto" w:fill="FFFFFF"/>
            <w:vAlign w:val="bottom"/>
          </w:tcPr>
          <w:p w:rsidR="003F2670" w:rsidRPr="00AB782C" w:rsidRDefault="003F2670" w:rsidP="00D54FD2">
            <w:pPr>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Medicare</w:t>
            </w:r>
          </w:p>
        </w:tc>
        <w:tc>
          <w:tcPr>
            <w:tcW w:w="1170"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w:t>
            </w:r>
            <w:r w:rsidR="00503760">
              <w:rPr>
                <w:rFonts w:ascii="Times New Roman" w:eastAsia="Times New Roman" w:hAnsi="Times New Roman" w:cs="Times New Roman"/>
                <w:color w:val="000000"/>
                <w:sz w:val="18"/>
                <w:szCs w:val="18"/>
                <w:lang w:eastAsia="zh-CN"/>
              </w:rPr>
              <w:t>90</w:t>
            </w: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0.15</w:t>
            </w:r>
          </w:p>
        </w:tc>
        <w:tc>
          <w:tcPr>
            <w:tcW w:w="753"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0.7</w:t>
            </w:r>
            <w:r w:rsidR="00503760">
              <w:rPr>
                <w:rFonts w:ascii="Times New Roman" w:eastAsia="Times New Roman" w:hAnsi="Times New Roman" w:cs="Times New Roman"/>
                <w:color w:val="000000"/>
                <w:sz w:val="18"/>
                <w:szCs w:val="18"/>
                <w:lang w:eastAsia="zh-CN"/>
              </w:rPr>
              <w:t>8</w:t>
            </w:r>
          </w:p>
        </w:tc>
        <w:tc>
          <w:tcPr>
            <w:tcW w:w="709" w:type="dxa"/>
            <w:gridSpan w:val="2"/>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1.04</w:t>
            </w: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keepNext/>
              <w:adjustRightInd w:val="0"/>
              <w:spacing w:before="67" w:after="67" w:line="276" w:lineRule="auto"/>
              <w:rPr>
                <w:rFonts w:ascii="Calibri" w:eastAsia="Times New Roman" w:hAnsi="Calibri" w:cs="Times New Roman"/>
                <w:b/>
                <w:i/>
                <w:iCs/>
                <w:color w:val="000000"/>
                <w:sz w:val="18"/>
                <w:szCs w:val="18"/>
                <w:lang w:eastAsia="zh-CN"/>
              </w:rPr>
            </w:pPr>
            <w:r w:rsidRPr="00AB782C">
              <w:rPr>
                <w:rFonts w:ascii="Times New Roman" w:eastAsia="Times New Roman" w:hAnsi="Times New Roman" w:cs="Times New Roman" w:hint="eastAsia"/>
                <w:b/>
                <w:i/>
                <w:iCs/>
                <w:color w:val="000000"/>
                <w:sz w:val="18"/>
                <w:szCs w:val="18"/>
                <w:lang w:eastAsia="zh-CN"/>
              </w:rPr>
              <w:t>BMI</w:t>
            </w:r>
          </w:p>
        </w:tc>
        <w:tc>
          <w:tcPr>
            <w:tcW w:w="1170"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53"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09" w:type="dxa"/>
            <w:gridSpan w:val="2"/>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keepNext/>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hint="eastAsia"/>
                <w:i/>
                <w:iCs/>
                <w:color w:val="000000"/>
                <w:sz w:val="18"/>
                <w:szCs w:val="18"/>
                <w:lang w:eastAsia="zh-CN"/>
              </w:rPr>
              <w:t xml:space="preserve"> </w:t>
            </w:r>
            <w:r w:rsidRPr="00AB782C">
              <w:rPr>
                <w:rFonts w:ascii="Times New Roman" w:eastAsia="Times New Roman" w:hAnsi="Times New Roman" w:cs="Times New Roman"/>
                <w:i/>
                <w:iCs/>
                <w:color w:val="000000"/>
                <w:sz w:val="18"/>
                <w:szCs w:val="18"/>
                <w:lang w:eastAsia="zh-CN"/>
              </w:rPr>
              <w:t xml:space="preserve">  &lt;</w:t>
            </w:r>
            <w:r w:rsidRPr="00AB782C">
              <w:rPr>
                <w:rFonts w:ascii="Times New Roman" w:eastAsia="Times New Roman" w:hAnsi="Times New Roman" w:cs="Times New Roman" w:hint="eastAsia"/>
                <w:i/>
                <w:iCs/>
                <w:color w:val="000000"/>
                <w:sz w:val="18"/>
                <w:szCs w:val="18"/>
                <w:lang w:eastAsia="zh-CN"/>
              </w:rPr>
              <w:t xml:space="preserve"> 25</w:t>
            </w:r>
          </w:p>
        </w:tc>
        <w:tc>
          <w:tcPr>
            <w:tcW w:w="1170"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Ref</w:t>
            </w: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53"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09" w:type="dxa"/>
            <w:gridSpan w:val="2"/>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keepNext/>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w:t>
            </w:r>
            <w:r w:rsidRPr="00AB782C">
              <w:rPr>
                <w:rFonts w:ascii="Times New Roman" w:eastAsia="Times New Roman" w:hAnsi="Times New Roman" w:cs="Times New Roman" w:hint="eastAsia"/>
                <w:i/>
                <w:iCs/>
                <w:color w:val="000000"/>
                <w:sz w:val="18"/>
                <w:szCs w:val="18"/>
                <w:lang w:eastAsia="zh-CN"/>
              </w:rPr>
              <w:t>25 - 29.9</w:t>
            </w:r>
            <w:r w:rsidRPr="00AB782C">
              <w:rPr>
                <w:rFonts w:ascii="Times New Roman" w:eastAsia="Times New Roman" w:hAnsi="Times New Roman" w:cs="Times New Roman"/>
                <w:i/>
                <w:iCs/>
                <w:color w:val="000000"/>
                <w:sz w:val="18"/>
                <w:szCs w:val="18"/>
                <w:lang w:eastAsia="zh-CN"/>
              </w:rPr>
              <w:tab/>
            </w:r>
          </w:p>
        </w:tc>
        <w:tc>
          <w:tcPr>
            <w:tcW w:w="1170"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1.25</w:t>
            </w: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0.001</w:t>
            </w:r>
          </w:p>
        </w:tc>
        <w:tc>
          <w:tcPr>
            <w:tcW w:w="753"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1.</w:t>
            </w:r>
            <w:r w:rsidR="00984186">
              <w:rPr>
                <w:rFonts w:ascii="Times New Roman" w:eastAsia="Times New Roman" w:hAnsi="Times New Roman" w:cs="Times New Roman"/>
                <w:color w:val="000000"/>
                <w:sz w:val="18"/>
                <w:szCs w:val="18"/>
                <w:lang w:eastAsia="zh-CN"/>
              </w:rPr>
              <w:t>10</w:t>
            </w:r>
          </w:p>
        </w:tc>
        <w:tc>
          <w:tcPr>
            <w:tcW w:w="709" w:type="dxa"/>
            <w:gridSpan w:val="2"/>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1.4</w:t>
            </w:r>
            <w:r w:rsidR="00984186">
              <w:rPr>
                <w:rFonts w:ascii="Times New Roman" w:eastAsia="Times New Roman" w:hAnsi="Times New Roman" w:cs="Times New Roman"/>
                <w:color w:val="000000"/>
                <w:sz w:val="18"/>
                <w:szCs w:val="18"/>
                <w:lang w:eastAsia="zh-CN"/>
              </w:rPr>
              <w:t>3</w:t>
            </w:r>
          </w:p>
        </w:tc>
      </w:tr>
      <w:tr w:rsidR="003F2670" w:rsidRPr="00AB782C" w:rsidTr="00D54FD2">
        <w:trPr>
          <w:cantSplit/>
          <w:jc w:val="center"/>
        </w:trPr>
        <w:tc>
          <w:tcPr>
            <w:tcW w:w="2228" w:type="dxa"/>
            <w:tcBorders>
              <w:top w:val="nil"/>
              <w:left w:val="nil"/>
              <w:right w:val="nil"/>
            </w:tcBorders>
            <w:shd w:val="clear" w:color="auto" w:fill="FFFFFF"/>
          </w:tcPr>
          <w:p w:rsidR="003F2670" w:rsidRPr="00AB782C" w:rsidRDefault="003F2670" w:rsidP="00D54FD2">
            <w:pPr>
              <w:keepNext/>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w:t>
            </w:r>
            <w:r w:rsidRPr="00AB782C">
              <w:rPr>
                <w:rFonts w:ascii="Times New Roman" w:eastAsia="Times New Roman" w:hAnsi="Times New Roman" w:cs="Times New Roman" w:hint="eastAsia"/>
                <w:i/>
                <w:iCs/>
                <w:color w:val="000000"/>
                <w:sz w:val="18"/>
                <w:szCs w:val="18"/>
                <w:lang w:eastAsia="zh-CN"/>
              </w:rPr>
              <w:t>30 - 39.9</w:t>
            </w:r>
          </w:p>
        </w:tc>
        <w:tc>
          <w:tcPr>
            <w:tcW w:w="1170" w:type="dxa"/>
            <w:tcBorders>
              <w:top w:val="nil"/>
              <w:left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1.3</w:t>
            </w:r>
            <w:r w:rsidR="00984186">
              <w:rPr>
                <w:rFonts w:ascii="Times New Roman" w:eastAsia="Times New Roman" w:hAnsi="Times New Roman" w:cs="Times New Roman"/>
                <w:color w:val="000000"/>
                <w:sz w:val="18"/>
                <w:szCs w:val="18"/>
                <w:lang w:eastAsia="zh-CN"/>
              </w:rPr>
              <w:t>2</w:t>
            </w:r>
          </w:p>
        </w:tc>
        <w:tc>
          <w:tcPr>
            <w:tcW w:w="1358" w:type="dxa"/>
            <w:tcBorders>
              <w:top w:val="nil"/>
              <w:left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right w:val="nil"/>
            </w:tcBorders>
            <w:shd w:val="clear" w:color="auto" w:fill="FFFFFF"/>
            <w:vAlign w:val="bottom"/>
          </w:tcPr>
          <w:p w:rsidR="003F2670" w:rsidRPr="00AB782C" w:rsidRDefault="00984186"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 xml:space="preserve">&lt; </w:t>
            </w:r>
            <w:r w:rsidR="003F2670" w:rsidRPr="00AB782C">
              <w:rPr>
                <w:rFonts w:ascii="Times New Roman" w:eastAsia="Times New Roman" w:hAnsi="Times New Roman" w:cs="Times New Roman"/>
                <w:color w:val="000000"/>
                <w:sz w:val="18"/>
                <w:szCs w:val="18"/>
                <w:lang w:eastAsia="zh-CN"/>
              </w:rPr>
              <w:t>0.00</w:t>
            </w:r>
            <w:r>
              <w:rPr>
                <w:rFonts w:ascii="Times New Roman" w:eastAsia="Times New Roman" w:hAnsi="Times New Roman" w:cs="Times New Roman"/>
                <w:color w:val="000000"/>
                <w:sz w:val="18"/>
                <w:szCs w:val="18"/>
                <w:lang w:eastAsia="zh-CN"/>
              </w:rPr>
              <w:t>1</w:t>
            </w:r>
          </w:p>
        </w:tc>
        <w:tc>
          <w:tcPr>
            <w:tcW w:w="753" w:type="dxa"/>
            <w:tcBorders>
              <w:top w:val="nil"/>
              <w:left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1.14</w:t>
            </w:r>
          </w:p>
        </w:tc>
        <w:tc>
          <w:tcPr>
            <w:tcW w:w="709" w:type="dxa"/>
            <w:gridSpan w:val="2"/>
            <w:tcBorders>
              <w:top w:val="nil"/>
              <w:left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1.5</w:t>
            </w:r>
            <w:r w:rsidR="00984186">
              <w:rPr>
                <w:rFonts w:ascii="Times New Roman" w:eastAsia="Times New Roman" w:hAnsi="Times New Roman" w:cs="Times New Roman"/>
                <w:color w:val="000000"/>
                <w:sz w:val="18"/>
                <w:szCs w:val="18"/>
                <w:lang w:eastAsia="zh-CN"/>
              </w:rPr>
              <w:t>2</w:t>
            </w:r>
          </w:p>
        </w:tc>
      </w:tr>
      <w:tr w:rsidR="003F2670" w:rsidRPr="00AB782C" w:rsidTr="00D54FD2">
        <w:trPr>
          <w:cantSplit/>
          <w:jc w:val="center"/>
        </w:trPr>
        <w:tc>
          <w:tcPr>
            <w:tcW w:w="222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hint="eastAsia"/>
                <w:i/>
                <w:iCs/>
                <w:color w:val="000000"/>
                <w:sz w:val="18"/>
                <w:szCs w:val="18"/>
                <w:lang w:eastAsia="zh-CN"/>
              </w:rPr>
              <w:t xml:space="preserve"> </w:t>
            </w:r>
            <w:r w:rsidRPr="00AB782C">
              <w:rPr>
                <w:rFonts w:ascii="Times New Roman" w:eastAsia="Times New Roman" w:hAnsi="Times New Roman" w:cs="Times New Roman"/>
                <w:i/>
                <w:iCs/>
                <w:color w:val="000000"/>
                <w:sz w:val="18"/>
                <w:szCs w:val="18"/>
                <w:lang w:eastAsia="zh-CN"/>
              </w:rPr>
              <w:t xml:space="preserve"> ≥ </w:t>
            </w:r>
            <w:r w:rsidRPr="00AB782C">
              <w:rPr>
                <w:rFonts w:ascii="Times New Roman" w:eastAsia="Times New Roman" w:hAnsi="Times New Roman" w:cs="Times New Roman" w:hint="eastAsia"/>
                <w:i/>
                <w:iCs/>
                <w:color w:val="000000"/>
                <w:sz w:val="18"/>
                <w:szCs w:val="18"/>
                <w:lang w:eastAsia="zh-CN"/>
              </w:rPr>
              <w:t>40</w:t>
            </w:r>
          </w:p>
        </w:tc>
        <w:tc>
          <w:tcPr>
            <w:tcW w:w="1170"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1.30</w:t>
            </w: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0.0</w:t>
            </w:r>
            <w:r w:rsidR="00984186">
              <w:rPr>
                <w:rFonts w:ascii="Times New Roman" w:eastAsia="Times New Roman" w:hAnsi="Times New Roman" w:cs="Times New Roman"/>
                <w:color w:val="000000"/>
                <w:sz w:val="18"/>
                <w:szCs w:val="18"/>
                <w:lang w:eastAsia="zh-CN"/>
              </w:rPr>
              <w:t>3</w:t>
            </w:r>
          </w:p>
        </w:tc>
        <w:tc>
          <w:tcPr>
            <w:tcW w:w="753"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1.03</w:t>
            </w:r>
          </w:p>
        </w:tc>
        <w:tc>
          <w:tcPr>
            <w:tcW w:w="709" w:type="dxa"/>
            <w:gridSpan w:val="2"/>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1.6</w:t>
            </w:r>
            <w:r w:rsidR="00984186">
              <w:rPr>
                <w:rFonts w:ascii="Times New Roman" w:eastAsia="Times New Roman" w:hAnsi="Times New Roman" w:cs="Times New Roman"/>
                <w:color w:val="000000"/>
                <w:sz w:val="18"/>
                <w:szCs w:val="18"/>
                <w:lang w:eastAsia="zh-CN"/>
              </w:rPr>
              <w:t>5</w:t>
            </w: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adjustRightInd w:val="0"/>
              <w:spacing w:before="67" w:after="67" w:line="276" w:lineRule="auto"/>
              <w:rPr>
                <w:rFonts w:ascii="Times New Roman" w:eastAsia="Times New Roman" w:hAnsi="Times New Roman" w:cs="Times New Roman"/>
                <w:b/>
                <w:i/>
                <w:iCs/>
                <w:color w:val="000000"/>
                <w:sz w:val="18"/>
                <w:szCs w:val="18"/>
                <w:lang w:eastAsia="zh-CN"/>
              </w:rPr>
            </w:pPr>
            <w:r w:rsidRPr="00AB782C">
              <w:rPr>
                <w:rFonts w:ascii="Times New Roman" w:eastAsia="Times New Roman" w:hAnsi="Times New Roman" w:cs="Times New Roman"/>
                <w:b/>
                <w:i/>
                <w:iCs/>
                <w:color w:val="000000"/>
                <w:sz w:val="18"/>
                <w:szCs w:val="18"/>
                <w:lang w:eastAsia="zh-CN"/>
              </w:rPr>
              <w:t>State</w:t>
            </w:r>
          </w:p>
        </w:tc>
        <w:tc>
          <w:tcPr>
            <w:tcW w:w="1170"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53"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09" w:type="dxa"/>
            <w:gridSpan w:val="2"/>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LA</w:t>
            </w:r>
          </w:p>
        </w:tc>
        <w:tc>
          <w:tcPr>
            <w:tcW w:w="1170"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Ref</w:t>
            </w: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53"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09" w:type="dxa"/>
            <w:gridSpan w:val="2"/>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WI</w:t>
            </w:r>
          </w:p>
        </w:tc>
        <w:tc>
          <w:tcPr>
            <w:tcW w:w="1170"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1.2</w:t>
            </w:r>
            <w:r w:rsidR="00635F1F">
              <w:rPr>
                <w:rFonts w:ascii="Times New Roman" w:eastAsia="Times New Roman" w:hAnsi="Times New Roman" w:cs="Times New Roman"/>
                <w:color w:val="000000"/>
                <w:sz w:val="18"/>
                <w:szCs w:val="18"/>
                <w:lang w:eastAsia="zh-CN"/>
              </w:rPr>
              <w:t>3</w:t>
            </w: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0.0</w:t>
            </w:r>
            <w:r w:rsidR="00635F1F">
              <w:rPr>
                <w:rFonts w:ascii="Times New Roman" w:eastAsia="Times New Roman" w:hAnsi="Times New Roman" w:cs="Times New Roman"/>
                <w:color w:val="000000"/>
                <w:sz w:val="18"/>
                <w:szCs w:val="18"/>
                <w:lang w:eastAsia="zh-CN"/>
              </w:rPr>
              <w:t>3</w:t>
            </w:r>
          </w:p>
        </w:tc>
        <w:tc>
          <w:tcPr>
            <w:tcW w:w="753"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1.02</w:t>
            </w:r>
          </w:p>
        </w:tc>
        <w:tc>
          <w:tcPr>
            <w:tcW w:w="709" w:type="dxa"/>
            <w:gridSpan w:val="2"/>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1.47</w:t>
            </w: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NC</w:t>
            </w:r>
          </w:p>
        </w:tc>
        <w:tc>
          <w:tcPr>
            <w:tcW w:w="1170"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0.97</w:t>
            </w: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0.74</w:t>
            </w:r>
          </w:p>
        </w:tc>
        <w:tc>
          <w:tcPr>
            <w:tcW w:w="753"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0.81</w:t>
            </w:r>
          </w:p>
        </w:tc>
        <w:tc>
          <w:tcPr>
            <w:tcW w:w="709" w:type="dxa"/>
            <w:gridSpan w:val="2"/>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1.1</w:t>
            </w:r>
            <w:r w:rsidR="00635F1F">
              <w:rPr>
                <w:rFonts w:ascii="Times New Roman" w:eastAsia="Times New Roman" w:hAnsi="Times New Roman" w:cs="Times New Roman"/>
                <w:color w:val="000000"/>
                <w:sz w:val="18"/>
                <w:szCs w:val="18"/>
                <w:lang w:eastAsia="zh-CN"/>
              </w:rPr>
              <w:t>6</w:t>
            </w: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CA</w:t>
            </w:r>
          </w:p>
        </w:tc>
        <w:tc>
          <w:tcPr>
            <w:tcW w:w="1170"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1.13</w:t>
            </w: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0.1</w:t>
            </w:r>
            <w:r w:rsidR="00635F1F">
              <w:rPr>
                <w:rFonts w:ascii="Times New Roman" w:eastAsia="Times New Roman" w:hAnsi="Times New Roman" w:cs="Times New Roman"/>
                <w:color w:val="000000"/>
                <w:sz w:val="18"/>
                <w:szCs w:val="18"/>
                <w:lang w:eastAsia="zh-CN"/>
              </w:rPr>
              <w:t>9</w:t>
            </w:r>
          </w:p>
        </w:tc>
        <w:tc>
          <w:tcPr>
            <w:tcW w:w="753"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0.94</w:t>
            </w:r>
          </w:p>
        </w:tc>
        <w:tc>
          <w:tcPr>
            <w:tcW w:w="709" w:type="dxa"/>
            <w:gridSpan w:val="2"/>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1.35</w:t>
            </w: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KY</w:t>
            </w:r>
          </w:p>
        </w:tc>
        <w:tc>
          <w:tcPr>
            <w:tcW w:w="1170"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w:t>
            </w:r>
            <w:r w:rsidR="00635F1F">
              <w:rPr>
                <w:rFonts w:ascii="Times New Roman" w:eastAsia="Times New Roman" w:hAnsi="Times New Roman" w:cs="Times New Roman"/>
                <w:color w:val="000000"/>
                <w:sz w:val="18"/>
                <w:szCs w:val="18"/>
                <w:lang w:eastAsia="zh-CN"/>
              </w:rPr>
              <w:t>90</w:t>
            </w: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0.3</w:t>
            </w:r>
            <w:r w:rsidR="00635F1F">
              <w:rPr>
                <w:rFonts w:ascii="Times New Roman" w:eastAsia="Times New Roman" w:hAnsi="Times New Roman" w:cs="Times New Roman"/>
                <w:color w:val="000000"/>
                <w:sz w:val="18"/>
                <w:szCs w:val="18"/>
                <w:lang w:eastAsia="zh-CN"/>
              </w:rPr>
              <w:t>4</w:t>
            </w:r>
          </w:p>
        </w:tc>
        <w:tc>
          <w:tcPr>
            <w:tcW w:w="753"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0.7</w:t>
            </w:r>
            <w:r w:rsidR="00635F1F">
              <w:rPr>
                <w:rFonts w:ascii="Times New Roman" w:eastAsia="Times New Roman" w:hAnsi="Times New Roman" w:cs="Times New Roman"/>
                <w:color w:val="000000"/>
                <w:sz w:val="18"/>
                <w:szCs w:val="18"/>
                <w:lang w:eastAsia="zh-CN"/>
              </w:rPr>
              <w:t>2</w:t>
            </w:r>
          </w:p>
        </w:tc>
        <w:tc>
          <w:tcPr>
            <w:tcW w:w="709" w:type="dxa"/>
            <w:gridSpan w:val="2"/>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1.12</w:t>
            </w: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GA</w:t>
            </w:r>
          </w:p>
        </w:tc>
        <w:tc>
          <w:tcPr>
            <w:tcW w:w="1170"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1.12</w:t>
            </w: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0.12</w:t>
            </w:r>
          </w:p>
        </w:tc>
        <w:tc>
          <w:tcPr>
            <w:tcW w:w="753"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0.97</w:t>
            </w:r>
          </w:p>
        </w:tc>
        <w:tc>
          <w:tcPr>
            <w:tcW w:w="709" w:type="dxa"/>
            <w:gridSpan w:val="2"/>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1.29</w:t>
            </w: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keepNext/>
              <w:adjustRightInd w:val="0"/>
              <w:spacing w:before="67" w:after="67" w:line="276" w:lineRule="auto"/>
              <w:rPr>
                <w:rFonts w:ascii="Times New Roman" w:eastAsia="Times New Roman" w:hAnsi="Times New Roman" w:cs="Times New Roman"/>
                <w:b/>
                <w:i/>
                <w:iCs/>
                <w:color w:val="000000"/>
                <w:sz w:val="18"/>
                <w:szCs w:val="18"/>
                <w:lang w:eastAsia="zh-CN"/>
              </w:rPr>
            </w:pPr>
          </w:p>
          <w:p w:rsidR="003F2670" w:rsidRPr="00AB782C" w:rsidRDefault="003F2670" w:rsidP="00D54FD2">
            <w:pPr>
              <w:keepNext/>
              <w:adjustRightInd w:val="0"/>
              <w:spacing w:before="67" w:after="67" w:line="276" w:lineRule="auto"/>
              <w:rPr>
                <w:rFonts w:ascii="Calibri" w:eastAsia="Times New Roman" w:hAnsi="Calibri" w:cs="Times New Roman"/>
                <w:b/>
                <w:i/>
                <w:iCs/>
                <w:color w:val="000000"/>
                <w:sz w:val="18"/>
                <w:szCs w:val="18"/>
                <w:lang w:eastAsia="zh-CN"/>
              </w:rPr>
            </w:pPr>
            <w:r w:rsidRPr="00AB782C">
              <w:rPr>
                <w:rFonts w:ascii="Times New Roman" w:eastAsia="Times New Roman" w:hAnsi="Times New Roman" w:cs="Times New Roman"/>
                <w:b/>
                <w:i/>
                <w:iCs/>
                <w:color w:val="000000"/>
                <w:sz w:val="18"/>
                <w:szCs w:val="18"/>
                <w:lang w:eastAsia="zh-CN"/>
              </w:rPr>
              <w:t>Histology</w:t>
            </w:r>
          </w:p>
        </w:tc>
        <w:tc>
          <w:tcPr>
            <w:tcW w:w="1170"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53"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09" w:type="dxa"/>
            <w:gridSpan w:val="2"/>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keepNext/>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Lobular</w:t>
            </w:r>
          </w:p>
        </w:tc>
        <w:tc>
          <w:tcPr>
            <w:tcW w:w="1170"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Ref</w:t>
            </w: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53"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09" w:type="dxa"/>
            <w:gridSpan w:val="2"/>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keepNext/>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Ductal or </w:t>
            </w:r>
          </w:p>
          <w:p w:rsidR="003F2670" w:rsidRPr="00AB782C" w:rsidRDefault="003F2670" w:rsidP="00D54FD2">
            <w:pPr>
              <w:keepNext/>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Ductal/lobular</w:t>
            </w:r>
            <w:r w:rsidRPr="00AB782C">
              <w:rPr>
                <w:rFonts w:ascii="Times New Roman" w:eastAsia="Times New Roman" w:hAnsi="Times New Roman" w:cs="Times New Roman"/>
                <w:i/>
                <w:iCs/>
                <w:color w:val="000000"/>
                <w:sz w:val="18"/>
                <w:szCs w:val="18"/>
                <w:lang w:eastAsia="zh-CN"/>
              </w:rPr>
              <w:tab/>
            </w:r>
          </w:p>
        </w:tc>
        <w:tc>
          <w:tcPr>
            <w:tcW w:w="1170"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2.07</w:t>
            </w: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BD74BA">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 xml:space="preserve">&lt; </w:t>
            </w:r>
            <w:r w:rsidR="003F2670" w:rsidRPr="00AB782C">
              <w:rPr>
                <w:rFonts w:ascii="Times New Roman" w:eastAsia="Times New Roman" w:hAnsi="Times New Roman" w:cs="Times New Roman"/>
                <w:color w:val="000000"/>
                <w:sz w:val="18"/>
                <w:szCs w:val="18"/>
                <w:lang w:eastAsia="zh-CN"/>
              </w:rPr>
              <w:t>0.00</w:t>
            </w:r>
            <w:r>
              <w:rPr>
                <w:rFonts w:ascii="Times New Roman" w:eastAsia="Times New Roman" w:hAnsi="Times New Roman" w:cs="Times New Roman"/>
                <w:color w:val="000000"/>
                <w:sz w:val="18"/>
                <w:szCs w:val="18"/>
                <w:lang w:eastAsia="zh-CN"/>
              </w:rPr>
              <w:t>1</w:t>
            </w:r>
          </w:p>
        </w:tc>
        <w:tc>
          <w:tcPr>
            <w:tcW w:w="753"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1.67</w:t>
            </w:r>
          </w:p>
        </w:tc>
        <w:tc>
          <w:tcPr>
            <w:tcW w:w="709" w:type="dxa"/>
            <w:gridSpan w:val="2"/>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2.56</w:t>
            </w:r>
          </w:p>
        </w:tc>
      </w:tr>
      <w:tr w:rsidR="003F2670" w:rsidRPr="00AB782C" w:rsidTr="00D54FD2">
        <w:trPr>
          <w:cantSplit/>
          <w:jc w:val="center"/>
        </w:trPr>
        <w:tc>
          <w:tcPr>
            <w:tcW w:w="2228" w:type="dxa"/>
            <w:tcBorders>
              <w:top w:val="nil"/>
              <w:left w:val="nil"/>
              <w:bottom w:val="nil"/>
              <w:right w:val="nil"/>
            </w:tcBorders>
            <w:shd w:val="clear" w:color="auto" w:fill="FFFFFF"/>
          </w:tcPr>
          <w:p w:rsidR="003F2670" w:rsidRPr="00AB782C" w:rsidRDefault="003F2670" w:rsidP="00D54FD2">
            <w:pPr>
              <w:keepNext/>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i/>
                <w:iCs/>
                <w:color w:val="000000"/>
                <w:sz w:val="18"/>
                <w:szCs w:val="18"/>
                <w:lang w:eastAsia="zh-CN"/>
              </w:rPr>
              <w:t xml:space="preserve">  Other</w:t>
            </w:r>
          </w:p>
        </w:tc>
        <w:tc>
          <w:tcPr>
            <w:tcW w:w="1170"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2.7</w:t>
            </w:r>
            <w:r w:rsidR="00BD74BA">
              <w:rPr>
                <w:rFonts w:ascii="Times New Roman" w:eastAsia="Times New Roman" w:hAnsi="Times New Roman" w:cs="Times New Roman"/>
                <w:color w:val="000000"/>
                <w:sz w:val="18"/>
                <w:szCs w:val="18"/>
                <w:lang w:eastAsia="zh-CN"/>
              </w:rPr>
              <w:t>9</w:t>
            </w:r>
          </w:p>
        </w:tc>
        <w:tc>
          <w:tcPr>
            <w:tcW w:w="1358" w:type="dxa"/>
            <w:tcBorders>
              <w:top w:val="nil"/>
              <w:left w:val="nil"/>
              <w:bottom w:val="nil"/>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nil"/>
              <w:right w:val="nil"/>
            </w:tcBorders>
            <w:shd w:val="clear" w:color="auto" w:fill="FFFFFF"/>
            <w:vAlign w:val="bottom"/>
          </w:tcPr>
          <w:p w:rsidR="003F2670" w:rsidRPr="00AB782C" w:rsidRDefault="00BD74BA">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Pr>
                <w:rFonts w:ascii="Times New Roman" w:eastAsia="Times New Roman" w:hAnsi="Times New Roman" w:cs="Times New Roman"/>
                <w:color w:val="000000"/>
                <w:sz w:val="18"/>
                <w:szCs w:val="18"/>
                <w:lang w:eastAsia="zh-CN"/>
              </w:rPr>
              <w:t xml:space="preserve">&lt; </w:t>
            </w:r>
            <w:r w:rsidR="003F2670" w:rsidRPr="00AB782C">
              <w:rPr>
                <w:rFonts w:ascii="Times New Roman" w:eastAsia="Times New Roman" w:hAnsi="Times New Roman" w:cs="Times New Roman"/>
                <w:color w:val="000000"/>
                <w:sz w:val="18"/>
                <w:szCs w:val="18"/>
                <w:lang w:eastAsia="zh-CN"/>
              </w:rPr>
              <w:t>0.00</w:t>
            </w:r>
            <w:r>
              <w:rPr>
                <w:rFonts w:ascii="Times New Roman" w:eastAsia="Times New Roman" w:hAnsi="Times New Roman" w:cs="Times New Roman"/>
                <w:color w:val="000000"/>
                <w:sz w:val="18"/>
                <w:szCs w:val="18"/>
                <w:lang w:eastAsia="zh-CN"/>
              </w:rPr>
              <w:t>1</w:t>
            </w:r>
          </w:p>
        </w:tc>
        <w:tc>
          <w:tcPr>
            <w:tcW w:w="753" w:type="dxa"/>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2.21</w:t>
            </w:r>
          </w:p>
        </w:tc>
        <w:tc>
          <w:tcPr>
            <w:tcW w:w="709" w:type="dxa"/>
            <w:gridSpan w:val="2"/>
            <w:tcBorders>
              <w:top w:val="nil"/>
              <w:left w:val="nil"/>
              <w:bottom w:val="nil"/>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3.50</w:t>
            </w:r>
          </w:p>
        </w:tc>
      </w:tr>
      <w:tr w:rsidR="003F2670" w:rsidRPr="00AB782C" w:rsidTr="00D54FD2">
        <w:trPr>
          <w:cantSplit/>
          <w:jc w:val="center"/>
        </w:trPr>
        <w:tc>
          <w:tcPr>
            <w:tcW w:w="2228" w:type="dxa"/>
            <w:tcBorders>
              <w:top w:val="nil"/>
              <w:left w:val="nil"/>
              <w:bottom w:val="double" w:sz="4" w:space="0" w:color="auto"/>
              <w:right w:val="nil"/>
            </w:tcBorders>
            <w:shd w:val="clear" w:color="auto" w:fill="FFFFFF"/>
          </w:tcPr>
          <w:p w:rsidR="003F2670" w:rsidRPr="00AB782C" w:rsidRDefault="003F2670" w:rsidP="00D54FD2">
            <w:pPr>
              <w:keepNext/>
              <w:adjustRightInd w:val="0"/>
              <w:spacing w:before="67" w:after="67" w:line="276" w:lineRule="auto"/>
              <w:rPr>
                <w:rFonts w:ascii="Times New Roman" w:eastAsia="Times New Roman" w:hAnsi="Times New Roman" w:cs="Times New Roman"/>
                <w:b/>
                <w:i/>
                <w:iCs/>
                <w:color w:val="000000"/>
                <w:sz w:val="18"/>
                <w:szCs w:val="18"/>
                <w:lang w:eastAsia="zh-CN"/>
              </w:rPr>
            </w:pPr>
          </w:p>
          <w:p w:rsidR="003F2670" w:rsidRPr="00AB782C" w:rsidRDefault="003F2670" w:rsidP="00D54FD2">
            <w:pPr>
              <w:keepNext/>
              <w:adjustRightInd w:val="0"/>
              <w:spacing w:before="67" w:after="67" w:line="276" w:lineRule="auto"/>
              <w:rPr>
                <w:rFonts w:ascii="Times New Roman" w:eastAsia="Times New Roman" w:hAnsi="Times New Roman" w:cs="Times New Roman"/>
                <w:i/>
                <w:iCs/>
                <w:color w:val="000000"/>
                <w:sz w:val="18"/>
                <w:szCs w:val="18"/>
                <w:lang w:eastAsia="zh-CN"/>
              </w:rPr>
            </w:pPr>
            <w:r w:rsidRPr="00AB782C">
              <w:rPr>
                <w:rFonts w:ascii="Times New Roman" w:eastAsia="Times New Roman" w:hAnsi="Times New Roman" w:cs="Times New Roman"/>
                <w:b/>
                <w:i/>
                <w:iCs/>
                <w:color w:val="000000"/>
                <w:sz w:val="18"/>
                <w:szCs w:val="18"/>
                <w:lang w:eastAsia="zh-CN"/>
              </w:rPr>
              <w:t>M</w:t>
            </w:r>
            <w:r w:rsidR="006E79C0">
              <w:rPr>
                <w:rFonts w:ascii="Times New Roman" w:eastAsia="Times New Roman" w:hAnsi="Times New Roman" w:cs="Times New Roman"/>
                <w:b/>
                <w:i/>
                <w:iCs/>
                <w:color w:val="000000"/>
                <w:sz w:val="18"/>
                <w:szCs w:val="18"/>
                <w:lang w:eastAsia="zh-CN"/>
              </w:rPr>
              <w:t>ammography-Capacity</w:t>
            </w:r>
          </w:p>
        </w:tc>
        <w:tc>
          <w:tcPr>
            <w:tcW w:w="1170" w:type="dxa"/>
            <w:tcBorders>
              <w:top w:val="nil"/>
              <w:left w:val="nil"/>
              <w:bottom w:val="double" w:sz="4" w:space="0" w:color="auto"/>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1.1</w:t>
            </w:r>
            <w:r w:rsidR="00BD74BA">
              <w:rPr>
                <w:rFonts w:ascii="Times New Roman" w:eastAsia="Times New Roman" w:hAnsi="Times New Roman" w:cs="Times New Roman"/>
                <w:color w:val="000000"/>
                <w:sz w:val="18"/>
                <w:szCs w:val="18"/>
                <w:lang w:eastAsia="zh-CN"/>
              </w:rPr>
              <w:t>1</w:t>
            </w:r>
          </w:p>
        </w:tc>
        <w:tc>
          <w:tcPr>
            <w:tcW w:w="1358" w:type="dxa"/>
            <w:tcBorders>
              <w:top w:val="nil"/>
              <w:left w:val="nil"/>
              <w:bottom w:val="double" w:sz="4" w:space="0" w:color="auto"/>
              <w:right w:val="nil"/>
            </w:tcBorders>
            <w:shd w:val="clear" w:color="auto" w:fill="FFFFFF"/>
            <w:vAlign w:val="bottom"/>
          </w:tcPr>
          <w:p w:rsidR="003F2670" w:rsidRPr="00AB782C" w:rsidRDefault="003F2670" w:rsidP="00D54FD2">
            <w:pPr>
              <w:keepNext/>
              <w:adjustRightInd w:val="0"/>
              <w:spacing w:before="67" w:after="67" w:line="276" w:lineRule="auto"/>
              <w:jc w:val="center"/>
              <w:rPr>
                <w:rFonts w:ascii="Times New Roman" w:eastAsia="Times New Roman" w:hAnsi="Times New Roman" w:cs="Times New Roman"/>
                <w:color w:val="000000"/>
                <w:sz w:val="18"/>
                <w:szCs w:val="18"/>
                <w:lang w:eastAsia="zh-CN"/>
              </w:rPr>
            </w:pPr>
          </w:p>
        </w:tc>
        <w:tc>
          <w:tcPr>
            <w:tcW w:w="774" w:type="dxa"/>
            <w:tcBorders>
              <w:top w:val="nil"/>
              <w:left w:val="nil"/>
              <w:bottom w:val="double" w:sz="4" w:space="0" w:color="auto"/>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0.02</w:t>
            </w:r>
          </w:p>
        </w:tc>
        <w:tc>
          <w:tcPr>
            <w:tcW w:w="753" w:type="dxa"/>
            <w:tcBorders>
              <w:top w:val="nil"/>
              <w:left w:val="nil"/>
              <w:bottom w:val="double" w:sz="4" w:space="0" w:color="auto"/>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1.0</w:t>
            </w:r>
            <w:r w:rsidR="00BD74BA">
              <w:rPr>
                <w:rFonts w:ascii="Times New Roman" w:eastAsia="Times New Roman" w:hAnsi="Times New Roman" w:cs="Times New Roman"/>
                <w:color w:val="000000"/>
                <w:sz w:val="18"/>
                <w:szCs w:val="18"/>
                <w:lang w:eastAsia="zh-CN"/>
              </w:rPr>
              <w:t>2</w:t>
            </w:r>
          </w:p>
        </w:tc>
        <w:tc>
          <w:tcPr>
            <w:tcW w:w="709" w:type="dxa"/>
            <w:gridSpan w:val="2"/>
            <w:tcBorders>
              <w:top w:val="nil"/>
              <w:left w:val="nil"/>
              <w:bottom w:val="double" w:sz="4" w:space="0" w:color="auto"/>
              <w:right w:val="nil"/>
            </w:tcBorders>
            <w:shd w:val="clear" w:color="auto" w:fill="FFFFFF"/>
            <w:vAlign w:val="bottom"/>
          </w:tcPr>
          <w:p w:rsidR="003F2670" w:rsidRPr="00AB782C" w:rsidRDefault="003F2670">
            <w:pPr>
              <w:keepNext/>
              <w:adjustRightInd w:val="0"/>
              <w:spacing w:before="67" w:after="67" w:line="276" w:lineRule="auto"/>
              <w:jc w:val="center"/>
              <w:rPr>
                <w:rFonts w:ascii="Times New Roman" w:eastAsia="Times New Roman" w:hAnsi="Times New Roman" w:cs="Times New Roman"/>
                <w:color w:val="000000"/>
                <w:sz w:val="18"/>
                <w:szCs w:val="18"/>
                <w:lang w:eastAsia="zh-CN"/>
              </w:rPr>
            </w:pPr>
            <w:r w:rsidRPr="00AB782C">
              <w:rPr>
                <w:rFonts w:ascii="Times New Roman" w:eastAsia="Times New Roman" w:hAnsi="Times New Roman" w:cs="Times New Roman"/>
                <w:color w:val="000000"/>
                <w:sz w:val="18"/>
                <w:szCs w:val="18"/>
                <w:lang w:eastAsia="zh-CN"/>
              </w:rPr>
              <w:t>1.21</w:t>
            </w:r>
          </w:p>
        </w:tc>
      </w:tr>
    </w:tbl>
    <w:p w:rsidR="003F2670" w:rsidRPr="00AB782C" w:rsidRDefault="003F2670" w:rsidP="003F2670">
      <w:pPr>
        <w:spacing w:after="200" w:line="276" w:lineRule="auto"/>
        <w:rPr>
          <w:rFonts w:ascii="Calibri" w:eastAsia="Times New Roman" w:hAnsi="Calibri" w:cs="Times New Roman"/>
          <w:lang w:eastAsia="zh-CN"/>
        </w:rPr>
      </w:pPr>
    </w:p>
    <w:p w:rsidR="003F2670" w:rsidRPr="00AB782C" w:rsidRDefault="006E79C0" w:rsidP="003F2670">
      <w:pPr>
        <w:rPr>
          <w:rFonts w:ascii="Times New Roman" w:hAnsi="Times New Roman" w:cs="Times New Roman"/>
          <w:b/>
          <w:sz w:val="24"/>
          <w:szCs w:val="24"/>
        </w:rPr>
      </w:pPr>
      <w:r>
        <w:rPr>
          <w:rFonts w:ascii="Times New Roman" w:hAnsi="Times New Roman" w:cs="Times New Roman"/>
          <w:b/>
          <w:sz w:val="24"/>
          <w:szCs w:val="24"/>
        </w:rPr>
        <w:t xml:space="preserve">Section </w:t>
      </w:r>
      <w:r w:rsidR="003F2670" w:rsidRPr="00AB782C">
        <w:rPr>
          <w:rFonts w:ascii="Times New Roman" w:hAnsi="Times New Roman" w:cs="Times New Roman"/>
          <w:b/>
          <w:sz w:val="24"/>
          <w:szCs w:val="24"/>
        </w:rPr>
        <w:t>C.  Propensity Score Analys</w:t>
      </w:r>
      <w:r w:rsidR="003F2670">
        <w:rPr>
          <w:rFonts w:ascii="Times New Roman" w:hAnsi="Times New Roman" w:cs="Times New Roman"/>
          <w:b/>
          <w:sz w:val="24"/>
          <w:szCs w:val="24"/>
        </w:rPr>
        <w:t>i</w:t>
      </w:r>
      <w:r w:rsidR="003F2670" w:rsidRPr="00AB782C">
        <w:rPr>
          <w:rFonts w:ascii="Times New Roman" w:hAnsi="Times New Roman" w:cs="Times New Roman"/>
          <w:b/>
          <w:sz w:val="24"/>
          <w:szCs w:val="24"/>
        </w:rPr>
        <w:t>s as an Approach to Bias Reduction in Estimating the Determinants of Stage</w:t>
      </w:r>
    </w:p>
    <w:p w:rsidR="003F2670" w:rsidRPr="00AB782C" w:rsidRDefault="003F2670" w:rsidP="003F2670">
      <w:pPr>
        <w:spacing w:line="480" w:lineRule="auto"/>
        <w:rPr>
          <w:rFonts w:ascii="Times New Roman" w:hAnsi="Times New Roman" w:cs="Times New Roman"/>
          <w:sz w:val="24"/>
          <w:szCs w:val="24"/>
        </w:rPr>
      </w:pPr>
      <w:r w:rsidRPr="00AB782C">
        <w:rPr>
          <w:rFonts w:ascii="Times New Roman" w:hAnsi="Times New Roman" w:cs="Times New Roman"/>
          <w:sz w:val="24"/>
          <w:szCs w:val="24"/>
        </w:rPr>
        <w:tab/>
        <w:t>An alternative, and frequently used, statistical approach to reduce bias when estimating treatment-outcome relationships with non-experimental data is propensity score (PS) modeling (</w:t>
      </w:r>
      <w:r w:rsidR="007768CD">
        <w:rPr>
          <w:rFonts w:ascii="Times New Roman" w:hAnsi="Times New Roman" w:cs="Times New Roman"/>
          <w:sz w:val="24"/>
          <w:szCs w:val="24"/>
        </w:rPr>
        <w:t>1</w:t>
      </w:r>
      <w:r w:rsidRPr="00AB782C">
        <w:rPr>
          <w:rFonts w:ascii="Times New Roman" w:hAnsi="Times New Roman" w:cs="Times New Roman"/>
          <w:sz w:val="24"/>
          <w:szCs w:val="24"/>
        </w:rPr>
        <w:t>), which can take several specific forms: PS matching of patients across treatment arms; the separate estimation of treatment impacts within fractiles (typically quintiles) of patients who have “sufficiently similar” propensity scores; and the use of patient-specific PS weights in full-sample regression analyses (</w:t>
      </w:r>
      <w:r w:rsidR="007768CD">
        <w:rPr>
          <w:rFonts w:ascii="Times New Roman" w:hAnsi="Times New Roman" w:cs="Times New Roman"/>
          <w:sz w:val="24"/>
          <w:szCs w:val="24"/>
        </w:rPr>
        <w:t>5-7</w:t>
      </w:r>
      <w:r w:rsidRPr="00AB782C">
        <w:rPr>
          <w:rFonts w:ascii="Times New Roman" w:hAnsi="Times New Roman" w:cs="Times New Roman"/>
          <w:sz w:val="24"/>
          <w:szCs w:val="24"/>
        </w:rPr>
        <w:t xml:space="preserve">).  Regardless of the specific PS technique selected, a successfully executed analysis will result in a satisfactory balance of predictor variable values across treatment arms, just as one expects if the patients had instead been randomized successfully.  </w:t>
      </w:r>
      <w:r>
        <w:rPr>
          <w:rFonts w:ascii="Times New Roman" w:hAnsi="Times New Roman" w:cs="Times New Roman"/>
          <w:sz w:val="24"/>
          <w:szCs w:val="24"/>
        </w:rPr>
        <w:t>A</w:t>
      </w:r>
      <w:r w:rsidRPr="00AB782C">
        <w:rPr>
          <w:rFonts w:ascii="Times New Roman" w:hAnsi="Times New Roman" w:cs="Times New Roman"/>
          <w:sz w:val="24"/>
          <w:szCs w:val="24"/>
        </w:rPr>
        <w:t xml:space="preserve"> necessary condition for PS to achieve its bias-reducing potential is that there be no substantively and statistical important </w:t>
      </w:r>
      <w:r w:rsidRPr="00AB782C">
        <w:rPr>
          <w:rFonts w:ascii="Times New Roman" w:hAnsi="Times New Roman" w:cs="Times New Roman"/>
          <w:i/>
          <w:sz w:val="24"/>
          <w:szCs w:val="24"/>
        </w:rPr>
        <w:t>unobservable</w:t>
      </w:r>
      <w:r w:rsidRPr="00AB782C">
        <w:rPr>
          <w:rFonts w:ascii="Times New Roman" w:hAnsi="Times New Roman" w:cs="Times New Roman"/>
          <w:sz w:val="24"/>
          <w:szCs w:val="24"/>
        </w:rPr>
        <w:t xml:space="preserve"> variables that influence the treatment-outcome relationship.  Indeed, a recent simulation analysis found that PS adjustments may actually exacerbate the bias if the unobservables are sufficiently important relative to the observable variables in the model (</w:t>
      </w:r>
      <w:r w:rsidR="007768CD">
        <w:rPr>
          <w:rFonts w:ascii="Times New Roman" w:hAnsi="Times New Roman" w:cs="Times New Roman"/>
          <w:sz w:val="24"/>
          <w:szCs w:val="24"/>
        </w:rPr>
        <w:t>8</w:t>
      </w:r>
      <w:r w:rsidRPr="00AB782C">
        <w:rPr>
          <w:rFonts w:ascii="Times New Roman" w:hAnsi="Times New Roman" w:cs="Times New Roman"/>
          <w:sz w:val="24"/>
          <w:szCs w:val="24"/>
        </w:rPr>
        <w:t xml:space="preserve">).  Because unobservables may be influential in the method-of-detection/stage-at-diagnosis relationship, we selected an instrumental variables approach (2SRI) rather than PS for the base-case and most sensitivity analyses. </w:t>
      </w:r>
    </w:p>
    <w:p w:rsidR="003F2670" w:rsidRPr="00AB782C" w:rsidRDefault="003F2670" w:rsidP="003F2670">
      <w:pPr>
        <w:spacing w:line="480" w:lineRule="auto"/>
        <w:rPr>
          <w:rFonts w:ascii="Times New Roman" w:hAnsi="Times New Roman" w:cs="Times New Roman"/>
          <w:sz w:val="24"/>
          <w:szCs w:val="24"/>
        </w:rPr>
      </w:pPr>
      <w:r w:rsidRPr="00AB782C">
        <w:rPr>
          <w:rFonts w:ascii="Times New Roman" w:hAnsi="Times New Roman" w:cs="Times New Roman"/>
          <w:sz w:val="24"/>
          <w:szCs w:val="24"/>
        </w:rPr>
        <w:tab/>
        <w:t xml:space="preserve">Nonetheless, given the extensive application of propensity score methods in outcomes research now and also that the </w:t>
      </w:r>
      <w:r w:rsidRPr="00AB782C">
        <w:rPr>
          <w:rFonts w:ascii="Times New Roman" w:hAnsi="Times New Roman" w:cs="Times New Roman"/>
          <w:i/>
          <w:sz w:val="24"/>
          <w:szCs w:val="24"/>
        </w:rPr>
        <w:t>degree</w:t>
      </w:r>
      <w:r w:rsidRPr="00AB782C">
        <w:rPr>
          <w:rFonts w:ascii="Times New Roman" w:hAnsi="Times New Roman" w:cs="Times New Roman"/>
          <w:sz w:val="24"/>
          <w:szCs w:val="24"/>
        </w:rPr>
        <w:t xml:space="preserve"> of bias reduction through IV models is ultimately an empirical matter, we elected to include PS models for the likelihood of </w:t>
      </w:r>
      <w:r>
        <w:rPr>
          <w:rFonts w:ascii="Times New Roman" w:hAnsi="Times New Roman" w:cs="Times New Roman"/>
          <w:sz w:val="24"/>
          <w:szCs w:val="24"/>
        </w:rPr>
        <w:t>a</w:t>
      </w:r>
      <w:r w:rsidRPr="00AB782C">
        <w:rPr>
          <w:rFonts w:ascii="Times New Roman" w:hAnsi="Times New Roman" w:cs="Times New Roman"/>
          <w:sz w:val="24"/>
          <w:szCs w:val="24"/>
        </w:rPr>
        <w:t>dvanced stage in our sensitivity analyses.  In a similar vein, several recent studies of cancer treatment effects have employed both PS and the 2SRI modeling (</w:t>
      </w:r>
      <w:r w:rsidR="007768CD">
        <w:rPr>
          <w:rFonts w:ascii="Times New Roman" w:hAnsi="Times New Roman" w:cs="Times New Roman"/>
          <w:sz w:val="24"/>
          <w:szCs w:val="24"/>
        </w:rPr>
        <w:t>9, 10)</w:t>
      </w:r>
      <w:r w:rsidRPr="00AB782C">
        <w:rPr>
          <w:rFonts w:ascii="Times New Roman" w:hAnsi="Times New Roman" w:cs="Times New Roman"/>
          <w:sz w:val="24"/>
          <w:szCs w:val="24"/>
        </w:rPr>
        <w:t xml:space="preserve">.  </w:t>
      </w:r>
    </w:p>
    <w:p w:rsidR="003F2670" w:rsidRPr="00AB782C" w:rsidRDefault="003F2670" w:rsidP="003F2670">
      <w:pPr>
        <w:spacing w:line="480" w:lineRule="auto"/>
        <w:ind w:firstLine="720"/>
        <w:rPr>
          <w:rFonts w:ascii="Times New Roman" w:hAnsi="Times New Roman" w:cs="Times New Roman"/>
          <w:sz w:val="24"/>
          <w:szCs w:val="24"/>
        </w:rPr>
      </w:pPr>
      <w:r w:rsidRPr="00AB782C">
        <w:rPr>
          <w:rFonts w:ascii="Times New Roman" w:hAnsi="Times New Roman" w:cs="Times New Roman"/>
          <w:sz w:val="24"/>
          <w:szCs w:val="24"/>
        </w:rPr>
        <w:t xml:space="preserve">We used two alternative PS weighting schemes (Table S5) and </w:t>
      </w:r>
      <w:r w:rsidR="00021AF6">
        <w:rPr>
          <w:rFonts w:ascii="Times New Roman" w:hAnsi="Times New Roman" w:cs="Times New Roman"/>
          <w:sz w:val="24"/>
          <w:szCs w:val="24"/>
        </w:rPr>
        <w:t xml:space="preserve">then </w:t>
      </w:r>
      <w:r w:rsidRPr="00AB782C">
        <w:rPr>
          <w:rFonts w:ascii="Times New Roman" w:hAnsi="Times New Roman" w:cs="Times New Roman"/>
          <w:sz w:val="24"/>
          <w:szCs w:val="24"/>
        </w:rPr>
        <w:t xml:space="preserve">examined whether covariate values were adequately balanced between the mammography and other methods arms under either/both weighting schemes (Table S6).  The schemes, as employed in a recent analysis of cancer </w:t>
      </w:r>
      <w:r>
        <w:rPr>
          <w:rFonts w:ascii="Times New Roman" w:hAnsi="Times New Roman" w:cs="Times New Roman"/>
          <w:sz w:val="24"/>
          <w:szCs w:val="24"/>
        </w:rPr>
        <w:t>therapy selection and impact (</w:t>
      </w:r>
      <w:r w:rsidR="007768CD">
        <w:rPr>
          <w:rFonts w:ascii="Times New Roman" w:hAnsi="Times New Roman" w:cs="Times New Roman"/>
          <w:sz w:val="24"/>
          <w:szCs w:val="24"/>
        </w:rPr>
        <w:t>9</w:t>
      </w:r>
      <w:r w:rsidRPr="00AB782C">
        <w:rPr>
          <w:rFonts w:ascii="Times New Roman" w:hAnsi="Times New Roman" w:cs="Times New Roman"/>
          <w:sz w:val="24"/>
          <w:szCs w:val="24"/>
        </w:rPr>
        <w:t>), are the “inverse probability of treatment weighting” (IPTW) approach and the “standardized mortality ratio weighting” (SMRW) approach (</w:t>
      </w:r>
      <w:r w:rsidR="007768CD">
        <w:rPr>
          <w:rFonts w:ascii="Times New Roman" w:hAnsi="Times New Roman" w:cs="Times New Roman"/>
          <w:sz w:val="24"/>
          <w:szCs w:val="24"/>
        </w:rPr>
        <w:t>7</w:t>
      </w:r>
      <w:r w:rsidRPr="00AB782C">
        <w:rPr>
          <w:rFonts w:ascii="Times New Roman" w:hAnsi="Times New Roman" w:cs="Times New Roman"/>
          <w:sz w:val="24"/>
          <w:szCs w:val="24"/>
        </w:rPr>
        <w:t xml:space="preserve">).  </w:t>
      </w:r>
    </w:p>
    <w:p w:rsidR="003F2670" w:rsidRDefault="003F2670" w:rsidP="003F2670">
      <w:pPr>
        <w:spacing w:line="480" w:lineRule="auto"/>
        <w:ind w:firstLine="720"/>
        <w:rPr>
          <w:rFonts w:ascii="Times New Roman" w:hAnsi="Times New Roman" w:cs="Times New Roman"/>
          <w:sz w:val="24"/>
          <w:szCs w:val="24"/>
        </w:rPr>
      </w:pPr>
      <w:r w:rsidRPr="00AB782C">
        <w:rPr>
          <w:rFonts w:ascii="Times New Roman" w:hAnsi="Times New Roman" w:cs="Times New Roman"/>
          <w:sz w:val="24"/>
          <w:szCs w:val="24"/>
        </w:rPr>
        <w:t xml:space="preserve">In the present context, IPTW assumes that women in the sample are sufficiently similar that mammography could be regarded as a clinically and behaviorally plausible method of detection, regardless of the woman’s actual method. The SMRW approach assumes, instead, that the observed “treatment effect” (resulting from detection by mammography) applies specifically to women whose characteristics are aligned with the portion of the sample actually detected by mammography.  As shown in Table S6, both the IPTW and SMRW approaches led to a successful rebalancing of the distribution of covariate values between the mammography and </w:t>
      </w:r>
      <w:r w:rsidR="00DB6B9C">
        <w:rPr>
          <w:rFonts w:ascii="Times New Roman" w:hAnsi="Times New Roman" w:cs="Times New Roman"/>
          <w:sz w:val="24"/>
          <w:szCs w:val="24"/>
        </w:rPr>
        <w:t xml:space="preserve">the </w:t>
      </w:r>
      <w:r w:rsidRPr="00AB782C">
        <w:rPr>
          <w:rFonts w:ascii="Times New Roman" w:hAnsi="Times New Roman" w:cs="Times New Roman"/>
          <w:sz w:val="24"/>
          <w:szCs w:val="24"/>
        </w:rPr>
        <w:t xml:space="preserve">other </w:t>
      </w:r>
      <w:r w:rsidR="00DB6B9C">
        <w:rPr>
          <w:rFonts w:ascii="Times New Roman" w:hAnsi="Times New Roman" w:cs="Times New Roman"/>
          <w:sz w:val="24"/>
          <w:szCs w:val="24"/>
        </w:rPr>
        <w:t xml:space="preserve">methods of detection </w:t>
      </w:r>
      <w:r w:rsidRPr="00AB782C">
        <w:rPr>
          <w:rFonts w:ascii="Times New Roman" w:hAnsi="Times New Roman" w:cs="Times New Roman"/>
          <w:sz w:val="24"/>
          <w:szCs w:val="24"/>
        </w:rPr>
        <w:t xml:space="preserve">“arms.”  Prior to PS weighting, the null of no imbalance in covariate values could be rejected for 9 of the 11 predictor variables; after reweighting the data under either approach, the resulting high p values on the null for all 11 variables indicate balance was achieved.   </w:t>
      </w:r>
    </w:p>
    <w:p w:rsidR="002636F2" w:rsidRDefault="00D4586B" w:rsidP="00D4586B">
      <w:pPr>
        <w:spacing w:line="480" w:lineRule="auto"/>
        <w:rPr>
          <w:rFonts w:ascii="Times New Roman" w:hAnsi="Times New Roman" w:cs="Times New Roman"/>
          <w:sz w:val="24"/>
          <w:szCs w:val="24"/>
        </w:rPr>
      </w:pPr>
      <w:r w:rsidRPr="00D4586B">
        <w:rPr>
          <w:rFonts w:ascii="Times New Roman" w:hAnsi="Times New Roman" w:cs="Times New Roman"/>
          <w:b/>
          <w:sz w:val="24"/>
          <w:szCs w:val="24"/>
        </w:rPr>
        <w:t xml:space="preserve">Section D.  Sensitivity Analyses Examining Robustness of Findings on Determinants of Advanced-Stage Breast Cancer Diagnosis to Variations on the Base-Case Model  </w:t>
      </w:r>
      <w:r w:rsidRPr="00D4586B">
        <w:rPr>
          <w:rFonts w:ascii="Times New Roman" w:hAnsi="Times New Roman" w:cs="Times New Roman"/>
          <w:sz w:val="24"/>
          <w:szCs w:val="24"/>
        </w:rPr>
        <w:t xml:space="preserve"> </w:t>
      </w:r>
    </w:p>
    <w:p w:rsidR="00D4586B" w:rsidRPr="00D4586B" w:rsidRDefault="00D4586B" w:rsidP="00BF2B33">
      <w:pPr>
        <w:spacing w:line="480" w:lineRule="auto"/>
        <w:ind w:firstLine="720"/>
        <w:rPr>
          <w:rFonts w:ascii="Times New Roman" w:hAnsi="Times New Roman" w:cs="Times New Roman"/>
          <w:sz w:val="24"/>
          <w:szCs w:val="24"/>
        </w:rPr>
      </w:pPr>
      <w:r w:rsidRPr="00D4586B">
        <w:rPr>
          <w:rFonts w:ascii="Times New Roman" w:hAnsi="Times New Roman" w:cs="Times New Roman"/>
          <w:sz w:val="24"/>
          <w:szCs w:val="24"/>
        </w:rPr>
        <w:t xml:space="preserve">In each of Tables S1-S5 below, some particular operating assumption made in the base-case models (Table 3) is altered, and we examine the impact on the direction and strength of individual predictors and overall model performance.  Table S6 reports analyses undertaken to appraise the statistical performance of the propensity-score models presented in Table S5.  </w:t>
      </w:r>
    </w:p>
    <w:p w:rsidR="00D4586B" w:rsidRPr="00D4586B" w:rsidRDefault="00D4586B" w:rsidP="00BF2B33">
      <w:pPr>
        <w:spacing w:line="480" w:lineRule="auto"/>
        <w:ind w:firstLine="720"/>
        <w:rPr>
          <w:rFonts w:ascii="Times New Roman" w:hAnsi="Times New Roman" w:cs="Times New Roman"/>
          <w:sz w:val="24"/>
          <w:szCs w:val="24"/>
        </w:rPr>
      </w:pPr>
      <w:r w:rsidRPr="00D4586B">
        <w:rPr>
          <w:rFonts w:ascii="Times New Roman" w:hAnsi="Times New Roman" w:cs="Times New Roman"/>
          <w:sz w:val="24"/>
          <w:szCs w:val="24"/>
        </w:rPr>
        <w:t xml:space="preserve">The first five tables here are formatted and organized identically to Table 3, so that the primary element requiring additional explanation is the reported sample size for model estimation, compared with N=7,503 in Table 3.  In Table S1, the net impact of eliminating the “tumor biology variables” (mole-subtype, grade, BMI) is to increase the sample to 7,610.  Even though these 3 variables are imputed in the base case, not all of the cases receiving imputed values are included in </w:t>
      </w:r>
      <w:r w:rsidR="002417D1">
        <w:rPr>
          <w:rFonts w:ascii="Times New Roman" w:hAnsi="Times New Roman" w:cs="Times New Roman"/>
          <w:sz w:val="24"/>
          <w:szCs w:val="24"/>
        </w:rPr>
        <w:t xml:space="preserve">the </w:t>
      </w:r>
      <w:r w:rsidRPr="00D4586B">
        <w:rPr>
          <w:rFonts w:ascii="Times New Roman" w:hAnsi="Times New Roman" w:cs="Times New Roman"/>
          <w:sz w:val="24"/>
          <w:szCs w:val="24"/>
        </w:rPr>
        <w:t>Table 3 estimates, since a small number will have missing values for</w:t>
      </w:r>
      <w:r w:rsidR="002417D1">
        <w:rPr>
          <w:rFonts w:ascii="Times New Roman" w:hAnsi="Times New Roman" w:cs="Times New Roman"/>
          <w:sz w:val="24"/>
          <w:szCs w:val="24"/>
        </w:rPr>
        <w:t xml:space="preserve"> one or more of the</w:t>
      </w:r>
      <w:r w:rsidRPr="00D4586B">
        <w:rPr>
          <w:rFonts w:ascii="Times New Roman" w:hAnsi="Times New Roman" w:cs="Times New Roman"/>
          <w:sz w:val="24"/>
          <w:szCs w:val="24"/>
        </w:rPr>
        <w:t xml:space="preserve"> other predictor variables; removing the 3 variables from the analysis serves to restore just over a hundred patients to the sample.  When there is no imputation of missing values for these 3 variables (Table S2), the available sample (that is, patients with no missing variable values</w:t>
      </w:r>
      <w:r w:rsidR="002417D1">
        <w:rPr>
          <w:rFonts w:ascii="Times New Roman" w:hAnsi="Times New Roman" w:cs="Times New Roman"/>
          <w:sz w:val="24"/>
          <w:szCs w:val="24"/>
        </w:rPr>
        <w:t xml:space="preserve"> whatsoever</w:t>
      </w:r>
      <w:r w:rsidRPr="00D4586B">
        <w:rPr>
          <w:rFonts w:ascii="Times New Roman" w:hAnsi="Times New Roman" w:cs="Times New Roman"/>
          <w:sz w:val="24"/>
          <w:szCs w:val="24"/>
        </w:rPr>
        <w:t>) shrinks to 4,078.  Re-estimating the base-case models using the sample weights (Table S3) has no effect on sample size</w:t>
      </w:r>
      <w:r w:rsidR="002417D1">
        <w:rPr>
          <w:rFonts w:ascii="Times New Roman" w:hAnsi="Times New Roman" w:cs="Times New Roman"/>
          <w:sz w:val="24"/>
          <w:szCs w:val="24"/>
        </w:rPr>
        <w:t xml:space="preserve"> relative to the base case</w:t>
      </w:r>
      <w:r w:rsidRPr="00D4586B">
        <w:rPr>
          <w:rFonts w:ascii="Times New Roman" w:hAnsi="Times New Roman" w:cs="Times New Roman"/>
          <w:sz w:val="24"/>
          <w:szCs w:val="24"/>
        </w:rPr>
        <w:t xml:space="preserve">.  When the statistically important instrumental variable, mammography-capacity, is removed from the first-stage regression of the 2SRI model, so that observations from the state of Minnesota are added, the resulting net uptick in sample makes N = 8,385.  When propensity score </w:t>
      </w:r>
      <w:r w:rsidR="00DB6B9C">
        <w:rPr>
          <w:rFonts w:ascii="Times New Roman" w:hAnsi="Times New Roman" w:cs="Times New Roman"/>
          <w:sz w:val="24"/>
          <w:szCs w:val="24"/>
        </w:rPr>
        <w:t>weighting</w:t>
      </w:r>
      <w:r w:rsidRPr="00D4586B">
        <w:rPr>
          <w:rFonts w:ascii="Times New Roman" w:hAnsi="Times New Roman" w:cs="Times New Roman"/>
          <w:sz w:val="24"/>
          <w:szCs w:val="24"/>
        </w:rPr>
        <w:t xml:space="preserve"> is employed (rather than instrumental variables) to adjust for possible selection bias (Table S5), the sample is identical to that used in the base-case (N = 7,503).  </w:t>
      </w:r>
    </w:p>
    <w:p w:rsidR="003F2670" w:rsidRPr="003F2670" w:rsidRDefault="003F2670" w:rsidP="003F2670">
      <w:pPr>
        <w:spacing w:line="480" w:lineRule="auto"/>
        <w:rPr>
          <w:rFonts w:ascii="Times New Roman" w:hAnsi="Times New Roman" w:cs="Times New Roman"/>
          <w:b/>
          <w:sz w:val="24"/>
          <w:szCs w:val="24"/>
        </w:rPr>
      </w:pPr>
    </w:p>
    <w:p w:rsidR="006F023C" w:rsidRDefault="006F023C" w:rsidP="006F023C">
      <w:pPr>
        <w:rPr>
          <w:rFonts w:ascii="Times New Roman" w:hAnsi="Times New Roman" w:cs="Times New Roman"/>
          <w:b/>
          <w:sz w:val="28"/>
          <w:szCs w:val="28"/>
        </w:rPr>
      </w:pPr>
    </w:p>
    <w:p w:rsidR="006F023C" w:rsidRDefault="006F023C" w:rsidP="006F023C">
      <w:pPr>
        <w:rPr>
          <w:rFonts w:ascii="Times New Roman" w:hAnsi="Times New Roman" w:cs="Times New Roman"/>
          <w:b/>
          <w:sz w:val="28"/>
          <w:szCs w:val="28"/>
        </w:rPr>
      </w:pPr>
    </w:p>
    <w:p w:rsidR="006F023C" w:rsidRDefault="00AF354C" w:rsidP="006F023C">
      <w:pPr>
        <w:rPr>
          <w:rFonts w:ascii="Times New Roman" w:hAnsi="Times New Roman" w:cs="Times New Roman"/>
          <w:b/>
          <w:sz w:val="28"/>
          <w:szCs w:val="28"/>
        </w:rPr>
      </w:pPr>
      <w:r w:rsidRPr="00C952FE">
        <w:rPr>
          <w:noProof/>
        </w:rPr>
        <w:drawing>
          <wp:inline distT="0" distB="0" distL="0" distR="0" wp14:anchorId="2232232A" wp14:editId="787BD653">
            <wp:extent cx="5943600" cy="5857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857240"/>
                    </a:xfrm>
                    <a:prstGeom prst="rect">
                      <a:avLst/>
                    </a:prstGeom>
                    <a:noFill/>
                    <a:ln>
                      <a:noFill/>
                    </a:ln>
                  </pic:spPr>
                </pic:pic>
              </a:graphicData>
            </a:graphic>
          </wp:inline>
        </w:drawing>
      </w:r>
    </w:p>
    <w:p w:rsidR="006F023C" w:rsidRDefault="006F023C" w:rsidP="006F023C">
      <w:pPr>
        <w:rPr>
          <w:rFonts w:ascii="Times New Roman" w:hAnsi="Times New Roman" w:cs="Times New Roman"/>
          <w:b/>
          <w:sz w:val="28"/>
          <w:szCs w:val="28"/>
        </w:rPr>
      </w:pPr>
    </w:p>
    <w:p w:rsidR="006F023C" w:rsidRDefault="006F023C" w:rsidP="006F023C">
      <w:pPr>
        <w:rPr>
          <w:rFonts w:ascii="Times New Roman" w:hAnsi="Times New Roman" w:cs="Times New Roman"/>
          <w:b/>
          <w:sz w:val="28"/>
          <w:szCs w:val="28"/>
        </w:rPr>
      </w:pPr>
    </w:p>
    <w:p w:rsidR="006F023C" w:rsidRDefault="006F023C" w:rsidP="006F023C">
      <w:pPr>
        <w:rPr>
          <w:rFonts w:ascii="Times New Roman" w:hAnsi="Times New Roman" w:cs="Times New Roman"/>
          <w:b/>
          <w:sz w:val="28"/>
          <w:szCs w:val="28"/>
        </w:rPr>
      </w:pPr>
    </w:p>
    <w:p w:rsidR="006F023C" w:rsidRDefault="006F023C" w:rsidP="006F023C">
      <w:pPr>
        <w:rPr>
          <w:rFonts w:ascii="Times New Roman" w:hAnsi="Times New Roman" w:cs="Times New Roman"/>
          <w:b/>
          <w:sz w:val="28"/>
          <w:szCs w:val="28"/>
        </w:rPr>
      </w:pPr>
    </w:p>
    <w:p w:rsidR="006F023C" w:rsidRDefault="006F023C" w:rsidP="006F023C">
      <w:pPr>
        <w:rPr>
          <w:rFonts w:ascii="Times New Roman" w:hAnsi="Times New Roman" w:cs="Times New Roman"/>
          <w:b/>
          <w:sz w:val="28"/>
          <w:szCs w:val="28"/>
        </w:rPr>
      </w:pPr>
    </w:p>
    <w:p w:rsidR="006F023C" w:rsidRDefault="006F023C" w:rsidP="006F023C">
      <w:pPr>
        <w:rPr>
          <w:rFonts w:ascii="Times New Roman" w:hAnsi="Times New Roman" w:cs="Times New Roman"/>
          <w:b/>
          <w:sz w:val="28"/>
          <w:szCs w:val="28"/>
        </w:rPr>
      </w:pPr>
    </w:p>
    <w:p w:rsidR="006F023C" w:rsidRDefault="006F023C" w:rsidP="006F023C">
      <w:pPr>
        <w:rPr>
          <w:rFonts w:ascii="Times New Roman" w:hAnsi="Times New Roman" w:cs="Times New Roman"/>
          <w:b/>
          <w:sz w:val="28"/>
          <w:szCs w:val="28"/>
        </w:rPr>
      </w:pPr>
    </w:p>
    <w:p w:rsidR="006F023C" w:rsidRDefault="00AF354C" w:rsidP="006F023C">
      <w:pPr>
        <w:rPr>
          <w:rFonts w:ascii="Times New Roman" w:hAnsi="Times New Roman" w:cs="Times New Roman"/>
          <w:b/>
          <w:sz w:val="28"/>
          <w:szCs w:val="28"/>
        </w:rPr>
      </w:pPr>
      <w:r w:rsidRPr="00DF3B5F">
        <w:rPr>
          <w:noProof/>
        </w:rPr>
        <w:drawing>
          <wp:inline distT="0" distB="0" distL="0" distR="0" wp14:anchorId="41DA26B6" wp14:editId="690BF7FF">
            <wp:extent cx="5943600" cy="6631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631305"/>
                    </a:xfrm>
                    <a:prstGeom prst="rect">
                      <a:avLst/>
                    </a:prstGeom>
                    <a:noFill/>
                    <a:ln>
                      <a:noFill/>
                    </a:ln>
                  </pic:spPr>
                </pic:pic>
              </a:graphicData>
            </a:graphic>
          </wp:inline>
        </w:drawing>
      </w:r>
    </w:p>
    <w:p w:rsidR="006F023C" w:rsidRDefault="006F023C" w:rsidP="006F023C">
      <w:pPr>
        <w:rPr>
          <w:rFonts w:ascii="Times New Roman" w:hAnsi="Times New Roman" w:cs="Times New Roman"/>
          <w:b/>
          <w:sz w:val="28"/>
          <w:szCs w:val="28"/>
        </w:rPr>
      </w:pPr>
    </w:p>
    <w:p w:rsidR="006F023C" w:rsidRDefault="00AF354C" w:rsidP="006F023C">
      <w:pPr>
        <w:rPr>
          <w:rFonts w:ascii="Times New Roman" w:hAnsi="Times New Roman" w:cs="Times New Roman"/>
          <w:b/>
          <w:sz w:val="28"/>
          <w:szCs w:val="28"/>
        </w:rPr>
      </w:pPr>
      <w:r w:rsidRPr="00770135">
        <w:rPr>
          <w:noProof/>
        </w:rPr>
        <w:drawing>
          <wp:inline distT="0" distB="0" distL="0" distR="0" wp14:anchorId="0B35D05A" wp14:editId="2A86B096">
            <wp:extent cx="5943600" cy="7491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491730"/>
                    </a:xfrm>
                    <a:prstGeom prst="rect">
                      <a:avLst/>
                    </a:prstGeom>
                    <a:noFill/>
                    <a:ln>
                      <a:noFill/>
                    </a:ln>
                  </pic:spPr>
                </pic:pic>
              </a:graphicData>
            </a:graphic>
          </wp:inline>
        </w:drawing>
      </w:r>
    </w:p>
    <w:p w:rsidR="006F023C" w:rsidRDefault="006F023C" w:rsidP="006F023C">
      <w:pPr>
        <w:rPr>
          <w:rFonts w:ascii="Times New Roman" w:hAnsi="Times New Roman" w:cs="Times New Roman"/>
          <w:b/>
          <w:sz w:val="28"/>
          <w:szCs w:val="28"/>
        </w:rPr>
      </w:pPr>
    </w:p>
    <w:p w:rsidR="006F023C" w:rsidRDefault="006F023C" w:rsidP="006F023C">
      <w:pPr>
        <w:rPr>
          <w:rFonts w:ascii="Times New Roman" w:hAnsi="Times New Roman" w:cs="Times New Roman"/>
          <w:b/>
          <w:sz w:val="28"/>
          <w:szCs w:val="28"/>
        </w:rPr>
      </w:pPr>
    </w:p>
    <w:p w:rsidR="006F023C" w:rsidRDefault="00A232C2" w:rsidP="006F023C">
      <w:pPr>
        <w:rPr>
          <w:rFonts w:ascii="Times New Roman" w:hAnsi="Times New Roman" w:cs="Times New Roman"/>
          <w:b/>
          <w:sz w:val="28"/>
          <w:szCs w:val="28"/>
        </w:rPr>
      </w:pPr>
      <w:r w:rsidRPr="00BE0BD0">
        <w:rPr>
          <w:noProof/>
        </w:rPr>
        <w:drawing>
          <wp:inline distT="0" distB="0" distL="0" distR="0" wp14:anchorId="0C31448F" wp14:editId="591FE229">
            <wp:extent cx="5943600" cy="718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188200"/>
                    </a:xfrm>
                    <a:prstGeom prst="rect">
                      <a:avLst/>
                    </a:prstGeom>
                    <a:noFill/>
                    <a:ln>
                      <a:noFill/>
                    </a:ln>
                  </pic:spPr>
                </pic:pic>
              </a:graphicData>
            </a:graphic>
          </wp:inline>
        </w:drawing>
      </w:r>
    </w:p>
    <w:p w:rsidR="006F023C" w:rsidRDefault="006F023C" w:rsidP="006F023C">
      <w:pPr>
        <w:rPr>
          <w:rFonts w:ascii="Times New Roman" w:hAnsi="Times New Roman" w:cs="Times New Roman"/>
          <w:b/>
          <w:sz w:val="28"/>
          <w:szCs w:val="28"/>
        </w:rPr>
      </w:pPr>
    </w:p>
    <w:p w:rsidR="006F023C" w:rsidRDefault="006F023C" w:rsidP="006F023C">
      <w:pPr>
        <w:rPr>
          <w:rFonts w:ascii="Times New Roman" w:hAnsi="Times New Roman" w:cs="Times New Roman"/>
          <w:b/>
          <w:sz w:val="28"/>
          <w:szCs w:val="28"/>
        </w:rPr>
        <w:sectPr w:rsidR="006F023C" w:rsidSect="007351A1">
          <w:footerReference w:type="default" r:id="rId12"/>
          <w:pgSz w:w="12240" w:h="15840"/>
          <w:pgMar w:top="1440" w:right="1440" w:bottom="1440" w:left="1440" w:header="720" w:footer="720" w:gutter="0"/>
          <w:cols w:space="720"/>
          <w:docGrid w:linePitch="360"/>
        </w:sectPr>
      </w:pPr>
    </w:p>
    <w:p w:rsidR="006F023C" w:rsidRDefault="00011B05" w:rsidP="006F023C">
      <w:pPr>
        <w:rPr>
          <w:rFonts w:ascii="Times New Roman" w:hAnsi="Times New Roman" w:cs="Times New Roman"/>
          <w:b/>
          <w:sz w:val="28"/>
          <w:szCs w:val="28"/>
        </w:rPr>
      </w:pPr>
      <w:r w:rsidRPr="00A10500">
        <w:rPr>
          <w:noProof/>
        </w:rPr>
        <w:drawing>
          <wp:inline distT="0" distB="0" distL="0" distR="0" wp14:anchorId="37343249" wp14:editId="6879E9DE">
            <wp:extent cx="5943600" cy="49154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915408"/>
                    </a:xfrm>
                    <a:prstGeom prst="rect">
                      <a:avLst/>
                    </a:prstGeom>
                    <a:noFill/>
                    <a:ln>
                      <a:noFill/>
                    </a:ln>
                  </pic:spPr>
                </pic:pic>
              </a:graphicData>
            </a:graphic>
          </wp:inline>
        </w:drawing>
      </w:r>
    </w:p>
    <w:p w:rsidR="006F023C" w:rsidRDefault="006F023C" w:rsidP="006F023C">
      <w:pPr>
        <w:rPr>
          <w:rFonts w:ascii="Times New Roman" w:hAnsi="Times New Roman" w:cs="Times New Roman"/>
          <w:b/>
          <w:sz w:val="28"/>
          <w:szCs w:val="28"/>
        </w:rPr>
      </w:pPr>
    </w:p>
    <w:p w:rsidR="006F023C" w:rsidRDefault="006F023C" w:rsidP="006F023C">
      <w:pPr>
        <w:rPr>
          <w:rFonts w:ascii="Times New Roman" w:hAnsi="Times New Roman" w:cs="Times New Roman"/>
          <w:b/>
          <w:sz w:val="28"/>
          <w:szCs w:val="28"/>
        </w:rPr>
      </w:pPr>
    </w:p>
    <w:p w:rsidR="006F023C" w:rsidRDefault="006F023C" w:rsidP="006F023C">
      <w:pPr>
        <w:rPr>
          <w:rFonts w:ascii="Times New Roman" w:hAnsi="Times New Roman" w:cs="Times New Roman"/>
          <w:b/>
          <w:sz w:val="28"/>
          <w:szCs w:val="28"/>
        </w:rPr>
      </w:pPr>
    </w:p>
    <w:p w:rsidR="006F023C" w:rsidRDefault="006F023C" w:rsidP="006F023C">
      <w:pPr>
        <w:rPr>
          <w:rFonts w:ascii="Times New Roman" w:hAnsi="Times New Roman" w:cs="Times New Roman"/>
          <w:b/>
          <w:sz w:val="28"/>
          <w:szCs w:val="28"/>
        </w:rPr>
      </w:pPr>
    </w:p>
    <w:p w:rsidR="006F023C" w:rsidRDefault="00E823BE" w:rsidP="006F023C">
      <w:pPr>
        <w:rPr>
          <w:rFonts w:ascii="Times New Roman" w:hAnsi="Times New Roman" w:cs="Times New Roman"/>
          <w:b/>
          <w:sz w:val="28"/>
          <w:szCs w:val="28"/>
        </w:rPr>
      </w:pPr>
      <w:r w:rsidRPr="006416E3">
        <w:rPr>
          <w:noProof/>
        </w:rPr>
        <w:drawing>
          <wp:inline distT="0" distB="0" distL="0" distR="0" wp14:anchorId="280DD133" wp14:editId="351F6C6B">
            <wp:extent cx="5943600" cy="72701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7270115"/>
                    </a:xfrm>
                    <a:prstGeom prst="rect">
                      <a:avLst/>
                    </a:prstGeom>
                    <a:noFill/>
                    <a:ln>
                      <a:noFill/>
                    </a:ln>
                  </pic:spPr>
                </pic:pic>
              </a:graphicData>
            </a:graphic>
          </wp:inline>
        </w:drawing>
      </w:r>
    </w:p>
    <w:p w:rsidR="00094A0D" w:rsidRDefault="00094A0D"/>
    <w:p w:rsidR="001112B0" w:rsidRDefault="001112B0" w:rsidP="00090061">
      <w:pPr>
        <w:spacing w:line="480" w:lineRule="auto"/>
        <w:rPr>
          <w:rFonts w:ascii="Times New Roman" w:hAnsi="Times New Roman" w:cs="Times New Roman"/>
          <w:b/>
          <w:sz w:val="24"/>
          <w:szCs w:val="24"/>
        </w:rPr>
      </w:pPr>
    </w:p>
    <w:p w:rsidR="00090061" w:rsidRDefault="00090061" w:rsidP="00090061">
      <w:pPr>
        <w:spacing w:line="480" w:lineRule="auto"/>
        <w:rPr>
          <w:rFonts w:ascii="Times New Roman" w:hAnsi="Times New Roman" w:cs="Times New Roman"/>
          <w:sz w:val="24"/>
          <w:szCs w:val="24"/>
        </w:rPr>
      </w:pPr>
      <w:r w:rsidRPr="00D4586B">
        <w:rPr>
          <w:rFonts w:ascii="Times New Roman" w:hAnsi="Times New Roman" w:cs="Times New Roman"/>
          <w:b/>
          <w:sz w:val="24"/>
          <w:szCs w:val="24"/>
        </w:rPr>
        <w:t xml:space="preserve">Section </w:t>
      </w:r>
      <w:r>
        <w:rPr>
          <w:rFonts w:ascii="Times New Roman" w:hAnsi="Times New Roman" w:cs="Times New Roman"/>
          <w:b/>
          <w:sz w:val="24"/>
          <w:szCs w:val="24"/>
        </w:rPr>
        <w:t>E</w:t>
      </w:r>
      <w:r w:rsidRPr="00D4586B">
        <w:rPr>
          <w:rFonts w:ascii="Times New Roman" w:hAnsi="Times New Roman" w:cs="Times New Roman"/>
          <w:b/>
          <w:sz w:val="24"/>
          <w:szCs w:val="24"/>
        </w:rPr>
        <w:t xml:space="preserve">.  </w:t>
      </w:r>
      <w:r w:rsidR="00EC4CE1">
        <w:rPr>
          <w:rFonts w:ascii="Times New Roman" w:hAnsi="Times New Roman" w:cs="Times New Roman"/>
          <w:b/>
          <w:sz w:val="24"/>
          <w:szCs w:val="24"/>
        </w:rPr>
        <w:t xml:space="preserve">Breast Cancer Method of Detection and Stage at Diagnosis: </w:t>
      </w:r>
      <w:r w:rsidR="00A66865">
        <w:rPr>
          <w:rFonts w:ascii="Times New Roman" w:hAnsi="Times New Roman" w:cs="Times New Roman"/>
          <w:b/>
          <w:sz w:val="24"/>
          <w:szCs w:val="24"/>
        </w:rPr>
        <w:t>Some Interpretative Issues</w:t>
      </w:r>
      <w:r w:rsidRPr="00D4586B">
        <w:rPr>
          <w:rFonts w:ascii="Times New Roman" w:hAnsi="Times New Roman" w:cs="Times New Roman"/>
          <w:b/>
          <w:sz w:val="24"/>
          <w:szCs w:val="24"/>
        </w:rPr>
        <w:t xml:space="preserve">  </w:t>
      </w:r>
      <w:r w:rsidRPr="00D4586B">
        <w:rPr>
          <w:rFonts w:ascii="Times New Roman" w:hAnsi="Times New Roman" w:cs="Times New Roman"/>
          <w:sz w:val="24"/>
          <w:szCs w:val="24"/>
        </w:rPr>
        <w:t xml:space="preserve"> </w:t>
      </w:r>
    </w:p>
    <w:p w:rsidR="00EC4CE1" w:rsidRPr="00C73E89" w:rsidRDefault="00A66865" w:rsidP="00EF4E1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paper </w:t>
      </w:r>
      <w:r w:rsidR="00EC4CE1" w:rsidRPr="00C73E89">
        <w:rPr>
          <w:rFonts w:ascii="Times New Roman" w:eastAsia="Times New Roman" w:hAnsi="Times New Roman" w:cs="Times New Roman"/>
          <w:sz w:val="24"/>
          <w:szCs w:val="24"/>
        </w:rPr>
        <w:t xml:space="preserve">there are </w:t>
      </w:r>
      <w:r>
        <w:rPr>
          <w:rFonts w:ascii="Times New Roman" w:eastAsia="Times New Roman" w:hAnsi="Times New Roman" w:cs="Times New Roman"/>
          <w:sz w:val="24"/>
          <w:szCs w:val="24"/>
        </w:rPr>
        <w:t>several defined</w:t>
      </w:r>
      <w:r w:rsidR="00EC4CE1" w:rsidRPr="00C73E89">
        <w:rPr>
          <w:rFonts w:ascii="Times New Roman" w:eastAsia="Times New Roman" w:hAnsi="Times New Roman" w:cs="Times New Roman"/>
          <w:sz w:val="24"/>
          <w:szCs w:val="24"/>
        </w:rPr>
        <w:t xml:space="preserve"> modalities for detecting breast cancer: screening mammography (</w:t>
      </w:r>
      <w:r>
        <w:rPr>
          <w:rFonts w:ascii="Times New Roman" w:eastAsia="Times New Roman" w:hAnsi="Times New Roman" w:cs="Times New Roman"/>
          <w:sz w:val="24"/>
          <w:szCs w:val="24"/>
        </w:rPr>
        <w:t xml:space="preserve">call it now </w:t>
      </w:r>
      <w:r w:rsidR="00EC4CE1" w:rsidRPr="00C73E89">
        <w:rPr>
          <w:rFonts w:ascii="Times New Roman" w:eastAsia="Times New Roman" w:hAnsi="Times New Roman" w:cs="Times New Roman"/>
          <w:sz w:val="24"/>
          <w:szCs w:val="24"/>
        </w:rPr>
        <w:t xml:space="preserve">M), clinical breast exam (CBE), breast self-exam (BSE), and symptom-driven discovery.  The latter three comprise the </w:t>
      </w:r>
      <w:r w:rsidR="002D533B">
        <w:rPr>
          <w:rFonts w:ascii="Times New Roman" w:eastAsia="Times New Roman" w:hAnsi="Times New Roman" w:cs="Times New Roman"/>
          <w:sz w:val="24"/>
          <w:szCs w:val="24"/>
        </w:rPr>
        <w:t>“other”</w:t>
      </w:r>
      <w:r w:rsidR="00EC4CE1" w:rsidRPr="00C73E89">
        <w:rPr>
          <w:rFonts w:ascii="Times New Roman" w:eastAsia="Times New Roman" w:hAnsi="Times New Roman" w:cs="Times New Roman"/>
          <w:sz w:val="24"/>
          <w:szCs w:val="24"/>
        </w:rPr>
        <w:t xml:space="preserve"> category for our dichotomous </w:t>
      </w:r>
      <w:r w:rsidR="002D533B">
        <w:rPr>
          <w:rFonts w:ascii="Times New Roman" w:eastAsia="Times New Roman" w:hAnsi="Times New Roman" w:cs="Times New Roman"/>
          <w:sz w:val="24"/>
          <w:szCs w:val="24"/>
        </w:rPr>
        <w:t>m</w:t>
      </w:r>
      <w:r w:rsidR="00EC4CE1" w:rsidRPr="00C73E89">
        <w:rPr>
          <w:rFonts w:ascii="Times New Roman" w:eastAsia="Times New Roman" w:hAnsi="Times New Roman" w:cs="Times New Roman"/>
          <w:sz w:val="24"/>
          <w:szCs w:val="24"/>
        </w:rPr>
        <w:t xml:space="preserve">ethod of </w:t>
      </w:r>
      <w:r w:rsidR="002D533B">
        <w:rPr>
          <w:rFonts w:ascii="Times New Roman" w:eastAsia="Times New Roman" w:hAnsi="Times New Roman" w:cs="Times New Roman"/>
          <w:sz w:val="24"/>
          <w:szCs w:val="24"/>
        </w:rPr>
        <w:t>d</w:t>
      </w:r>
      <w:r w:rsidR="00EC4CE1" w:rsidRPr="00C73E89">
        <w:rPr>
          <w:rFonts w:ascii="Times New Roman" w:eastAsia="Times New Roman" w:hAnsi="Times New Roman" w:cs="Times New Roman"/>
          <w:sz w:val="24"/>
          <w:szCs w:val="24"/>
        </w:rPr>
        <w:t xml:space="preserve">etection variable.  </w:t>
      </w:r>
      <w:r>
        <w:rPr>
          <w:rFonts w:ascii="Times New Roman" w:eastAsia="Times New Roman" w:hAnsi="Times New Roman" w:cs="Times New Roman"/>
          <w:sz w:val="24"/>
          <w:szCs w:val="24"/>
        </w:rPr>
        <w:t xml:space="preserve">Note that </w:t>
      </w:r>
      <w:r w:rsidR="00EC4CE1" w:rsidRPr="00C73E89">
        <w:rPr>
          <w:rFonts w:ascii="Times New Roman" w:eastAsia="Times New Roman" w:hAnsi="Times New Roman" w:cs="Times New Roman"/>
          <w:sz w:val="24"/>
          <w:szCs w:val="24"/>
        </w:rPr>
        <w:t xml:space="preserve">the frequency and time-spacing with which each – or any – of M, CBE, BSE, and symptom-driven discovery are being executed by the at-risk woman cannot be observed in our data set; what we know is the recorded Method around the time of diagnosis.  </w:t>
      </w:r>
      <w:r>
        <w:rPr>
          <w:rFonts w:ascii="Times New Roman" w:eastAsia="Times New Roman" w:hAnsi="Times New Roman" w:cs="Times New Roman"/>
          <w:sz w:val="24"/>
          <w:szCs w:val="24"/>
        </w:rPr>
        <w:t xml:space="preserve">Note also that </w:t>
      </w:r>
      <w:r w:rsidR="00EC4CE1" w:rsidRPr="00C73E89">
        <w:rPr>
          <w:rFonts w:ascii="Times New Roman" w:eastAsia="Times New Roman" w:hAnsi="Times New Roman" w:cs="Times New Roman"/>
          <w:sz w:val="24"/>
          <w:szCs w:val="24"/>
        </w:rPr>
        <w:t>each of M, CBE, BSE, and symptom-driven discovery can generate true and false positives and true and false negatives, and at different rates that vary not only by the underlying “technology” of the test but also the physiological make-up of the woman, including (for example) tumor growth rates, mammographic breast density, and the size and location of the breast tumor if there is one to be detected.  In sum, in th</w:t>
      </w:r>
      <w:r>
        <w:rPr>
          <w:rFonts w:ascii="Times New Roman" w:eastAsia="Times New Roman" w:hAnsi="Times New Roman" w:cs="Times New Roman"/>
          <w:sz w:val="24"/>
          <w:szCs w:val="24"/>
        </w:rPr>
        <w:t>e</w:t>
      </w:r>
      <w:r w:rsidR="00EC4CE1" w:rsidRPr="00C73E89">
        <w:rPr>
          <w:rFonts w:ascii="Times New Roman" w:eastAsia="Times New Roman" w:hAnsi="Times New Roman" w:cs="Times New Roman"/>
          <w:sz w:val="24"/>
          <w:szCs w:val="24"/>
        </w:rPr>
        <w:t xml:space="preserve"> observational setting</w:t>
      </w:r>
      <w:r>
        <w:rPr>
          <w:rFonts w:ascii="Times New Roman" w:eastAsia="Times New Roman" w:hAnsi="Times New Roman" w:cs="Times New Roman"/>
          <w:sz w:val="24"/>
          <w:szCs w:val="24"/>
        </w:rPr>
        <w:t xml:space="preserve"> of our study</w:t>
      </w:r>
      <w:r w:rsidR="00EC4CE1" w:rsidRPr="00C73E89">
        <w:rPr>
          <w:rFonts w:ascii="Times New Roman" w:eastAsia="Times New Roman" w:hAnsi="Times New Roman" w:cs="Times New Roman"/>
          <w:sz w:val="24"/>
          <w:szCs w:val="24"/>
        </w:rPr>
        <w:t xml:space="preserve">, there are multiple factors potentially at work prior to the moment when the breast cancer is diagnostically confirmed and a </w:t>
      </w:r>
      <w:r w:rsidR="002D533B">
        <w:rPr>
          <w:rFonts w:ascii="Times New Roman" w:eastAsia="Times New Roman" w:hAnsi="Times New Roman" w:cs="Times New Roman"/>
          <w:sz w:val="24"/>
          <w:szCs w:val="24"/>
        </w:rPr>
        <w:t>m</w:t>
      </w:r>
      <w:r w:rsidR="00EC4CE1" w:rsidRPr="00C73E89">
        <w:rPr>
          <w:rFonts w:ascii="Times New Roman" w:eastAsia="Times New Roman" w:hAnsi="Times New Roman" w:cs="Times New Roman"/>
          <w:sz w:val="24"/>
          <w:szCs w:val="24"/>
        </w:rPr>
        <w:t xml:space="preserve">ethod of </w:t>
      </w:r>
      <w:r w:rsidR="002D533B">
        <w:rPr>
          <w:rFonts w:ascii="Times New Roman" w:eastAsia="Times New Roman" w:hAnsi="Times New Roman" w:cs="Times New Roman"/>
          <w:sz w:val="24"/>
          <w:szCs w:val="24"/>
        </w:rPr>
        <w:t>d</w:t>
      </w:r>
      <w:r w:rsidR="00EC4CE1" w:rsidRPr="00C73E89">
        <w:rPr>
          <w:rFonts w:ascii="Times New Roman" w:eastAsia="Times New Roman" w:hAnsi="Times New Roman" w:cs="Times New Roman"/>
          <w:sz w:val="24"/>
          <w:szCs w:val="24"/>
        </w:rPr>
        <w:t xml:space="preserve">etection is recorded.  </w:t>
      </w:r>
    </w:p>
    <w:p w:rsidR="00EC4CE1" w:rsidRPr="00C73E89" w:rsidRDefault="00A66865" w:rsidP="00EF4E1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one of the reviewers of this paper emphasized, there lurks here that </w:t>
      </w:r>
      <w:r w:rsidR="00EC4CE1" w:rsidRPr="00C73E89">
        <w:rPr>
          <w:rFonts w:ascii="Times New Roman" w:eastAsia="Times New Roman" w:hAnsi="Times New Roman" w:cs="Times New Roman"/>
          <w:sz w:val="24"/>
          <w:szCs w:val="24"/>
        </w:rPr>
        <w:t xml:space="preserve">matter of the </w:t>
      </w:r>
      <w:r>
        <w:rPr>
          <w:rFonts w:ascii="Times New Roman" w:eastAsia="Times New Roman" w:hAnsi="Times New Roman" w:cs="Times New Roman"/>
          <w:sz w:val="24"/>
          <w:szCs w:val="24"/>
        </w:rPr>
        <w:t>“</w:t>
      </w:r>
      <w:r w:rsidR="00EC4CE1" w:rsidRPr="00C73E89">
        <w:rPr>
          <w:rFonts w:ascii="Times New Roman" w:eastAsia="Times New Roman" w:hAnsi="Times New Roman" w:cs="Times New Roman"/>
          <w:sz w:val="24"/>
          <w:szCs w:val="24"/>
        </w:rPr>
        <w:t>implicit counterfactual.</w:t>
      </w:r>
      <w:r>
        <w:rPr>
          <w:rFonts w:ascii="Times New Roman" w:eastAsia="Times New Roman" w:hAnsi="Times New Roman" w:cs="Times New Roman"/>
          <w:sz w:val="24"/>
          <w:szCs w:val="24"/>
        </w:rPr>
        <w:t>”</w:t>
      </w:r>
      <w:r w:rsidR="00EC4CE1" w:rsidRPr="00C73E89">
        <w:rPr>
          <w:rFonts w:ascii="Times New Roman" w:eastAsia="Times New Roman" w:hAnsi="Times New Roman" w:cs="Times New Roman"/>
          <w:sz w:val="24"/>
          <w:szCs w:val="24"/>
        </w:rPr>
        <w:t xml:space="preserve">  For a woman diagnosed at </w:t>
      </w:r>
      <w:r w:rsidR="00F81702">
        <w:rPr>
          <w:rFonts w:ascii="Times New Roman" w:eastAsia="Times New Roman" w:hAnsi="Times New Roman" w:cs="Times New Roman"/>
          <w:sz w:val="24"/>
          <w:szCs w:val="24"/>
        </w:rPr>
        <w:t>a</w:t>
      </w:r>
      <w:r w:rsidR="00EC4CE1" w:rsidRPr="00C73E89">
        <w:rPr>
          <w:rFonts w:ascii="Times New Roman" w:eastAsia="Times New Roman" w:hAnsi="Times New Roman" w:cs="Times New Roman"/>
          <w:sz w:val="24"/>
          <w:szCs w:val="24"/>
        </w:rPr>
        <w:t xml:space="preserve">dvanced </w:t>
      </w:r>
      <w:r w:rsidR="00F81702">
        <w:rPr>
          <w:rFonts w:ascii="Times New Roman" w:eastAsia="Times New Roman" w:hAnsi="Times New Roman" w:cs="Times New Roman"/>
          <w:sz w:val="24"/>
          <w:szCs w:val="24"/>
        </w:rPr>
        <w:t>s</w:t>
      </w:r>
      <w:r w:rsidR="00EC4CE1" w:rsidRPr="00C73E89">
        <w:rPr>
          <w:rFonts w:ascii="Times New Roman" w:eastAsia="Times New Roman" w:hAnsi="Times New Roman" w:cs="Times New Roman"/>
          <w:sz w:val="24"/>
          <w:szCs w:val="24"/>
        </w:rPr>
        <w:t xml:space="preserve">tage (IIIB, IIIC, or IV) whose recorded </w:t>
      </w:r>
      <w:r w:rsidR="002D533B">
        <w:rPr>
          <w:rFonts w:ascii="Times New Roman" w:eastAsia="Times New Roman" w:hAnsi="Times New Roman" w:cs="Times New Roman"/>
          <w:sz w:val="24"/>
          <w:szCs w:val="24"/>
        </w:rPr>
        <w:t>m</w:t>
      </w:r>
      <w:r w:rsidR="00EC4CE1" w:rsidRPr="00C73E89">
        <w:rPr>
          <w:rFonts w:ascii="Times New Roman" w:eastAsia="Times New Roman" w:hAnsi="Times New Roman" w:cs="Times New Roman"/>
          <w:sz w:val="24"/>
          <w:szCs w:val="24"/>
        </w:rPr>
        <w:t xml:space="preserve">ethod of </w:t>
      </w:r>
      <w:r w:rsidR="002D533B">
        <w:rPr>
          <w:rFonts w:ascii="Times New Roman" w:eastAsia="Times New Roman" w:hAnsi="Times New Roman" w:cs="Times New Roman"/>
          <w:sz w:val="24"/>
          <w:szCs w:val="24"/>
        </w:rPr>
        <w:t>d</w:t>
      </w:r>
      <w:r w:rsidR="00EC4CE1" w:rsidRPr="00C73E89">
        <w:rPr>
          <w:rFonts w:ascii="Times New Roman" w:eastAsia="Times New Roman" w:hAnsi="Times New Roman" w:cs="Times New Roman"/>
          <w:sz w:val="24"/>
          <w:szCs w:val="24"/>
        </w:rPr>
        <w:t xml:space="preserve">etection </w:t>
      </w:r>
      <w:r w:rsidR="002D533B">
        <w:rPr>
          <w:rFonts w:ascii="Times New Roman" w:eastAsia="Times New Roman" w:hAnsi="Times New Roman" w:cs="Times New Roman"/>
          <w:sz w:val="24"/>
          <w:szCs w:val="24"/>
        </w:rPr>
        <w:t>is other</w:t>
      </w:r>
      <w:r w:rsidR="00EC4CE1" w:rsidRPr="00C73E89">
        <w:rPr>
          <w:rFonts w:ascii="Times New Roman" w:eastAsia="Times New Roman" w:hAnsi="Times New Roman" w:cs="Times New Roman"/>
          <w:sz w:val="24"/>
          <w:szCs w:val="24"/>
        </w:rPr>
        <w:t xml:space="preserve">, one should not infer that </w:t>
      </w:r>
      <w:r w:rsidR="00EC4CE1" w:rsidRPr="00C73E89">
        <w:rPr>
          <w:rFonts w:ascii="Times New Roman" w:eastAsia="Times New Roman" w:hAnsi="Times New Roman" w:cs="Times New Roman"/>
          <w:i/>
          <w:sz w:val="24"/>
          <w:szCs w:val="24"/>
        </w:rPr>
        <w:t>if</w:t>
      </w:r>
      <w:r w:rsidR="00EC4CE1" w:rsidRPr="00C73E89">
        <w:rPr>
          <w:rFonts w:ascii="Times New Roman" w:eastAsia="Times New Roman" w:hAnsi="Times New Roman" w:cs="Times New Roman"/>
          <w:sz w:val="24"/>
          <w:szCs w:val="24"/>
        </w:rPr>
        <w:t xml:space="preserve"> the woman had been undergoing M, she would necessarily have been detected at an Earlier Stage (0, I, IIA, IIB, or IIIA).  There are several reasons to be cautious here: (1) the woman may have just started doing M, at a time when her tumor was already at an </w:t>
      </w:r>
      <w:r w:rsidR="002D533B">
        <w:rPr>
          <w:rFonts w:ascii="Times New Roman" w:eastAsia="Times New Roman" w:hAnsi="Times New Roman" w:cs="Times New Roman"/>
          <w:sz w:val="24"/>
          <w:szCs w:val="24"/>
        </w:rPr>
        <w:t>a</w:t>
      </w:r>
      <w:r w:rsidR="00EC4CE1" w:rsidRPr="00C73E89">
        <w:rPr>
          <w:rFonts w:ascii="Times New Roman" w:eastAsia="Times New Roman" w:hAnsi="Times New Roman" w:cs="Times New Roman"/>
          <w:sz w:val="24"/>
          <w:szCs w:val="24"/>
        </w:rPr>
        <w:t xml:space="preserve">dvanced stage (this is referred to as the prevalent screen, and in both randomized trials and evaluations of service screening, it always has yielded a mix of early and advanced tumors); (2) even for those doing M more frequently, the test could yield a false negative (especially for women with very mammographically dense breasts or with lobular histology); and (3) when the M was done, the tumor was very small and missed, but it happened to be a very aggressive tumor that moved to </w:t>
      </w:r>
      <w:r w:rsidR="002D533B">
        <w:rPr>
          <w:rFonts w:ascii="Times New Roman" w:eastAsia="Times New Roman" w:hAnsi="Times New Roman" w:cs="Times New Roman"/>
          <w:sz w:val="24"/>
          <w:szCs w:val="24"/>
        </w:rPr>
        <w:t>a</w:t>
      </w:r>
      <w:r w:rsidR="00EC4CE1" w:rsidRPr="00C73E89">
        <w:rPr>
          <w:rFonts w:ascii="Times New Roman" w:eastAsia="Times New Roman" w:hAnsi="Times New Roman" w:cs="Times New Roman"/>
          <w:sz w:val="24"/>
          <w:szCs w:val="24"/>
        </w:rPr>
        <w:t xml:space="preserve">dvanced stage before the next scheduled M (heightening the likelihood of a “interval” detection).  </w:t>
      </w:r>
      <w:r w:rsidR="002D533B">
        <w:rPr>
          <w:rFonts w:ascii="Times New Roman" w:eastAsia="Times New Roman" w:hAnsi="Times New Roman" w:cs="Times New Roman"/>
          <w:sz w:val="24"/>
          <w:szCs w:val="24"/>
        </w:rPr>
        <w:t>Consequently, we have not claimed (</w:t>
      </w:r>
      <w:r w:rsidR="00EC4CE1" w:rsidRPr="00C73E89">
        <w:rPr>
          <w:rFonts w:ascii="Times New Roman" w:eastAsia="Times New Roman" w:hAnsi="Times New Roman" w:cs="Times New Roman"/>
          <w:sz w:val="24"/>
          <w:szCs w:val="24"/>
        </w:rPr>
        <w:t>nor does any</w:t>
      </w:r>
      <w:r w:rsidR="002D533B">
        <w:rPr>
          <w:rFonts w:ascii="Times New Roman" w:eastAsia="Times New Roman" w:hAnsi="Times New Roman" w:cs="Times New Roman"/>
          <w:sz w:val="24"/>
          <w:szCs w:val="24"/>
        </w:rPr>
        <w:t>one else</w:t>
      </w:r>
      <w:r w:rsidR="00EC4CE1" w:rsidRPr="00C73E89">
        <w:rPr>
          <w:rFonts w:ascii="Times New Roman" w:eastAsia="Times New Roman" w:hAnsi="Times New Roman" w:cs="Times New Roman"/>
          <w:sz w:val="24"/>
          <w:szCs w:val="24"/>
        </w:rPr>
        <w:t xml:space="preserve"> today</w:t>
      </w:r>
      <w:r w:rsidR="002D533B">
        <w:rPr>
          <w:rFonts w:ascii="Times New Roman" w:eastAsia="Times New Roman" w:hAnsi="Times New Roman" w:cs="Times New Roman"/>
          <w:sz w:val="24"/>
          <w:szCs w:val="24"/>
        </w:rPr>
        <w:t>)</w:t>
      </w:r>
      <w:r w:rsidR="00EC4CE1" w:rsidRPr="00C73E89">
        <w:rPr>
          <w:rFonts w:ascii="Times New Roman" w:eastAsia="Times New Roman" w:hAnsi="Times New Roman" w:cs="Times New Roman"/>
          <w:sz w:val="24"/>
          <w:szCs w:val="24"/>
        </w:rPr>
        <w:t xml:space="preserve"> that if a woman gets regular mammograms, her cancer always will be detected by mammography at an early stage. </w:t>
      </w:r>
    </w:p>
    <w:p w:rsidR="00EC4CE1" w:rsidRPr="00C73E89" w:rsidRDefault="002D533B" w:rsidP="00EF4E1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EC4CE1" w:rsidRPr="00C73E89">
        <w:rPr>
          <w:rFonts w:ascii="Times New Roman" w:eastAsia="Times New Roman" w:hAnsi="Times New Roman" w:cs="Times New Roman"/>
          <w:sz w:val="24"/>
          <w:szCs w:val="24"/>
        </w:rPr>
        <w:t xml:space="preserve">here are </w:t>
      </w:r>
      <w:r>
        <w:rPr>
          <w:rFonts w:ascii="Times New Roman" w:eastAsia="Times New Roman" w:hAnsi="Times New Roman" w:cs="Times New Roman"/>
          <w:sz w:val="24"/>
          <w:szCs w:val="24"/>
        </w:rPr>
        <w:t xml:space="preserve">kindred </w:t>
      </w:r>
      <w:r w:rsidR="00EC4CE1" w:rsidRPr="00C73E89">
        <w:rPr>
          <w:rFonts w:ascii="Times New Roman" w:eastAsia="Times New Roman" w:hAnsi="Times New Roman" w:cs="Times New Roman"/>
          <w:sz w:val="24"/>
          <w:szCs w:val="24"/>
        </w:rPr>
        <w:t xml:space="preserve">variations on the theme:  For a woman diagnosed at an Earlier Stage by M, we must be cautious in inferring that she would have been diagnosed at an Advanced Stage, especially as defined here, without M.  Some women whose cancers are self-detected are diagnosed at an early stage simply because the tumor is palpable but not aggressive, i.e., an “underachiever.” </w:t>
      </w:r>
      <w:r>
        <w:rPr>
          <w:rFonts w:ascii="Times New Roman" w:eastAsia="Times New Roman" w:hAnsi="Times New Roman" w:cs="Times New Roman"/>
          <w:sz w:val="24"/>
          <w:szCs w:val="24"/>
        </w:rPr>
        <w:t xml:space="preserve"> </w:t>
      </w:r>
      <w:r w:rsidR="00EC4CE1" w:rsidRPr="00C73E89">
        <w:rPr>
          <w:rFonts w:ascii="Times New Roman" w:eastAsia="Times New Roman" w:hAnsi="Times New Roman" w:cs="Times New Roman"/>
          <w:sz w:val="24"/>
          <w:szCs w:val="24"/>
        </w:rPr>
        <w:t>In the randomized controlled trials</w:t>
      </w:r>
      <w:r>
        <w:rPr>
          <w:rFonts w:ascii="Times New Roman" w:eastAsia="Times New Roman" w:hAnsi="Times New Roman" w:cs="Times New Roman"/>
          <w:sz w:val="24"/>
          <w:szCs w:val="24"/>
        </w:rPr>
        <w:t xml:space="preserve"> for mammography screening</w:t>
      </w:r>
      <w:r w:rsidR="00EC4CE1" w:rsidRPr="00C73E89">
        <w:rPr>
          <w:rFonts w:ascii="Times New Roman" w:eastAsia="Times New Roman" w:hAnsi="Times New Roman" w:cs="Times New Roman"/>
          <w:sz w:val="24"/>
          <w:szCs w:val="24"/>
        </w:rPr>
        <w:t xml:space="preserve">, interval cancers diagnosed in the invited arm tended to have more favorable stage at diagnosis simply because women had a heightened sense of awareness and responded to symptoms sooner compared with the control groups. More specifically, if a woman also was receiving CBE, it is possible that </w:t>
      </w:r>
      <w:r w:rsidRPr="00EF4E10">
        <w:rPr>
          <w:rFonts w:ascii="Times New Roman" w:eastAsia="Times New Roman" w:hAnsi="Times New Roman" w:cs="Times New Roman"/>
          <w:i/>
          <w:sz w:val="24"/>
          <w:szCs w:val="24"/>
        </w:rPr>
        <w:t>that</w:t>
      </w:r>
      <w:r>
        <w:rPr>
          <w:rFonts w:ascii="Times New Roman" w:eastAsia="Times New Roman" w:hAnsi="Times New Roman" w:cs="Times New Roman"/>
          <w:sz w:val="24"/>
          <w:szCs w:val="24"/>
        </w:rPr>
        <w:t xml:space="preserve"> </w:t>
      </w:r>
      <w:r w:rsidR="00EC4CE1" w:rsidRPr="00C73E89">
        <w:rPr>
          <w:rFonts w:ascii="Times New Roman" w:eastAsia="Times New Roman" w:hAnsi="Times New Roman" w:cs="Times New Roman"/>
          <w:sz w:val="24"/>
          <w:szCs w:val="24"/>
        </w:rPr>
        <w:t xml:space="preserve">test could have triggered an Earlier Stage diagnosis, notwithstanding its inferior sensitivity relative to M.  Indeed, for a woman with a tumor </w:t>
      </w:r>
      <w:r>
        <w:rPr>
          <w:rFonts w:ascii="Times New Roman" w:eastAsia="Times New Roman" w:hAnsi="Times New Roman" w:cs="Times New Roman"/>
          <w:sz w:val="24"/>
          <w:szCs w:val="24"/>
        </w:rPr>
        <w:t xml:space="preserve">not yet exhibiting symptoms and </w:t>
      </w:r>
      <w:r w:rsidR="00EC4CE1" w:rsidRPr="00C73E89">
        <w:rPr>
          <w:rFonts w:ascii="Times New Roman" w:eastAsia="Times New Roman" w:hAnsi="Times New Roman" w:cs="Times New Roman"/>
          <w:sz w:val="24"/>
          <w:szCs w:val="24"/>
        </w:rPr>
        <w:t>who is doing both M and CBE, the cancer could conceivably be detected by either test, depending on the timing of their execution relative to the emergence of a sufficiently discernible mass that she herself would notice</w:t>
      </w:r>
      <w:r>
        <w:rPr>
          <w:rFonts w:ascii="Times New Roman" w:eastAsia="Times New Roman" w:hAnsi="Times New Roman" w:cs="Times New Roman"/>
          <w:sz w:val="24"/>
          <w:szCs w:val="24"/>
        </w:rPr>
        <w:t xml:space="preserve"> via BSE</w:t>
      </w:r>
      <w:r w:rsidR="00EC4CE1" w:rsidRPr="00C73E89">
        <w:rPr>
          <w:rFonts w:ascii="Times New Roman" w:eastAsia="Times New Roman" w:hAnsi="Times New Roman" w:cs="Times New Roman"/>
          <w:sz w:val="24"/>
          <w:szCs w:val="24"/>
        </w:rPr>
        <w:t>.  The test that “got there first” will be given credit for the diagnosis in the woman’s clinical notes (that’s how we identified the Method for each patient</w:t>
      </w:r>
      <w:r>
        <w:rPr>
          <w:rFonts w:ascii="Times New Roman" w:eastAsia="Times New Roman" w:hAnsi="Times New Roman" w:cs="Times New Roman"/>
          <w:sz w:val="24"/>
          <w:szCs w:val="24"/>
        </w:rPr>
        <w:t xml:space="preserve"> in this study</w:t>
      </w:r>
      <w:r w:rsidR="00EC4CE1" w:rsidRPr="00C73E89">
        <w:rPr>
          <w:rFonts w:ascii="Times New Roman" w:eastAsia="Times New Roman" w:hAnsi="Times New Roman" w:cs="Times New Roman"/>
          <w:sz w:val="24"/>
          <w:szCs w:val="24"/>
        </w:rPr>
        <w:t xml:space="preserve">), but that </w:t>
      </w:r>
      <w:r>
        <w:rPr>
          <w:rFonts w:ascii="Times New Roman" w:eastAsia="Times New Roman" w:hAnsi="Times New Roman" w:cs="Times New Roman"/>
          <w:sz w:val="24"/>
          <w:szCs w:val="24"/>
        </w:rPr>
        <w:t>does not</w:t>
      </w:r>
      <w:r w:rsidR="00EC4CE1" w:rsidRPr="00C73E89">
        <w:rPr>
          <w:rFonts w:ascii="Times New Roman" w:eastAsia="Times New Roman" w:hAnsi="Times New Roman" w:cs="Times New Roman"/>
          <w:sz w:val="24"/>
          <w:szCs w:val="24"/>
        </w:rPr>
        <w:t xml:space="preserve"> mean the other test</w:t>
      </w:r>
      <w:r>
        <w:rPr>
          <w:rFonts w:ascii="Times New Roman" w:eastAsia="Times New Roman" w:hAnsi="Times New Roman" w:cs="Times New Roman"/>
          <w:sz w:val="24"/>
          <w:szCs w:val="24"/>
        </w:rPr>
        <w:t>(s)</w:t>
      </w:r>
      <w:r w:rsidR="00EC4CE1" w:rsidRPr="00C73E89">
        <w:rPr>
          <w:rFonts w:ascii="Times New Roman" w:eastAsia="Times New Roman" w:hAnsi="Times New Roman" w:cs="Times New Roman"/>
          <w:sz w:val="24"/>
          <w:szCs w:val="24"/>
        </w:rPr>
        <w:t xml:space="preserve"> could not also have gotten the job done successfully.  </w:t>
      </w:r>
    </w:p>
    <w:p w:rsidR="00EC4CE1" w:rsidRPr="00C73E89" w:rsidRDefault="0039788F" w:rsidP="00EF4E1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Analyses of the</w:t>
      </w:r>
      <w:r w:rsidR="00EC4CE1" w:rsidRPr="00C73E89">
        <w:rPr>
          <w:rFonts w:ascii="Times New Roman" w:eastAsia="Times New Roman" w:hAnsi="Times New Roman" w:cs="Times New Roman"/>
          <w:sz w:val="24"/>
          <w:szCs w:val="24"/>
        </w:rPr>
        <w:t xml:space="preserve"> association between invitation and exposure to screening in both randomized controlled trials and observational studies </w:t>
      </w:r>
      <w:r>
        <w:rPr>
          <w:rFonts w:ascii="Times New Roman" w:eastAsia="Times New Roman" w:hAnsi="Times New Roman" w:cs="Times New Roman"/>
          <w:sz w:val="24"/>
          <w:szCs w:val="24"/>
        </w:rPr>
        <w:t xml:space="preserve">have </w:t>
      </w:r>
      <w:r w:rsidR="00EC4CE1" w:rsidRPr="00C73E89">
        <w:rPr>
          <w:rFonts w:ascii="Times New Roman" w:eastAsia="Times New Roman" w:hAnsi="Times New Roman" w:cs="Times New Roman"/>
          <w:sz w:val="24"/>
          <w:szCs w:val="24"/>
        </w:rPr>
        <w:t xml:space="preserve">focused </w:t>
      </w:r>
      <w:r>
        <w:rPr>
          <w:rFonts w:ascii="Times New Roman" w:eastAsia="Times New Roman" w:hAnsi="Times New Roman" w:cs="Times New Roman"/>
          <w:sz w:val="24"/>
          <w:szCs w:val="24"/>
        </w:rPr>
        <w:t xml:space="preserve">mostly </w:t>
      </w:r>
      <w:r w:rsidR="00EC4CE1" w:rsidRPr="00C73E89">
        <w:rPr>
          <w:rFonts w:ascii="Times New Roman" w:eastAsia="Times New Roman" w:hAnsi="Times New Roman" w:cs="Times New Roman"/>
          <w:sz w:val="24"/>
          <w:szCs w:val="24"/>
        </w:rPr>
        <w:t>on mortality</w:t>
      </w:r>
      <w:r>
        <w:rPr>
          <w:rFonts w:ascii="Times New Roman" w:eastAsia="Times New Roman" w:hAnsi="Times New Roman" w:cs="Times New Roman"/>
          <w:sz w:val="24"/>
          <w:szCs w:val="24"/>
        </w:rPr>
        <w:t>.  O</w:t>
      </w:r>
      <w:r w:rsidR="00EC4CE1" w:rsidRPr="00C73E89">
        <w:rPr>
          <w:rFonts w:ascii="Times New Roman" w:eastAsia="Times New Roman" w:hAnsi="Times New Roman" w:cs="Times New Roman"/>
          <w:sz w:val="24"/>
          <w:szCs w:val="24"/>
        </w:rPr>
        <w:t xml:space="preserve">nly a few observational studies, to our knowledge, have brought both theory and data to bear to investigate the effectiveness of screening mammography (or CBE) in reducing the likelihood of an </w:t>
      </w:r>
      <w:r>
        <w:rPr>
          <w:rFonts w:ascii="Times New Roman" w:eastAsia="Times New Roman" w:hAnsi="Times New Roman" w:cs="Times New Roman"/>
          <w:sz w:val="24"/>
          <w:szCs w:val="24"/>
        </w:rPr>
        <w:t>a</w:t>
      </w:r>
      <w:r w:rsidR="00EC4CE1" w:rsidRPr="00C73E89">
        <w:rPr>
          <w:rFonts w:ascii="Times New Roman" w:eastAsia="Times New Roman" w:hAnsi="Times New Roman" w:cs="Times New Roman"/>
          <w:sz w:val="24"/>
          <w:szCs w:val="24"/>
        </w:rPr>
        <w:t xml:space="preserve">dvanced </w:t>
      </w:r>
      <w:r>
        <w:rPr>
          <w:rFonts w:ascii="Times New Roman" w:eastAsia="Times New Roman" w:hAnsi="Times New Roman" w:cs="Times New Roman"/>
          <w:sz w:val="24"/>
          <w:szCs w:val="24"/>
        </w:rPr>
        <w:t>s</w:t>
      </w:r>
      <w:r w:rsidR="00EC4CE1" w:rsidRPr="00C73E89">
        <w:rPr>
          <w:rFonts w:ascii="Times New Roman" w:eastAsia="Times New Roman" w:hAnsi="Times New Roman" w:cs="Times New Roman"/>
          <w:sz w:val="24"/>
          <w:szCs w:val="24"/>
        </w:rPr>
        <w:t xml:space="preserve">tage breast cancer.  Indeed, our paper does not lay claim to that ambition either.  </w:t>
      </w:r>
      <w:r w:rsidR="00EC4CE1" w:rsidRPr="00C73E89">
        <w:rPr>
          <w:rFonts w:ascii="Times New Roman" w:eastAsia="Times New Roman" w:hAnsi="Times New Roman" w:cs="Times New Roman"/>
          <w:i/>
          <w:sz w:val="24"/>
          <w:szCs w:val="24"/>
        </w:rPr>
        <w:t xml:space="preserve">Rather, the role of the </w:t>
      </w:r>
      <w:r>
        <w:rPr>
          <w:rFonts w:ascii="Times New Roman" w:eastAsia="Times New Roman" w:hAnsi="Times New Roman" w:cs="Times New Roman"/>
          <w:i/>
          <w:sz w:val="24"/>
          <w:szCs w:val="24"/>
        </w:rPr>
        <w:t>m</w:t>
      </w:r>
      <w:r w:rsidR="00EC4CE1" w:rsidRPr="00C73E89">
        <w:rPr>
          <w:rFonts w:ascii="Times New Roman" w:eastAsia="Times New Roman" w:hAnsi="Times New Roman" w:cs="Times New Roman"/>
          <w:i/>
          <w:sz w:val="24"/>
          <w:szCs w:val="24"/>
        </w:rPr>
        <w:t xml:space="preserve">ethod of </w:t>
      </w:r>
      <w:r>
        <w:rPr>
          <w:rFonts w:ascii="Times New Roman" w:eastAsia="Times New Roman" w:hAnsi="Times New Roman" w:cs="Times New Roman"/>
          <w:i/>
          <w:sz w:val="24"/>
          <w:szCs w:val="24"/>
        </w:rPr>
        <w:t>d</w:t>
      </w:r>
      <w:r w:rsidR="00EC4CE1" w:rsidRPr="00C73E89">
        <w:rPr>
          <w:rFonts w:ascii="Times New Roman" w:eastAsia="Times New Roman" w:hAnsi="Times New Roman" w:cs="Times New Roman"/>
          <w:i/>
          <w:sz w:val="24"/>
          <w:szCs w:val="24"/>
        </w:rPr>
        <w:t xml:space="preserve">etection variable in our analyses is to account for what might be termed the “net overall impact” of these unobserved </w:t>
      </w:r>
      <w:r>
        <w:rPr>
          <w:rFonts w:ascii="Times New Roman" w:eastAsia="Times New Roman" w:hAnsi="Times New Roman" w:cs="Times New Roman"/>
          <w:i/>
          <w:sz w:val="24"/>
          <w:szCs w:val="24"/>
        </w:rPr>
        <w:t xml:space="preserve">(to us) </w:t>
      </w:r>
      <w:r w:rsidR="00EC4CE1" w:rsidRPr="00C73E89">
        <w:rPr>
          <w:rFonts w:ascii="Times New Roman" w:eastAsia="Times New Roman" w:hAnsi="Times New Roman" w:cs="Times New Roman"/>
          <w:i/>
          <w:sz w:val="24"/>
          <w:szCs w:val="24"/>
        </w:rPr>
        <w:t>screening beh</w:t>
      </w:r>
      <w:r>
        <w:rPr>
          <w:rFonts w:ascii="Times New Roman" w:eastAsia="Times New Roman" w:hAnsi="Times New Roman" w:cs="Times New Roman"/>
          <w:i/>
          <w:sz w:val="24"/>
          <w:szCs w:val="24"/>
        </w:rPr>
        <w:t>aviors on the likelihood of an a</w:t>
      </w:r>
      <w:r w:rsidR="00EC4CE1" w:rsidRPr="00C73E89">
        <w:rPr>
          <w:rFonts w:ascii="Times New Roman" w:eastAsia="Times New Roman" w:hAnsi="Times New Roman" w:cs="Times New Roman"/>
          <w:i/>
          <w:sz w:val="24"/>
          <w:szCs w:val="24"/>
        </w:rPr>
        <w:t xml:space="preserve">dvanced </w:t>
      </w:r>
      <w:r>
        <w:rPr>
          <w:rFonts w:ascii="Times New Roman" w:eastAsia="Times New Roman" w:hAnsi="Times New Roman" w:cs="Times New Roman"/>
          <w:i/>
          <w:sz w:val="24"/>
          <w:szCs w:val="24"/>
        </w:rPr>
        <w:t>s</w:t>
      </w:r>
      <w:r w:rsidR="00EC4CE1" w:rsidRPr="00C73E89">
        <w:rPr>
          <w:rFonts w:ascii="Times New Roman" w:eastAsia="Times New Roman" w:hAnsi="Times New Roman" w:cs="Times New Roman"/>
          <w:i/>
          <w:sz w:val="24"/>
          <w:szCs w:val="24"/>
        </w:rPr>
        <w:t>tage diagnosis.</w:t>
      </w:r>
      <w:r w:rsidR="00EC4CE1" w:rsidRPr="00C73E89">
        <w:rPr>
          <w:rFonts w:ascii="Times New Roman" w:eastAsia="Times New Roman" w:hAnsi="Times New Roman" w:cs="Times New Roman"/>
          <w:sz w:val="24"/>
          <w:szCs w:val="24"/>
        </w:rPr>
        <w:t xml:space="preserve">  And we do so in a way that allows for the possibility that some </w:t>
      </w:r>
      <w:r>
        <w:rPr>
          <w:rFonts w:ascii="Times New Roman" w:eastAsia="Times New Roman" w:hAnsi="Times New Roman" w:cs="Times New Roman"/>
          <w:sz w:val="24"/>
          <w:szCs w:val="24"/>
        </w:rPr>
        <w:t xml:space="preserve">certain </w:t>
      </w:r>
      <w:r w:rsidR="00EC4CE1" w:rsidRPr="00C73E89">
        <w:rPr>
          <w:rFonts w:ascii="Times New Roman" w:eastAsia="Times New Roman" w:hAnsi="Times New Roman" w:cs="Times New Roman"/>
          <w:sz w:val="24"/>
          <w:szCs w:val="24"/>
        </w:rPr>
        <w:t xml:space="preserve">observable and unobservable variables influence both </w:t>
      </w:r>
      <w:r>
        <w:rPr>
          <w:rFonts w:ascii="Times New Roman" w:eastAsia="Times New Roman" w:hAnsi="Times New Roman" w:cs="Times New Roman"/>
          <w:sz w:val="24"/>
          <w:szCs w:val="24"/>
        </w:rPr>
        <w:t>m</w:t>
      </w:r>
      <w:r w:rsidR="00EC4CE1" w:rsidRPr="00C73E89">
        <w:rPr>
          <w:rFonts w:ascii="Times New Roman" w:eastAsia="Times New Roman" w:hAnsi="Times New Roman" w:cs="Times New Roman"/>
          <w:sz w:val="24"/>
          <w:szCs w:val="24"/>
        </w:rPr>
        <w:t xml:space="preserve">ethod and </w:t>
      </w:r>
      <w:r>
        <w:rPr>
          <w:rFonts w:ascii="Times New Roman" w:eastAsia="Times New Roman" w:hAnsi="Times New Roman" w:cs="Times New Roman"/>
          <w:sz w:val="24"/>
          <w:szCs w:val="24"/>
        </w:rPr>
        <w:t>s</w:t>
      </w:r>
      <w:r w:rsidR="00EC4CE1" w:rsidRPr="00C73E89">
        <w:rPr>
          <w:rFonts w:ascii="Times New Roman" w:eastAsia="Times New Roman" w:hAnsi="Times New Roman" w:cs="Times New Roman"/>
          <w:sz w:val="24"/>
          <w:szCs w:val="24"/>
        </w:rPr>
        <w:t xml:space="preserve">tage (e.g., breast density), </w:t>
      </w:r>
      <w:r>
        <w:rPr>
          <w:rFonts w:ascii="Times New Roman" w:eastAsia="Times New Roman" w:hAnsi="Times New Roman" w:cs="Times New Roman"/>
          <w:sz w:val="24"/>
          <w:szCs w:val="24"/>
        </w:rPr>
        <w:t>al</w:t>
      </w:r>
      <w:r w:rsidR="00EC4CE1" w:rsidRPr="00C73E89">
        <w:rPr>
          <w:rFonts w:ascii="Times New Roman" w:eastAsia="Times New Roman" w:hAnsi="Times New Roman" w:cs="Times New Roman"/>
          <w:sz w:val="24"/>
          <w:szCs w:val="24"/>
        </w:rPr>
        <w:t xml:space="preserve">though possibly in different ways; this is the rationale for the instrumental variables analysis.  At the same time, this modeling approach permits us to examine the impact of other important variables, such as race/ethnicity and insurance status, on </w:t>
      </w:r>
      <w:r>
        <w:rPr>
          <w:rFonts w:ascii="Times New Roman" w:eastAsia="Times New Roman" w:hAnsi="Times New Roman" w:cs="Times New Roman"/>
          <w:sz w:val="24"/>
          <w:szCs w:val="24"/>
        </w:rPr>
        <w:t>s</w:t>
      </w:r>
      <w:r w:rsidR="00EC4CE1" w:rsidRPr="00C73E89">
        <w:rPr>
          <w:rFonts w:ascii="Times New Roman" w:eastAsia="Times New Roman" w:hAnsi="Times New Roman" w:cs="Times New Roman"/>
          <w:sz w:val="24"/>
          <w:szCs w:val="24"/>
        </w:rPr>
        <w:t xml:space="preserve">tage while adjusting for </w:t>
      </w:r>
      <w:r>
        <w:rPr>
          <w:rFonts w:ascii="Times New Roman" w:eastAsia="Times New Roman" w:hAnsi="Times New Roman" w:cs="Times New Roman"/>
          <w:sz w:val="24"/>
          <w:szCs w:val="24"/>
        </w:rPr>
        <w:t>m</w:t>
      </w:r>
      <w:r w:rsidR="00EC4CE1" w:rsidRPr="00C73E89">
        <w:rPr>
          <w:rFonts w:ascii="Times New Roman" w:eastAsia="Times New Roman" w:hAnsi="Times New Roman" w:cs="Times New Roman"/>
          <w:sz w:val="24"/>
          <w:szCs w:val="24"/>
        </w:rPr>
        <w:t xml:space="preserve">ethod </w:t>
      </w:r>
      <w:r>
        <w:rPr>
          <w:rFonts w:ascii="Times New Roman" w:eastAsia="Times New Roman" w:hAnsi="Times New Roman" w:cs="Times New Roman"/>
          <w:sz w:val="24"/>
          <w:szCs w:val="24"/>
        </w:rPr>
        <w:t xml:space="preserve">of detection </w:t>
      </w:r>
      <w:r w:rsidR="00EC4CE1" w:rsidRPr="00C73E89">
        <w:rPr>
          <w:rFonts w:ascii="Times New Roman" w:eastAsia="Times New Roman" w:hAnsi="Times New Roman" w:cs="Times New Roman"/>
          <w:sz w:val="24"/>
          <w:szCs w:val="24"/>
        </w:rPr>
        <w:t xml:space="preserve">(and while also accounting for the role those variables play in influencing </w:t>
      </w:r>
      <w:r>
        <w:rPr>
          <w:rFonts w:ascii="Times New Roman" w:eastAsia="Times New Roman" w:hAnsi="Times New Roman" w:cs="Times New Roman"/>
          <w:sz w:val="24"/>
          <w:szCs w:val="24"/>
        </w:rPr>
        <w:t>m</w:t>
      </w:r>
      <w:r w:rsidR="00EC4CE1" w:rsidRPr="00C73E89">
        <w:rPr>
          <w:rFonts w:ascii="Times New Roman" w:eastAsia="Times New Roman" w:hAnsi="Times New Roman" w:cs="Times New Roman"/>
          <w:sz w:val="24"/>
          <w:szCs w:val="24"/>
        </w:rPr>
        <w:t xml:space="preserve">ethod).   </w:t>
      </w:r>
    </w:p>
    <w:p w:rsidR="00EC4CE1" w:rsidRDefault="009268F4" w:rsidP="00EC4CE1">
      <w:pPr>
        <w:spacing w:line="480" w:lineRule="auto"/>
        <w:rPr>
          <w:rFonts w:ascii="Times New Roman" w:hAnsi="Times New Roman" w:cs="Times New Roman"/>
          <w:sz w:val="24"/>
          <w:szCs w:val="24"/>
        </w:rPr>
      </w:pPr>
      <w:r>
        <w:rPr>
          <w:rFonts w:ascii="Times New Roman" w:hAnsi="Times New Roman" w:cs="Times New Roman"/>
          <w:b/>
          <w:sz w:val="24"/>
          <w:szCs w:val="24"/>
        </w:rPr>
        <w:t>References</w:t>
      </w:r>
    </w:p>
    <w:p w:rsidR="009268F4" w:rsidRDefault="009268F4" w:rsidP="00C278DE">
      <w:pPr>
        <w:pStyle w:val="ListParagraph"/>
        <w:numPr>
          <w:ilvl w:val="0"/>
          <w:numId w:val="5"/>
        </w:numPr>
        <w:rPr>
          <w:rFonts w:ascii="Times New Roman" w:hAnsi="Times New Roman" w:cs="Times New Roman"/>
          <w:sz w:val="24"/>
          <w:szCs w:val="24"/>
        </w:rPr>
      </w:pPr>
      <w:r w:rsidRPr="00C278DE">
        <w:rPr>
          <w:rFonts w:ascii="Times New Roman" w:hAnsi="Times New Roman" w:cs="Times New Roman"/>
          <w:sz w:val="24"/>
          <w:szCs w:val="24"/>
        </w:rPr>
        <w:t xml:space="preserve">Pizer SD. An intuitive review of methods for observational studies of comparative effectiveness. </w:t>
      </w:r>
      <w:r w:rsidRPr="00C278DE">
        <w:rPr>
          <w:rFonts w:ascii="Times New Roman" w:hAnsi="Times New Roman" w:cs="Times New Roman"/>
          <w:i/>
          <w:sz w:val="24"/>
          <w:szCs w:val="24"/>
        </w:rPr>
        <w:t>Health Serv Outcomes Res Method</w:t>
      </w:r>
      <w:r w:rsidRPr="00C278DE">
        <w:rPr>
          <w:rFonts w:ascii="Times New Roman" w:hAnsi="Times New Roman" w:cs="Times New Roman"/>
          <w:sz w:val="24"/>
          <w:szCs w:val="24"/>
        </w:rPr>
        <w:t xml:space="preserve"> 2009;9:54-68.  </w:t>
      </w:r>
    </w:p>
    <w:p w:rsidR="009268F4" w:rsidRDefault="009268F4" w:rsidP="009268F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Terza JV, Basu A, Rathouz PJ. Two-stage residual inclusion estimation: addressing endogeneity in health econometric modeling. </w:t>
      </w:r>
      <w:r>
        <w:rPr>
          <w:rFonts w:ascii="Times New Roman" w:hAnsi="Times New Roman" w:cs="Times New Roman"/>
          <w:i/>
          <w:sz w:val="24"/>
          <w:szCs w:val="24"/>
        </w:rPr>
        <w:t>J Health Econ</w:t>
      </w:r>
      <w:r>
        <w:rPr>
          <w:rFonts w:ascii="Times New Roman" w:hAnsi="Times New Roman" w:cs="Times New Roman"/>
          <w:sz w:val="24"/>
          <w:szCs w:val="24"/>
        </w:rPr>
        <w:t xml:space="preserve"> 2008;27:531-543.</w:t>
      </w:r>
    </w:p>
    <w:p w:rsidR="009268F4" w:rsidRDefault="009268F4" w:rsidP="009268F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Allison PD.  </w:t>
      </w:r>
      <w:r>
        <w:rPr>
          <w:rFonts w:ascii="Times New Roman" w:hAnsi="Times New Roman" w:cs="Times New Roman"/>
          <w:i/>
          <w:sz w:val="24"/>
          <w:szCs w:val="24"/>
        </w:rPr>
        <w:t>Missing Data</w:t>
      </w:r>
      <w:r>
        <w:rPr>
          <w:rFonts w:ascii="Times New Roman" w:hAnsi="Times New Roman" w:cs="Times New Roman"/>
          <w:sz w:val="24"/>
          <w:szCs w:val="24"/>
        </w:rPr>
        <w:t xml:space="preserve">.  Thousand Oaks, CA: Sage, 2001.  </w:t>
      </w:r>
    </w:p>
    <w:p w:rsidR="009268F4" w:rsidRDefault="009268F4" w:rsidP="009268F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Elkin EB, Ishill NM, Snow JG, Panageas KS, Bach PB, Liberman L, et al. Geographic access and the use of screening mammography.  </w:t>
      </w:r>
      <w:r>
        <w:rPr>
          <w:rFonts w:ascii="Times New Roman" w:hAnsi="Times New Roman" w:cs="Times New Roman"/>
          <w:i/>
          <w:sz w:val="24"/>
          <w:szCs w:val="24"/>
        </w:rPr>
        <w:t>Med Care</w:t>
      </w:r>
      <w:r>
        <w:rPr>
          <w:rFonts w:ascii="Times New Roman" w:hAnsi="Times New Roman" w:cs="Times New Roman"/>
          <w:sz w:val="24"/>
          <w:szCs w:val="24"/>
        </w:rPr>
        <w:t xml:space="preserve"> 2010;48:349-356. </w:t>
      </w:r>
    </w:p>
    <w:p w:rsidR="009268F4" w:rsidRDefault="009268F4" w:rsidP="009268F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Rubin DB. Estimating causal effects from large data sets using propensity scores.  </w:t>
      </w:r>
      <w:r>
        <w:rPr>
          <w:rFonts w:ascii="Times New Roman" w:hAnsi="Times New Roman" w:cs="Times New Roman"/>
          <w:i/>
          <w:sz w:val="24"/>
          <w:szCs w:val="24"/>
        </w:rPr>
        <w:t>Ann Intern Med</w:t>
      </w:r>
      <w:r>
        <w:rPr>
          <w:rFonts w:ascii="Times New Roman" w:hAnsi="Times New Roman" w:cs="Times New Roman"/>
          <w:sz w:val="24"/>
          <w:szCs w:val="24"/>
        </w:rPr>
        <w:t xml:space="preserve"> 1997;127:757-763.</w:t>
      </w:r>
    </w:p>
    <w:p w:rsidR="009268F4" w:rsidRDefault="009268F4" w:rsidP="009268F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D’Agostino RB, Jr. Propensity score methods for bias reduction in the comparison of treatment to non-randomized control group (Tutorial in Biostatistics).  </w:t>
      </w:r>
      <w:r>
        <w:rPr>
          <w:rFonts w:ascii="Times New Roman" w:hAnsi="Times New Roman" w:cs="Times New Roman"/>
          <w:i/>
          <w:sz w:val="24"/>
          <w:szCs w:val="24"/>
        </w:rPr>
        <w:t>Statist Med</w:t>
      </w:r>
      <w:r>
        <w:rPr>
          <w:rFonts w:ascii="Times New Roman" w:hAnsi="Times New Roman" w:cs="Times New Roman"/>
          <w:sz w:val="24"/>
          <w:szCs w:val="24"/>
        </w:rPr>
        <w:t xml:space="preserve"> 1998;17:2265-2281. </w:t>
      </w:r>
    </w:p>
    <w:p w:rsidR="009268F4" w:rsidRDefault="009268F4" w:rsidP="009268F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Kurth T, Walker AM, Glynn RJ, Chan KA, Gaziano JM, Berger K, et al.  Results of multivariable logistic regression, propensity matching, propensity adjustment, and propensity-based weighting under conditions of nonuniform effect. </w:t>
      </w:r>
      <w:r>
        <w:rPr>
          <w:rFonts w:ascii="Times New Roman" w:hAnsi="Times New Roman" w:cs="Times New Roman"/>
          <w:i/>
          <w:sz w:val="24"/>
          <w:szCs w:val="24"/>
        </w:rPr>
        <w:t>Am J Epidemiol</w:t>
      </w:r>
      <w:r>
        <w:rPr>
          <w:rFonts w:ascii="Times New Roman" w:hAnsi="Times New Roman" w:cs="Times New Roman"/>
          <w:sz w:val="24"/>
          <w:szCs w:val="24"/>
        </w:rPr>
        <w:t xml:space="preserve"> 2006;163:262-270. </w:t>
      </w:r>
    </w:p>
    <w:p w:rsidR="009268F4" w:rsidRDefault="009268F4" w:rsidP="009268F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Brooks JM, Ohsfeldt RL. Squeezing the balloon: propensity scores and unmeasured covariate balance.  </w:t>
      </w:r>
      <w:r>
        <w:rPr>
          <w:rFonts w:ascii="Times New Roman" w:hAnsi="Times New Roman" w:cs="Times New Roman"/>
          <w:i/>
          <w:sz w:val="24"/>
          <w:szCs w:val="24"/>
        </w:rPr>
        <w:t>HSR: Health Services Research</w:t>
      </w:r>
      <w:r>
        <w:rPr>
          <w:rFonts w:ascii="Times New Roman" w:hAnsi="Times New Roman" w:cs="Times New Roman"/>
          <w:sz w:val="24"/>
          <w:szCs w:val="24"/>
        </w:rPr>
        <w:t xml:space="preserve"> 2013;48(4):1487-1507. </w:t>
      </w:r>
    </w:p>
    <w:p w:rsidR="009268F4" w:rsidRDefault="009268F4" w:rsidP="009268F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Hadley J, Yabroff KR, Barrett MJ, Penson DF, Saigal CS, Potosky AL. Comparative effectiveness of prostate cancer treatments: evaluating statistical adjustments for confounding in observational data. </w:t>
      </w:r>
      <w:r>
        <w:rPr>
          <w:rFonts w:ascii="Times New Roman" w:hAnsi="Times New Roman" w:cs="Times New Roman"/>
          <w:i/>
          <w:sz w:val="24"/>
          <w:szCs w:val="24"/>
        </w:rPr>
        <w:t>J Natl Cancer Inst</w:t>
      </w:r>
      <w:r>
        <w:rPr>
          <w:rFonts w:ascii="Times New Roman" w:hAnsi="Times New Roman" w:cs="Times New Roman"/>
          <w:sz w:val="24"/>
          <w:szCs w:val="24"/>
        </w:rPr>
        <w:t xml:space="preserve"> 2010;102(23):1780-1793.  </w:t>
      </w:r>
    </w:p>
    <w:p w:rsidR="009268F4" w:rsidRDefault="009268F4" w:rsidP="009268F4">
      <w:pPr>
        <w:pStyle w:val="ListParagraph"/>
        <w:numPr>
          <w:ilvl w:val="0"/>
          <w:numId w:val="5"/>
        </w:numPr>
        <w:rPr>
          <w:rFonts w:ascii="Times New Roman" w:hAnsi="Times New Roman" w:cs="Times New Roman"/>
          <w:sz w:val="24"/>
          <w:szCs w:val="24"/>
        </w:rPr>
      </w:pPr>
      <w:r w:rsidRPr="009C5A66">
        <w:rPr>
          <w:rFonts w:ascii="Times New Roman" w:hAnsi="Times New Roman" w:cs="Times New Roman"/>
          <w:sz w:val="24"/>
          <w:szCs w:val="24"/>
        </w:rPr>
        <w:t xml:space="preserve">Wright JD, Ananth CV, Tsui J, Glied SA, Burke WM, Lu Y-S, </w:t>
      </w:r>
      <w:r>
        <w:rPr>
          <w:rFonts w:ascii="Times New Roman" w:hAnsi="Times New Roman" w:cs="Times New Roman"/>
          <w:sz w:val="24"/>
          <w:szCs w:val="24"/>
        </w:rPr>
        <w:t>et al</w:t>
      </w:r>
      <w:r w:rsidRPr="009C5A66">
        <w:rPr>
          <w:rFonts w:ascii="Times New Roman" w:hAnsi="Times New Roman" w:cs="Times New Roman"/>
          <w:sz w:val="24"/>
          <w:szCs w:val="24"/>
        </w:rPr>
        <w:t xml:space="preserve">.  Comparative effectiveness of upfront treatment strategies in elderly women with ovarian cancer. </w:t>
      </w:r>
      <w:r w:rsidRPr="009C5A66">
        <w:rPr>
          <w:rFonts w:ascii="Times New Roman" w:hAnsi="Times New Roman" w:cs="Times New Roman"/>
          <w:i/>
          <w:sz w:val="24"/>
          <w:szCs w:val="24"/>
        </w:rPr>
        <w:t>Cancer</w:t>
      </w:r>
      <w:r w:rsidRPr="009C5A66">
        <w:rPr>
          <w:rFonts w:ascii="Times New Roman" w:hAnsi="Times New Roman" w:cs="Times New Roman"/>
          <w:sz w:val="24"/>
          <w:szCs w:val="24"/>
        </w:rPr>
        <w:t xml:space="preserve"> 2014;120:1246-1254.  </w:t>
      </w:r>
    </w:p>
    <w:p w:rsidR="009268F4" w:rsidRPr="00C278DE" w:rsidRDefault="009268F4" w:rsidP="00C278DE">
      <w:pPr>
        <w:pStyle w:val="ListParagraph"/>
        <w:rPr>
          <w:rFonts w:ascii="Times New Roman" w:hAnsi="Times New Roman" w:cs="Times New Roman"/>
          <w:sz w:val="24"/>
          <w:szCs w:val="24"/>
        </w:rPr>
      </w:pPr>
    </w:p>
    <w:p w:rsidR="009268F4" w:rsidRPr="009268F4" w:rsidRDefault="009268F4" w:rsidP="00C278DE">
      <w:pPr>
        <w:spacing w:line="240" w:lineRule="auto"/>
        <w:contextualSpacing/>
        <w:rPr>
          <w:rFonts w:ascii="Times New Roman" w:hAnsi="Times New Roman" w:cs="Times New Roman"/>
          <w:sz w:val="24"/>
          <w:szCs w:val="24"/>
        </w:rPr>
      </w:pPr>
    </w:p>
    <w:p w:rsidR="00090061" w:rsidRDefault="00090061" w:rsidP="00EF4E10">
      <w:pPr>
        <w:spacing w:line="480" w:lineRule="auto"/>
      </w:pPr>
    </w:p>
    <w:sectPr w:rsidR="00090061" w:rsidSect="008E16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4EA" w:rsidRDefault="005564EA" w:rsidP="006E79C0">
      <w:pPr>
        <w:spacing w:after="0" w:line="240" w:lineRule="auto"/>
      </w:pPr>
      <w:r>
        <w:separator/>
      </w:r>
    </w:p>
  </w:endnote>
  <w:endnote w:type="continuationSeparator" w:id="0">
    <w:p w:rsidR="005564EA" w:rsidRDefault="005564EA" w:rsidP="006E7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175790"/>
      <w:docPartObj>
        <w:docPartGallery w:val="Page Numbers (Bottom of Page)"/>
        <w:docPartUnique/>
      </w:docPartObj>
    </w:sdtPr>
    <w:sdtEndPr>
      <w:rPr>
        <w:noProof/>
      </w:rPr>
    </w:sdtEndPr>
    <w:sdtContent>
      <w:p w:rsidR="006E79C0" w:rsidRDefault="006E79C0">
        <w:pPr>
          <w:pStyle w:val="Footer"/>
          <w:jc w:val="center"/>
        </w:pPr>
        <w:r>
          <w:fldChar w:fldCharType="begin"/>
        </w:r>
        <w:r>
          <w:instrText xml:space="preserve"> PAGE   \* MERGEFORMAT </w:instrText>
        </w:r>
        <w:r>
          <w:fldChar w:fldCharType="separate"/>
        </w:r>
        <w:r w:rsidR="009F36E6">
          <w:rPr>
            <w:noProof/>
          </w:rPr>
          <w:t>1</w:t>
        </w:r>
        <w:r>
          <w:rPr>
            <w:noProof/>
          </w:rPr>
          <w:fldChar w:fldCharType="end"/>
        </w:r>
      </w:p>
    </w:sdtContent>
  </w:sdt>
  <w:p w:rsidR="006E79C0" w:rsidRDefault="006E7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4EA" w:rsidRDefault="005564EA" w:rsidP="006E79C0">
      <w:pPr>
        <w:spacing w:after="0" w:line="240" w:lineRule="auto"/>
      </w:pPr>
      <w:r>
        <w:separator/>
      </w:r>
    </w:p>
  </w:footnote>
  <w:footnote w:type="continuationSeparator" w:id="0">
    <w:p w:rsidR="005564EA" w:rsidRDefault="005564EA" w:rsidP="006E7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025D9"/>
    <w:multiLevelType w:val="hybridMultilevel"/>
    <w:tmpl w:val="AD681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73264A"/>
    <w:multiLevelType w:val="hybridMultilevel"/>
    <w:tmpl w:val="127A3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900DFA"/>
    <w:multiLevelType w:val="hybridMultilevel"/>
    <w:tmpl w:val="2C201214"/>
    <w:lvl w:ilvl="0" w:tplc="D99AA54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B87652"/>
    <w:multiLevelType w:val="hybridMultilevel"/>
    <w:tmpl w:val="730AE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5612E6"/>
    <w:multiLevelType w:val="hybridMultilevel"/>
    <w:tmpl w:val="E18EC2F2"/>
    <w:lvl w:ilvl="0" w:tplc="A99653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23C"/>
    <w:rsid w:val="00011B05"/>
    <w:rsid w:val="00021AF6"/>
    <w:rsid w:val="00090061"/>
    <w:rsid w:val="00094A0D"/>
    <w:rsid w:val="000C4FDA"/>
    <w:rsid w:val="001112B0"/>
    <w:rsid w:val="001528B1"/>
    <w:rsid w:val="00206010"/>
    <w:rsid w:val="00226324"/>
    <w:rsid w:val="002417D1"/>
    <w:rsid w:val="00253E84"/>
    <w:rsid w:val="002636F2"/>
    <w:rsid w:val="002A55BB"/>
    <w:rsid w:val="002D533B"/>
    <w:rsid w:val="002F4AF0"/>
    <w:rsid w:val="003069AB"/>
    <w:rsid w:val="0033436D"/>
    <w:rsid w:val="003365B4"/>
    <w:rsid w:val="00357362"/>
    <w:rsid w:val="0039788F"/>
    <w:rsid w:val="003F2670"/>
    <w:rsid w:val="0040342B"/>
    <w:rsid w:val="00426455"/>
    <w:rsid w:val="00503760"/>
    <w:rsid w:val="005432E2"/>
    <w:rsid w:val="005564EA"/>
    <w:rsid w:val="00566F14"/>
    <w:rsid w:val="00626A8F"/>
    <w:rsid w:val="006356FE"/>
    <w:rsid w:val="00635F1F"/>
    <w:rsid w:val="006E79C0"/>
    <w:rsid w:val="006F023C"/>
    <w:rsid w:val="006F1671"/>
    <w:rsid w:val="00745AD9"/>
    <w:rsid w:val="007768CD"/>
    <w:rsid w:val="007E198F"/>
    <w:rsid w:val="00805DEA"/>
    <w:rsid w:val="00812691"/>
    <w:rsid w:val="00864396"/>
    <w:rsid w:val="009268F4"/>
    <w:rsid w:val="009339B1"/>
    <w:rsid w:val="00962963"/>
    <w:rsid w:val="00984186"/>
    <w:rsid w:val="009B6E55"/>
    <w:rsid w:val="009F36E6"/>
    <w:rsid w:val="00A11057"/>
    <w:rsid w:val="00A232C2"/>
    <w:rsid w:val="00A31B1C"/>
    <w:rsid w:val="00A66865"/>
    <w:rsid w:val="00A76EB7"/>
    <w:rsid w:val="00AA1AA9"/>
    <w:rsid w:val="00AD1111"/>
    <w:rsid w:val="00AF354C"/>
    <w:rsid w:val="00BA576D"/>
    <w:rsid w:val="00BD74BA"/>
    <w:rsid w:val="00BE2454"/>
    <w:rsid w:val="00BF2B33"/>
    <w:rsid w:val="00C0494A"/>
    <w:rsid w:val="00C211B3"/>
    <w:rsid w:val="00C278DE"/>
    <w:rsid w:val="00C571AC"/>
    <w:rsid w:val="00D4586B"/>
    <w:rsid w:val="00D57310"/>
    <w:rsid w:val="00DB04C5"/>
    <w:rsid w:val="00DB6B9C"/>
    <w:rsid w:val="00E62E59"/>
    <w:rsid w:val="00E64B3A"/>
    <w:rsid w:val="00E76579"/>
    <w:rsid w:val="00E823BE"/>
    <w:rsid w:val="00EC4CE1"/>
    <w:rsid w:val="00EF4E10"/>
    <w:rsid w:val="00EF54E2"/>
    <w:rsid w:val="00EF68C9"/>
    <w:rsid w:val="00F64008"/>
    <w:rsid w:val="00F75CBF"/>
    <w:rsid w:val="00F81702"/>
    <w:rsid w:val="00FE7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E0BB687-0D89-48B5-B302-5DECFCAE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4C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04C5"/>
    <w:rPr>
      <w:rFonts w:ascii="Lucida Grande" w:hAnsi="Lucida Grande" w:cs="Lucida Grande"/>
      <w:sz w:val="18"/>
      <w:szCs w:val="18"/>
    </w:rPr>
  </w:style>
  <w:style w:type="paragraph" w:styleId="Header">
    <w:name w:val="header"/>
    <w:basedOn w:val="Normal"/>
    <w:link w:val="HeaderChar"/>
    <w:uiPriority w:val="99"/>
    <w:unhideWhenUsed/>
    <w:rsid w:val="006E7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9C0"/>
  </w:style>
  <w:style w:type="paragraph" w:styleId="Footer">
    <w:name w:val="footer"/>
    <w:basedOn w:val="Normal"/>
    <w:link w:val="FooterChar"/>
    <w:uiPriority w:val="99"/>
    <w:unhideWhenUsed/>
    <w:rsid w:val="006E7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9C0"/>
  </w:style>
  <w:style w:type="paragraph" w:styleId="ListParagraph">
    <w:name w:val="List Paragraph"/>
    <w:basedOn w:val="Normal"/>
    <w:uiPriority w:val="34"/>
    <w:qFormat/>
    <w:rsid w:val="009268F4"/>
    <w:pPr>
      <w:ind w:left="720"/>
      <w:contextualSpacing/>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73BCA-AC32-4331-B81A-12DBF4D6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3520</Words>
  <Characters>20070</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23543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Lipscomb, Joseph</dc:creator>
  <cp:lastModifiedBy>CDC author</cp:lastModifiedBy>
  <cp:revision>2</cp:revision>
  <cp:lastPrinted>2015-11-01T20:50:00Z</cp:lastPrinted>
  <dcterms:created xsi:type="dcterms:W3CDTF">2021-02-19T17:13:00Z</dcterms:created>
  <dcterms:modified xsi:type="dcterms:W3CDTF">2021-02-19T17:13:00Z</dcterms:modified>
</cp:coreProperties>
</file>