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111" w:right="4128" w:firstLine="0"/>
        <w:jc w:val="center"/>
        <w:rPr>
          <w:sz w:val="24"/>
        </w:rPr>
      </w:pPr>
      <w:r>
        <w:rPr>
          <w:sz w:val="24"/>
        </w:rPr>
        <w:t>Supplemental Tables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after="2"/>
        <w:ind w:left="100"/>
      </w:pPr>
      <w:r>
        <w:rPr>
          <w:b/>
        </w:rPr>
        <w:t>Table S1.  </w:t>
      </w:r>
      <w:r>
        <w:rPr/>
        <w:t>Draft NIOSH Tier 1 Banding Criteria: GHS Hazard Codes and Categories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980"/>
        <w:gridCol w:w="2610"/>
        <w:gridCol w:w="2785"/>
      </w:tblGrid>
      <w:tr>
        <w:trPr>
          <w:trHeight w:val="240" w:hRule="exact"/>
        </w:trPr>
        <w:tc>
          <w:tcPr>
            <w:tcW w:w="2695" w:type="dxa"/>
            <w:vMerge w:val="restart"/>
          </w:tcPr>
          <w:p>
            <w:pPr>
              <w:pStyle w:val="TableParagraph"/>
              <w:ind w:left="230" w:right="229"/>
              <w:rPr>
                <w:sz w:val="20"/>
              </w:rPr>
            </w:pPr>
            <w:r>
              <w:rPr>
                <w:sz w:val="20"/>
              </w:rPr>
              <w:t>Endpoint</w:t>
            </w:r>
          </w:p>
        </w:tc>
        <w:tc>
          <w:tcPr>
            <w:tcW w:w="7375" w:type="dxa"/>
            <w:gridSpan w:val="3"/>
          </w:tcPr>
          <w:p>
            <w:pPr>
              <w:pStyle w:val="TableParagraph"/>
              <w:ind w:left="3060" w:right="3060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2695" w:type="dxa"/>
            <w:vMerge/>
          </w:tcPr>
          <w:p>
            <w:pPr/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2785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1390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Acute Toxicity</w:t>
            </w:r>
          </w:p>
        </w:tc>
        <w:tc>
          <w:tcPr>
            <w:tcW w:w="1980" w:type="dxa"/>
          </w:tcPr>
          <w:p>
            <w:pPr>
              <w:pStyle w:val="TableParagraph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H301, Cat. 3</w:t>
            </w:r>
          </w:p>
          <w:p>
            <w:pPr>
              <w:pStyle w:val="TableParagraph"/>
              <w:spacing w:line="230" w:lineRule="exact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H302, Cat. 4</w:t>
            </w:r>
          </w:p>
          <w:p>
            <w:pPr>
              <w:pStyle w:val="TableParagraph"/>
              <w:spacing w:line="240" w:lineRule="auto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H331, Cat. 3</w:t>
            </w:r>
          </w:p>
          <w:p>
            <w:pPr>
              <w:pStyle w:val="TableParagraph"/>
              <w:spacing w:line="230" w:lineRule="exact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H332, Cat. 4</w:t>
            </w:r>
          </w:p>
          <w:p>
            <w:pPr>
              <w:pStyle w:val="TableParagraph"/>
              <w:spacing w:line="230" w:lineRule="exact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H311, Cat. 3</w:t>
            </w:r>
          </w:p>
          <w:p>
            <w:pPr>
              <w:pStyle w:val="TableParagraph"/>
              <w:spacing w:line="240" w:lineRule="auto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H312, Cat. 4</w:t>
            </w:r>
          </w:p>
        </w:tc>
        <w:tc>
          <w:tcPr>
            <w:tcW w:w="2610" w:type="dxa"/>
          </w:tcPr>
          <w:p>
            <w:pPr>
              <w:pStyle w:val="TableParagraph"/>
              <w:spacing w:line="240" w:lineRule="auto"/>
              <w:ind w:left="813" w:right="788" w:hanging="26"/>
              <w:jc w:val="both"/>
              <w:rPr>
                <w:sz w:val="20"/>
              </w:rPr>
            </w:pPr>
            <w:r>
              <w:rPr>
                <w:sz w:val="20"/>
              </w:rPr>
              <w:t>H300, Cat. 2 H330, Cat.2 H310, Cat.2</w:t>
            </w:r>
          </w:p>
        </w:tc>
        <w:tc>
          <w:tcPr>
            <w:tcW w:w="2785" w:type="dxa"/>
          </w:tcPr>
          <w:p>
            <w:pPr>
              <w:pStyle w:val="TableParagraph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H300, Cat. 1</w:t>
            </w:r>
          </w:p>
          <w:p>
            <w:pPr>
              <w:pStyle w:val="TableParagraph"/>
              <w:spacing w:line="230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H330, Cat. 1</w:t>
            </w:r>
          </w:p>
          <w:p>
            <w:pPr>
              <w:pStyle w:val="TableParagraph"/>
              <w:spacing w:line="240" w:lineRule="auto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H310, Cat. 1</w:t>
            </w:r>
          </w:p>
        </w:tc>
      </w:tr>
      <w:tr>
        <w:trPr>
          <w:trHeight w:val="240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Skin Corrosion/Irritation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1"/>
              <w:rPr>
                <w:sz w:val="20"/>
              </w:rPr>
            </w:pPr>
            <w:r>
              <w:rPr>
                <w:sz w:val="20"/>
              </w:rPr>
              <w:t>H315, Cat. 2</w:t>
            </w:r>
          </w:p>
        </w:tc>
        <w:tc>
          <w:tcPr>
            <w:tcW w:w="2610" w:type="dxa"/>
          </w:tcPr>
          <w:p>
            <w:pPr>
              <w:pStyle w:val="TableParagraph"/>
              <w:ind w:left="769" w:right="769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85" w:type="dxa"/>
          </w:tcPr>
          <w:p>
            <w:pPr>
              <w:pStyle w:val="TableParagraph"/>
              <w:ind w:left="268" w:right="267"/>
              <w:rPr>
                <w:sz w:val="20"/>
              </w:rPr>
            </w:pPr>
            <w:r>
              <w:rPr>
                <w:sz w:val="20"/>
              </w:rPr>
              <w:t>H314, Cat. 1, 1A, 1B or 1C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Eye Damage/Irritation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868" w:right="150" w:hanging="701"/>
              <w:jc w:val="left"/>
              <w:rPr>
                <w:sz w:val="20"/>
              </w:rPr>
            </w:pPr>
            <w:r>
              <w:rPr>
                <w:sz w:val="20"/>
              </w:rPr>
              <w:t>H319, Cat. 2, 2A, or 2B</w:t>
            </w:r>
          </w:p>
        </w:tc>
        <w:tc>
          <w:tcPr>
            <w:tcW w:w="2610" w:type="dxa"/>
          </w:tcPr>
          <w:p>
            <w:pPr>
              <w:pStyle w:val="TableParagraph"/>
              <w:ind w:left="769" w:right="769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85" w:type="dxa"/>
          </w:tcPr>
          <w:p>
            <w:pPr>
              <w:pStyle w:val="TableParagraph"/>
              <w:ind w:left="267" w:right="267"/>
              <w:rPr>
                <w:sz w:val="20"/>
              </w:rPr>
            </w:pPr>
            <w:r>
              <w:rPr>
                <w:sz w:val="20"/>
              </w:rPr>
              <w:t>H318, Cat. 1</w:t>
            </w:r>
          </w:p>
        </w:tc>
      </w:tr>
      <w:tr>
        <w:trPr>
          <w:trHeight w:val="70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103" w:right="873"/>
              <w:jc w:val="left"/>
              <w:rPr>
                <w:sz w:val="20"/>
              </w:rPr>
            </w:pPr>
            <w:r>
              <w:rPr>
                <w:sz w:val="20"/>
              </w:rPr>
              <w:t>Respiratory and Skin Sensitization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1"/>
              <w:rPr>
                <w:sz w:val="20"/>
              </w:rPr>
            </w:pPr>
            <w:r>
              <w:rPr>
                <w:sz w:val="20"/>
              </w:rPr>
              <w:t>Skin: H317, Cat. 1B</w:t>
            </w:r>
          </w:p>
        </w:tc>
        <w:tc>
          <w:tcPr>
            <w:tcW w:w="2610" w:type="dxa"/>
          </w:tcPr>
          <w:p>
            <w:pPr>
              <w:pStyle w:val="TableParagraph"/>
              <w:spacing w:line="240" w:lineRule="auto"/>
              <w:ind w:left="202" w:right="184" w:firstLine="94"/>
              <w:jc w:val="left"/>
              <w:rPr>
                <w:sz w:val="20"/>
              </w:rPr>
            </w:pPr>
            <w:r>
              <w:rPr>
                <w:sz w:val="20"/>
              </w:rPr>
              <w:t>Skin: H317, Cat. 1 or 1A Respiratory: H334, Cat. 1B</w:t>
            </w:r>
          </w:p>
        </w:tc>
        <w:tc>
          <w:tcPr>
            <w:tcW w:w="2785" w:type="dxa"/>
          </w:tcPr>
          <w:p>
            <w:pPr>
              <w:pStyle w:val="TableParagraph"/>
              <w:spacing w:line="240" w:lineRule="auto"/>
              <w:ind w:left="248" w:right="230" w:firstLine="684"/>
              <w:jc w:val="left"/>
              <w:rPr>
                <w:sz w:val="20"/>
              </w:rPr>
            </w:pPr>
            <w:r>
              <w:rPr>
                <w:sz w:val="20"/>
              </w:rPr>
              <w:t>Skin: none Respiratory: H334, Cat. 1 or</w:t>
            </w:r>
          </w:p>
          <w:p>
            <w:pPr>
              <w:pStyle w:val="TableParagraph"/>
              <w:spacing w:line="240" w:lineRule="auto" w:before="2"/>
              <w:ind w:left="267" w:right="267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</w:tr>
      <w:tr>
        <w:trPr>
          <w:trHeight w:val="240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Germ Cell Mutagenicity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610" w:type="dxa"/>
          </w:tcPr>
          <w:p>
            <w:pPr>
              <w:pStyle w:val="TableParagraph"/>
              <w:ind w:left="769" w:right="769"/>
              <w:rPr>
                <w:sz w:val="20"/>
              </w:rPr>
            </w:pPr>
            <w:r>
              <w:rPr>
                <w:sz w:val="20"/>
              </w:rPr>
              <w:t>H341, Cat. 2</w:t>
            </w:r>
          </w:p>
        </w:tc>
        <w:tc>
          <w:tcPr>
            <w:tcW w:w="2785" w:type="dxa"/>
          </w:tcPr>
          <w:p>
            <w:pPr>
              <w:pStyle w:val="TableParagraph"/>
              <w:ind w:left="268" w:right="267"/>
              <w:rPr>
                <w:sz w:val="20"/>
              </w:rPr>
            </w:pPr>
            <w:r>
              <w:rPr>
                <w:sz w:val="20"/>
              </w:rPr>
              <w:t>H340, Cat. 1, 1A or 1B</w:t>
            </w:r>
          </w:p>
        </w:tc>
      </w:tr>
      <w:tr>
        <w:trPr>
          <w:trHeight w:val="469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Carcinogenicity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610" w:type="dxa"/>
          </w:tcPr>
          <w:p>
            <w:pPr>
              <w:pStyle w:val="TableParagraph"/>
              <w:ind w:left="769" w:right="768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85" w:type="dxa"/>
          </w:tcPr>
          <w:p>
            <w:pPr>
              <w:pStyle w:val="TableParagraph"/>
              <w:spacing w:line="240" w:lineRule="auto"/>
              <w:ind w:left="875" w:right="435" w:hanging="422"/>
              <w:jc w:val="left"/>
              <w:rPr>
                <w:sz w:val="20"/>
              </w:rPr>
            </w:pPr>
            <w:r>
              <w:rPr>
                <w:sz w:val="20"/>
              </w:rPr>
              <w:t>H350, Cat. 1, 1A or 1B H351, Cat. 2</w:t>
            </w:r>
          </w:p>
        </w:tc>
      </w:tr>
      <w:tr>
        <w:trPr>
          <w:trHeight w:val="701" w:hRule="exact"/>
        </w:trPr>
        <w:tc>
          <w:tcPr>
            <w:tcW w:w="269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Reproductive Toxicity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212" w:right="211" w:firstLine="1"/>
              <w:rPr>
                <w:sz w:val="20"/>
              </w:rPr>
            </w:pPr>
            <w:r>
              <w:rPr>
                <w:sz w:val="20"/>
              </w:rPr>
              <w:t>H361 (excluding H361f, H361d, and H361fd), Cat. 2</w:t>
            </w:r>
          </w:p>
        </w:tc>
        <w:tc>
          <w:tcPr>
            <w:tcW w:w="2610" w:type="dxa"/>
          </w:tcPr>
          <w:p>
            <w:pPr>
              <w:pStyle w:val="TableParagraph"/>
              <w:spacing w:line="240" w:lineRule="auto"/>
              <w:ind w:left="113" w:right="95" w:firstLine="222"/>
              <w:jc w:val="left"/>
              <w:rPr>
                <w:sz w:val="20"/>
              </w:rPr>
            </w:pPr>
            <w:r>
              <w:rPr>
                <w:sz w:val="20"/>
              </w:rPr>
              <w:t>H360 (including H360f, H360d, and H360fd), Cat. 1B</w:t>
            </w:r>
          </w:p>
        </w:tc>
        <w:tc>
          <w:tcPr>
            <w:tcW w:w="2785" w:type="dxa"/>
          </w:tcPr>
          <w:p>
            <w:pPr>
              <w:pStyle w:val="TableParagraph"/>
              <w:spacing w:line="240" w:lineRule="auto"/>
              <w:ind w:left="134" w:right="133" w:firstLine="2"/>
              <w:rPr>
                <w:sz w:val="20"/>
              </w:rPr>
            </w:pPr>
            <w:r>
              <w:rPr>
                <w:sz w:val="20"/>
              </w:rPr>
              <w:t>H360 (including H360f, H360d, and H360 fd), Cat. 1 or 1A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103" w:right="135"/>
              <w:jc w:val="left"/>
              <w:rPr>
                <w:sz w:val="20"/>
              </w:rPr>
            </w:pPr>
            <w:r>
              <w:rPr>
                <w:sz w:val="20"/>
              </w:rPr>
              <w:t>Specific Target Organ Toxicity – Repeated Exposure</w:t>
            </w:r>
          </w:p>
        </w:tc>
        <w:tc>
          <w:tcPr>
            <w:tcW w:w="1980" w:type="dxa"/>
          </w:tcPr>
          <w:p>
            <w:pPr>
              <w:pStyle w:val="TableParagraph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H371, Cat. 2</w:t>
            </w:r>
          </w:p>
          <w:p>
            <w:pPr>
              <w:pStyle w:val="TableParagraph"/>
              <w:spacing w:line="230" w:lineRule="exact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H373, Cat. 2</w:t>
            </w:r>
          </w:p>
        </w:tc>
        <w:tc>
          <w:tcPr>
            <w:tcW w:w="2610" w:type="dxa"/>
          </w:tcPr>
          <w:p>
            <w:pPr>
              <w:pStyle w:val="TableParagraph"/>
              <w:ind w:left="769" w:right="768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785" w:type="dxa"/>
          </w:tcPr>
          <w:p>
            <w:pPr>
              <w:pStyle w:val="TableParagraph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H370, Cat. 1</w:t>
            </w:r>
          </w:p>
          <w:p>
            <w:pPr>
              <w:pStyle w:val="TableParagraph"/>
              <w:spacing w:line="230" w:lineRule="exact"/>
              <w:ind w:left="875"/>
              <w:jc w:val="left"/>
              <w:rPr>
                <w:sz w:val="20"/>
              </w:rPr>
            </w:pPr>
            <w:r>
              <w:rPr>
                <w:sz w:val="20"/>
              </w:rPr>
              <w:t>H372, Cat. 1</w:t>
            </w:r>
          </w:p>
        </w:tc>
      </w:tr>
    </w:tbl>
    <w:p>
      <w:pPr>
        <w:pStyle w:val="BodyText"/>
        <w:ind w:left="100"/>
      </w:pPr>
      <w:r>
        <w:rPr>
          <w:b/>
        </w:rPr>
        <w:t>Cat: </w:t>
      </w:r>
      <w:r>
        <w:rPr/>
        <w:t>Category; </w:t>
      </w:r>
      <w:r>
        <w:rPr>
          <w:b/>
        </w:rPr>
        <w:t>GHS: </w:t>
      </w:r>
      <w:r>
        <w:rPr/>
        <w:t>Globally Harmonized System of Classification and Labelling;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00"/>
      </w:pPr>
      <w:r>
        <w:rPr>
          <w:b/>
        </w:rPr>
        <w:t>Table S2</w:t>
      </w:r>
      <w:r>
        <w:rPr/>
        <w:t>.  Draft NIOSH Tier 2 Banding Criteria: Acute Toxicity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990"/>
        <w:gridCol w:w="1710"/>
        <w:gridCol w:w="1440"/>
        <w:gridCol w:w="1350"/>
        <w:gridCol w:w="715"/>
      </w:tblGrid>
      <w:tr>
        <w:trPr>
          <w:trHeight w:val="240" w:hRule="exact"/>
        </w:trPr>
        <w:tc>
          <w:tcPr>
            <w:tcW w:w="3865" w:type="dxa"/>
            <w:vMerge w:val="restart"/>
          </w:tcPr>
          <w:p>
            <w:pPr>
              <w:pStyle w:val="TableParagraph"/>
              <w:ind w:left="969"/>
              <w:jc w:val="left"/>
              <w:rPr>
                <w:sz w:val="20"/>
              </w:rPr>
            </w:pPr>
            <w:r>
              <w:rPr>
                <w:sz w:val="20"/>
              </w:rPr>
              <w:t>Exposure/Dosing Route</w:t>
            </w:r>
          </w:p>
        </w:tc>
        <w:tc>
          <w:tcPr>
            <w:tcW w:w="6205" w:type="dxa"/>
            <w:gridSpan w:val="5"/>
          </w:tcPr>
          <w:p>
            <w:pPr>
              <w:pStyle w:val="TableParagraph"/>
              <w:ind w:left="2475" w:right="2474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3865" w:type="dxa"/>
            <w:vMerge/>
          </w:tcPr>
          <w:p>
            <w:pPr/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B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240" w:hRule="exact"/>
        </w:trPr>
        <w:tc>
          <w:tcPr>
            <w:tcW w:w="3865" w:type="dxa"/>
          </w:tcPr>
          <w:p>
            <w:pPr>
              <w:pStyle w:val="TableParagraph"/>
              <w:spacing w:line="233" w:lineRule="exact"/>
              <w:ind w:left="481" w:right="481"/>
              <w:rPr>
                <w:sz w:val="20"/>
              </w:rPr>
            </w:pPr>
            <w:r>
              <w:rPr>
                <w:sz w:val="20"/>
              </w:rPr>
              <w:t>Oral (LD</w:t>
            </w:r>
            <w:r>
              <w:rPr>
                <w:position w:val="-1"/>
                <w:sz w:val="13"/>
              </w:rPr>
              <w:t>50</w:t>
            </w:r>
            <w:r>
              <w:rPr>
                <w:sz w:val="20"/>
              </w:rPr>
              <w:t>), mg/kg-bw</w:t>
            </w:r>
          </w:p>
        </w:tc>
        <w:tc>
          <w:tcPr>
            <w:tcW w:w="990" w:type="dxa"/>
          </w:tcPr>
          <w:p>
            <w:pPr>
              <w:pStyle w:val="TableParagraph"/>
              <w:ind w:left="138" w:right="138"/>
              <w:rPr>
                <w:sz w:val="20"/>
              </w:rPr>
            </w:pPr>
            <w:r>
              <w:rPr>
                <w:sz w:val="20"/>
              </w:rPr>
              <w:t>&gt;2000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&gt;300 to ≤2000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&gt;50 to ≤300</w:t>
            </w:r>
          </w:p>
        </w:tc>
        <w:tc>
          <w:tcPr>
            <w:tcW w:w="1350" w:type="dxa"/>
          </w:tcPr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sz w:val="20"/>
              </w:rPr>
              <w:t>&gt;5 to ≤50</w:t>
            </w:r>
          </w:p>
        </w:tc>
        <w:tc>
          <w:tcPr>
            <w:tcW w:w="715" w:type="dxa"/>
          </w:tcPr>
          <w:p>
            <w:pPr>
              <w:pStyle w:val="TableParagraph"/>
              <w:ind w:left="227" w:right="227"/>
              <w:rPr>
                <w:sz w:val="20"/>
              </w:rPr>
            </w:pPr>
            <w:r>
              <w:rPr>
                <w:sz w:val="20"/>
              </w:rPr>
              <w:t>≤5</w:t>
            </w:r>
          </w:p>
        </w:tc>
      </w:tr>
      <w:tr>
        <w:trPr>
          <w:trHeight w:val="240" w:hRule="exact"/>
        </w:trPr>
        <w:tc>
          <w:tcPr>
            <w:tcW w:w="3865" w:type="dxa"/>
          </w:tcPr>
          <w:p>
            <w:pPr>
              <w:pStyle w:val="TableParagraph"/>
              <w:spacing w:line="233" w:lineRule="exact"/>
              <w:ind w:left="481" w:right="481"/>
              <w:rPr>
                <w:sz w:val="20"/>
              </w:rPr>
            </w:pPr>
            <w:r>
              <w:rPr>
                <w:sz w:val="20"/>
              </w:rPr>
              <w:t>Dermal (LD</w:t>
            </w:r>
            <w:r>
              <w:rPr>
                <w:position w:val="-1"/>
                <w:sz w:val="13"/>
              </w:rPr>
              <w:t>50</w:t>
            </w:r>
            <w:r>
              <w:rPr>
                <w:sz w:val="20"/>
              </w:rPr>
              <w:t>), mg/kg-bw</w:t>
            </w:r>
          </w:p>
        </w:tc>
        <w:tc>
          <w:tcPr>
            <w:tcW w:w="990" w:type="dxa"/>
          </w:tcPr>
          <w:p>
            <w:pPr>
              <w:pStyle w:val="TableParagraph"/>
              <w:ind w:left="138" w:right="138"/>
              <w:rPr>
                <w:sz w:val="20"/>
              </w:rPr>
            </w:pPr>
            <w:r>
              <w:rPr>
                <w:sz w:val="20"/>
              </w:rPr>
              <w:t>&gt;2000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&gt;1000 to ≤2000</w:t>
            </w:r>
          </w:p>
        </w:tc>
        <w:tc>
          <w:tcPr>
            <w:tcW w:w="1440" w:type="dxa"/>
          </w:tcPr>
          <w:p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&gt;200 to ≤1000</w:t>
            </w:r>
          </w:p>
        </w:tc>
        <w:tc>
          <w:tcPr>
            <w:tcW w:w="135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&gt;50 to ≤200</w:t>
            </w:r>
          </w:p>
        </w:tc>
        <w:tc>
          <w:tcPr>
            <w:tcW w:w="715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≤50</w:t>
            </w:r>
          </w:p>
        </w:tc>
      </w:tr>
      <w:tr>
        <w:trPr>
          <w:trHeight w:val="470" w:hRule="exact"/>
        </w:trPr>
        <w:tc>
          <w:tcPr>
            <w:tcW w:w="3865" w:type="dxa"/>
          </w:tcPr>
          <w:p>
            <w:pPr>
              <w:pStyle w:val="TableParagraph"/>
              <w:spacing w:line="233" w:lineRule="exact"/>
              <w:ind w:left="481" w:right="481"/>
              <w:rPr>
                <w:sz w:val="20"/>
              </w:rPr>
            </w:pPr>
            <w:r>
              <w:rPr>
                <w:sz w:val="20"/>
              </w:rPr>
              <w:t>Inhalation, gases (LC</w:t>
            </w:r>
            <w:r>
              <w:rPr>
                <w:position w:val="-1"/>
                <w:sz w:val="13"/>
              </w:rPr>
              <w:t>50</w:t>
            </w:r>
            <w:r>
              <w:rPr>
                <w:sz w:val="20"/>
              </w:rPr>
              <w:t>), ppmv/4 h</w:t>
            </w:r>
          </w:p>
        </w:tc>
        <w:tc>
          <w:tcPr>
            <w:tcW w:w="990" w:type="dxa"/>
          </w:tcPr>
          <w:p>
            <w:pPr>
              <w:pStyle w:val="TableParagraph"/>
              <w:ind w:left="138" w:right="139"/>
              <w:rPr>
                <w:sz w:val="20"/>
              </w:rPr>
            </w:pPr>
            <w:r>
              <w:rPr>
                <w:sz w:val="20"/>
              </w:rPr>
              <w:t>&gt;20,000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&gt;2,500 to ≤20,000</w:t>
            </w:r>
          </w:p>
        </w:tc>
        <w:tc>
          <w:tcPr>
            <w:tcW w:w="1440" w:type="dxa"/>
          </w:tcPr>
          <w:p>
            <w:pPr>
              <w:pStyle w:val="TableParagraph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&gt;500 to</w:t>
            </w:r>
          </w:p>
          <w:p>
            <w:pPr>
              <w:pStyle w:val="TableParagraph"/>
              <w:spacing w:line="240" w:lineRule="auto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≤2,500</w:t>
            </w:r>
          </w:p>
        </w:tc>
        <w:tc>
          <w:tcPr>
            <w:tcW w:w="1350" w:type="dxa"/>
          </w:tcPr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sz w:val="20"/>
              </w:rPr>
              <w:t>&gt;100 to ≤500</w:t>
            </w:r>
          </w:p>
        </w:tc>
        <w:tc>
          <w:tcPr>
            <w:tcW w:w="715" w:type="dxa"/>
          </w:tcPr>
          <w:p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≤100</w:t>
            </w:r>
          </w:p>
        </w:tc>
      </w:tr>
      <w:tr>
        <w:trPr>
          <w:trHeight w:val="240" w:hRule="exact"/>
        </w:trPr>
        <w:tc>
          <w:tcPr>
            <w:tcW w:w="3865" w:type="dxa"/>
          </w:tcPr>
          <w:p>
            <w:pPr>
              <w:pStyle w:val="TableParagraph"/>
              <w:spacing w:line="233" w:lineRule="exact"/>
              <w:ind w:left="481" w:right="481"/>
              <w:rPr>
                <w:sz w:val="20"/>
              </w:rPr>
            </w:pPr>
            <w:r>
              <w:rPr>
                <w:sz w:val="20"/>
              </w:rPr>
              <w:t>Inhalation, vapors (LC</w:t>
            </w:r>
            <w:r>
              <w:rPr>
                <w:position w:val="-1"/>
                <w:sz w:val="13"/>
              </w:rPr>
              <w:t>50</w:t>
            </w:r>
            <w:r>
              <w:rPr>
                <w:sz w:val="20"/>
              </w:rPr>
              <w:t>), mg/L/4 h</w:t>
            </w:r>
          </w:p>
        </w:tc>
        <w:tc>
          <w:tcPr>
            <w:tcW w:w="990" w:type="dxa"/>
          </w:tcPr>
          <w:p>
            <w:pPr>
              <w:pStyle w:val="TableParagraph"/>
              <w:ind w:left="138" w:right="138"/>
              <w:rPr>
                <w:sz w:val="20"/>
              </w:rPr>
            </w:pPr>
            <w:r>
              <w:rPr>
                <w:sz w:val="20"/>
              </w:rPr>
              <w:t>&gt;20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&gt;10 to ≤20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&gt;2 to ≤10</w:t>
            </w:r>
          </w:p>
        </w:tc>
        <w:tc>
          <w:tcPr>
            <w:tcW w:w="135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&gt;0.5 to ≤2.0</w:t>
            </w:r>
          </w:p>
        </w:tc>
        <w:tc>
          <w:tcPr>
            <w:tcW w:w="715" w:type="dxa"/>
          </w:tcPr>
          <w:p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≤0.5</w:t>
            </w:r>
          </w:p>
        </w:tc>
      </w:tr>
      <w:tr>
        <w:trPr>
          <w:trHeight w:val="240" w:hRule="exact"/>
        </w:trPr>
        <w:tc>
          <w:tcPr>
            <w:tcW w:w="3865" w:type="dxa"/>
          </w:tcPr>
          <w:p>
            <w:pPr>
              <w:pStyle w:val="TableParagraph"/>
              <w:spacing w:line="233" w:lineRule="exact"/>
              <w:ind w:left="480" w:right="481"/>
              <w:rPr>
                <w:sz w:val="20"/>
              </w:rPr>
            </w:pPr>
            <w:r>
              <w:rPr>
                <w:sz w:val="20"/>
              </w:rPr>
              <w:t>Inhalation, dusts and mists (LC</w:t>
            </w:r>
            <w:r>
              <w:rPr>
                <w:position w:val="-1"/>
                <w:sz w:val="13"/>
              </w:rPr>
              <w:t>50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</w:tcPr>
          <w:p>
            <w:pPr>
              <w:pStyle w:val="TableParagraph"/>
              <w:ind w:left="138" w:right="138"/>
              <w:rPr>
                <w:sz w:val="20"/>
              </w:rPr>
            </w:pPr>
            <w:r>
              <w:rPr>
                <w:sz w:val="20"/>
              </w:rPr>
              <w:t>&gt;5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&gt;1 to ≤5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&gt;0.5 to ≤1</w:t>
            </w:r>
          </w:p>
        </w:tc>
        <w:tc>
          <w:tcPr>
            <w:tcW w:w="135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&gt;0.05 to ≤0.5</w:t>
            </w:r>
          </w:p>
        </w:tc>
        <w:tc>
          <w:tcPr>
            <w:tcW w:w="715" w:type="dxa"/>
          </w:tcPr>
          <w:p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≤0.05</w:t>
            </w:r>
          </w:p>
        </w:tc>
      </w:tr>
    </w:tbl>
    <w:p>
      <w:pPr>
        <w:pStyle w:val="BodyText"/>
        <w:ind w:left="100"/>
      </w:pPr>
      <w:r>
        <w:rPr>
          <w:b/>
          <w:position w:val="1"/>
        </w:rPr>
        <w:t>bw</w:t>
      </w:r>
      <w:r>
        <w:rPr>
          <w:position w:val="1"/>
        </w:rPr>
        <w:t>: body weight; </w:t>
      </w:r>
      <w:r>
        <w:rPr>
          <w:b/>
          <w:position w:val="1"/>
        </w:rPr>
        <w:t>LD</w:t>
      </w:r>
      <w:r>
        <w:rPr>
          <w:b/>
          <w:sz w:val="13"/>
        </w:rPr>
        <w:t>50</w:t>
      </w:r>
      <w:r>
        <w:rPr>
          <w:b/>
          <w:position w:val="1"/>
        </w:rPr>
        <w:t>: </w:t>
      </w:r>
      <w:r>
        <w:rPr>
          <w:position w:val="1"/>
        </w:rPr>
        <w:t>lethal dose 50%; </w:t>
      </w:r>
      <w:r>
        <w:rPr>
          <w:b/>
          <w:position w:val="1"/>
        </w:rPr>
        <w:t>LC</w:t>
      </w:r>
      <w:r>
        <w:rPr>
          <w:b/>
          <w:sz w:val="13"/>
        </w:rPr>
        <w:t>50</w:t>
      </w:r>
      <w:r>
        <w:rPr>
          <w:b/>
          <w:position w:val="1"/>
        </w:rPr>
        <w:t>: </w:t>
      </w:r>
      <w:r>
        <w:rPr>
          <w:position w:val="1"/>
        </w:rPr>
        <w:t>lethal concentration 50%;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0"/>
      </w:pPr>
      <w:r>
        <w:rPr>
          <w:b/>
        </w:rPr>
        <w:t>Table S3.  </w:t>
      </w:r>
      <w:r>
        <w:rPr/>
        <w:t>Draft NIOSH Tier 2 Banding Criteria:  Skin Corrosion/Irritation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1350"/>
        <w:gridCol w:w="1710"/>
        <w:gridCol w:w="2790"/>
        <w:gridCol w:w="2335"/>
      </w:tblGrid>
      <w:tr>
        <w:trPr>
          <w:trHeight w:val="240" w:hRule="exact"/>
        </w:trPr>
        <w:tc>
          <w:tcPr>
            <w:tcW w:w="1885" w:type="dxa"/>
          </w:tcPr>
          <w:p>
            <w:pPr/>
          </w:p>
        </w:tc>
        <w:tc>
          <w:tcPr>
            <w:tcW w:w="8185" w:type="dxa"/>
            <w:gridSpan w:val="4"/>
          </w:tcPr>
          <w:p>
            <w:pPr>
              <w:pStyle w:val="TableParagraph"/>
              <w:ind w:left="3465" w:right="3464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1885" w:type="dxa"/>
          </w:tcPr>
          <w:p>
            <w:pPr/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B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930" w:hRule="exact"/>
        </w:trPr>
        <w:tc>
          <w:tcPr>
            <w:tcW w:w="1885" w:type="dxa"/>
          </w:tcPr>
          <w:p>
            <w:pPr>
              <w:pStyle w:val="TableParagraph"/>
              <w:spacing w:line="240" w:lineRule="auto"/>
              <w:ind w:left="153" w:right="152" w:hanging="1"/>
              <w:rPr>
                <w:sz w:val="20"/>
              </w:rPr>
            </w:pPr>
            <w:r>
              <w:rPr>
                <w:sz w:val="20"/>
              </w:rPr>
              <w:t>Skin     Corrosion/Irritation Results</w:t>
            </w:r>
          </w:p>
        </w:tc>
        <w:tc>
          <w:tcPr>
            <w:tcW w:w="1350" w:type="dxa"/>
          </w:tcPr>
          <w:p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Non-irritating</w:t>
            </w:r>
          </w:p>
        </w:tc>
        <w:tc>
          <w:tcPr>
            <w:tcW w:w="1710" w:type="dxa"/>
          </w:tcPr>
          <w:p>
            <w:pPr>
              <w:pStyle w:val="TableParagraph"/>
              <w:spacing w:line="240" w:lineRule="auto"/>
              <w:ind w:left="500" w:right="136" w:hanging="345"/>
              <w:jc w:val="left"/>
              <w:rPr>
                <w:sz w:val="20"/>
              </w:rPr>
            </w:pPr>
            <w:r>
              <w:rPr>
                <w:sz w:val="20"/>
              </w:rPr>
              <w:t>Mild to moderate irritation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/>
              <w:ind w:left="220" w:right="218"/>
              <w:rPr>
                <w:sz w:val="20"/>
              </w:rPr>
            </w:pPr>
            <w:r>
              <w:rPr>
                <w:sz w:val="20"/>
              </w:rPr>
              <w:t>Moderate to severe irritation; reversible direct effects</w:t>
            </w:r>
          </w:p>
          <w:p>
            <w:pPr>
              <w:pStyle w:val="TableParagraph"/>
              <w:spacing w:line="229" w:lineRule="exact" w:before="2"/>
              <w:ind w:left="218" w:right="218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2335" w:type="dxa"/>
          </w:tcPr>
          <w:p>
            <w:pPr>
              <w:pStyle w:val="TableParagraph"/>
              <w:spacing w:line="240" w:lineRule="auto"/>
              <w:ind w:left="416" w:right="414" w:firstLine="1"/>
              <w:rPr>
                <w:sz w:val="20"/>
              </w:rPr>
            </w:pPr>
            <w:r>
              <w:rPr>
                <w:sz w:val="20"/>
              </w:rPr>
              <w:t>Skin corrosion; irreversible effects</w:t>
            </w:r>
          </w:p>
          <w:p>
            <w:pPr>
              <w:pStyle w:val="TableParagraph"/>
              <w:spacing w:line="240" w:lineRule="auto"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526" w:right="526"/>
              <w:rPr>
                <w:sz w:val="20"/>
              </w:rPr>
            </w:pPr>
            <w:r>
              <w:rPr>
                <w:sz w:val="20"/>
              </w:rPr>
              <w:t>pH ≤2 or &gt;11.5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2240" w:h="15840"/>
          <w:pgMar w:header="733" w:top="1440" w:bottom="280" w:left="980" w:right="960"/>
        </w:sectPr>
      </w:pPr>
    </w:p>
    <w:p>
      <w:pPr>
        <w:pStyle w:val="BodyText"/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1350"/>
        <w:gridCol w:w="1710"/>
        <w:gridCol w:w="2790"/>
        <w:gridCol w:w="2335"/>
      </w:tblGrid>
      <w:tr>
        <w:trPr>
          <w:trHeight w:val="700" w:hRule="exact"/>
        </w:trPr>
        <w:tc>
          <w:tcPr>
            <w:tcW w:w="1885" w:type="dxa"/>
          </w:tcPr>
          <w:p>
            <w:pPr/>
          </w:p>
        </w:tc>
        <w:tc>
          <w:tcPr>
            <w:tcW w:w="1350" w:type="dxa"/>
          </w:tcPr>
          <w:p>
            <w:pPr/>
          </w:p>
        </w:tc>
        <w:tc>
          <w:tcPr>
            <w:tcW w:w="1710" w:type="dxa"/>
          </w:tcPr>
          <w:p>
            <w:pPr/>
          </w:p>
        </w:tc>
        <w:tc>
          <w:tcPr>
            <w:tcW w:w="2790" w:type="dxa"/>
          </w:tcPr>
          <w:p>
            <w:pPr>
              <w:pStyle w:val="TableParagraph"/>
              <w:spacing w:line="240" w:lineRule="auto"/>
              <w:ind w:left="350" w:right="350" w:firstLine="2"/>
              <w:rPr>
                <w:sz w:val="20"/>
              </w:rPr>
            </w:pPr>
            <w:r>
              <w:rPr>
                <w:sz w:val="20"/>
              </w:rPr>
              <w:t>Mixed results or irritant potential with unspecified severity</w:t>
            </w:r>
          </w:p>
        </w:tc>
        <w:tc>
          <w:tcPr>
            <w:tcW w:w="2335" w:type="dxa"/>
          </w:tcPr>
          <w:p>
            <w:pPr/>
          </w:p>
        </w:tc>
      </w:tr>
    </w:tbl>
    <w:p>
      <w:pPr>
        <w:pStyle w:val="BodyText"/>
        <w:spacing w:before="7"/>
        <w:rPr>
          <w:sz w:val="28"/>
        </w:rPr>
      </w:pPr>
    </w:p>
    <w:p>
      <w:pPr>
        <w:pStyle w:val="BodyText"/>
        <w:spacing w:before="92"/>
        <w:ind w:left="100"/>
      </w:pPr>
      <w:r>
        <w:rPr>
          <w:b/>
        </w:rPr>
        <w:t>Table S4. </w:t>
      </w:r>
      <w:r>
        <w:rPr/>
        <w:t>Draft NIOSH Tier 2 Banding Criteria:  Eye Damage/Irritation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2430"/>
        <w:gridCol w:w="3058"/>
        <w:gridCol w:w="2518"/>
      </w:tblGrid>
      <w:tr>
        <w:trPr>
          <w:trHeight w:val="240" w:hRule="exact"/>
        </w:trPr>
        <w:tc>
          <w:tcPr>
            <w:tcW w:w="2065" w:type="dxa"/>
          </w:tcPr>
          <w:p>
            <w:pPr/>
          </w:p>
        </w:tc>
        <w:tc>
          <w:tcPr>
            <w:tcW w:w="8005" w:type="dxa"/>
            <w:gridSpan w:val="3"/>
          </w:tcPr>
          <w:p>
            <w:pPr>
              <w:pStyle w:val="TableParagraph"/>
              <w:ind w:left="3375" w:right="3375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2065" w:type="dxa"/>
          </w:tcPr>
          <w:p>
            <w:pPr/>
          </w:p>
        </w:tc>
        <w:tc>
          <w:tcPr>
            <w:tcW w:w="2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1160" w:hRule="exact"/>
        </w:trPr>
        <w:tc>
          <w:tcPr>
            <w:tcW w:w="2065" w:type="dxa"/>
          </w:tcPr>
          <w:p>
            <w:pPr>
              <w:pStyle w:val="TableParagraph"/>
              <w:spacing w:line="240" w:lineRule="auto"/>
              <w:ind w:left="733" w:right="111" w:hanging="603"/>
              <w:jc w:val="left"/>
              <w:rPr>
                <w:sz w:val="20"/>
              </w:rPr>
            </w:pPr>
            <w:r>
              <w:rPr>
                <w:sz w:val="20"/>
              </w:rPr>
              <w:t>Eye Damage/Irritation Results</w:t>
            </w:r>
          </w:p>
        </w:tc>
        <w:tc>
          <w:tcPr>
            <w:tcW w:w="2430" w:type="dxa"/>
          </w:tcPr>
          <w:p>
            <w:pPr>
              <w:pStyle w:val="TableParagraph"/>
              <w:ind w:left="121" w:right="121"/>
              <w:rPr>
                <w:sz w:val="20"/>
              </w:rPr>
            </w:pPr>
            <w:r>
              <w:rPr>
                <w:sz w:val="20"/>
              </w:rPr>
              <w:t>Mild to moderate irritation</w:t>
            </w:r>
          </w:p>
        </w:tc>
        <w:tc>
          <w:tcPr>
            <w:tcW w:w="3058" w:type="dxa"/>
          </w:tcPr>
          <w:p>
            <w:pPr>
              <w:pStyle w:val="TableParagraph"/>
              <w:spacing w:line="240" w:lineRule="auto"/>
              <w:ind w:left="190" w:right="187"/>
              <w:rPr>
                <w:sz w:val="20"/>
              </w:rPr>
            </w:pPr>
            <w:r>
              <w:rPr>
                <w:sz w:val="20"/>
              </w:rPr>
              <w:t>Severe irritation; moderate to severe irritation</w:t>
            </w:r>
          </w:p>
          <w:p>
            <w:pPr>
              <w:pStyle w:val="TableParagraph"/>
              <w:spacing w:line="229" w:lineRule="exact" w:before="2"/>
              <w:ind w:left="190" w:right="190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40" w:lineRule="auto"/>
              <w:ind w:left="190" w:right="190"/>
              <w:rPr>
                <w:sz w:val="20"/>
              </w:rPr>
            </w:pPr>
            <w:r>
              <w:rPr>
                <w:sz w:val="20"/>
              </w:rPr>
              <w:t>Irritant with unspecified severity, no conclusion, or mixed results</w:t>
            </w:r>
          </w:p>
        </w:tc>
        <w:tc>
          <w:tcPr>
            <w:tcW w:w="2518" w:type="dxa"/>
          </w:tcPr>
          <w:p>
            <w:pPr>
              <w:pStyle w:val="TableParagraph"/>
              <w:ind w:left="272" w:right="273"/>
              <w:rPr>
                <w:sz w:val="20"/>
              </w:rPr>
            </w:pPr>
            <w:r>
              <w:rPr>
                <w:sz w:val="20"/>
              </w:rPr>
              <w:t>Irreversible eye damage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 w:after="2"/>
        <w:ind w:left="100"/>
      </w:pPr>
      <w:r>
        <w:rPr>
          <w:b/>
        </w:rPr>
        <w:t>Table S5.  </w:t>
      </w:r>
      <w:r>
        <w:rPr/>
        <w:t>Draft NIOSH Tier 2 Banding Criteria:  Respiratory Sensitization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159"/>
        <w:gridCol w:w="2519"/>
        <w:gridCol w:w="2518"/>
      </w:tblGrid>
      <w:tr>
        <w:trPr>
          <w:trHeight w:val="240" w:hRule="exact"/>
        </w:trPr>
        <w:tc>
          <w:tcPr>
            <w:tcW w:w="2875" w:type="dxa"/>
          </w:tcPr>
          <w:p>
            <w:pPr/>
          </w:p>
        </w:tc>
        <w:tc>
          <w:tcPr>
            <w:tcW w:w="7195" w:type="dxa"/>
            <w:gridSpan w:val="3"/>
          </w:tcPr>
          <w:p>
            <w:pPr>
              <w:pStyle w:val="TableParagraph"/>
              <w:ind w:left="2970" w:right="2970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2875" w:type="dxa"/>
          </w:tcPr>
          <w:p>
            <w:pPr/>
          </w:p>
        </w:tc>
        <w:tc>
          <w:tcPr>
            <w:tcW w:w="215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2519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</w:tr>
      <w:tr>
        <w:trPr>
          <w:trHeight w:val="240" w:hRule="exact"/>
        </w:trPr>
        <w:tc>
          <w:tcPr>
            <w:tcW w:w="2875" w:type="dxa"/>
          </w:tcPr>
          <w:p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Respiratory Sensitization Results</w:t>
            </w:r>
          </w:p>
        </w:tc>
        <w:tc>
          <w:tcPr>
            <w:tcW w:w="2159" w:type="dxa"/>
          </w:tcPr>
          <w:p>
            <w:pPr>
              <w:pStyle w:val="TableParagraph"/>
              <w:ind w:left="552" w:right="552"/>
              <w:rPr>
                <w:sz w:val="20"/>
              </w:rPr>
            </w:pPr>
            <w:r>
              <w:rPr>
                <w:sz w:val="20"/>
              </w:rPr>
              <w:t>No evidence</w:t>
            </w:r>
          </w:p>
        </w:tc>
        <w:tc>
          <w:tcPr>
            <w:tcW w:w="2519" w:type="dxa"/>
          </w:tcPr>
          <w:p>
            <w:pPr>
              <w:pStyle w:val="TableParagraph"/>
              <w:ind w:left="973" w:right="974"/>
              <w:rPr>
                <w:sz w:val="20"/>
              </w:rPr>
            </w:pPr>
            <w:r>
              <w:rPr>
                <w:sz w:val="20"/>
              </w:rPr>
              <w:t>Mixed</w:t>
            </w:r>
          </w:p>
        </w:tc>
        <w:tc>
          <w:tcPr>
            <w:tcW w:w="2518" w:type="dxa"/>
          </w:tcPr>
          <w:p>
            <w:pPr>
              <w:pStyle w:val="TableParagraph"/>
              <w:ind w:left="272" w:right="272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100"/>
      </w:pPr>
      <w:r>
        <w:rPr>
          <w:b/>
        </w:rPr>
        <w:t>Table S6.  </w:t>
      </w:r>
      <w:r>
        <w:rPr/>
        <w:t>Draft NIOSH Tier 2 Banding Criteria:  Skin Sensitization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1980"/>
        <w:gridCol w:w="3510"/>
        <w:gridCol w:w="3235"/>
      </w:tblGrid>
      <w:tr>
        <w:trPr>
          <w:trHeight w:val="240" w:hRule="exact"/>
        </w:trPr>
        <w:tc>
          <w:tcPr>
            <w:tcW w:w="1345" w:type="dxa"/>
            <w:vMerge w:val="restart"/>
          </w:tcPr>
          <w:p>
            <w:pPr>
              <w:pStyle w:val="TableParagraph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Test Type</w:t>
            </w:r>
          </w:p>
        </w:tc>
        <w:tc>
          <w:tcPr>
            <w:tcW w:w="8725" w:type="dxa"/>
            <w:gridSpan w:val="3"/>
          </w:tcPr>
          <w:p>
            <w:pPr>
              <w:pStyle w:val="TableParagraph"/>
              <w:ind w:left="3735" w:right="3734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1345" w:type="dxa"/>
            <w:vMerge/>
          </w:tcPr>
          <w:p>
            <w:pPr/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469" w:hRule="exact"/>
        </w:trPr>
        <w:tc>
          <w:tcPr>
            <w:tcW w:w="1345" w:type="dxa"/>
          </w:tcPr>
          <w:p>
            <w:pPr>
              <w:pStyle w:val="TableParagraph"/>
              <w:spacing w:line="240" w:lineRule="auto"/>
              <w:ind w:left="517" w:right="179" w:hanging="320"/>
              <w:jc w:val="left"/>
              <w:rPr>
                <w:sz w:val="20"/>
              </w:rPr>
            </w:pPr>
            <w:r>
              <w:rPr>
                <w:sz w:val="20"/>
              </w:rPr>
              <w:t>LLNA EC3 (%)</w:t>
            </w:r>
          </w:p>
        </w:tc>
        <w:tc>
          <w:tcPr>
            <w:tcW w:w="1980" w:type="dxa"/>
          </w:tcPr>
          <w:p>
            <w:pPr>
              <w:pStyle w:val="TableParagraph"/>
              <w:ind w:left="150" w:right="151"/>
              <w:rPr>
                <w:sz w:val="20"/>
              </w:rPr>
            </w:pPr>
            <w:r>
              <w:rPr>
                <w:sz w:val="20"/>
              </w:rPr>
              <w:t>Non-skin sensitizer</w:t>
            </w:r>
          </w:p>
        </w:tc>
        <w:tc>
          <w:tcPr>
            <w:tcW w:w="3510" w:type="dxa"/>
          </w:tcPr>
          <w:p>
            <w:pPr>
              <w:pStyle w:val="TableParagraph"/>
              <w:ind w:left="135" w:right="134"/>
              <w:rPr>
                <w:sz w:val="20"/>
              </w:rPr>
            </w:pPr>
            <w:r>
              <w:rPr>
                <w:sz w:val="20"/>
              </w:rPr>
              <w:t>&gt;2.0 to ≤100</w:t>
            </w:r>
          </w:p>
          <w:p>
            <w:pPr>
              <w:pStyle w:val="TableParagraph"/>
              <w:spacing w:line="230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(weak to moderate skin sensitizer)</w:t>
            </w:r>
          </w:p>
        </w:tc>
        <w:tc>
          <w:tcPr>
            <w:tcW w:w="3235" w:type="dxa"/>
          </w:tcPr>
          <w:p>
            <w:pPr>
              <w:pStyle w:val="TableParagraph"/>
              <w:ind w:left="123" w:right="123"/>
              <w:rPr>
                <w:sz w:val="20"/>
              </w:rPr>
            </w:pPr>
            <w:r>
              <w:rPr>
                <w:sz w:val="20"/>
              </w:rPr>
              <w:t>≤2.0</w:t>
            </w:r>
          </w:p>
          <w:p>
            <w:pPr>
              <w:pStyle w:val="TableParagraph"/>
              <w:spacing w:line="230" w:lineRule="exact"/>
              <w:ind w:left="123" w:right="123"/>
              <w:rPr>
                <w:sz w:val="20"/>
              </w:rPr>
            </w:pPr>
            <w:r>
              <w:rPr>
                <w:sz w:val="20"/>
              </w:rPr>
              <w:t>(strong to extreme skin sensitizer)</w:t>
            </w:r>
          </w:p>
        </w:tc>
      </w:tr>
      <w:tr>
        <w:trPr>
          <w:trHeight w:val="1620" w:hRule="exact"/>
        </w:trPr>
        <w:tc>
          <w:tcPr>
            <w:tcW w:w="1345" w:type="dxa"/>
          </w:tcPr>
          <w:p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sz w:val="20"/>
              </w:rPr>
              <w:t>GPMT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317" w:right="127" w:hanging="172"/>
              <w:jc w:val="left"/>
              <w:rPr>
                <w:sz w:val="20"/>
              </w:rPr>
            </w:pPr>
            <w:r>
              <w:rPr>
                <w:sz w:val="20"/>
              </w:rPr>
              <w:t>No positive response or low incidence</w:t>
            </w:r>
          </w:p>
        </w:tc>
        <w:tc>
          <w:tcPr>
            <w:tcW w:w="3510" w:type="dxa"/>
          </w:tcPr>
          <w:p>
            <w:pPr>
              <w:pStyle w:val="TableParagraph"/>
              <w:ind w:left="135" w:right="135"/>
              <w:rPr>
                <w:sz w:val="20"/>
              </w:rPr>
            </w:pPr>
            <w:r>
              <w:rPr>
                <w:sz w:val="20"/>
              </w:rPr>
              <w:t>30-60% of test animals respond at</w:t>
            </w:r>
          </w:p>
          <w:p>
            <w:pPr>
              <w:pStyle w:val="TableParagraph"/>
              <w:spacing w:line="240" w:lineRule="auto"/>
              <w:ind w:left="135" w:right="134"/>
              <w:rPr>
                <w:sz w:val="20"/>
              </w:rPr>
            </w:pPr>
            <w:r>
              <w:rPr>
                <w:sz w:val="20"/>
              </w:rPr>
              <w:t>&gt;0.1% intradermal induction concentration</w:t>
            </w:r>
          </w:p>
          <w:p>
            <w:pPr>
              <w:pStyle w:val="TableParagraph"/>
              <w:spacing w:line="229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40" w:lineRule="auto" w:before="1"/>
              <w:ind w:left="135" w:right="133"/>
              <w:rPr>
                <w:sz w:val="20"/>
              </w:rPr>
            </w:pPr>
            <w:r>
              <w:rPr>
                <w:sz w:val="20"/>
              </w:rPr>
              <w:t>≥30% of test animals respond at &gt;1% intradermal induction concentration</w:t>
            </w:r>
          </w:p>
        </w:tc>
        <w:tc>
          <w:tcPr>
            <w:tcW w:w="3235" w:type="dxa"/>
          </w:tcPr>
          <w:p>
            <w:pPr>
              <w:pStyle w:val="TableParagraph"/>
              <w:ind w:left="123" w:right="123"/>
              <w:rPr>
                <w:sz w:val="20"/>
              </w:rPr>
            </w:pPr>
            <w:r>
              <w:rPr>
                <w:sz w:val="20"/>
              </w:rPr>
              <w:t>≥30% of test animals respong at</w:t>
            </w:r>
          </w:p>
          <w:p>
            <w:pPr>
              <w:pStyle w:val="TableParagraph"/>
              <w:spacing w:line="240" w:lineRule="auto"/>
              <w:ind w:left="123" w:right="123"/>
              <w:rPr>
                <w:sz w:val="20"/>
              </w:rPr>
            </w:pPr>
            <w:r>
              <w:rPr>
                <w:sz w:val="20"/>
              </w:rPr>
              <w:t>≤0.1% intradermal induction</w:t>
            </w:r>
          </w:p>
          <w:p>
            <w:pPr>
              <w:pStyle w:val="TableParagraph"/>
              <w:spacing w:line="240" w:lineRule="auto"/>
              <w:ind w:left="1067" w:right="1066"/>
              <w:rPr>
                <w:sz w:val="20"/>
              </w:rPr>
            </w:pPr>
            <w:r>
              <w:rPr>
                <w:sz w:val="20"/>
              </w:rPr>
              <w:t>concentration OR</w:t>
            </w:r>
          </w:p>
          <w:p>
            <w:pPr>
              <w:pStyle w:val="TableParagraph"/>
              <w:spacing w:line="240" w:lineRule="auto"/>
              <w:ind w:left="123" w:right="123"/>
              <w:rPr>
                <w:sz w:val="20"/>
              </w:rPr>
            </w:pPr>
            <w:r>
              <w:rPr>
                <w:sz w:val="20"/>
              </w:rPr>
              <w:t>≥60% of test animals respond at</w:t>
            </w:r>
          </w:p>
          <w:p>
            <w:pPr>
              <w:pStyle w:val="TableParagraph"/>
              <w:spacing w:line="230" w:lineRule="exact"/>
              <w:ind w:left="123" w:right="123"/>
              <w:rPr>
                <w:sz w:val="20"/>
              </w:rPr>
            </w:pPr>
            <w:r>
              <w:rPr>
                <w:sz w:val="20"/>
              </w:rPr>
              <w:t>&gt;0.1% to ≤1% intradermal induction</w:t>
            </w:r>
          </w:p>
          <w:p>
            <w:pPr>
              <w:pStyle w:val="TableParagraph"/>
              <w:spacing w:line="230" w:lineRule="exact"/>
              <w:ind w:left="123" w:right="123"/>
              <w:rPr>
                <w:sz w:val="20"/>
              </w:rPr>
            </w:pPr>
            <w:r>
              <w:rPr>
                <w:sz w:val="20"/>
              </w:rPr>
              <w:t>concentration</w:t>
            </w:r>
          </w:p>
        </w:tc>
      </w:tr>
      <w:tr>
        <w:trPr>
          <w:trHeight w:val="1391" w:hRule="exact"/>
        </w:trPr>
        <w:tc>
          <w:tcPr>
            <w:tcW w:w="1345" w:type="dxa"/>
          </w:tcPr>
          <w:p>
            <w:pPr>
              <w:pStyle w:val="TableParagraph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Buehler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317" w:right="127" w:hanging="172"/>
              <w:jc w:val="left"/>
              <w:rPr>
                <w:sz w:val="20"/>
              </w:rPr>
            </w:pPr>
            <w:r>
              <w:rPr>
                <w:sz w:val="20"/>
              </w:rPr>
              <w:t>No positive response or low incidence</w:t>
            </w:r>
          </w:p>
        </w:tc>
        <w:tc>
          <w:tcPr>
            <w:tcW w:w="3510" w:type="dxa"/>
          </w:tcPr>
          <w:p>
            <w:pPr>
              <w:pStyle w:val="TableParagraph"/>
              <w:ind w:left="135" w:right="136"/>
              <w:rPr>
                <w:sz w:val="20"/>
              </w:rPr>
            </w:pPr>
            <w:r>
              <w:rPr>
                <w:sz w:val="20"/>
              </w:rPr>
              <w:t>≥60% of test animals respond at &gt;0.2 to</w:t>
            </w:r>
          </w:p>
          <w:p>
            <w:pPr>
              <w:pStyle w:val="TableParagraph"/>
              <w:spacing w:line="240" w:lineRule="auto"/>
              <w:ind w:left="135" w:right="135"/>
              <w:rPr>
                <w:sz w:val="20"/>
              </w:rPr>
            </w:pPr>
            <w:r>
              <w:rPr>
                <w:sz w:val="20"/>
              </w:rPr>
              <w:t>≤20% topical induction concentration</w:t>
            </w:r>
          </w:p>
          <w:p>
            <w:pPr>
              <w:pStyle w:val="TableParagraph"/>
              <w:spacing w:line="230" w:lineRule="exact"/>
              <w:ind w:left="135" w:right="83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30" w:lineRule="exact"/>
              <w:ind w:left="135" w:right="136"/>
              <w:rPr>
                <w:sz w:val="20"/>
              </w:rPr>
            </w:pPr>
            <w:r>
              <w:rPr>
                <w:sz w:val="20"/>
              </w:rPr>
              <w:t>≥15% of test animals respond at &gt;20%</w:t>
            </w:r>
          </w:p>
          <w:p>
            <w:pPr>
              <w:pStyle w:val="TableParagraph"/>
              <w:spacing w:line="240" w:lineRule="auto"/>
              <w:ind w:left="135" w:right="135"/>
              <w:rPr>
                <w:sz w:val="20"/>
              </w:rPr>
            </w:pPr>
            <w:r>
              <w:rPr>
                <w:sz w:val="20"/>
              </w:rPr>
              <w:t>topical induction concentration</w:t>
            </w:r>
          </w:p>
        </w:tc>
        <w:tc>
          <w:tcPr>
            <w:tcW w:w="3235" w:type="dxa"/>
          </w:tcPr>
          <w:p>
            <w:pPr>
              <w:pStyle w:val="TableParagraph"/>
              <w:ind w:left="123" w:right="123"/>
              <w:rPr>
                <w:sz w:val="20"/>
              </w:rPr>
            </w:pPr>
            <w:r>
              <w:rPr>
                <w:sz w:val="20"/>
              </w:rPr>
              <w:t>≥15% of test animals respond at</w:t>
            </w:r>
          </w:p>
          <w:p>
            <w:pPr>
              <w:pStyle w:val="TableParagraph"/>
              <w:spacing w:line="240" w:lineRule="auto"/>
              <w:ind w:left="123" w:right="123"/>
              <w:rPr>
                <w:sz w:val="20"/>
              </w:rPr>
            </w:pPr>
            <w:r>
              <w:rPr>
                <w:sz w:val="20"/>
              </w:rPr>
              <w:t>≤0.2% topical induction</w:t>
            </w:r>
          </w:p>
          <w:p>
            <w:pPr>
              <w:pStyle w:val="TableParagraph"/>
              <w:spacing w:line="240" w:lineRule="auto"/>
              <w:ind w:left="1067" w:right="1065"/>
              <w:rPr>
                <w:sz w:val="20"/>
              </w:rPr>
            </w:pPr>
            <w:r>
              <w:rPr>
                <w:sz w:val="20"/>
              </w:rPr>
              <w:t>concentration OR</w:t>
            </w:r>
          </w:p>
          <w:p>
            <w:pPr>
              <w:pStyle w:val="TableParagraph"/>
              <w:spacing w:line="240" w:lineRule="auto"/>
              <w:ind w:left="123" w:right="120"/>
              <w:rPr>
                <w:sz w:val="20"/>
              </w:rPr>
            </w:pPr>
            <w:r>
              <w:rPr>
                <w:sz w:val="20"/>
              </w:rPr>
              <w:t>≥60% respond at any topical induction concentration</w:t>
            </w:r>
          </w:p>
        </w:tc>
      </w:tr>
    </w:tbl>
    <w:p>
      <w:pPr>
        <w:pStyle w:val="BodyText"/>
        <w:ind w:left="100" w:right="445" w:hanging="1"/>
      </w:pPr>
      <w:r>
        <w:rPr>
          <w:b/>
        </w:rPr>
        <w:t>GPMT: </w:t>
      </w:r>
      <w:r>
        <w:rPr/>
        <w:t>guinea pig maximization test; </w:t>
      </w:r>
      <w:r>
        <w:rPr>
          <w:b/>
        </w:rPr>
        <w:t>LLNA EC3: </w:t>
      </w:r>
      <w:r>
        <w:rPr/>
        <w:t>local lymph node assay effective concentration required to produce a three-fold increase in the stimulation index compared to vehicle-treated controls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0"/>
      </w:pPr>
      <w:r>
        <w:rPr>
          <w:b/>
        </w:rPr>
        <w:t>Table S7.  </w:t>
      </w:r>
      <w:r>
        <w:rPr/>
        <w:t>Draft NIOSH Tier 2 Banding Criteria: Genotoxicity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516"/>
        <w:gridCol w:w="2519"/>
        <w:gridCol w:w="2518"/>
      </w:tblGrid>
      <w:tr>
        <w:trPr>
          <w:trHeight w:val="240" w:hRule="exact"/>
        </w:trPr>
        <w:tc>
          <w:tcPr>
            <w:tcW w:w="2518" w:type="dxa"/>
          </w:tcPr>
          <w:p>
            <w:pPr/>
          </w:p>
        </w:tc>
        <w:tc>
          <w:tcPr>
            <w:tcW w:w="7553" w:type="dxa"/>
            <w:gridSpan w:val="3"/>
          </w:tcPr>
          <w:p>
            <w:pPr>
              <w:pStyle w:val="TableParagraph"/>
              <w:ind w:left="3148" w:right="3148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2518" w:type="dxa"/>
          </w:tcPr>
          <w:p>
            <w:pPr/>
          </w:p>
        </w:tc>
        <w:tc>
          <w:tcPr>
            <w:tcW w:w="251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2519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</w:tr>
      <w:tr>
        <w:trPr>
          <w:trHeight w:val="240" w:hRule="exact"/>
        </w:trPr>
        <w:tc>
          <w:tcPr>
            <w:tcW w:w="2518" w:type="dxa"/>
          </w:tcPr>
          <w:p>
            <w:pPr>
              <w:pStyle w:val="TableParagraph"/>
              <w:ind w:left="411"/>
              <w:jc w:val="left"/>
              <w:rPr>
                <w:sz w:val="20"/>
              </w:rPr>
            </w:pPr>
            <w:r>
              <w:rPr>
                <w:sz w:val="20"/>
              </w:rPr>
              <w:t>Genotoxicity Results</w:t>
            </w:r>
          </w:p>
        </w:tc>
        <w:tc>
          <w:tcPr>
            <w:tcW w:w="2516" w:type="dxa"/>
          </w:tcPr>
          <w:p>
            <w:pPr>
              <w:pStyle w:val="TableParagraph"/>
              <w:ind w:left="873" w:right="871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tc>
          <w:tcPr>
            <w:tcW w:w="2519" w:type="dxa"/>
          </w:tcPr>
          <w:p>
            <w:pPr>
              <w:pStyle w:val="TableParagraph"/>
              <w:ind w:left="973" w:right="974"/>
              <w:rPr>
                <w:sz w:val="20"/>
              </w:rPr>
            </w:pPr>
            <w:r>
              <w:rPr>
                <w:sz w:val="20"/>
              </w:rPr>
              <w:t>Mixed</w:t>
            </w:r>
          </w:p>
        </w:tc>
        <w:tc>
          <w:tcPr>
            <w:tcW w:w="2518" w:type="dxa"/>
          </w:tcPr>
          <w:p>
            <w:pPr>
              <w:pStyle w:val="TableParagraph"/>
              <w:ind w:left="272" w:right="272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3" w:footer="0" w:top="1440" w:bottom="280" w:left="980" w:right="96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2"/>
        <w:ind w:left="100"/>
      </w:pPr>
      <w:r>
        <w:rPr>
          <w:b/>
        </w:rPr>
        <w:t>Table S8.  </w:t>
      </w:r>
      <w:r>
        <w:rPr/>
        <w:t>Draft NIOSH Tier 2 Banding Criteria: Carcinogenicity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2430"/>
        <w:gridCol w:w="1980"/>
        <w:gridCol w:w="1620"/>
        <w:gridCol w:w="2065"/>
      </w:tblGrid>
      <w:tr>
        <w:trPr>
          <w:trHeight w:val="240" w:hRule="exact"/>
        </w:trPr>
        <w:tc>
          <w:tcPr>
            <w:tcW w:w="1975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Quantitative</w:t>
            </w:r>
          </w:p>
        </w:tc>
        <w:tc>
          <w:tcPr>
            <w:tcW w:w="8095" w:type="dxa"/>
            <w:gridSpan w:val="4"/>
          </w:tcPr>
          <w:p>
            <w:pPr>
              <w:pStyle w:val="TableParagraph"/>
              <w:ind w:left="3420" w:right="3420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1975" w:type="dxa"/>
          </w:tcPr>
          <w:p>
            <w:pPr>
              <w:pStyle w:val="TableParagraph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Potency Factor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2065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470" w:hRule="exact"/>
        </w:trPr>
        <w:tc>
          <w:tcPr>
            <w:tcW w:w="1975" w:type="dxa"/>
          </w:tcPr>
          <w:p>
            <w:pPr>
              <w:pStyle w:val="TableParagraph"/>
              <w:spacing w:line="230" w:lineRule="exact" w:before="1"/>
              <w:ind w:left="453" w:right="401" w:hanging="5"/>
              <w:jc w:val="left"/>
              <w:rPr>
                <w:sz w:val="13"/>
              </w:rPr>
            </w:pPr>
            <w:r>
              <w:rPr>
                <w:sz w:val="20"/>
              </w:rPr>
              <w:t>Slope Factor, (mg/kg-day)</w:t>
            </w:r>
            <w:r>
              <w:rPr>
                <w:position w:val="7"/>
                <w:sz w:val="13"/>
              </w:rPr>
              <w:t>-1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113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0"/>
              <w:rPr>
                <w:sz w:val="20"/>
              </w:rPr>
            </w:pPr>
            <w:r>
              <w:rPr>
                <w:sz w:val="20"/>
              </w:rPr>
              <w:t>&lt;0.01</w:t>
            </w:r>
          </w:p>
        </w:tc>
        <w:tc>
          <w:tcPr>
            <w:tcW w:w="1620" w:type="dxa"/>
          </w:tcPr>
          <w:p>
            <w:pPr>
              <w:pStyle w:val="TableParagraph"/>
              <w:ind w:left="125" w:right="125"/>
              <w:rPr>
                <w:sz w:val="20"/>
              </w:rPr>
            </w:pPr>
            <w:r>
              <w:rPr>
                <w:sz w:val="20"/>
              </w:rPr>
              <w:t>≥0.01 to &lt;10</w:t>
            </w:r>
          </w:p>
        </w:tc>
        <w:tc>
          <w:tcPr>
            <w:tcW w:w="2065" w:type="dxa"/>
          </w:tcPr>
          <w:p>
            <w:pPr>
              <w:pStyle w:val="TableParagraph"/>
              <w:ind w:left="727" w:right="728"/>
              <w:rPr>
                <w:sz w:val="20"/>
              </w:rPr>
            </w:pPr>
            <w:r>
              <w:rPr>
                <w:sz w:val="20"/>
              </w:rPr>
              <w:t>≥10</w:t>
            </w:r>
          </w:p>
        </w:tc>
      </w:tr>
      <w:tr>
        <w:trPr>
          <w:trHeight w:val="469" w:hRule="exact"/>
        </w:trPr>
        <w:tc>
          <w:tcPr>
            <w:tcW w:w="1975" w:type="dxa"/>
          </w:tcPr>
          <w:p>
            <w:pPr>
              <w:pStyle w:val="TableParagraph"/>
              <w:spacing w:line="230" w:lineRule="exact"/>
              <w:ind w:left="615" w:right="195" w:hanging="420"/>
              <w:jc w:val="left"/>
              <w:rPr>
                <w:sz w:val="13"/>
              </w:rPr>
            </w:pPr>
            <w:r>
              <w:rPr>
                <w:sz w:val="20"/>
              </w:rPr>
              <w:t>Inhalation risk unit, (µg/m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)</w:t>
            </w:r>
            <w:r>
              <w:rPr>
                <w:position w:val="7"/>
                <w:sz w:val="13"/>
              </w:rPr>
              <w:t>-1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112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1"/>
              <w:rPr>
                <w:sz w:val="13"/>
              </w:rPr>
            </w:pPr>
            <w:r>
              <w:rPr>
                <w:sz w:val="20"/>
              </w:rPr>
              <w:t>&lt;3x10</w:t>
            </w:r>
            <w:r>
              <w:rPr>
                <w:position w:val="7"/>
                <w:sz w:val="13"/>
              </w:rPr>
              <w:t>-6</w:t>
            </w:r>
          </w:p>
        </w:tc>
        <w:tc>
          <w:tcPr>
            <w:tcW w:w="1620" w:type="dxa"/>
          </w:tcPr>
          <w:p>
            <w:pPr>
              <w:pStyle w:val="TableParagraph"/>
              <w:ind w:left="126" w:right="125"/>
              <w:rPr>
                <w:sz w:val="20"/>
              </w:rPr>
            </w:pPr>
            <w:r>
              <w:rPr>
                <w:sz w:val="20"/>
              </w:rPr>
              <w:t>≥3x10</w:t>
            </w:r>
            <w:r>
              <w:rPr>
                <w:position w:val="7"/>
                <w:sz w:val="13"/>
              </w:rPr>
              <w:t>-6 </w:t>
            </w:r>
            <w:r>
              <w:rPr>
                <w:sz w:val="20"/>
              </w:rPr>
              <w:t>to &lt;0.01</w:t>
            </w:r>
          </w:p>
        </w:tc>
        <w:tc>
          <w:tcPr>
            <w:tcW w:w="2065" w:type="dxa"/>
          </w:tcPr>
          <w:p>
            <w:pPr>
              <w:pStyle w:val="TableParagraph"/>
              <w:ind w:left="727" w:right="727"/>
              <w:rPr>
                <w:sz w:val="20"/>
              </w:rPr>
            </w:pPr>
            <w:r>
              <w:rPr>
                <w:sz w:val="20"/>
              </w:rPr>
              <w:t>≥0.01</w:t>
            </w:r>
          </w:p>
        </w:tc>
      </w:tr>
      <w:tr>
        <w:trPr>
          <w:trHeight w:val="240" w:hRule="exact"/>
        </w:trPr>
        <w:tc>
          <w:tcPr>
            <w:tcW w:w="1975" w:type="dxa"/>
          </w:tcPr>
          <w:p>
            <w:pPr>
              <w:pStyle w:val="TableParagraph"/>
              <w:spacing w:line="233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TD</w:t>
            </w:r>
            <w:r>
              <w:rPr>
                <w:position w:val="-1"/>
                <w:sz w:val="13"/>
              </w:rPr>
              <w:t>05</w:t>
            </w:r>
            <w:r>
              <w:rPr>
                <w:sz w:val="20"/>
              </w:rPr>
              <w:t>, mg/kg-day</w:t>
            </w:r>
          </w:p>
        </w:tc>
        <w:tc>
          <w:tcPr>
            <w:tcW w:w="2430" w:type="dxa"/>
          </w:tcPr>
          <w:p>
            <w:pPr>
              <w:pStyle w:val="TableParagraph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1"/>
              <w:rPr>
                <w:sz w:val="20"/>
              </w:rPr>
            </w:pPr>
            <w:r>
              <w:rPr>
                <w:sz w:val="20"/>
              </w:rPr>
              <w:t>&gt;5</w:t>
            </w:r>
          </w:p>
        </w:tc>
        <w:tc>
          <w:tcPr>
            <w:tcW w:w="1620" w:type="dxa"/>
          </w:tcPr>
          <w:p>
            <w:pPr>
              <w:pStyle w:val="TableParagraph"/>
              <w:ind w:left="125" w:right="125"/>
              <w:rPr>
                <w:sz w:val="20"/>
              </w:rPr>
            </w:pPr>
            <w:r>
              <w:rPr>
                <w:sz w:val="20"/>
              </w:rPr>
              <w:t>&gt;0.005 to ≤5</w:t>
            </w:r>
          </w:p>
        </w:tc>
        <w:tc>
          <w:tcPr>
            <w:tcW w:w="2065" w:type="dxa"/>
          </w:tcPr>
          <w:p>
            <w:pPr>
              <w:pStyle w:val="TableParagraph"/>
              <w:ind w:left="727" w:right="728"/>
              <w:rPr>
                <w:sz w:val="20"/>
              </w:rPr>
            </w:pPr>
            <w:r>
              <w:rPr>
                <w:sz w:val="20"/>
              </w:rPr>
              <w:t>≤0.005</w:t>
            </w:r>
          </w:p>
        </w:tc>
      </w:tr>
      <w:tr>
        <w:trPr>
          <w:trHeight w:val="240" w:hRule="exact"/>
        </w:trPr>
        <w:tc>
          <w:tcPr>
            <w:tcW w:w="1975" w:type="dxa"/>
          </w:tcPr>
          <w:p>
            <w:pPr>
              <w:pStyle w:val="TableParagraph"/>
              <w:spacing w:line="233" w:lineRule="exact"/>
              <w:ind w:left="452"/>
              <w:jc w:val="left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position w:val="-1"/>
                <w:sz w:val="13"/>
              </w:rPr>
              <w:t>05 </w:t>
            </w:r>
            <w:r>
              <w:rPr>
                <w:sz w:val="20"/>
              </w:rPr>
              <w:t>(µg/m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2430" w:type="dxa"/>
          </w:tcPr>
          <w:p>
            <w:pPr>
              <w:pStyle w:val="TableParagraph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ind w:left="151" w:right="151"/>
              <w:rPr>
                <w:sz w:val="20"/>
              </w:rPr>
            </w:pPr>
            <w:r>
              <w:rPr>
                <w:sz w:val="20"/>
              </w:rPr>
              <w:t>&gt;16,700</w:t>
            </w:r>
          </w:p>
        </w:tc>
        <w:tc>
          <w:tcPr>
            <w:tcW w:w="1620" w:type="dxa"/>
          </w:tcPr>
          <w:p>
            <w:pPr>
              <w:pStyle w:val="TableParagraph"/>
              <w:ind w:left="125" w:right="125"/>
              <w:rPr>
                <w:sz w:val="20"/>
              </w:rPr>
            </w:pPr>
            <w:r>
              <w:rPr>
                <w:sz w:val="20"/>
              </w:rPr>
              <w:t>&gt;5 to 16,700</w:t>
            </w:r>
          </w:p>
        </w:tc>
        <w:tc>
          <w:tcPr>
            <w:tcW w:w="2065" w:type="dxa"/>
          </w:tcPr>
          <w:p>
            <w:pPr>
              <w:pStyle w:val="TableParagraph"/>
              <w:ind w:left="727" w:right="726"/>
              <w:rPr>
                <w:sz w:val="20"/>
              </w:rPr>
            </w:pPr>
            <w:r>
              <w:rPr>
                <w:sz w:val="20"/>
              </w:rPr>
              <w:t>≤5</w:t>
            </w:r>
          </w:p>
        </w:tc>
      </w:tr>
      <w:tr>
        <w:trPr>
          <w:trHeight w:val="240" w:hRule="exact"/>
        </w:trPr>
        <w:tc>
          <w:tcPr>
            <w:tcW w:w="1975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Qualitative</w:t>
            </w:r>
          </w:p>
        </w:tc>
        <w:tc>
          <w:tcPr>
            <w:tcW w:w="2430" w:type="dxa"/>
          </w:tcPr>
          <w:p>
            <w:pPr/>
          </w:p>
        </w:tc>
        <w:tc>
          <w:tcPr>
            <w:tcW w:w="1980" w:type="dxa"/>
          </w:tcPr>
          <w:p>
            <w:pPr/>
          </w:p>
        </w:tc>
        <w:tc>
          <w:tcPr>
            <w:tcW w:w="1620" w:type="dxa"/>
          </w:tcPr>
          <w:p>
            <w:pPr/>
          </w:p>
        </w:tc>
        <w:tc>
          <w:tcPr>
            <w:tcW w:w="2065" w:type="dxa"/>
          </w:tcPr>
          <w:p>
            <w:pPr/>
          </w:p>
        </w:tc>
      </w:tr>
      <w:tr>
        <w:trPr>
          <w:trHeight w:val="1160" w:hRule="exact"/>
        </w:trPr>
        <w:tc>
          <w:tcPr>
            <w:tcW w:w="1975" w:type="dxa"/>
          </w:tcPr>
          <w:p>
            <w:pPr>
              <w:pStyle w:val="TableParagraph"/>
              <w:spacing w:line="240" w:lineRule="auto"/>
              <w:ind w:left="482" w:right="352" w:hanging="111"/>
              <w:jc w:val="left"/>
              <w:rPr>
                <w:sz w:val="20"/>
              </w:rPr>
            </w:pPr>
            <w:r>
              <w:rPr>
                <w:sz w:val="20"/>
              </w:rPr>
              <w:t>NTP Report on Carcinogens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51" w:right="15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25" w:right="125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6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0" w:after="0"/>
              <w:ind w:left="103" w:right="477" w:firstLine="0"/>
              <w:jc w:val="left"/>
              <w:rPr>
                <w:sz w:val="20"/>
              </w:rPr>
            </w:pPr>
            <w:r>
              <w:rPr>
                <w:sz w:val="20"/>
              </w:rPr>
              <w:t>Known to be a human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carcinogen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2" w:after="0"/>
              <w:ind w:left="103" w:right="477" w:firstLine="0"/>
              <w:jc w:val="left"/>
              <w:rPr>
                <w:sz w:val="20"/>
              </w:rPr>
            </w:pPr>
            <w:r>
              <w:rPr>
                <w:sz w:val="20"/>
              </w:rPr>
              <w:t>Reasonably anticipated to be a human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carcinogen</w:t>
            </w:r>
          </w:p>
        </w:tc>
      </w:tr>
      <w:tr>
        <w:trPr>
          <w:trHeight w:val="1849" w:hRule="exact"/>
        </w:trPr>
        <w:tc>
          <w:tcPr>
            <w:tcW w:w="1975" w:type="dxa"/>
          </w:tcPr>
          <w:p>
            <w:pPr>
              <w:pStyle w:val="TableParagraph"/>
              <w:ind w:left="532"/>
              <w:jc w:val="left"/>
              <w:rPr>
                <w:sz w:val="13"/>
              </w:rPr>
            </w:pPr>
            <w:r>
              <w:rPr>
                <w:sz w:val="20"/>
              </w:rPr>
              <w:t>EPA IRIS</w:t>
            </w:r>
            <w:r>
              <w:rPr>
                <w:position w:val="7"/>
                <w:sz w:val="13"/>
              </w:rPr>
              <w:t>A</w:t>
            </w:r>
          </w:p>
        </w:tc>
        <w:tc>
          <w:tcPr>
            <w:tcW w:w="243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9" w:val="left" w:leader="none"/>
              </w:tabs>
              <w:spacing w:line="240" w:lineRule="auto" w:before="0" w:after="0"/>
              <w:ind w:left="448" w:right="241" w:hanging="360"/>
              <w:jc w:val="left"/>
              <w:rPr>
                <w:sz w:val="20"/>
              </w:rPr>
            </w:pPr>
            <w:r>
              <w:rPr>
                <w:sz w:val="20"/>
              </w:rPr>
              <w:t>Group E (evidence of non-carcinogenicity 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humans)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8" w:val="left" w:leader="none"/>
                <w:tab w:pos="499" w:val="left" w:leader="none"/>
              </w:tabs>
              <w:spacing w:line="240" w:lineRule="auto" w:before="2" w:after="0"/>
              <w:ind w:left="448" w:right="670" w:hanging="360"/>
              <w:jc w:val="left"/>
              <w:rPr>
                <w:sz w:val="20"/>
              </w:rPr>
            </w:pPr>
            <w:r>
              <w:rPr>
                <w:sz w:val="20"/>
              </w:rPr>
              <w:t>Not likely 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 carcinogenic to humans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51" w:right="15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9" w:val="left" w:leader="none"/>
              </w:tabs>
              <w:spacing w:line="228" w:lineRule="exact" w:before="0" w:after="0"/>
              <w:ind w:left="103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Group 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9" w:val="left" w:leader="none"/>
              </w:tabs>
              <w:spacing w:line="240" w:lineRule="auto" w:before="0" w:after="0"/>
              <w:ind w:left="103" w:right="340" w:firstLine="0"/>
              <w:jc w:val="left"/>
              <w:rPr>
                <w:sz w:val="20"/>
              </w:rPr>
            </w:pPr>
            <w:r>
              <w:rPr>
                <w:sz w:val="20"/>
              </w:rPr>
              <w:t>Suggestive evidence of carcinogenic potential</w:t>
            </w:r>
          </w:p>
        </w:tc>
        <w:tc>
          <w:tcPr>
            <w:tcW w:w="206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28" w:lineRule="exact" w:before="0" w:after="0"/>
              <w:ind w:left="103" w:right="0" w:firstLine="0"/>
              <w:jc w:val="bot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40" w:lineRule="auto" w:before="0" w:after="0"/>
              <w:ind w:left="103" w:right="393" w:firstLine="0"/>
              <w:jc w:val="left"/>
              <w:rPr>
                <w:sz w:val="20"/>
              </w:rPr>
            </w:pPr>
            <w:r>
              <w:rPr>
                <w:sz w:val="20"/>
              </w:rPr>
              <w:t>Carcinogenic to humans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30" w:lineRule="exact" w:before="1" w:after="0"/>
              <w:ind w:left="388" w:right="0" w:hanging="285"/>
              <w:jc w:val="bot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30" w:lineRule="exact" w:before="0" w:after="0"/>
              <w:ind w:left="388" w:right="0" w:hanging="285"/>
              <w:jc w:val="bot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9" w:val="left" w:leader="none"/>
              </w:tabs>
              <w:spacing w:line="240" w:lineRule="auto" w:before="0" w:after="0"/>
              <w:ind w:left="103" w:right="697" w:firstLine="0"/>
              <w:jc w:val="both"/>
              <w:rPr>
                <w:sz w:val="20"/>
              </w:rPr>
            </w:pPr>
            <w:r>
              <w:rPr>
                <w:sz w:val="20"/>
              </w:rPr>
              <w:t>Likely to be carcinogenic to humans</w:t>
            </w:r>
          </w:p>
        </w:tc>
      </w:tr>
      <w:tr>
        <w:trPr>
          <w:trHeight w:val="701" w:hRule="exact"/>
        </w:trPr>
        <w:tc>
          <w:tcPr>
            <w:tcW w:w="1975" w:type="dxa"/>
          </w:tcPr>
          <w:p>
            <w:pPr>
              <w:pStyle w:val="TableParagraph"/>
              <w:ind w:left="681" w:right="680"/>
              <w:rPr>
                <w:sz w:val="13"/>
              </w:rPr>
            </w:pPr>
            <w:r>
              <w:rPr>
                <w:sz w:val="20"/>
              </w:rPr>
              <w:t>IARC</w:t>
            </w:r>
            <w:r>
              <w:rPr>
                <w:position w:val="7"/>
                <w:sz w:val="13"/>
              </w:rPr>
              <w:t>B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21" w:right="121"/>
              <w:rPr>
                <w:sz w:val="20"/>
              </w:rPr>
            </w:pPr>
            <w:r>
              <w:rPr>
                <w:sz w:val="20"/>
              </w:rPr>
              <w:t>Group 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51" w:right="15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25" w:right="125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6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28" w:lineRule="exact" w:before="0" w:after="0"/>
              <w:ind w:left="374" w:right="0" w:hanging="271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271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271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2B</w:t>
            </w:r>
          </w:p>
        </w:tc>
      </w:tr>
      <w:tr>
        <w:trPr>
          <w:trHeight w:val="470" w:hRule="exact"/>
        </w:trPr>
        <w:tc>
          <w:tcPr>
            <w:tcW w:w="1975" w:type="dxa"/>
          </w:tcPr>
          <w:p>
            <w:pPr>
              <w:pStyle w:val="TableParagraph"/>
              <w:spacing w:line="240" w:lineRule="auto"/>
              <w:ind w:left="632" w:right="225" w:hanging="389"/>
              <w:jc w:val="left"/>
              <w:rPr>
                <w:sz w:val="20"/>
              </w:rPr>
            </w:pPr>
            <w:r>
              <w:rPr>
                <w:sz w:val="20"/>
              </w:rPr>
              <w:t>State of California OEHHA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 w:before="112"/>
              <w:ind w:left="121" w:right="12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12"/>
              <w:ind w:left="151" w:right="15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112"/>
              <w:ind w:left="125" w:right="125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/>
              <w:ind w:left="405" w:right="385" w:firstLine="307"/>
              <w:jc w:val="left"/>
              <w:rPr>
                <w:sz w:val="20"/>
              </w:rPr>
            </w:pPr>
            <w:r>
              <w:rPr>
                <w:sz w:val="20"/>
              </w:rPr>
              <w:t>Type of toxicity=cancer</w:t>
            </w:r>
          </w:p>
        </w:tc>
      </w:tr>
    </w:tbl>
    <w:p>
      <w:pPr>
        <w:spacing w:before="0"/>
        <w:ind w:left="100" w:right="237" w:firstLine="0"/>
        <w:jc w:val="left"/>
        <w:rPr>
          <w:sz w:val="20"/>
        </w:rPr>
      </w:pPr>
      <w:r>
        <w:rPr>
          <w:b/>
          <w:sz w:val="20"/>
        </w:rPr>
        <w:t>Group 1</w:t>
      </w:r>
      <w:r>
        <w:rPr>
          <w:sz w:val="20"/>
        </w:rPr>
        <w:t>: carcinogenic to humans; </w:t>
      </w:r>
      <w:r>
        <w:rPr>
          <w:b/>
          <w:sz w:val="20"/>
        </w:rPr>
        <w:t>Group 2A: </w:t>
      </w:r>
      <w:r>
        <w:rPr>
          <w:sz w:val="20"/>
        </w:rPr>
        <w:t>probably carcinogenic to humans; </w:t>
      </w:r>
      <w:r>
        <w:rPr>
          <w:b/>
          <w:sz w:val="20"/>
        </w:rPr>
        <w:t>Group A: </w:t>
      </w:r>
      <w:r>
        <w:rPr>
          <w:sz w:val="20"/>
        </w:rPr>
        <w:t>human carcinogen; </w:t>
      </w:r>
      <w:r>
        <w:rPr>
          <w:b/>
          <w:sz w:val="20"/>
        </w:rPr>
        <w:t>Group 2B: </w:t>
      </w:r>
      <w:r>
        <w:rPr>
          <w:sz w:val="20"/>
        </w:rPr>
        <w:t>possibly carcinogenic to humans; </w:t>
      </w:r>
      <w:r>
        <w:rPr>
          <w:b/>
          <w:sz w:val="20"/>
        </w:rPr>
        <w:t>Group 4: </w:t>
      </w:r>
      <w:r>
        <w:rPr>
          <w:sz w:val="20"/>
        </w:rPr>
        <w:t>probably not carcinogenic to humans; </w:t>
      </w:r>
      <w:r>
        <w:rPr>
          <w:b/>
          <w:sz w:val="20"/>
        </w:rPr>
        <w:t>Group B1: </w:t>
      </w:r>
      <w:r>
        <w:rPr>
          <w:sz w:val="20"/>
        </w:rPr>
        <w:t>probable human carcinogen; </w:t>
      </w:r>
      <w:r>
        <w:rPr>
          <w:b/>
          <w:sz w:val="20"/>
        </w:rPr>
        <w:t>Group B2: </w:t>
      </w:r>
      <w:r>
        <w:rPr>
          <w:sz w:val="20"/>
        </w:rPr>
        <w:t>probable human carcinogen; </w:t>
      </w:r>
      <w:r>
        <w:rPr>
          <w:b/>
          <w:sz w:val="20"/>
        </w:rPr>
        <w:t>Group C: </w:t>
      </w:r>
      <w:r>
        <w:rPr>
          <w:sz w:val="20"/>
        </w:rPr>
        <w:t>possible human carcinogen; </w:t>
      </w:r>
      <w:r>
        <w:rPr>
          <w:b/>
          <w:sz w:val="20"/>
        </w:rPr>
        <w:t>IARC: </w:t>
      </w:r>
      <w:r>
        <w:rPr>
          <w:sz w:val="20"/>
        </w:rPr>
        <w:t>International Agency for Research on Cancer; </w:t>
      </w:r>
      <w:r>
        <w:rPr>
          <w:b/>
          <w:sz w:val="20"/>
        </w:rPr>
        <w:t>NA: </w:t>
      </w:r>
      <w:r>
        <w:rPr>
          <w:sz w:val="20"/>
        </w:rPr>
        <w:t>not applicable; </w:t>
      </w:r>
      <w:r>
        <w:rPr>
          <w:b/>
          <w:sz w:val="20"/>
        </w:rPr>
        <w:t>NTP: </w:t>
      </w:r>
      <w:r>
        <w:rPr>
          <w:sz w:val="20"/>
        </w:rPr>
        <w:t>National Toxicology Program; </w:t>
      </w:r>
      <w:r>
        <w:rPr>
          <w:b/>
          <w:sz w:val="20"/>
        </w:rPr>
        <w:t>OEHHA: </w:t>
      </w:r>
      <w:r>
        <w:rPr>
          <w:sz w:val="20"/>
        </w:rPr>
        <w:t>Office of Environmental Health Hazard Assessment; </w:t>
      </w:r>
      <w:r>
        <w:rPr>
          <w:b/>
          <w:sz w:val="20"/>
        </w:rPr>
        <w:t>TD: </w:t>
      </w:r>
      <w:r>
        <w:rPr>
          <w:sz w:val="20"/>
        </w:rPr>
        <w:t>tumorigenic dose</w:t>
      </w:r>
    </w:p>
    <w:p>
      <w:pPr>
        <w:pStyle w:val="BodyText"/>
        <w:ind w:left="100" w:right="184"/>
      </w:pPr>
      <w:r>
        <w:rPr>
          <w:position w:val="7"/>
          <w:sz w:val="13"/>
        </w:rPr>
        <w:t>A</w:t>
      </w:r>
      <w:r>
        <w:rPr/>
        <w:t>Group D (not classifiable as to human carcinogenicity) and category “data are inadequate for an assessment of carcinogenic potential”, no band assigned.</w:t>
      </w:r>
    </w:p>
    <w:p>
      <w:pPr>
        <w:pStyle w:val="BodyText"/>
        <w:spacing w:line="230" w:lineRule="exact" w:before="5"/>
        <w:ind w:left="100"/>
      </w:pPr>
      <w:r>
        <w:rPr>
          <w:position w:val="7"/>
          <w:sz w:val="13"/>
        </w:rPr>
        <w:t>B</w:t>
      </w:r>
      <w:r>
        <w:rPr/>
        <w:t>Group 3 (no classifiable as to its carcinogenicity to humans), no band assigned.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BodyText"/>
        <w:ind w:left="100"/>
      </w:pPr>
      <w:r>
        <w:rPr>
          <w:b/>
        </w:rPr>
        <w:t>Table S9.  </w:t>
      </w:r>
      <w:r>
        <w:rPr/>
        <w:t>Draft NIOSH Tier 2 Banding Criteria:  Reproductive Toxicity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350"/>
        <w:gridCol w:w="1710"/>
        <w:gridCol w:w="1530"/>
        <w:gridCol w:w="1440"/>
        <w:gridCol w:w="1345"/>
      </w:tblGrid>
      <w:tr>
        <w:trPr>
          <w:trHeight w:val="240" w:hRule="exact"/>
        </w:trPr>
        <w:tc>
          <w:tcPr>
            <w:tcW w:w="2695" w:type="dxa"/>
            <w:vMerge w:val="restart"/>
          </w:tcPr>
          <w:p>
            <w:pPr>
              <w:pStyle w:val="TableParagraph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Exposure/Dosing Route</w:t>
            </w:r>
          </w:p>
        </w:tc>
        <w:tc>
          <w:tcPr>
            <w:tcW w:w="7375" w:type="dxa"/>
            <w:gridSpan w:val="5"/>
          </w:tcPr>
          <w:p>
            <w:pPr>
              <w:pStyle w:val="TableParagraph"/>
              <w:ind w:left="3060" w:right="3060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40" w:hRule="exact"/>
        </w:trPr>
        <w:tc>
          <w:tcPr>
            <w:tcW w:w="2695" w:type="dxa"/>
            <w:vMerge/>
          </w:tcPr>
          <w:p>
            <w:pPr/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B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45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909" w:right="789" w:hanging="119"/>
              <w:jc w:val="left"/>
              <w:rPr>
                <w:sz w:val="20"/>
              </w:rPr>
            </w:pPr>
            <w:r>
              <w:rPr>
                <w:sz w:val="20"/>
              </w:rPr>
              <w:t>Oral, Dermal, mg/kg-day</w:t>
            </w:r>
          </w:p>
        </w:tc>
        <w:tc>
          <w:tcPr>
            <w:tcW w:w="1350" w:type="dxa"/>
          </w:tcPr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sz w:val="20"/>
              </w:rPr>
              <w:t>&gt;300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&gt;30 to ≤300</w:t>
            </w:r>
          </w:p>
        </w:tc>
        <w:tc>
          <w:tcPr>
            <w:tcW w:w="1530" w:type="dxa"/>
          </w:tcPr>
          <w:p>
            <w:pPr>
              <w:pStyle w:val="TableParagraph"/>
              <w:ind w:left="125" w:right="126"/>
              <w:rPr>
                <w:sz w:val="20"/>
              </w:rPr>
            </w:pPr>
            <w:r>
              <w:rPr>
                <w:sz w:val="20"/>
              </w:rPr>
              <w:t>&gt;3 to ≤30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&gt;0.3 to ≤3</w:t>
            </w:r>
          </w:p>
        </w:tc>
        <w:tc>
          <w:tcPr>
            <w:tcW w:w="1345" w:type="dxa"/>
          </w:tcPr>
          <w:p>
            <w:pPr>
              <w:pStyle w:val="TableParagraph"/>
              <w:ind w:left="467" w:right="467"/>
              <w:rPr>
                <w:sz w:val="20"/>
              </w:rPr>
            </w:pPr>
            <w:r>
              <w:rPr>
                <w:sz w:val="20"/>
              </w:rPr>
              <w:t>≤0.3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1165" w:right="165" w:hanging="981"/>
              <w:jc w:val="left"/>
              <w:rPr>
                <w:sz w:val="20"/>
              </w:rPr>
            </w:pPr>
            <w:r>
              <w:rPr>
                <w:sz w:val="20"/>
              </w:rPr>
              <w:t>Inhalation, gases and vapors, ppm</w:t>
            </w:r>
          </w:p>
        </w:tc>
        <w:tc>
          <w:tcPr>
            <w:tcW w:w="1350" w:type="dxa"/>
          </w:tcPr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sz w:val="20"/>
              </w:rPr>
              <w:t>&gt;10,000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&gt;1,000 to ≤10,000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&gt;100 to ≤,1000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&gt;10 to ≤100</w:t>
            </w:r>
          </w:p>
        </w:tc>
        <w:tc>
          <w:tcPr>
            <w:tcW w:w="1345" w:type="dxa"/>
          </w:tcPr>
          <w:p>
            <w:pPr>
              <w:pStyle w:val="TableParagraph"/>
              <w:ind w:left="466" w:right="467"/>
              <w:rPr>
                <w:sz w:val="20"/>
              </w:rPr>
            </w:pPr>
            <w:r>
              <w:rPr>
                <w:sz w:val="20"/>
              </w:rPr>
              <w:t>≤10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25" w:lineRule="exact"/>
              <w:ind w:left="230" w:right="231"/>
              <w:rPr>
                <w:sz w:val="20"/>
              </w:rPr>
            </w:pPr>
            <w:r>
              <w:rPr>
                <w:sz w:val="20"/>
              </w:rPr>
              <w:t>Inhalation, dusts and mists,</w:t>
            </w:r>
          </w:p>
          <w:p>
            <w:pPr>
              <w:pStyle w:val="TableParagraph"/>
              <w:spacing w:line="232" w:lineRule="exact"/>
              <w:ind w:left="230" w:right="230"/>
              <w:rPr>
                <w:sz w:val="13"/>
              </w:rPr>
            </w:pPr>
            <w:r>
              <w:rPr>
                <w:sz w:val="20"/>
              </w:rPr>
              <w:t>µg/m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sz w:val="20"/>
              </w:rPr>
              <w:t>&gt;10,000</w:t>
            </w:r>
          </w:p>
        </w:tc>
        <w:tc>
          <w:tcPr>
            <w:tcW w:w="1710" w:type="dxa"/>
          </w:tcPr>
          <w:p>
            <w:pPr>
              <w:pStyle w:val="TableParagraph"/>
              <w:ind w:left="91" w:right="91"/>
              <w:rPr>
                <w:sz w:val="20"/>
              </w:rPr>
            </w:pPr>
            <w:r>
              <w:rPr>
                <w:sz w:val="20"/>
              </w:rPr>
              <w:t>&gt;1,000 to ≤10,000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&gt;100 to ≤1,000</w:t>
            </w:r>
          </w:p>
        </w:tc>
        <w:tc>
          <w:tcPr>
            <w:tcW w:w="1440" w:type="dxa"/>
          </w:tcPr>
          <w:p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&gt;10 to ≤100</w:t>
            </w:r>
          </w:p>
        </w:tc>
        <w:tc>
          <w:tcPr>
            <w:tcW w:w="1345" w:type="dxa"/>
          </w:tcPr>
          <w:p>
            <w:pPr>
              <w:pStyle w:val="TableParagraph"/>
              <w:ind w:left="466" w:right="467"/>
              <w:rPr>
                <w:sz w:val="20"/>
              </w:rPr>
            </w:pPr>
            <w:r>
              <w:rPr>
                <w:sz w:val="20"/>
              </w:rPr>
              <w:t>≤10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33" w:footer="0" w:top="1440" w:bottom="280" w:left="980" w:right="960"/>
        </w:sect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2" w:after="2"/>
        <w:ind w:left="100"/>
      </w:pPr>
      <w:r>
        <w:rPr>
          <w:b/>
        </w:rPr>
        <w:t>Table S10. </w:t>
      </w:r>
      <w:r>
        <w:rPr/>
        <w:t>Draft NIOSH Tier 2 Banding Criteria: Specific Target Organ Toxicity-Repeated  Exposure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260"/>
        <w:gridCol w:w="1800"/>
        <w:gridCol w:w="1530"/>
        <w:gridCol w:w="1530"/>
        <w:gridCol w:w="1255"/>
      </w:tblGrid>
      <w:tr>
        <w:trPr>
          <w:trHeight w:val="240" w:hRule="exact"/>
        </w:trPr>
        <w:tc>
          <w:tcPr>
            <w:tcW w:w="2695" w:type="dxa"/>
            <w:vMerge w:val="restart"/>
          </w:tcPr>
          <w:p>
            <w:pPr>
              <w:pStyle w:val="TableParagraph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Exposure/Dosing Route</w:t>
            </w:r>
          </w:p>
        </w:tc>
        <w:tc>
          <w:tcPr>
            <w:tcW w:w="7375" w:type="dxa"/>
            <w:gridSpan w:val="5"/>
          </w:tcPr>
          <w:p>
            <w:pPr>
              <w:pStyle w:val="TableParagraph"/>
              <w:ind w:left="3060" w:right="3060"/>
              <w:rPr>
                <w:sz w:val="20"/>
              </w:rPr>
            </w:pPr>
            <w:r>
              <w:rPr>
                <w:sz w:val="20"/>
              </w:rPr>
              <w:t>Endpoint Band</w:t>
            </w:r>
          </w:p>
        </w:tc>
      </w:tr>
      <w:tr>
        <w:trPr>
          <w:trHeight w:val="239" w:hRule="exact"/>
        </w:trPr>
        <w:tc>
          <w:tcPr>
            <w:tcW w:w="2695" w:type="dxa"/>
            <w:vMerge/>
          </w:tcPr>
          <w:p>
            <w:pPr/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B</w:t>
            </w:r>
          </w:p>
        </w:tc>
        <w:tc>
          <w:tcPr>
            <w:tcW w:w="153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C</w:t>
            </w:r>
          </w:p>
        </w:tc>
        <w:tc>
          <w:tcPr>
            <w:tcW w:w="153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56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909" w:right="789" w:hanging="119"/>
              <w:jc w:val="left"/>
              <w:rPr>
                <w:sz w:val="20"/>
              </w:rPr>
            </w:pPr>
            <w:r>
              <w:rPr>
                <w:sz w:val="20"/>
              </w:rPr>
              <w:t>Oral, Dermal, mg/kg-day</w:t>
            </w:r>
          </w:p>
        </w:tc>
        <w:tc>
          <w:tcPr>
            <w:tcW w:w="1260" w:type="dxa"/>
          </w:tcPr>
          <w:p>
            <w:pPr>
              <w:pStyle w:val="TableParagraph"/>
              <w:ind w:left="273" w:right="273"/>
              <w:rPr>
                <w:sz w:val="20"/>
              </w:rPr>
            </w:pPr>
            <w:r>
              <w:rPr>
                <w:sz w:val="20"/>
              </w:rPr>
              <w:t>&gt;1,000</w:t>
            </w:r>
          </w:p>
        </w:tc>
        <w:tc>
          <w:tcPr>
            <w:tcW w:w="1800" w:type="dxa"/>
          </w:tcPr>
          <w:p>
            <w:pPr>
              <w:pStyle w:val="TableParagraph"/>
              <w:ind w:left="135" w:right="136"/>
              <w:rPr>
                <w:sz w:val="20"/>
              </w:rPr>
            </w:pPr>
            <w:r>
              <w:rPr>
                <w:sz w:val="20"/>
              </w:rPr>
              <w:t>&gt;100 to ≤1,000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&gt;10 to ≤100</w:t>
            </w:r>
          </w:p>
        </w:tc>
        <w:tc>
          <w:tcPr>
            <w:tcW w:w="1530" w:type="dxa"/>
          </w:tcPr>
          <w:p>
            <w:pPr>
              <w:pStyle w:val="TableParagraph"/>
              <w:ind w:left="125" w:right="126"/>
              <w:rPr>
                <w:sz w:val="20"/>
              </w:rPr>
            </w:pPr>
            <w:r>
              <w:rPr>
                <w:sz w:val="20"/>
              </w:rPr>
              <w:t>&gt;1 to ≤10</w:t>
            </w:r>
          </w:p>
        </w:tc>
        <w:tc>
          <w:tcPr>
            <w:tcW w:w="1255" w:type="dxa"/>
          </w:tcPr>
          <w:p>
            <w:pPr>
              <w:pStyle w:val="TableParagraph"/>
              <w:ind w:left="517"/>
              <w:jc w:val="left"/>
              <w:rPr>
                <w:sz w:val="20"/>
              </w:rPr>
            </w:pPr>
            <w:r>
              <w:rPr>
                <w:sz w:val="20"/>
              </w:rPr>
              <w:t>≤1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40" w:lineRule="auto"/>
              <w:ind w:left="1165" w:right="165" w:hanging="981"/>
              <w:jc w:val="left"/>
              <w:rPr>
                <w:sz w:val="20"/>
              </w:rPr>
            </w:pPr>
            <w:r>
              <w:rPr>
                <w:sz w:val="20"/>
              </w:rPr>
              <w:t>Inhalation, gases and vapors, ppm</w:t>
            </w:r>
          </w:p>
        </w:tc>
        <w:tc>
          <w:tcPr>
            <w:tcW w:w="1260" w:type="dxa"/>
          </w:tcPr>
          <w:p>
            <w:pPr>
              <w:pStyle w:val="TableParagraph"/>
              <w:ind w:left="273" w:right="273"/>
              <w:rPr>
                <w:sz w:val="20"/>
              </w:rPr>
            </w:pPr>
            <w:r>
              <w:rPr>
                <w:sz w:val="20"/>
              </w:rPr>
              <w:t>&gt;30,000</w:t>
            </w:r>
          </w:p>
        </w:tc>
        <w:tc>
          <w:tcPr>
            <w:tcW w:w="1800" w:type="dxa"/>
          </w:tcPr>
          <w:p>
            <w:pPr>
              <w:pStyle w:val="TableParagraph"/>
              <w:ind w:left="136" w:right="136"/>
              <w:rPr>
                <w:sz w:val="20"/>
              </w:rPr>
            </w:pPr>
            <w:r>
              <w:rPr>
                <w:sz w:val="20"/>
              </w:rPr>
              <w:t>&gt;3,000 to ≤30,000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&gt;300 to ≤3,000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&gt;30 to ≤300</w:t>
            </w:r>
          </w:p>
        </w:tc>
        <w:tc>
          <w:tcPr>
            <w:tcW w:w="1255" w:type="dxa"/>
          </w:tcPr>
          <w:p>
            <w:pPr>
              <w:pStyle w:val="TableParagraph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≤30</w:t>
            </w:r>
          </w:p>
        </w:tc>
      </w:tr>
      <w:tr>
        <w:trPr>
          <w:trHeight w:val="470" w:hRule="exact"/>
        </w:trPr>
        <w:tc>
          <w:tcPr>
            <w:tcW w:w="2695" w:type="dxa"/>
          </w:tcPr>
          <w:p>
            <w:pPr>
              <w:pStyle w:val="TableParagraph"/>
              <w:spacing w:line="225" w:lineRule="exact"/>
              <w:ind w:left="230" w:right="231"/>
              <w:rPr>
                <w:sz w:val="20"/>
              </w:rPr>
            </w:pPr>
            <w:r>
              <w:rPr>
                <w:sz w:val="20"/>
              </w:rPr>
              <w:t>Inhalation, dusts and mists,</w:t>
            </w:r>
          </w:p>
          <w:p>
            <w:pPr>
              <w:pStyle w:val="TableParagraph"/>
              <w:spacing w:line="232" w:lineRule="exact"/>
              <w:ind w:left="230" w:right="230"/>
              <w:rPr>
                <w:sz w:val="13"/>
              </w:rPr>
            </w:pPr>
            <w:r>
              <w:rPr>
                <w:sz w:val="20"/>
              </w:rPr>
              <w:t>µg/m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ind w:left="273" w:right="273"/>
              <w:rPr>
                <w:sz w:val="20"/>
              </w:rPr>
            </w:pPr>
            <w:r>
              <w:rPr>
                <w:sz w:val="20"/>
              </w:rPr>
              <w:t>&gt;30,000</w:t>
            </w:r>
          </w:p>
        </w:tc>
        <w:tc>
          <w:tcPr>
            <w:tcW w:w="1800" w:type="dxa"/>
          </w:tcPr>
          <w:p>
            <w:pPr>
              <w:pStyle w:val="TableParagraph"/>
              <w:ind w:left="136" w:right="136"/>
              <w:rPr>
                <w:sz w:val="20"/>
              </w:rPr>
            </w:pPr>
            <w:r>
              <w:rPr>
                <w:sz w:val="20"/>
              </w:rPr>
              <w:t>&gt;3,000 to ≤30,000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&gt;300 to ≤3,000</w:t>
            </w:r>
          </w:p>
        </w:tc>
        <w:tc>
          <w:tcPr>
            <w:tcW w:w="1530" w:type="dxa"/>
          </w:tcPr>
          <w:p>
            <w:pPr>
              <w:pStyle w:val="TableParagraph"/>
              <w:ind w:left="126" w:right="126"/>
              <w:rPr>
                <w:sz w:val="20"/>
              </w:rPr>
            </w:pPr>
            <w:r>
              <w:rPr>
                <w:sz w:val="20"/>
              </w:rPr>
              <w:t>&gt;30 to ≤300</w:t>
            </w:r>
          </w:p>
        </w:tc>
        <w:tc>
          <w:tcPr>
            <w:tcW w:w="1255" w:type="dxa"/>
          </w:tcPr>
          <w:p>
            <w:pPr>
              <w:pStyle w:val="TableParagraph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≤30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00"/>
      </w:pPr>
      <w:r>
        <w:rPr>
          <w:b/>
        </w:rPr>
        <w:t>Table S11. </w:t>
      </w:r>
      <w:r>
        <w:rPr/>
        <w:t>Endpoint Determinant Scores (EDS) Associated with Health Effect Endpoints under Draft NIOSH Tier 2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5485"/>
      </w:tblGrid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902" w:right="1900"/>
              <w:rPr>
                <w:sz w:val="20"/>
              </w:rPr>
            </w:pPr>
            <w:r>
              <w:rPr>
                <w:sz w:val="20"/>
              </w:rPr>
              <w:t>Endpoint</w:t>
            </w:r>
          </w:p>
        </w:tc>
        <w:tc>
          <w:tcPr>
            <w:tcW w:w="5485" w:type="dxa"/>
          </w:tcPr>
          <w:p>
            <w:pPr>
              <w:pStyle w:val="TableParagraph"/>
              <w:ind w:left="1359" w:right="1360"/>
              <w:rPr>
                <w:sz w:val="13"/>
              </w:rPr>
            </w:pPr>
            <w:r>
              <w:rPr>
                <w:sz w:val="20"/>
              </w:rPr>
              <w:t>EDS if Adequate Data Available</w:t>
            </w:r>
            <w:r>
              <w:rPr>
                <w:position w:val="7"/>
                <w:sz w:val="13"/>
              </w:rPr>
              <w:t>A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Acute Toxicity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Skin Corrosion/Irritation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Eye Damage/Irritation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Respiratory Sensitization</w:t>
            </w:r>
          </w:p>
        </w:tc>
        <w:tc>
          <w:tcPr>
            <w:tcW w:w="5485" w:type="dxa"/>
          </w:tcPr>
          <w:p>
            <w:pPr>
              <w:pStyle w:val="TableParagraph"/>
              <w:ind w:left="1359" w:right="13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Skin Sensitization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Genotoxicity</w:t>
            </w:r>
          </w:p>
        </w:tc>
        <w:tc>
          <w:tcPr>
            <w:tcW w:w="5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700" w:hRule="exact"/>
        </w:trPr>
        <w:tc>
          <w:tcPr>
            <w:tcW w:w="4585" w:type="dxa"/>
          </w:tcPr>
          <w:p>
            <w:pPr>
              <w:pStyle w:val="TableParagraph"/>
              <w:spacing w:line="240" w:lineRule="auto"/>
              <w:ind w:left="433" w:right="3151" w:hanging="330"/>
              <w:jc w:val="both"/>
              <w:rPr>
                <w:sz w:val="20"/>
              </w:rPr>
            </w:pPr>
            <w:r>
              <w:rPr>
                <w:sz w:val="20"/>
              </w:rPr>
              <w:t>Carcinogenicity Quantitative Qualitative</w:t>
            </w:r>
          </w:p>
        </w:tc>
        <w:tc>
          <w:tcPr>
            <w:tcW w:w="5485" w:type="dxa"/>
          </w:tcPr>
          <w:p>
            <w:pPr>
              <w:pStyle w:val="TableParagraph"/>
              <w:spacing w:line="240" w:lineRule="auto"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line="227" w:lineRule="exact"/>
              <w:ind w:left="1359" w:right="1358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="232" w:lineRule="exact"/>
              <w:ind w:left="1359" w:right="1360"/>
              <w:rPr>
                <w:sz w:val="13"/>
              </w:rPr>
            </w:pPr>
            <w:r>
              <w:rPr>
                <w:sz w:val="20"/>
              </w:rPr>
              <w:t>20 or 30</w:t>
            </w:r>
            <w:r>
              <w:rPr>
                <w:position w:val="7"/>
                <w:sz w:val="13"/>
              </w:rPr>
              <w:t>B</w:t>
            </w:r>
          </w:p>
        </w:tc>
      </w:tr>
      <w:tr>
        <w:trPr>
          <w:trHeight w:val="240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Reproductive Toxicity</w:t>
            </w:r>
          </w:p>
        </w:tc>
        <w:tc>
          <w:tcPr>
            <w:tcW w:w="5485" w:type="dxa"/>
          </w:tcPr>
          <w:p>
            <w:pPr>
              <w:pStyle w:val="TableParagraph"/>
              <w:ind w:left="1359" w:right="135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41" w:hRule="exact"/>
        </w:trPr>
        <w:tc>
          <w:tcPr>
            <w:tcW w:w="4585" w:type="dxa"/>
          </w:tcPr>
          <w:p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Specific Target Organ Toxicity – Repeated Exposure</w:t>
            </w:r>
          </w:p>
        </w:tc>
        <w:tc>
          <w:tcPr>
            <w:tcW w:w="5485" w:type="dxa"/>
          </w:tcPr>
          <w:p>
            <w:pPr>
              <w:pStyle w:val="TableParagraph"/>
              <w:ind w:left="1359" w:right="135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pStyle w:val="BodyText"/>
        <w:spacing w:line="225" w:lineRule="exact"/>
        <w:ind w:left="100"/>
      </w:pPr>
      <w:r>
        <w:rPr>
          <w:position w:val="7"/>
          <w:sz w:val="13"/>
        </w:rPr>
        <w:t>A</w:t>
      </w:r>
      <w:r>
        <w:rPr/>
        <w:t>If adequate data are not available, endpoint determinant score is 0.</w:t>
      </w:r>
    </w:p>
    <w:p>
      <w:pPr>
        <w:pStyle w:val="BodyText"/>
        <w:spacing w:line="259" w:lineRule="auto"/>
        <w:ind w:left="100" w:right="345" w:hanging="1"/>
      </w:pPr>
      <w:r>
        <w:rPr>
          <w:position w:val="7"/>
          <w:sz w:val="13"/>
        </w:rPr>
        <w:t>B</w:t>
      </w:r>
      <w:r>
        <w:rPr/>
        <w:t>See Table 3-7 in: National Institute for Occupational Safety and Health (NIOSH): The NIOSH Occupational Exposure Banding Process: Guidance for the Evaluation of Chemical Hazards, External Review Draft. March 8, 2017. Available at: https://</w:t>
      </w:r>
      <w:hyperlink r:id="rId6">
        <w:r>
          <w:rPr/>
          <w:t>www.regulations.gov/document?D=CDC-2017-0028-0002</w:t>
        </w:r>
      </w:hyperlink>
      <w:r>
        <w:rPr/>
        <w:t> (accessed 17 Aug 2018).</w:t>
      </w:r>
    </w:p>
    <w:sectPr>
      <w:pgSz w:w="12240" w:h="15840"/>
      <w:pgMar w:header="733" w:footer="0" w:top="14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5pt;margin-top:35.664364pt;width:451.4pt;height:38.1pt;mso-position-horizontal-relative:page;mso-position-vertical-relative:page;z-index:-2512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Application of the NIOSH occupational exposure banding process to Bisphenol A:  A case study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374" w:hanging="2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47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5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0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7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85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20" w:hanging="27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3" w:hanging="2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5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6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7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68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64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3" w:hanging="2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51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5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6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57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08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48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3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3" w:hanging="2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5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6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7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7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68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64" w:hanging="28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8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regulations.gov/document?D=CDC-2017-0028-0002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Cynthia (CDC/NIOSH/DSHEFS)</dc:creator>
  <dcterms:created xsi:type="dcterms:W3CDTF">2021-11-02T17:09:44Z</dcterms:created>
  <dcterms:modified xsi:type="dcterms:W3CDTF">2021-11-02T17:09:44Z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2021-11-02T00:00:00Z</vt:filetime>
  </property>
</Properties>
</file>