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6BE50" w14:textId="77777777" w:rsidR="00320860" w:rsidRDefault="00320860" w:rsidP="00320860">
      <w:pPr>
        <w:spacing w:line="480" w:lineRule="auto"/>
        <w:outlineLvl w:val="0"/>
        <w:rPr>
          <w:rFonts w:ascii="Calibri" w:hAnsi="Calibri"/>
          <w:sz w:val="36"/>
          <w:szCs w:val="36"/>
          <w:u w:val="single"/>
        </w:rPr>
      </w:pPr>
      <w:r>
        <w:rPr>
          <w:rFonts w:ascii="Calibri" w:hAnsi="Calibri"/>
          <w:sz w:val="36"/>
          <w:szCs w:val="36"/>
          <w:u w:val="single"/>
        </w:rPr>
        <w:t xml:space="preserve">Supplement: </w:t>
      </w:r>
    </w:p>
    <w:p w14:paraId="3CEFEF42" w14:textId="77777777" w:rsidR="00320860" w:rsidRDefault="00320860" w:rsidP="00320860">
      <w:pPr>
        <w:spacing w:line="480" w:lineRule="auto"/>
        <w:outlineLvl w:val="0"/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/>
          <w:sz w:val="32"/>
          <w:szCs w:val="32"/>
          <w:u w:val="single"/>
        </w:rPr>
        <w:t>Supplementary Figures and Tables:</w:t>
      </w:r>
    </w:p>
    <w:p w14:paraId="5BBA9BE7" w14:textId="77777777" w:rsidR="00320860" w:rsidRPr="00910DF3" w:rsidRDefault="00320860" w:rsidP="00320860">
      <w:pPr>
        <w:spacing w:line="480" w:lineRule="auto"/>
        <w:rPr>
          <w:rFonts w:ascii="Calibri" w:hAnsi="Calibri"/>
          <w:color w:val="333333"/>
          <w:u w:val="single"/>
        </w:rPr>
      </w:pPr>
      <w:r>
        <w:rPr>
          <w:rFonts w:ascii="Calibri" w:hAnsi="Calibri"/>
          <w:color w:val="333333"/>
          <w:u w:val="single"/>
        </w:rPr>
        <w:t>Supplementary Table 1: Median and IQR of expected, observed, and 95% credible Margin of Error of Pathogen-</w:t>
      </w:r>
      <w:r w:rsidRPr="008846AA">
        <w:rPr>
          <w:rFonts w:ascii="Calibri" w:hAnsi="Calibri"/>
          <w:color w:val="333333"/>
          <w:u w:val="single"/>
        </w:rPr>
        <w:t xml:space="preserve">Proportion Estimates by </w:t>
      </w:r>
      <w:r>
        <w:rPr>
          <w:rFonts w:ascii="Calibri" w:hAnsi="Calibri"/>
          <w:color w:val="333333"/>
          <w:u w:val="single"/>
        </w:rPr>
        <w:t>Testing</w:t>
      </w:r>
      <w:r w:rsidRPr="008846AA">
        <w:rPr>
          <w:rFonts w:ascii="Calibri" w:hAnsi="Calibri"/>
          <w:color w:val="333333"/>
          <w:u w:val="single"/>
        </w:rPr>
        <w:t xml:space="preserve"> </w:t>
      </w:r>
      <w:r>
        <w:rPr>
          <w:rFonts w:ascii="Calibri" w:hAnsi="Calibri"/>
          <w:color w:val="333333"/>
          <w:u w:val="single"/>
        </w:rPr>
        <w:t>Coverage, Total Number of Cases in Country-Season, and Level of Geographic Stratification</w:t>
      </w:r>
    </w:p>
    <w:tbl>
      <w:tblPr>
        <w:tblStyle w:val="TableGrid"/>
        <w:tblpPr w:leftFromText="180" w:rightFromText="180" w:vertAnchor="text" w:horzAnchor="page" w:tblpX="109" w:tblpY="-61"/>
        <w:tblW w:w="11063" w:type="dxa"/>
        <w:tblLook w:val="04A0" w:firstRow="1" w:lastRow="0" w:firstColumn="1" w:lastColumn="0" w:noHBand="0" w:noVBand="1"/>
      </w:tblPr>
      <w:tblGrid>
        <w:gridCol w:w="1899"/>
        <w:gridCol w:w="1568"/>
        <w:gridCol w:w="1749"/>
        <w:gridCol w:w="2607"/>
        <w:gridCol w:w="3240"/>
      </w:tblGrid>
      <w:tr w:rsidR="00320860" w14:paraId="79DEC5C9" w14:textId="77777777" w:rsidTr="00791F97">
        <w:trPr>
          <w:trHeight w:val="45"/>
        </w:trPr>
        <w:tc>
          <w:tcPr>
            <w:tcW w:w="110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FBE076" w14:textId="77777777" w:rsidR="00320860" w:rsidRPr="00910DF3" w:rsidRDefault="00320860" w:rsidP="00791F97">
            <w:pPr>
              <w:spacing w:after="150" w:line="480" w:lineRule="auto"/>
              <w:rPr>
                <w:rFonts w:ascii="Calibri" w:hAnsi="Calibri"/>
                <w:b/>
                <w:color w:val="333333"/>
                <w:sz w:val="22"/>
                <w:szCs w:val="22"/>
                <w:vertAlign w:val="superscript"/>
              </w:rPr>
            </w:pPr>
            <w:r w:rsidRPr="00167299">
              <w:rPr>
                <w:rFonts w:ascii="Calibri" w:hAnsi="Calibri"/>
                <w:b/>
                <w:color w:val="333333"/>
                <w:sz w:val="22"/>
                <w:szCs w:val="22"/>
              </w:rPr>
              <w:lastRenderedPageBreak/>
              <w:t xml:space="preserve">Random Sampling: Median </w:t>
            </w:r>
            <w:r>
              <w:rPr>
                <w:rFonts w:ascii="Calibri" w:hAnsi="Calibri"/>
                <w:b/>
                <w:color w:val="333333"/>
                <w:sz w:val="22"/>
                <w:szCs w:val="22"/>
              </w:rPr>
              <w:t>(IQR) Average</w:t>
            </w:r>
            <w:r w:rsidRPr="0016729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Margin of </w:t>
            </w:r>
            <w:proofErr w:type="spellStart"/>
            <w:r w:rsidRPr="00167299">
              <w:rPr>
                <w:rFonts w:ascii="Calibri" w:hAnsi="Calibri"/>
                <w:b/>
                <w:color w:val="333333"/>
                <w:sz w:val="22"/>
                <w:szCs w:val="22"/>
              </w:rPr>
              <w:t>Error</w:t>
            </w:r>
            <w:r>
              <w:rPr>
                <w:rFonts w:ascii="Calibri" w:hAnsi="Calibri"/>
                <w:b/>
                <w:color w:val="333333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320860" w14:paraId="493A5A26" w14:textId="77777777" w:rsidTr="00791F97">
        <w:trPr>
          <w:trHeight w:val="438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56B5B0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Total Cases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 xml:space="preserve"> with a Laboratory-Testing Result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38522F1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Testing Coverage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59A30B9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Unstratified Sampling</w:t>
            </w:r>
          </w:p>
        </w:tc>
        <w:tc>
          <w:tcPr>
            <w:tcW w:w="26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74BF363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Region-stratified Sampling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7C4F010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District-stratified Sampling</w:t>
            </w:r>
          </w:p>
        </w:tc>
      </w:tr>
      <w:tr w:rsidR="00320860" w14:paraId="66BF334C" w14:textId="77777777" w:rsidTr="00791F97">
        <w:trPr>
          <w:trHeight w:val="375"/>
        </w:trPr>
        <w:tc>
          <w:tcPr>
            <w:tcW w:w="1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A13074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  <w:r>
              <w:rPr>
                <w:rFonts w:ascii="Calibri" w:eastAsiaTheme="minorEastAsia" w:hAnsi="Calibri"/>
                <w:color w:val="333333"/>
                <w:sz w:val="22"/>
                <w:szCs w:val="22"/>
              </w:rPr>
              <w:t>68 - 273</w:t>
            </w:r>
          </w:p>
        </w:tc>
        <w:tc>
          <w:tcPr>
            <w:tcW w:w="1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CCCB5F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25%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4" w:space="0" w:color="auto"/>
            </w:tcBorders>
          </w:tcPr>
          <w:p w14:paraId="13A2F7AC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0.12 (0.09-0.13)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6E043422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0.12 (0.09-0.13)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50F476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0.1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2 (0.09-0.13)</w:t>
            </w:r>
          </w:p>
        </w:tc>
      </w:tr>
      <w:tr w:rsidR="00320860" w14:paraId="4DFC8383" w14:textId="77777777" w:rsidTr="00791F97">
        <w:trPr>
          <w:trHeight w:val="240"/>
        </w:trPr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1FE20B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2FAE5D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50%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4" w:space="0" w:color="auto"/>
            </w:tcBorders>
          </w:tcPr>
          <w:p w14:paraId="2A4114FB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0.07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 xml:space="preserve"> (0.05-0.07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1DCEA9F1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0.07 (0.05-0.08)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5A4457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0.07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 xml:space="preserve"> (0.05-0.07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</w:tr>
      <w:tr w:rsidR="00320860" w14:paraId="2A86D93D" w14:textId="77777777" w:rsidTr="00791F97">
        <w:trPr>
          <w:trHeight w:val="375"/>
        </w:trPr>
        <w:tc>
          <w:tcPr>
            <w:tcW w:w="189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4E247C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DA9877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75%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4" w:space="0" w:color="auto"/>
            </w:tcBorders>
          </w:tcPr>
          <w:p w14:paraId="7017EAF7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0.04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 xml:space="preserve"> (0.03-0.04)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609DE87C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0.04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 xml:space="preserve"> (0.03-0.04)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CC679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0.04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 xml:space="preserve"> (0.03-0.04)</w:t>
            </w:r>
          </w:p>
        </w:tc>
      </w:tr>
      <w:tr w:rsidR="00320860" w14:paraId="370D7AC6" w14:textId="77777777" w:rsidTr="00791F97">
        <w:trPr>
          <w:trHeight w:val="485"/>
        </w:trPr>
        <w:tc>
          <w:tcPr>
            <w:tcW w:w="189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48C55E" w14:textId="77777777" w:rsidR="00320860" w:rsidRPr="00775412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  <w:r>
              <w:rPr>
                <w:rFonts w:ascii="Calibri" w:eastAsiaTheme="minorEastAsia" w:hAnsi="Calibri"/>
                <w:color w:val="333333"/>
                <w:sz w:val="22"/>
                <w:szCs w:val="22"/>
              </w:rPr>
              <w:t>1,301 – 1,954</w:t>
            </w: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85036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25%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</w:tcPr>
          <w:p w14:paraId="7BB9EFC5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0.03 (0.03-0.04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14:paraId="273055B3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0.03 (0.03-0.04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</w:tcPr>
          <w:p w14:paraId="045474B2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0.03 (0.03-0.04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</w:tr>
      <w:tr w:rsidR="00320860" w14:paraId="335DA637" w14:textId="77777777" w:rsidTr="00791F97">
        <w:trPr>
          <w:trHeight w:val="485"/>
        </w:trPr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2BDAEB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A2CCE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50%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</w:tcPr>
          <w:p w14:paraId="7615C6F4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0.02 (0.02-0.02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14:paraId="3C7E830A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0.02 (0.02-0.02)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</w:tcPr>
          <w:p w14:paraId="5C75EEF9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0.02 (0.02-0.0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2)</w:t>
            </w:r>
          </w:p>
        </w:tc>
      </w:tr>
      <w:tr w:rsidR="00320860" w14:paraId="1518BBDF" w14:textId="77777777" w:rsidTr="00791F97">
        <w:trPr>
          <w:trHeight w:val="465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BE6B11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E31E8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75%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</w:tcPr>
          <w:p w14:paraId="2F6D7D1B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0.01 (0.01-0.01)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14:paraId="166536E6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0.01 (0.01-0.01)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</w:tcPr>
          <w:p w14:paraId="43F7D0F9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0.01 (0.01-0.01)</w:t>
            </w:r>
          </w:p>
        </w:tc>
      </w:tr>
      <w:tr w:rsidR="00320860" w14:paraId="2E439E40" w14:textId="77777777" w:rsidTr="00791F97">
        <w:trPr>
          <w:trHeight w:val="249"/>
        </w:trPr>
        <w:tc>
          <w:tcPr>
            <w:tcW w:w="110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0EC2490" w14:textId="77777777" w:rsidR="00320860" w:rsidRPr="00AB3A64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b/>
                <w:color w:val="333333"/>
                <w:sz w:val="22"/>
                <w:szCs w:val="22"/>
                <w:vertAlign w:val="superscript"/>
              </w:rPr>
            </w:pPr>
            <w:r w:rsidRPr="0016729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Sequential Sampling: Median </w:t>
            </w:r>
            <w:r>
              <w:rPr>
                <w:rFonts w:ascii="Calibri" w:hAnsi="Calibri"/>
                <w:b/>
                <w:color w:val="333333"/>
                <w:sz w:val="22"/>
                <w:szCs w:val="22"/>
              </w:rPr>
              <w:t>(IQR) Sequential</w:t>
            </w:r>
            <w:r w:rsidRPr="0016729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Margin of </w:t>
            </w:r>
            <w:proofErr w:type="spellStart"/>
            <w:r w:rsidRPr="00167299">
              <w:rPr>
                <w:rFonts w:ascii="Calibri" w:hAnsi="Calibri"/>
                <w:b/>
                <w:color w:val="333333"/>
                <w:sz w:val="22"/>
                <w:szCs w:val="22"/>
              </w:rPr>
              <w:t>Error</w:t>
            </w:r>
            <w:r>
              <w:rPr>
                <w:rFonts w:ascii="Calibri" w:hAnsi="Calibri"/>
                <w:b/>
                <w:color w:val="333333"/>
                <w:sz w:val="22"/>
                <w:szCs w:val="22"/>
                <w:vertAlign w:val="superscript"/>
              </w:rPr>
              <w:t>b</w:t>
            </w:r>
            <w:proofErr w:type="spellEnd"/>
          </w:p>
        </w:tc>
      </w:tr>
      <w:tr w:rsidR="00320860" w14:paraId="1F380E32" w14:textId="77777777" w:rsidTr="00791F97">
        <w:trPr>
          <w:trHeight w:val="591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31AD37D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Total Cases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 xml:space="preserve"> with a Laboratory-Testing Result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730653C" w14:textId="77777777" w:rsidR="00320860" w:rsidRPr="00167299" w:rsidRDefault="00320860" w:rsidP="00791F97">
            <w:pPr>
              <w:tabs>
                <w:tab w:val="left" w:pos="1717"/>
              </w:tabs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Testing Coverage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6A88E55" w14:textId="77777777" w:rsidR="00320860" w:rsidRPr="00167299" w:rsidRDefault="00320860" w:rsidP="00791F97">
            <w:pPr>
              <w:tabs>
                <w:tab w:val="left" w:pos="1717"/>
              </w:tabs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Unstratified Sampling</w:t>
            </w:r>
          </w:p>
        </w:tc>
        <w:tc>
          <w:tcPr>
            <w:tcW w:w="26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B691D0F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Region-stratified Sampling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A8C9B8C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District-stratified Sampling</w:t>
            </w:r>
          </w:p>
        </w:tc>
      </w:tr>
      <w:tr w:rsidR="00320860" w14:paraId="090B8867" w14:textId="77777777" w:rsidTr="00791F97">
        <w:trPr>
          <w:trHeight w:val="456"/>
        </w:trPr>
        <w:tc>
          <w:tcPr>
            <w:tcW w:w="18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8560D1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eastAsiaTheme="minorEastAsia" w:hAnsi="Calibri"/>
                <w:color w:val="333333"/>
                <w:sz w:val="22"/>
                <w:szCs w:val="22"/>
              </w:rPr>
              <w:t>68 - 273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E004CC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25%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C24DBE6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0.21 (0.13-0.29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5D1505EE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9 (0.13-0.22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917393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0.23 (0.17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-0.25)</w:t>
            </w:r>
          </w:p>
        </w:tc>
      </w:tr>
      <w:tr w:rsidR="00320860" w14:paraId="016BD4A9" w14:textId="77777777" w:rsidTr="00791F97">
        <w:trPr>
          <w:trHeight w:val="465"/>
        </w:trPr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7C7B29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8DA006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50%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840CEA3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0.06 (0.04-0.09)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29440F7E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0.08 (0.06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-0.10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32B2B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0.07 (0.04-0.10</w:t>
            </w:r>
          </w:p>
        </w:tc>
      </w:tr>
      <w:tr w:rsidR="00320860" w14:paraId="288FB419" w14:textId="77777777" w:rsidTr="00791F97">
        <w:trPr>
          <w:trHeight w:val="366"/>
        </w:trPr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CA082D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A86358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75%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3F7E067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.05 (0.03-0.07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47689ECE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0.05 (0.03-0.06)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A12832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0.05 (0.03-0.06)</w:t>
            </w:r>
          </w:p>
        </w:tc>
      </w:tr>
      <w:tr w:rsidR="00320860" w14:paraId="6B7C078C" w14:textId="77777777" w:rsidTr="00791F97">
        <w:trPr>
          <w:trHeight w:val="323"/>
        </w:trPr>
        <w:tc>
          <w:tcPr>
            <w:tcW w:w="189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FCE3D2" w14:textId="77777777" w:rsidR="00320860" w:rsidRPr="00C40F43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  <w:r>
              <w:rPr>
                <w:rFonts w:ascii="Calibri" w:eastAsiaTheme="minorEastAsia" w:hAnsi="Calibri"/>
                <w:color w:val="333333"/>
                <w:sz w:val="22"/>
                <w:szCs w:val="22"/>
              </w:rPr>
              <w:t>1,301 – 1,954</w:t>
            </w:r>
          </w:p>
          <w:p w14:paraId="1FBCC6BC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0CCCD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25%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</w:tcPr>
          <w:p w14:paraId="0D5D9849" w14:textId="77777777" w:rsidR="00320860" w:rsidRPr="00167299" w:rsidRDefault="00320860" w:rsidP="00791F97">
            <w:pPr>
              <w:spacing w:after="150" w:line="480" w:lineRule="auto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0.11 (0.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9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-0.13)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14:paraId="5AA7EAC1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0.11 (0.09-0.13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</w:tcPr>
          <w:p w14:paraId="76E5DDD4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0.08 (0.04-0.09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</w:tr>
      <w:tr w:rsidR="00320860" w14:paraId="46CC7B26" w14:textId="77777777" w:rsidTr="00791F97">
        <w:trPr>
          <w:trHeight w:val="429"/>
        </w:trPr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3A77AE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DFE64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50%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</w:tcPr>
          <w:p w14:paraId="69E5144C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0.03 (0.02-0.04)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14:paraId="14489CE0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0.02 (0.01-0.05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</w:tcPr>
          <w:p w14:paraId="40B6FB1E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0.02 (0.01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-0.03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</w:tr>
      <w:tr w:rsidR="00320860" w14:paraId="1FA8BFE8" w14:textId="77777777" w:rsidTr="00791F97">
        <w:trPr>
          <w:trHeight w:val="386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9D450F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F2BA4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75%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</w:tcPr>
          <w:p w14:paraId="14E9E83B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0.02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 xml:space="preserve"> (0.01-0.02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14:paraId="6C7ED501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0.02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 xml:space="preserve"> (0.01-0.02)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</w:tcPr>
          <w:p w14:paraId="58BE82B2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0.02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 xml:space="preserve"> (0.01-0.02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</w:tr>
      <w:tr w:rsidR="00320860" w14:paraId="7A7EA008" w14:textId="77777777" w:rsidTr="00791F97">
        <w:trPr>
          <w:trHeight w:val="177"/>
        </w:trPr>
        <w:tc>
          <w:tcPr>
            <w:tcW w:w="1106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7D6E792" w14:textId="77777777" w:rsidR="00320860" w:rsidRPr="00AB3A64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b/>
                <w:color w:val="333333"/>
                <w:sz w:val="22"/>
                <w:szCs w:val="22"/>
                <w:vertAlign w:val="superscript"/>
              </w:rPr>
            </w:pPr>
            <w:r w:rsidRPr="0016729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Random Sampling: Median </w:t>
            </w:r>
            <w:r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(IQR) </w:t>
            </w:r>
            <w:r w:rsidRPr="0016729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95% Credible Margin of </w:t>
            </w:r>
            <w:proofErr w:type="spellStart"/>
            <w:r w:rsidRPr="00167299">
              <w:rPr>
                <w:rFonts w:ascii="Calibri" w:hAnsi="Calibri"/>
                <w:b/>
                <w:color w:val="333333"/>
                <w:sz w:val="22"/>
                <w:szCs w:val="22"/>
              </w:rPr>
              <w:t>Error</w:t>
            </w:r>
            <w:r>
              <w:rPr>
                <w:rFonts w:ascii="Calibri" w:hAnsi="Calibri"/>
                <w:b/>
                <w:color w:val="333333"/>
                <w:sz w:val="22"/>
                <w:szCs w:val="22"/>
                <w:vertAlign w:val="superscript"/>
              </w:rPr>
              <w:t>c</w:t>
            </w:r>
            <w:proofErr w:type="spellEnd"/>
          </w:p>
        </w:tc>
      </w:tr>
      <w:tr w:rsidR="00320860" w14:paraId="028D5F0C" w14:textId="77777777" w:rsidTr="00791F97">
        <w:trPr>
          <w:trHeight w:val="357"/>
        </w:trPr>
        <w:tc>
          <w:tcPr>
            <w:tcW w:w="18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6CE447F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Total Cases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 xml:space="preserve"> with a Laboratory-Testing Result</w:t>
            </w: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226A411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Testing Coverage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6F70D12D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Unstratified Sampling</w:t>
            </w:r>
          </w:p>
        </w:tc>
        <w:tc>
          <w:tcPr>
            <w:tcW w:w="2607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5615A39B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Region-stratified Sampling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7325FAE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District-stratified Sampling</w:t>
            </w:r>
          </w:p>
        </w:tc>
      </w:tr>
      <w:tr w:rsidR="00320860" w14:paraId="40CB42D7" w14:textId="77777777" w:rsidTr="00791F97">
        <w:tc>
          <w:tcPr>
            <w:tcW w:w="189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83F1C1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eastAsiaTheme="minorEastAsia" w:hAnsi="Calibri"/>
                <w:color w:val="333333"/>
                <w:sz w:val="22"/>
                <w:szCs w:val="22"/>
              </w:rPr>
              <w:t>68 – 273</w:t>
            </w: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E3AE7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25%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</w:tcPr>
          <w:p w14:paraId="6C868CD1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0.24 (0.18-0.28)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14:paraId="00D527D7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0.24 (0.18-0.27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</w:tcPr>
          <w:p w14:paraId="0C66049A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0.24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 xml:space="preserve"> (0.18-0.29)</w:t>
            </w:r>
          </w:p>
        </w:tc>
      </w:tr>
      <w:tr w:rsidR="00320860" w14:paraId="14B76EE9" w14:textId="77777777" w:rsidTr="00791F97"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D00E9B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D2008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50%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</w:tcPr>
          <w:p w14:paraId="5052B6EF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0.14 (0.10-0.16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14:paraId="1040DB79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.14 (0.10-0.15)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</w:tcPr>
          <w:p w14:paraId="233072F9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0.13 (0.10-0.17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</w:tr>
      <w:tr w:rsidR="00320860" w14:paraId="0C47B699" w14:textId="77777777" w:rsidTr="00791F97"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2699D0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7B11B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75%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</w:tcPr>
          <w:p w14:paraId="06822BE8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0.08 (0.06-0.09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14:paraId="4ADB279E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0.08 (0.06-0.09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</w:tcPr>
          <w:p w14:paraId="548BA50D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0.08 (0.06-0.10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</w:tr>
      <w:tr w:rsidR="00320860" w14:paraId="12A0585F" w14:textId="77777777" w:rsidTr="00791F97">
        <w:trPr>
          <w:trHeight w:val="458"/>
        </w:trPr>
        <w:tc>
          <w:tcPr>
            <w:tcW w:w="189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34BB03" w14:textId="77777777" w:rsidR="00320860" w:rsidRPr="00C40F43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  <w:r>
              <w:rPr>
                <w:rFonts w:ascii="Calibri" w:eastAsiaTheme="minorEastAsia" w:hAnsi="Calibri"/>
                <w:color w:val="333333"/>
                <w:sz w:val="22"/>
                <w:szCs w:val="22"/>
              </w:rPr>
              <w:t>1,301 – 1,954</w:t>
            </w:r>
          </w:p>
          <w:p w14:paraId="1FF73B1B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right w:val="single" w:sz="12" w:space="0" w:color="auto"/>
            </w:tcBorders>
          </w:tcPr>
          <w:p w14:paraId="6AA34C8E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25%</w:t>
            </w:r>
          </w:p>
        </w:tc>
        <w:tc>
          <w:tcPr>
            <w:tcW w:w="1749" w:type="dxa"/>
            <w:tcBorders>
              <w:left w:val="single" w:sz="12" w:space="0" w:color="auto"/>
            </w:tcBorders>
          </w:tcPr>
          <w:p w14:paraId="15BCC3F2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0.06 (0.06-0.07)</w:t>
            </w:r>
          </w:p>
        </w:tc>
        <w:tc>
          <w:tcPr>
            <w:tcW w:w="2607" w:type="dxa"/>
          </w:tcPr>
          <w:p w14:paraId="05B5E506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0.06 (0.06-0.07)</w:t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14:paraId="2E1FBCF2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0.06 (0.06-0.07)</w:t>
            </w:r>
          </w:p>
        </w:tc>
      </w:tr>
      <w:tr w:rsidR="00320860" w14:paraId="05E10843" w14:textId="77777777" w:rsidTr="00791F97">
        <w:trPr>
          <w:trHeight w:val="45"/>
        </w:trPr>
        <w:tc>
          <w:tcPr>
            <w:tcW w:w="18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6B00CA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right w:val="single" w:sz="12" w:space="0" w:color="auto"/>
            </w:tcBorders>
          </w:tcPr>
          <w:p w14:paraId="200A1BC7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50%</w:t>
            </w:r>
          </w:p>
        </w:tc>
        <w:tc>
          <w:tcPr>
            <w:tcW w:w="1749" w:type="dxa"/>
            <w:tcBorders>
              <w:left w:val="single" w:sz="12" w:space="0" w:color="auto"/>
            </w:tcBorders>
          </w:tcPr>
          <w:p w14:paraId="3ED86554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0.04 (0.04-0.04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2607" w:type="dxa"/>
          </w:tcPr>
          <w:p w14:paraId="0EB41EA9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0.04 (0.04-0.04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14:paraId="2F08F663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0.04 (0.03-0.04)</w:t>
            </w:r>
          </w:p>
        </w:tc>
      </w:tr>
      <w:tr w:rsidR="00320860" w14:paraId="5A0B35EF" w14:textId="77777777" w:rsidTr="00791F97">
        <w:trPr>
          <w:trHeight w:val="424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06B314" w14:textId="77777777" w:rsidR="00320860" w:rsidRDefault="00320860" w:rsidP="00791F97">
            <w:pPr>
              <w:spacing w:after="150" w:line="480" w:lineRule="auto"/>
              <w:jc w:val="center"/>
              <w:rPr>
                <w:rFonts w:ascii="Calibri" w:eastAsiaTheme="minorEastAsia" w:hAnsi="Calibri"/>
                <w:color w:val="333333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0DDB6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75%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</w:tcBorders>
          </w:tcPr>
          <w:p w14:paraId="5B16419E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0.02 (0.02-0.02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  <w:tc>
          <w:tcPr>
            <w:tcW w:w="2607" w:type="dxa"/>
            <w:tcBorders>
              <w:bottom w:val="single" w:sz="12" w:space="0" w:color="auto"/>
            </w:tcBorders>
          </w:tcPr>
          <w:p w14:paraId="7FE03491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.02 (0.02-0.02)</w:t>
            </w: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</w:tcPr>
          <w:p w14:paraId="574DADA3" w14:textId="77777777" w:rsidR="00320860" w:rsidRPr="00167299" w:rsidRDefault="00320860" w:rsidP="00791F97">
            <w:pPr>
              <w:spacing w:after="150" w:line="480" w:lineRule="auto"/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>
              <w:rPr>
                <w:rFonts w:ascii="Calibri" w:hAnsi="Calibri"/>
                <w:color w:val="333333"/>
                <w:sz w:val="22"/>
                <w:szCs w:val="22"/>
              </w:rPr>
              <w:t>0</w:t>
            </w:r>
            <w:r w:rsidRPr="00167299">
              <w:rPr>
                <w:rFonts w:ascii="Calibri" w:hAnsi="Calibri"/>
                <w:color w:val="333333"/>
                <w:sz w:val="22"/>
                <w:szCs w:val="22"/>
              </w:rPr>
              <w:t>.02 (0.02-0.02</w:t>
            </w:r>
            <w:r>
              <w:rPr>
                <w:rFonts w:ascii="Calibri" w:hAnsi="Calibri"/>
                <w:color w:val="333333"/>
                <w:sz w:val="22"/>
                <w:szCs w:val="22"/>
              </w:rPr>
              <w:t>)</w:t>
            </w:r>
          </w:p>
        </w:tc>
      </w:tr>
    </w:tbl>
    <w:p w14:paraId="7B20E4FE" w14:textId="77777777" w:rsidR="00320860" w:rsidRDefault="00320860" w:rsidP="00320860">
      <w:pPr>
        <w:spacing w:after="150" w:line="480" w:lineRule="auto"/>
        <w:rPr>
          <w:rFonts w:ascii="Calibri" w:hAnsi="Calibri"/>
          <w:color w:val="333333"/>
        </w:rPr>
      </w:pPr>
      <w:r>
        <w:rPr>
          <w:rFonts w:ascii="Calibri" w:hAnsi="Calibri"/>
          <w:color w:val="333333"/>
          <w:vertAlign w:val="superscript"/>
        </w:rPr>
        <w:t>a</w:t>
      </w:r>
      <w:r>
        <w:rPr>
          <w:rFonts w:ascii="Calibri" w:hAnsi="Calibri"/>
          <w:color w:val="333333"/>
        </w:rPr>
        <w:t xml:space="preserve"> Margin of error: the greatest absolute error from the true proportion among all pathogen-proportion estimates in the subset of cases. Average margin of error: the average of the margin of error estimates across 2,000 randomly selected subsets of cases.</w:t>
      </w:r>
    </w:p>
    <w:p w14:paraId="37FDD5F1" w14:textId="77777777" w:rsidR="00320860" w:rsidRDefault="00320860" w:rsidP="00320860">
      <w:pPr>
        <w:spacing w:after="150" w:line="480" w:lineRule="auto"/>
        <w:rPr>
          <w:rFonts w:ascii="Calibri" w:hAnsi="Calibri"/>
          <w:color w:val="333333"/>
        </w:rPr>
      </w:pPr>
      <w:r>
        <w:rPr>
          <w:rFonts w:ascii="Calibri" w:hAnsi="Calibri"/>
          <w:color w:val="333333"/>
          <w:vertAlign w:val="superscript"/>
        </w:rPr>
        <w:t>b</w:t>
      </w:r>
      <w:r>
        <w:rPr>
          <w:rFonts w:ascii="Calibri" w:hAnsi="Calibri"/>
          <w:color w:val="333333"/>
        </w:rPr>
        <w:t xml:space="preserve"> Sequential margin of error: The observed margin of error in a subset of cases selected sequentially from the start of the season. </w:t>
      </w:r>
    </w:p>
    <w:p w14:paraId="20054729" w14:textId="77777777" w:rsidR="00320860" w:rsidRDefault="00320860" w:rsidP="00320860">
      <w:pPr>
        <w:spacing w:after="150" w:line="480" w:lineRule="auto"/>
        <w:rPr>
          <w:rFonts w:ascii="Calibri" w:hAnsi="Calibri"/>
          <w:color w:val="333333"/>
        </w:rPr>
      </w:pPr>
      <w:r>
        <w:rPr>
          <w:rFonts w:ascii="Calibri" w:hAnsi="Calibri"/>
          <w:color w:val="333333"/>
          <w:vertAlign w:val="superscript"/>
        </w:rPr>
        <w:t>c</w:t>
      </w:r>
      <w:r>
        <w:rPr>
          <w:rFonts w:ascii="Calibri" w:hAnsi="Calibri"/>
          <w:color w:val="333333"/>
        </w:rPr>
        <w:t xml:space="preserve"> 95% Credible margin of error: The 95</w:t>
      </w:r>
      <w:r w:rsidRPr="00AB3A64">
        <w:rPr>
          <w:rFonts w:ascii="Calibri" w:hAnsi="Calibri"/>
          <w:color w:val="333333"/>
          <w:vertAlign w:val="superscript"/>
        </w:rPr>
        <w:t>th</w:t>
      </w:r>
      <w:r>
        <w:rPr>
          <w:rFonts w:ascii="Calibri" w:hAnsi="Calibri"/>
          <w:color w:val="333333"/>
        </w:rPr>
        <w:t xml:space="preserve"> percentile margin of error value across 2,000 randomly selected subsets of cases.</w:t>
      </w:r>
    </w:p>
    <w:p w14:paraId="0587A3C0" w14:textId="77777777" w:rsidR="00320860" w:rsidRDefault="00320860" w:rsidP="00320860">
      <w:pPr>
        <w:tabs>
          <w:tab w:val="left" w:pos="2260"/>
        </w:tabs>
        <w:spacing w:after="150" w:line="480" w:lineRule="auto"/>
        <w:rPr>
          <w:rFonts w:ascii="Calibri" w:hAnsi="Calibri"/>
          <w:color w:val="333333"/>
        </w:rPr>
      </w:pPr>
    </w:p>
    <w:p w14:paraId="256163AB" w14:textId="77777777" w:rsidR="00320860" w:rsidRDefault="00320860" w:rsidP="00320860">
      <w:pPr>
        <w:spacing w:after="150" w:line="480" w:lineRule="auto"/>
        <w:rPr>
          <w:rFonts w:ascii="Calibri" w:hAnsi="Calibri"/>
          <w:color w:val="333333"/>
          <w:u w:val="single"/>
        </w:rPr>
      </w:pPr>
      <w:r>
        <w:rPr>
          <w:rFonts w:ascii="Calibri" w:hAnsi="Calibri"/>
          <w:color w:val="333333"/>
          <w:u w:val="single"/>
        </w:rPr>
        <w:lastRenderedPageBreak/>
        <w:t>Supplementary Figure 1: Margin of Error of Pathogen-</w:t>
      </w:r>
      <w:r w:rsidRPr="008846AA">
        <w:rPr>
          <w:rFonts w:ascii="Calibri" w:hAnsi="Calibri"/>
          <w:color w:val="333333"/>
          <w:u w:val="single"/>
        </w:rPr>
        <w:t xml:space="preserve">Proportion Estimates by </w:t>
      </w:r>
      <w:r>
        <w:rPr>
          <w:rFonts w:ascii="Calibri" w:hAnsi="Calibri"/>
          <w:color w:val="333333"/>
          <w:u w:val="single"/>
        </w:rPr>
        <w:t>Testing</w:t>
      </w:r>
      <w:r w:rsidRPr="008846AA">
        <w:rPr>
          <w:rFonts w:ascii="Calibri" w:hAnsi="Calibri"/>
          <w:color w:val="333333"/>
          <w:u w:val="single"/>
        </w:rPr>
        <w:t xml:space="preserve"> </w:t>
      </w:r>
      <w:r>
        <w:rPr>
          <w:rFonts w:ascii="Calibri" w:hAnsi="Calibri"/>
          <w:color w:val="333333"/>
          <w:u w:val="single"/>
        </w:rPr>
        <w:t>Coverage, Grouped by Total Number of Cases in Season</w:t>
      </w:r>
    </w:p>
    <w:p w14:paraId="24396C3E" w14:textId="77777777" w:rsidR="00320860" w:rsidRPr="001E78FF" w:rsidRDefault="00320860" w:rsidP="00320860">
      <w:pPr>
        <w:spacing w:after="150" w:line="480" w:lineRule="auto"/>
        <w:rPr>
          <w:rFonts w:ascii="Calibri" w:hAnsi="Calibri"/>
          <w:color w:val="333333"/>
          <w:sz w:val="28"/>
          <w:szCs w:val="28"/>
        </w:rPr>
      </w:pPr>
      <w:r w:rsidRPr="00790145">
        <w:rPr>
          <w:rFonts w:ascii="Calibri" w:hAnsi="Calibri"/>
          <w:i/>
          <w:color w:val="333333"/>
        </w:rPr>
        <w:t>Each line represent</w:t>
      </w:r>
      <w:r>
        <w:rPr>
          <w:rFonts w:ascii="Calibri" w:hAnsi="Calibri"/>
          <w:i/>
          <w:color w:val="333333"/>
        </w:rPr>
        <w:t xml:space="preserve">s one of the 12 country-seasons analyzed, with the color of the line indicating the total number of cases in the country-season with an available laboratory testing result in that country-season. </w:t>
      </w:r>
    </w:p>
    <w:p w14:paraId="49FA4730" w14:textId="77777777" w:rsidR="00320860" w:rsidRPr="001E78FF" w:rsidRDefault="00320860" w:rsidP="00320860">
      <w:pPr>
        <w:spacing w:after="150" w:line="480" w:lineRule="auto"/>
        <w:rPr>
          <w:rFonts w:ascii="Calibri" w:hAnsi="Calibri"/>
          <w:color w:val="333333"/>
        </w:rPr>
      </w:pPr>
      <w:r w:rsidRPr="001E78FF">
        <w:rPr>
          <w:rFonts w:ascii="Calibri" w:hAnsi="Calibri"/>
          <w:noProof/>
          <w:color w:val="333333"/>
        </w:rPr>
        <w:drawing>
          <wp:inline distT="0" distB="0" distL="0" distR="0" wp14:anchorId="140F047C" wp14:editId="1F2BBE79">
            <wp:extent cx="5943600" cy="5071745"/>
            <wp:effectExtent l="25400" t="25400" r="25400" b="336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nAfriNetFig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174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2189CCEA" w14:textId="77777777" w:rsidR="00320860" w:rsidRPr="001E78FF" w:rsidRDefault="00320860" w:rsidP="00320860">
      <w:pPr>
        <w:spacing w:after="150" w:line="480" w:lineRule="auto"/>
        <w:rPr>
          <w:rFonts w:ascii="Calibri" w:hAnsi="Calibri"/>
          <w:color w:val="333333"/>
        </w:rPr>
      </w:pPr>
    </w:p>
    <w:p w14:paraId="3E86E3A2" w14:textId="77777777" w:rsidR="00320860" w:rsidRDefault="00320860" w:rsidP="00320860">
      <w:pPr>
        <w:spacing w:after="150" w:line="480" w:lineRule="auto"/>
        <w:rPr>
          <w:rFonts w:ascii="Calibri" w:hAnsi="Calibri"/>
          <w:color w:val="333333"/>
          <w:u w:val="single"/>
        </w:rPr>
      </w:pPr>
    </w:p>
    <w:p w14:paraId="57D78149" w14:textId="77777777" w:rsidR="00320860" w:rsidRPr="00C52CFA" w:rsidRDefault="00320860" w:rsidP="00320860">
      <w:pPr>
        <w:spacing w:after="150" w:line="480" w:lineRule="auto"/>
        <w:rPr>
          <w:rFonts w:ascii="Calibri" w:hAnsi="Calibri"/>
          <w:color w:val="333333"/>
          <w:u w:val="single"/>
        </w:rPr>
      </w:pPr>
      <w:r>
        <w:rPr>
          <w:rFonts w:ascii="Calibri" w:hAnsi="Calibri"/>
          <w:u w:val="single"/>
        </w:rPr>
        <w:lastRenderedPageBreak/>
        <w:t>Supplementary Figure 2: Variance of Pathogen-Proportion Estimates by Number of Cases, Derived from the Multivariate Hypergeometric Distribution</w:t>
      </w:r>
    </w:p>
    <w:p w14:paraId="0187B9A5" w14:textId="77777777" w:rsidR="00320860" w:rsidRDefault="00320860" w:rsidP="00320860">
      <w:pPr>
        <w:spacing w:line="480" w:lineRule="auto"/>
        <w:rPr>
          <w:rFonts w:ascii="Calibri" w:hAnsi="Calibri"/>
          <w:i/>
        </w:rPr>
      </w:pPr>
      <w:r w:rsidRPr="00C7061F">
        <w:rPr>
          <w:rFonts w:ascii="Calibri" w:hAnsi="Calibri"/>
          <w:i/>
        </w:rPr>
        <w:t xml:space="preserve">This figure shows the relationship between the total number of </w:t>
      </w:r>
      <w:r>
        <w:rPr>
          <w:rFonts w:ascii="Calibri" w:hAnsi="Calibri"/>
          <w:i/>
        </w:rPr>
        <w:t xml:space="preserve">suspected meningitis </w:t>
      </w:r>
      <w:r w:rsidRPr="00C7061F">
        <w:rPr>
          <w:rFonts w:ascii="Calibri" w:hAnsi="Calibri"/>
          <w:i/>
        </w:rPr>
        <w:t>cases</w:t>
      </w:r>
      <w:r>
        <w:rPr>
          <w:rFonts w:ascii="Calibri" w:hAnsi="Calibri"/>
          <w:i/>
        </w:rPr>
        <w:t xml:space="preserve"> </w:t>
      </w:r>
      <w:r w:rsidRPr="00C7061F">
        <w:rPr>
          <w:rFonts w:ascii="Calibri" w:hAnsi="Calibri"/>
          <w:i/>
        </w:rPr>
        <w:t xml:space="preserve">in a country-season and the variance of </w:t>
      </w:r>
      <w:r>
        <w:rPr>
          <w:rFonts w:ascii="Calibri" w:hAnsi="Calibri"/>
          <w:i/>
        </w:rPr>
        <w:t>any given pathogen’s attributable case proportion</w:t>
      </w:r>
      <w:r w:rsidRPr="00C7061F">
        <w:rPr>
          <w:rFonts w:ascii="Calibri" w:hAnsi="Calibri"/>
          <w:i/>
        </w:rPr>
        <w:t xml:space="preserve"> est</w:t>
      </w:r>
      <w:r>
        <w:rPr>
          <w:rFonts w:ascii="Calibri" w:hAnsi="Calibri"/>
          <w:i/>
        </w:rPr>
        <w:t xml:space="preserve">imate </w:t>
      </w:r>
      <w:r w:rsidRPr="00C7061F">
        <w:rPr>
          <w:rFonts w:ascii="Calibri" w:hAnsi="Calibri"/>
          <w:i/>
        </w:rPr>
        <w:t xml:space="preserve">as a function of </w:t>
      </w:r>
      <w:r>
        <w:rPr>
          <w:rFonts w:ascii="Calibri" w:hAnsi="Calibri"/>
          <w:i/>
        </w:rPr>
        <w:t>the true</w:t>
      </w:r>
      <w:r w:rsidRPr="00C7061F">
        <w:rPr>
          <w:rFonts w:ascii="Calibri" w:hAnsi="Calibri"/>
          <w:i/>
        </w:rPr>
        <w:t xml:space="preserve"> proportion</w:t>
      </w:r>
      <w:r>
        <w:rPr>
          <w:rFonts w:ascii="Calibri" w:hAnsi="Calibri"/>
          <w:i/>
        </w:rPr>
        <w:t>,</w:t>
      </w:r>
      <w:r w:rsidRPr="00C7061F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 xml:space="preserve">P. </w:t>
      </w:r>
      <w:r w:rsidRPr="00C7061F">
        <w:rPr>
          <w:rFonts w:ascii="Calibri" w:hAnsi="Calibri"/>
          <w:i/>
        </w:rPr>
        <w:t>This relationship is shown for different values of the percent of confirmable cases selected for testing: 25%, 30%, and 35%</w:t>
      </w:r>
      <w:r>
        <w:rPr>
          <w:rFonts w:ascii="Calibri" w:hAnsi="Calibri"/>
          <w:i/>
        </w:rPr>
        <w:t>, and assumes that 50% of tested suspect cases will be confirmed</w:t>
      </w:r>
      <w:r w:rsidRPr="00C7061F">
        <w:rPr>
          <w:rFonts w:ascii="Calibri" w:hAnsi="Calibri"/>
          <w:i/>
        </w:rPr>
        <w:t xml:space="preserve">. Variance values were calculated using a modified version of the multivariate hypergeometric </w:t>
      </w:r>
      <w:proofErr w:type="gramStart"/>
      <w:r w:rsidRPr="00C7061F">
        <w:rPr>
          <w:rFonts w:ascii="Calibri" w:hAnsi="Calibri"/>
          <w:i/>
        </w:rPr>
        <w:t>distribution, and</w:t>
      </w:r>
      <w:proofErr w:type="gramEnd"/>
      <w:r w:rsidRPr="00C7061F">
        <w:rPr>
          <w:rFonts w:ascii="Calibri" w:hAnsi="Calibri"/>
          <w:i/>
        </w:rPr>
        <w:t xml:space="preserve"> assume random sampling</w:t>
      </w:r>
      <w:r>
        <w:rPr>
          <w:rFonts w:ascii="Calibri" w:hAnsi="Calibri"/>
          <w:i/>
        </w:rPr>
        <w:t xml:space="preserve"> (Supplementary Appendix 1)</w:t>
      </w:r>
      <w:r w:rsidRPr="00C7061F">
        <w:rPr>
          <w:rFonts w:ascii="Calibri" w:hAnsi="Calibri"/>
          <w:i/>
        </w:rPr>
        <w:t xml:space="preserve">. This figure demonstrates that when pathogen-proportion values and sampling levels are held constant, more precise estimates of relative pathogen burden can be expected when the overall volume of cases in a country-season is higher, with estimates from country-seasons with fewer than </w:t>
      </w:r>
      <w:r>
        <w:rPr>
          <w:rFonts w:ascii="Calibri" w:hAnsi="Calibri"/>
          <w:i/>
        </w:rPr>
        <w:t>1,000</w:t>
      </w:r>
      <w:r w:rsidRPr="00C7061F">
        <w:rPr>
          <w:rFonts w:ascii="Calibri" w:hAnsi="Calibri"/>
          <w:i/>
        </w:rPr>
        <w:t xml:space="preserve"> confirmable cases being particularly</w:t>
      </w:r>
      <w:r>
        <w:rPr>
          <w:rFonts w:ascii="Calibri" w:hAnsi="Calibri"/>
          <w:i/>
        </w:rPr>
        <w:t xml:space="preserve"> variable</w:t>
      </w:r>
      <w:r w:rsidRPr="00C7061F">
        <w:rPr>
          <w:rFonts w:ascii="Calibri" w:hAnsi="Calibri"/>
          <w:i/>
        </w:rPr>
        <w:t>.</w:t>
      </w:r>
      <w:r>
        <w:rPr>
          <w:rFonts w:ascii="Calibri" w:hAnsi="Calibri"/>
          <w:i/>
        </w:rPr>
        <w:t xml:space="preserve"> </w:t>
      </w:r>
    </w:p>
    <w:p w14:paraId="4EE9A68A" w14:textId="77777777" w:rsidR="00320860" w:rsidRDefault="00320860" w:rsidP="00320860">
      <w:pPr>
        <w:spacing w:line="480" w:lineRule="auto"/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/>
          <w:i/>
          <w:noProof/>
        </w:rPr>
        <w:drawing>
          <wp:inline distT="0" distB="0" distL="0" distR="0" wp14:anchorId="6C36EEFD" wp14:editId="127B413F">
            <wp:extent cx="5689600" cy="3571240"/>
            <wp:effectExtent l="25400" t="25400" r="25400" b="35560"/>
            <wp:docPr id="11" name="Picture 11" descr="/private/var/folders/10/xh9jx23j0sv0825glhmj_9zm0000gn/T/RStudio-aKtTKY/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private/var/folders/10/xh9jx23j0sv0825glhmj_9zm0000gn/T/RStudio-aKtTKY/downloa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8" r="4203"/>
                    <a:stretch/>
                  </pic:blipFill>
                  <pic:spPr bwMode="auto">
                    <a:xfrm>
                      <a:off x="0" y="0"/>
                      <a:ext cx="5690145" cy="357158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6CD6E" w14:textId="77777777" w:rsidR="00320860" w:rsidRPr="009D6D66" w:rsidRDefault="00320860" w:rsidP="00320860">
      <w:pPr>
        <w:spacing w:line="480" w:lineRule="auto"/>
        <w:ind w:firstLine="720"/>
        <w:outlineLvl w:val="0"/>
        <w:rPr>
          <w:rFonts w:ascii="Calibri" w:hAnsi="Calibri"/>
          <w:i/>
        </w:rPr>
      </w:pPr>
      <w:r w:rsidRPr="00C257CF">
        <w:rPr>
          <w:rFonts w:ascii="Calibri" w:hAnsi="Calibri"/>
          <w:sz w:val="32"/>
          <w:szCs w:val="32"/>
          <w:u w:val="single"/>
        </w:rPr>
        <w:lastRenderedPageBreak/>
        <w:t xml:space="preserve">Appendix 1: </w:t>
      </w:r>
    </w:p>
    <w:p w14:paraId="3E23DD56" w14:textId="77777777" w:rsidR="00320860" w:rsidRDefault="00320860" w:rsidP="00320860">
      <w:pPr>
        <w:spacing w:after="150" w:line="480" w:lineRule="auto"/>
        <w:ind w:left="720"/>
        <w:rPr>
          <w:rFonts w:ascii="Calibri" w:hAnsi="Calibri"/>
          <w:color w:val="333333"/>
        </w:rPr>
      </w:pPr>
      <w:r>
        <w:rPr>
          <w:rFonts w:ascii="Calibri" w:hAnsi="Calibri"/>
          <w:color w:val="333333"/>
        </w:rPr>
        <w:t>We observed that for a</w:t>
      </w:r>
      <w:r w:rsidRPr="00194206">
        <w:rPr>
          <w:rFonts w:ascii="Calibri" w:hAnsi="Calibri"/>
          <w:color w:val="333333"/>
        </w:rPr>
        <w:t xml:space="preserve"> given sampling </w:t>
      </w:r>
      <w:r>
        <w:rPr>
          <w:rFonts w:ascii="Calibri" w:hAnsi="Calibri"/>
          <w:color w:val="333333"/>
        </w:rPr>
        <w:t>strategy</w:t>
      </w:r>
      <w:r w:rsidRPr="00194206">
        <w:rPr>
          <w:rFonts w:ascii="Calibri" w:hAnsi="Calibri"/>
          <w:color w:val="333333"/>
        </w:rPr>
        <w:t xml:space="preserve">, pathogen-proportion estimates in country-seasons with </w:t>
      </w:r>
      <w:r>
        <w:rPr>
          <w:rFonts w:ascii="Calibri" w:hAnsi="Calibri"/>
          <w:color w:val="333333"/>
        </w:rPr>
        <w:t xml:space="preserve">relatively few </w:t>
      </w:r>
      <w:r w:rsidRPr="00194206">
        <w:rPr>
          <w:rFonts w:ascii="Calibri" w:hAnsi="Calibri"/>
          <w:color w:val="333333"/>
        </w:rPr>
        <w:t>cases tend to be less accurate (have higher expected margins of errors) than those from country-seasons with a larger pool of cases</w:t>
      </w:r>
      <w:r>
        <w:rPr>
          <w:rFonts w:ascii="Calibri" w:hAnsi="Calibri"/>
          <w:color w:val="333333"/>
        </w:rPr>
        <w:t xml:space="preserve"> (Supplementary Figure 1, Supplementary Table 1)</w:t>
      </w:r>
      <w:r w:rsidRPr="00194206">
        <w:rPr>
          <w:rFonts w:ascii="Calibri" w:hAnsi="Calibri"/>
          <w:color w:val="333333"/>
        </w:rPr>
        <w:t xml:space="preserve">. </w:t>
      </w:r>
      <w:r>
        <w:rPr>
          <w:rFonts w:ascii="Calibri" w:hAnsi="Calibri"/>
          <w:color w:val="333333"/>
        </w:rPr>
        <w:t>Here, we show how this</w:t>
      </w:r>
      <w:r w:rsidRPr="00194206">
        <w:rPr>
          <w:rFonts w:ascii="Calibri" w:hAnsi="Calibri"/>
          <w:color w:val="333333"/>
        </w:rPr>
        <w:t xml:space="preserve"> pattern is consistent with statistical expectations</w:t>
      </w:r>
      <w:r>
        <w:rPr>
          <w:rFonts w:ascii="Calibri" w:hAnsi="Calibri"/>
          <w:color w:val="333333"/>
        </w:rPr>
        <w:t>.</w:t>
      </w:r>
    </w:p>
    <w:p w14:paraId="00EF0722" w14:textId="77777777" w:rsidR="00320860" w:rsidRDefault="00320860" w:rsidP="00CF5689">
      <w:pPr>
        <w:spacing w:after="150" w:line="480" w:lineRule="auto"/>
        <w:rPr>
          <w:rFonts w:ascii="Calibri" w:hAnsi="Calibri"/>
          <w:color w:val="333333"/>
        </w:rPr>
      </w:pPr>
      <w:bookmarkStart w:id="0" w:name="_GoBack"/>
      <w:bookmarkEnd w:id="0"/>
      <w:r w:rsidRPr="00194206">
        <w:rPr>
          <w:rFonts w:ascii="Calibri" w:hAnsi="Calibri"/>
          <w:color w:val="333333"/>
        </w:rPr>
        <w:t xml:space="preserve"> </w:t>
      </w:r>
    </w:p>
    <w:p w14:paraId="6CF1637D" w14:textId="77777777" w:rsidR="00320860" w:rsidRDefault="00320860" w:rsidP="00320860">
      <w:pPr>
        <w:spacing w:line="480" w:lineRule="auto"/>
        <w:ind w:left="720"/>
        <w:rPr>
          <w:rFonts w:ascii="Calibri" w:eastAsiaTheme="minorEastAsia" w:hAnsi="Calibri"/>
        </w:rPr>
      </w:pPr>
      <w:r>
        <w:rPr>
          <w:rFonts w:ascii="Calibri" w:hAnsi="Calibri"/>
        </w:rPr>
        <w:t xml:space="preserve">In the context of our analysis, when there is a population of </w:t>
      </w:r>
      <m:oMath>
        <m:r>
          <w:rPr>
            <w:rFonts w:ascii="Cambria Math" w:hAnsi="Cambria Math"/>
          </w:rPr>
          <m:t xml:space="preserve">N=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rPr>
          <w:rFonts w:ascii="Calibri" w:eastAsiaTheme="minorEastAsia" w:hAnsi="Calibri"/>
        </w:rPr>
        <w:t xml:space="preserve"> total cases caused by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ascii="Calibri" w:eastAsiaTheme="minorEastAsia" w:hAnsi="Calibri"/>
        </w:rPr>
        <w:t xml:space="preserve"> pathogens, with each pathogen 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ascii="Calibri" w:eastAsiaTheme="minorEastAsia" w:hAnsi="Calibri"/>
        </w:rPr>
        <w:t xml:space="preserve"> responsible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Calibri" w:eastAsiaTheme="minorEastAsia" w:hAnsi="Calibri"/>
        </w:rPr>
        <w:t xml:space="preserve"> cases, we can use the multivariate hypergeometric distribution to model </w:t>
      </w:r>
      <m:oMath>
        <m:r>
          <w:rPr>
            <w:rFonts w:ascii="Cambria Math" w:eastAsiaTheme="minorEastAsia" w:hAnsi="Cambria Math"/>
          </w:rPr>
          <m:t>P(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ascii="Calibri" w:eastAsiaTheme="minorEastAsia" w:hAnsi="Calibri"/>
        </w:rPr>
        <w:t xml:space="preserve">, the probability of selecting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ascii="Calibri" w:eastAsiaTheme="minorEastAsia" w:hAnsi="Calibri"/>
        </w:rPr>
        <w:t xml:space="preserve"> cases of pathogen 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ascii="Calibri" w:eastAsiaTheme="minorEastAsia" w:hAnsi="Calibri"/>
        </w:rPr>
        <w:t xml:space="preserve"> when drawing a random sample of size </w:t>
      </w:r>
      <m:oMath>
        <m:r>
          <w:rPr>
            <w:rFonts w:ascii="Cambria Math" w:eastAsiaTheme="minorEastAsia" w:hAnsi="Cambria Math"/>
          </w:rPr>
          <m:t xml:space="preserve">n=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</m:oMath>
      <w:r>
        <w:rPr>
          <w:rFonts w:ascii="Calibri" w:eastAsiaTheme="minorEastAsia" w:hAnsi="Calibri"/>
        </w:rPr>
        <w:t>.</w:t>
      </w:r>
    </w:p>
    <w:p w14:paraId="03829ED6" w14:textId="77777777" w:rsidR="00320860" w:rsidRDefault="00320860" w:rsidP="00320860">
      <w:pPr>
        <w:spacing w:line="480" w:lineRule="auto"/>
        <w:ind w:left="720"/>
        <w:rPr>
          <w:rFonts w:ascii="Calibri" w:eastAsiaTheme="minorEastAsia" w:hAnsi="Calibri"/>
        </w:rPr>
      </w:pPr>
    </w:p>
    <w:p w14:paraId="45143077" w14:textId="77777777" w:rsidR="00320860" w:rsidRDefault="00320860" w:rsidP="00320860">
      <w:pPr>
        <w:spacing w:line="480" w:lineRule="auto"/>
        <w:ind w:left="720"/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 xml:space="preserve">By setting the population and sample proportion of cases caused by pathogen 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ascii="Calibri" w:eastAsiaTheme="minorEastAsia" w:hAnsi="Calibri"/>
        </w:rPr>
        <w:t xml:space="preserve"> equal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 / N</m:t>
        </m:r>
      </m:oMath>
      <w:r>
        <w:rPr>
          <w:rFonts w:ascii="Calibri" w:eastAsiaTheme="minorEastAsia" w:hAnsi="Calibri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 / n</m:t>
        </m:r>
      </m:oMath>
      <w:r>
        <w:rPr>
          <w:rFonts w:ascii="Calibri" w:eastAsiaTheme="minorEastAsia" w:hAnsi="Calibri"/>
        </w:rPr>
        <w:t xml:space="preserve"> respectively, and defining the testing level as the proportion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</m:oMath>
      <w:r>
        <w:rPr>
          <w:rFonts w:ascii="Calibri" w:eastAsiaTheme="minorEastAsia" w:hAnsi="Calibri"/>
        </w:rPr>
        <w:t xml:space="preserve">,  we can express the multivariate hypergeometric distribution in terms of pathogen-proportions. Under this modified distribution, in which most parameters are expressed in terms of proportions rather than raw counts, the expected value of pathogen-proportion estimates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ascii="Calibri" w:eastAsiaTheme="minorEastAsia" w:hAnsi="Calibri"/>
        </w:rPr>
        <w:t xml:space="preserve"> is equal to their population value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ascii="Calibri" w:eastAsiaTheme="minorEastAsia" w:hAnsi="Calibri"/>
        </w:rPr>
        <w:t xml:space="preserve">. The function for variance in the modified distribution.  </w:t>
      </w:r>
      <m:oMath>
        <m:r>
          <w:rPr>
            <w:rFonts w:ascii="Cambria Math" w:eastAsiaTheme="minorEastAsia" w:hAnsi="Cambria Math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(1-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)(1-t)</m:t>
            </m:r>
          </m:num>
          <m:den>
            <m:r>
              <w:rPr>
                <w:rFonts w:ascii="Cambria Math" w:eastAsiaTheme="minorEastAsia" w:hAnsi="Cambria Math"/>
              </w:rPr>
              <m:t>t(N-1)</m:t>
            </m:r>
          </m:den>
        </m:f>
      </m:oMath>
      <w:r>
        <w:rPr>
          <w:rFonts w:ascii="Calibri" w:eastAsiaTheme="minorEastAsia" w:hAnsi="Calibri"/>
        </w:rPr>
        <w:t xml:space="preserve">, is derived by substituting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ascii="Calibri" w:eastAsiaTheme="minorEastAsia" w:hAnsi="Calibri"/>
        </w:rPr>
        <w:t xml:space="preserve">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 / N</m:t>
        </m:r>
      </m:oMath>
      <w:r>
        <w:rPr>
          <w:rFonts w:ascii="Calibri" w:eastAsiaTheme="minorEastAsia" w:hAnsi="Calibri"/>
        </w:rPr>
        <w:t xml:space="preserve"> and </w:t>
      </w:r>
      <m:oMath>
        <m:r>
          <w:rPr>
            <w:rFonts w:ascii="Cambria Math" w:eastAsiaTheme="minorEastAsia" w:hAnsi="Cambria Math"/>
          </w:rPr>
          <m:t>tN</m:t>
        </m:r>
      </m:oMath>
      <w:r>
        <w:rPr>
          <w:rFonts w:ascii="Calibri" w:eastAsiaTheme="minorEastAsia" w:hAnsi="Calibri"/>
        </w:rPr>
        <w:t xml:space="preserve"> for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ascii="Calibri" w:eastAsiaTheme="minorEastAsia" w:hAnsi="Calibri"/>
        </w:rPr>
        <w:t xml:space="preserve"> into the variance function of the original multivariate </w:t>
      </w:r>
      <w:r>
        <w:rPr>
          <w:rFonts w:ascii="Calibri" w:eastAsiaTheme="minorEastAsia" w:hAnsi="Calibri"/>
        </w:rPr>
        <w:lastRenderedPageBreak/>
        <w:t xml:space="preserve">hypergeometric distribution, </w:t>
      </w:r>
      <m:oMath>
        <m:r>
          <w:rPr>
            <w:rFonts w:ascii="Cambria Math" w:eastAsiaTheme="minorEastAsia" w:hAnsi="Cambria Math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(1-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  <m:r>
              <w:rPr>
                <w:rFonts w:ascii="Cambria Math" w:eastAsiaTheme="minorEastAsia" w:hAnsi="Cambria Math"/>
              </w:rPr>
              <m:t>)n(N-n)</m:t>
            </m:r>
          </m:num>
          <m:den>
            <m:r>
              <w:rPr>
                <w:rFonts w:ascii="Cambria Math" w:eastAsiaTheme="minorEastAsia" w:hAnsi="Cambria Math"/>
              </w:rPr>
              <m:t>N(N-1)</m:t>
            </m:r>
          </m:den>
        </m:f>
      </m:oMath>
      <w:r>
        <w:rPr>
          <w:rFonts w:ascii="Calibri" w:eastAsiaTheme="minorEastAsia" w:hAnsi="Calibri"/>
        </w:rPr>
        <w:t xml:space="preserve"> , multiplying by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  <w:r>
        <w:rPr>
          <w:rFonts w:ascii="Calibri" w:eastAsiaTheme="minorEastAsia" w:hAnsi="Calibri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ascii="Calibri" w:eastAsiaTheme="minorEastAsia" w:hAnsi="Calibri"/>
        </w:rPr>
        <w:t xml:space="preserve"> is converted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ascii="Calibri" w:eastAsiaTheme="minorEastAsia" w:hAnsi="Calibri"/>
        </w:rPr>
        <w:t xml:space="preserve"> by multiplying by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ascii="Calibri" w:eastAsiaTheme="minorEastAsia" w:hAnsi="Calibri"/>
        </w:rPr>
        <w:t>. When a random variable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ascii="Calibri" w:eastAsiaTheme="minorEastAsia" w:hAnsi="Calibri"/>
        </w:rPr>
        <w:t>) is multiplied by a constant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ascii="Calibri" w:eastAsiaTheme="minorEastAsia" w:hAnsi="Calibri"/>
        </w:rPr>
        <w:t>), the variance of the new product is found by multiplying the variance of the original random variable by the square of the constant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  <w:r>
        <w:rPr>
          <w:rFonts w:ascii="Calibri" w:eastAsiaTheme="minorEastAsia" w:hAnsi="Calibri"/>
        </w:rPr>
        <w:t>)), and simplifying.</w:t>
      </w:r>
    </w:p>
    <w:p w14:paraId="32940BF7" w14:textId="77777777" w:rsidR="00320860" w:rsidRDefault="00320860" w:rsidP="00320860">
      <w:pPr>
        <w:spacing w:line="480" w:lineRule="auto"/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ab/>
      </w:r>
    </w:p>
    <w:p w14:paraId="749BC830" w14:textId="77777777" w:rsidR="00320860" w:rsidRPr="00194206" w:rsidRDefault="00320860" w:rsidP="00320860">
      <w:pPr>
        <w:spacing w:line="480" w:lineRule="auto"/>
        <w:ind w:left="720" w:firstLine="40"/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 xml:space="preserve">Notably, the variance </w:t>
      </w:r>
      <m:oMath>
        <m:r>
          <w:rPr>
            <w:rFonts w:ascii="Cambria Math" w:eastAsiaTheme="minorEastAsia" w:hAnsi="Cambria Math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</m:oMath>
      <w:r>
        <w:rPr>
          <w:rFonts w:ascii="Calibri" w:eastAsiaTheme="minorEastAsia" w:hAnsi="Calibri"/>
        </w:rPr>
        <w:t xml:space="preserve"> is inversely proportional to the size of the sampling frame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ascii="Calibri" w:eastAsiaTheme="minorEastAsia" w:hAnsi="Calibri"/>
        </w:rPr>
        <w:t>, the total population of cases from which a sample are selected for testing. Thus, if the testing level and true pathogen-proportion values are held constant, we would expect estimates of relative pathogen burden to be less precise when sampling from a country-season with fewer cases (Supplementary Figure 2).</w:t>
      </w:r>
      <w:r w:rsidRPr="00194206">
        <w:rPr>
          <w:rFonts w:ascii="Calibri" w:hAnsi="Calibri"/>
          <w:color w:val="333333"/>
          <w:sz w:val="28"/>
          <w:szCs w:val="28"/>
        </w:rPr>
        <w:t xml:space="preserve"> </w:t>
      </w:r>
    </w:p>
    <w:p w14:paraId="175BC1E4" w14:textId="77777777" w:rsidR="004268DB" w:rsidRDefault="004268DB"/>
    <w:sectPr w:rsidR="004268DB" w:rsidSect="005079D6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C65C5" w14:textId="77777777" w:rsidR="00320860" w:rsidRDefault="00320860" w:rsidP="00320860">
      <w:r>
        <w:separator/>
      </w:r>
    </w:p>
  </w:endnote>
  <w:endnote w:type="continuationSeparator" w:id="0">
    <w:p w14:paraId="5215567E" w14:textId="77777777" w:rsidR="00320860" w:rsidRDefault="00320860" w:rsidP="0032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BF91" w14:textId="77777777" w:rsidR="00320860" w:rsidRDefault="00320860" w:rsidP="00320860">
      <w:r>
        <w:separator/>
      </w:r>
    </w:p>
  </w:footnote>
  <w:footnote w:type="continuationSeparator" w:id="0">
    <w:p w14:paraId="49091A84" w14:textId="77777777" w:rsidR="00320860" w:rsidRDefault="00320860" w:rsidP="00320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60"/>
    <w:rsid w:val="00320860"/>
    <w:rsid w:val="004268DB"/>
    <w:rsid w:val="00C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66C26"/>
  <w15:chartTrackingRefBased/>
  <w15:docId w15:val="{8318CC79-C171-4DC6-8E6C-800634D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86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2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48891E7B90D45A6CA2E01203F2295" ma:contentTypeVersion="13" ma:contentTypeDescription="Create a new document." ma:contentTypeScope="" ma:versionID="10f84833c6cd0f55432ad53329feba2a">
  <xsd:schema xmlns:xsd="http://www.w3.org/2001/XMLSchema" xmlns:xs="http://www.w3.org/2001/XMLSchema" xmlns:p="http://schemas.microsoft.com/office/2006/metadata/properties" xmlns:ns1="http://schemas.microsoft.com/sharepoint/v3" xmlns:ns3="af68c486-4bca-4ffa-9149-95e4479ab26f" xmlns:ns4="cfea98c8-b831-451c-9715-a60f69f25121" targetNamespace="http://schemas.microsoft.com/office/2006/metadata/properties" ma:root="true" ma:fieldsID="789ebaf5834c848655cfc87a9a6bc8f4" ns1:_="" ns3:_="" ns4:_="">
    <xsd:import namespace="http://schemas.microsoft.com/sharepoint/v3"/>
    <xsd:import namespace="af68c486-4bca-4ffa-9149-95e4479ab26f"/>
    <xsd:import namespace="cfea98c8-b831-451c-9715-a60f69f25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c486-4bca-4ffa-9149-95e4479ab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98c8-b831-451c-9715-a60f69f25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3CFA3C-AA69-43C1-83AF-AB0484B9D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68c486-4bca-4ffa-9149-95e4479ab26f"/>
    <ds:schemaRef ds:uri="cfea98c8-b831-451c-9715-a60f69f25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9A9DE-3A5D-4F20-9ADA-628C91B7F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B2AF9-BE78-490B-B939-81712B6A0F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930</Words>
  <Characters>5305</Characters>
  <Application>Microsoft Office Word</Application>
  <DocSecurity>0</DocSecurity>
  <Lines>44</Lines>
  <Paragraphs>12</Paragraphs>
  <ScaleCrop>false</ScaleCrop>
  <Company>Centers for Disease Control and Prevention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Lucy Alexandra (CDC/DDID/NCIRD/DBD)</dc:creator>
  <cp:keywords/>
  <dc:description/>
  <cp:lastModifiedBy>McNamara, Lucy Alexandra (CDC/DDID/NCIRD/DBD)</cp:lastModifiedBy>
  <cp:revision>2</cp:revision>
  <dcterms:created xsi:type="dcterms:W3CDTF">2020-12-19T14:42:00Z</dcterms:created>
  <dcterms:modified xsi:type="dcterms:W3CDTF">2020-12-19T14:44:00Z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2020-12-19T14:42:45Z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022070b0-4d83-4a6d-a93c-ee989dc164fc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0x01010033148891E7B90D45A6CA2E01203F2295</vt:lpwstr>
  </property>
</Properties>
</file>