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8CAA" w14:textId="77777777" w:rsidR="007E68C8" w:rsidRPr="00051BE7" w:rsidRDefault="007E68C8" w:rsidP="007E68C8">
      <w:bookmarkStart w:id="0" w:name="_GoBack"/>
      <w:bookmarkEnd w:id="0"/>
      <w:r w:rsidRPr="00051BE7">
        <w:t xml:space="preserve">Supplemental Figure. Epidemic Curve of </w:t>
      </w:r>
      <w:r>
        <w:t>tuberculosis (</w:t>
      </w:r>
      <w:r w:rsidRPr="00051BE7">
        <w:t>TB</w:t>
      </w:r>
      <w:r>
        <w:t>)</w:t>
      </w:r>
      <w:r w:rsidRPr="00051BE7">
        <w:t xml:space="preserve"> Cases among Persons Experiencing Homelessness in Marion County, Indiana, 2008–2019</w:t>
      </w:r>
    </w:p>
    <w:p w14:paraId="2CC4ADB6" w14:textId="6471ACC1" w:rsidR="00FC70C6" w:rsidRDefault="007E68C8">
      <w:r w:rsidRPr="006C0DBA">
        <w:rPr>
          <w:noProof/>
        </w:rPr>
        <w:drawing>
          <wp:inline distT="0" distB="0" distL="0" distR="0" wp14:anchorId="77FD57AE" wp14:editId="3AF0FEC4">
            <wp:extent cx="6400800" cy="3310759"/>
            <wp:effectExtent l="0" t="0" r="0" b="44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F39CC3-F0D8-4D11-948F-7A26458056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8"/>
    <w:rsid w:val="001E36EE"/>
    <w:rsid w:val="007E68C8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952E"/>
  <w15:chartTrackingRefBased/>
  <w15:docId w15:val="{A5891DA2-7339-415E-B523-B7F2CB3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.gov\private\M332\yxp5\TB\Marion%20County%20Homeless\Homeless%20Outbreak%20Cases_Marion%20County_020819.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'Epi Curves'!$B$1</c:f>
              <c:strCache>
                <c:ptCount val="1"/>
                <c:pt idx="0">
                  <c:v>Case Count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'Epi Curves'!$A$2:$A$13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'Epi Curves'!$B$2:$B$13</c:f>
              <c:numCache>
                <c:formatCode>General</c:formatCode>
                <c:ptCount val="12"/>
                <c:pt idx="0">
                  <c:v>3</c:v>
                </c:pt>
                <c:pt idx="1">
                  <c:v>12</c:v>
                </c:pt>
                <c:pt idx="2">
                  <c:v>9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5-4798-8AF6-F42C98F5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1"/>
        <c:overlap val="-27"/>
        <c:axId val="430722816"/>
        <c:axId val="4307686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'Epi Curves'!$A$1</c15:sqref>
                        </c15:formulaRef>
                      </c:ext>
                    </c:extLst>
                    <c:strCache>
                      <c:ptCount val="1"/>
                      <c:pt idx="0">
                        <c:v>Year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'Epi Curves'!$A$2:$A$13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  <c:pt idx="10">
                        <c:v>2018</c:v>
                      </c:pt>
                      <c:pt idx="11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'Epi Curves'!$A$2:$A$13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  <c:pt idx="10">
                        <c:v>2018</c:v>
                      </c:pt>
                      <c:pt idx="11">
                        <c:v>2019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F55-4798-8AF6-F42C98F52A52}"/>
                  </c:ext>
                </c:extLst>
              </c15:ser>
            </c15:filteredBarSeries>
          </c:ext>
        </c:extLst>
      </c:barChart>
      <c:catAx>
        <c:axId val="430722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bg2">
                        <a:lumMod val="50000"/>
                      </a:schemeClr>
                    </a:solidFill>
                  </a:rPr>
                  <a:t>Year</a:t>
                </a:r>
              </a:p>
            </c:rich>
          </c:tx>
          <c:layout>
            <c:manualLayout>
              <c:xMode val="edge"/>
              <c:yMode val="edge"/>
              <c:x val="0.48935947144537967"/>
              <c:y val="0.9107911111111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768688"/>
        <c:crosses val="autoZero"/>
        <c:auto val="1"/>
        <c:lblAlgn val="ctr"/>
        <c:lblOffset val="100"/>
        <c:noMultiLvlLbl val="0"/>
      </c:catAx>
      <c:valAx>
        <c:axId val="4307686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bg2">
                        <a:lumMod val="50000"/>
                      </a:schemeClr>
                    </a:solidFill>
                  </a:rPr>
                  <a:t>Case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72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Rebekah (CDC/DDID/NCHHSTP/DTE)</dc:creator>
  <cp:keywords/>
  <dc:description/>
  <cp:lastModifiedBy>Stewart, Rebekah (CDC/DDID/NCHHSTP/DTE)</cp:lastModifiedBy>
  <cp:revision>1</cp:revision>
  <dcterms:created xsi:type="dcterms:W3CDTF">2021-11-01T16:05:00Z</dcterms:created>
  <dcterms:modified xsi:type="dcterms:W3CDTF">2021-11-01T16:06:00Z</dcterms:modified>
</cp:coreProperties>
</file>