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A7" w:rsidRDefault="00D9453B" w:rsidP="00FB7210">
      <w:pPr>
        <w:pStyle w:val="NoSpacing"/>
      </w:pPr>
      <w:r>
        <w:rPr>
          <w:b/>
        </w:rPr>
        <w:t>Text S2:</w:t>
      </w:r>
      <w:r w:rsidR="00D95AA7">
        <w:t xml:space="preserve"> </w:t>
      </w:r>
      <w:r w:rsidR="00D95AA7" w:rsidRPr="00D9453B">
        <w:rPr>
          <w:b/>
        </w:rPr>
        <w:t>Priors</w:t>
      </w:r>
    </w:p>
    <w:p w:rsidR="00D95AA7" w:rsidRDefault="00D95AA7" w:rsidP="00D95AA7">
      <w:pPr>
        <w:pStyle w:val="NoSpacing"/>
        <w:rPr>
          <w:b/>
        </w:rPr>
      </w:pPr>
    </w:p>
    <w:p w:rsidR="00D95AA7" w:rsidRDefault="00B71531" w:rsidP="00D95AA7">
      <w:pPr>
        <w:pStyle w:val="NoSpacing"/>
      </w:pPr>
      <w:r>
        <w:t>We</w:t>
      </w:r>
      <w:r w:rsidR="00D95AA7">
        <w:t xml:space="preserve"> found that wea</w:t>
      </w:r>
      <w:r w:rsidR="00D95AA7" w:rsidRPr="00856090">
        <w:t>kly informative priors improved the sampling process</w:t>
      </w:r>
      <w:r w:rsidR="00D95AA7">
        <w:t xml:space="preserve"> substantially</w:t>
      </w:r>
      <w:r w:rsidR="00D95AA7" w:rsidRPr="00856090">
        <w:t>. Most of what we know about the EIP is based on the data used here</w:t>
      </w:r>
      <w:r w:rsidR="00D95AA7">
        <w:t>, so we based the priors on information known before these observations</w:t>
      </w:r>
      <w:r w:rsidR="00D95AA7" w:rsidRPr="00856090">
        <w:t xml:space="preserve">. The earliest report we found speculating explicitly about the EIP, was that of Bancroft </w:t>
      </w:r>
      <w:r w:rsidR="00D95AA7">
        <w:fldChar w:fldCharType="begin"/>
      </w:r>
      <w:r w:rsidR="00D95AA7">
        <w:instrText xml:space="preserve"> ADDIN EN.CITE &lt;EndNote&gt;&lt;Cite ExcludeYear="1"&gt;&lt;Author&gt;Bancroft&lt;/Author&gt;&lt;Year&gt;1906&lt;/Year&gt;&lt;RecNum&gt;583&lt;/RecNum&gt;&lt;DisplayText&gt;(1)&lt;/DisplayText&gt;&lt;record&gt;&lt;rec-number&gt;583&lt;/rec-number&gt;&lt;foreign-keys&gt;&lt;key app="EN" db-id="pfw9f5zwbzez03evsa9px0dqrxt2xw2evaxa"&gt;583&lt;/key&gt;&lt;/foreign-keys&gt;&lt;ref-type name="Journal Article"&gt;17&lt;/ref-type&gt;&lt;contributors&gt;&lt;authors&gt;&lt;author&gt;Bancroft, TL&lt;/author&gt;&lt;/authors&gt;&lt;/contributors&gt;&lt;titles&gt;&lt;title&gt;On the etilology of dengue fever.&lt;/title&gt;&lt;secondary-title&gt;Australasian Medical Gazette&lt;/secondary-title&gt;&lt;alt-title&gt;Aust Med Gaz&lt;/alt-title&gt;&lt;/titles&gt;&lt;periodical&gt;&lt;full-title&gt;Australasian Medical Gazette&lt;/full-title&gt;&lt;abbr-1&gt;Aust Med Gaz&lt;/abbr-1&gt;&lt;/periodical&gt;&lt;alt-periodical&gt;&lt;full-title&gt;Australasian Medical Gazette&lt;/full-title&gt;&lt;abbr-1&gt;Aust Med Gaz&lt;/abbr-1&gt;&lt;/alt-periodical&gt;&lt;pages&gt;17-18&lt;/pages&gt;&lt;volume&gt;25&lt;/volume&gt;&lt;dates&gt;&lt;year&gt;1906&lt;/year&gt;&lt;/dates&gt;&lt;label&gt;PDF:&amp;#xD;1009 Halstead&lt;/label&gt;&lt;reviewed-item&gt;sFILE&lt;/reviewed-item&gt;&lt;urls&gt;&lt;related-urls&gt;&lt;url&gt;file:///S:/Vaughn/1Articles07/20345_Bancroft_1906_s.pdf&lt;/url&gt;&lt;/related-urls&gt;&lt;/urls&gt;&lt;/record&gt;&lt;/Cite&gt;&lt;/EndNote&gt;</w:instrText>
      </w:r>
      <w:r w:rsidR="00D95AA7">
        <w:fldChar w:fldCharType="separate"/>
      </w:r>
      <w:r w:rsidR="00D95AA7">
        <w:rPr>
          <w:noProof/>
        </w:rPr>
        <w:t>(</w:t>
      </w:r>
      <w:hyperlink w:anchor="_ENREF_1" w:tooltip="Bancroft, 1906 #583" w:history="1">
        <w:r w:rsidR="00D95AA7">
          <w:rPr>
            <w:noProof/>
          </w:rPr>
          <w:t>1</w:t>
        </w:r>
      </w:hyperlink>
      <w:r w:rsidR="00E3284B">
        <w:rPr>
          <w:noProof/>
        </w:rPr>
        <w:t>906</w:t>
      </w:r>
      <w:r w:rsidR="00D95AA7">
        <w:rPr>
          <w:noProof/>
        </w:rPr>
        <w:t>)</w:t>
      </w:r>
      <w:r w:rsidR="00D95AA7">
        <w:fldChar w:fldCharType="end"/>
      </w:r>
      <w:r w:rsidR="00D95AA7" w:rsidRPr="00856090">
        <w:t xml:space="preserve"> who proposed a period of approximately 12 days as had been </w:t>
      </w:r>
      <w:r w:rsidR="00D95AA7">
        <w:t>estimated</w:t>
      </w:r>
      <w:r w:rsidR="00D95AA7" w:rsidRPr="00856090">
        <w:t xml:space="preserve"> for </w:t>
      </w:r>
      <w:r w:rsidR="00D95AA7">
        <w:t>y</w:t>
      </w:r>
      <w:r w:rsidR="00D95AA7" w:rsidRPr="00856090">
        <w:t xml:space="preserve">ellow </w:t>
      </w:r>
      <w:r w:rsidR="00D95AA7">
        <w:t>f</w:t>
      </w:r>
      <w:r w:rsidR="00D95AA7" w:rsidRPr="00856090">
        <w:t>ever virus</w:t>
      </w:r>
      <w:r w:rsidR="00D95AA7">
        <w:t>. We set the prior standard deviation for the EIP at half of that, i.e. 6 days.</w:t>
      </w:r>
      <w:r>
        <w:t xml:space="preserve"> It was also clear</w:t>
      </w:r>
      <w:r w:rsidR="00E3284B">
        <w:t xml:space="preserve"> early on that once exposed to mosquitoes, human</w:t>
      </w:r>
      <w:r w:rsidR="00D9453B">
        <w:t>s</w:t>
      </w:r>
      <w:r w:rsidR="00E3284B">
        <w:t xml:space="preserve"> could become sick with dengue with</w:t>
      </w:r>
      <w:r w:rsidR="00D9453B">
        <w:t>in</w:t>
      </w:r>
      <w:r w:rsidR="00E3284B">
        <w:t xml:space="preserve"> 4-6 days (Graham 1903). We therefore set the IIP prior to 5 days with a standard deviation of 2.5 days.</w:t>
      </w:r>
      <w:r w:rsidR="00D95AA7">
        <w:t xml:space="preserve"> The mean and variance</w:t>
      </w:r>
      <w:r w:rsidR="00E3284B">
        <w:t xml:space="preserve"> of each incubation period</w:t>
      </w:r>
      <w:r w:rsidR="00D95AA7">
        <w:t xml:space="preserve"> where then used to calculate the corresponding means for the priors of </w:t>
      </w:r>
      <w:r w:rsidR="00D95AA7" w:rsidRPr="00507E3E">
        <w:rPr>
          <w:rFonts w:cstheme="minorHAnsi"/>
        </w:rPr>
        <w:t>β</w:t>
      </w:r>
      <w:r w:rsidR="00D95AA7">
        <w:rPr>
          <w:rFonts w:cstheme="minorHAnsi"/>
          <w:vertAlign w:val="subscript"/>
        </w:rPr>
        <w:t>0</w:t>
      </w:r>
      <w:r w:rsidR="00D95AA7">
        <w:t>, shape, and precision. The standard deviation of each of these priors was set to one third of the respective prior mean, indicating that the value is expected to be greater than zero and not many times greater than the prior mean.</w:t>
      </w:r>
    </w:p>
    <w:p w:rsidR="00D95AA7" w:rsidRDefault="00D95AA7" w:rsidP="00D95AA7">
      <w:pPr>
        <w:pStyle w:val="NoSpacing"/>
      </w:pPr>
    </w:p>
    <w:p w:rsidR="00D95AA7" w:rsidRDefault="00D95AA7" w:rsidP="00D95AA7">
      <w:pPr>
        <w:pStyle w:val="NoSpacing"/>
      </w:pPr>
      <w:r w:rsidRPr="00A8520E">
        <w:t xml:space="preserve">For </w:t>
      </w:r>
      <w:r w:rsidRPr="00A8520E">
        <w:rPr>
          <w:rFonts w:cstheme="minorHAnsi"/>
        </w:rPr>
        <w:t>β</w:t>
      </w:r>
      <w:r w:rsidRPr="00A8520E">
        <w:rPr>
          <w:rFonts w:cstheme="minorHAnsi"/>
          <w:vertAlign w:val="subscript"/>
        </w:rPr>
        <w:t>T</w:t>
      </w:r>
      <w:r w:rsidRPr="00A8520E">
        <w:t xml:space="preserve">, we used a prior mean of zero. We further expect that any effect will be on a scale of less than one tenth of </w:t>
      </w:r>
      <w:r w:rsidRPr="00A8520E">
        <w:rPr>
          <w:rFonts w:cstheme="minorHAnsi"/>
        </w:rPr>
        <w:t>β</w:t>
      </w:r>
      <w:r w:rsidRPr="00A8520E">
        <w:rPr>
          <w:rFonts w:cstheme="minorHAnsi"/>
          <w:vertAlign w:val="subscript"/>
        </w:rPr>
        <w:t>0</w:t>
      </w:r>
      <w:r w:rsidRPr="00A8520E">
        <w:t xml:space="preserve"> per degree of temperature change, so we set the </w:t>
      </w:r>
      <w:r w:rsidRPr="00A8520E">
        <w:rPr>
          <w:rFonts w:cstheme="minorHAnsi"/>
        </w:rPr>
        <w:t>β</w:t>
      </w:r>
      <w:r w:rsidRPr="00A8520E">
        <w:rPr>
          <w:rFonts w:cstheme="minorHAnsi"/>
          <w:vertAlign w:val="subscript"/>
        </w:rPr>
        <w:t>T</w:t>
      </w:r>
      <w:r w:rsidRPr="00A8520E">
        <w:t xml:space="preserve"> prior standard deviation to one third of that value. The mean of the random study effects is zero and its variance should also be limited relative to </w:t>
      </w:r>
      <w:r w:rsidRPr="00A8520E">
        <w:rPr>
          <w:rFonts w:cstheme="minorHAnsi"/>
        </w:rPr>
        <w:t>β</w:t>
      </w:r>
      <w:r w:rsidRPr="00A8520E">
        <w:rPr>
          <w:rFonts w:cstheme="minorHAnsi"/>
          <w:vertAlign w:val="subscript"/>
        </w:rPr>
        <w:t>0</w:t>
      </w:r>
      <w:r w:rsidRPr="00A8520E">
        <w:t xml:space="preserve">. The mean of its prior precision, </w:t>
      </w:r>
      <w:proofErr w:type="spellStart"/>
      <w:r w:rsidRPr="00A8520E">
        <w:rPr>
          <w:rFonts w:cstheme="minorHAnsi"/>
        </w:rPr>
        <w:t>τ</w:t>
      </w:r>
      <w:r w:rsidRPr="00A8520E">
        <w:rPr>
          <w:rFonts w:cstheme="minorHAnsi"/>
          <w:vertAlign w:val="subscript"/>
        </w:rPr>
        <w:t>S</w:t>
      </w:r>
      <w:proofErr w:type="spellEnd"/>
      <w:r w:rsidRPr="00A8520E">
        <w:t xml:space="preserve">, was therefore set to be equivalent to a standard deviation of one tenth of the </w:t>
      </w:r>
      <w:r w:rsidRPr="00A8520E">
        <w:rPr>
          <w:rFonts w:cstheme="minorHAnsi"/>
        </w:rPr>
        <w:t>β</w:t>
      </w:r>
      <w:r w:rsidRPr="00A8520E">
        <w:rPr>
          <w:rFonts w:cstheme="minorHAnsi"/>
          <w:vertAlign w:val="subscript"/>
        </w:rPr>
        <w:t>0</w:t>
      </w:r>
      <w:r w:rsidRPr="00A8520E">
        <w:t xml:space="preserve"> prior mean; and the </w:t>
      </w:r>
      <w:proofErr w:type="spellStart"/>
      <w:r w:rsidRPr="00A8520E">
        <w:rPr>
          <w:rFonts w:cstheme="minorHAnsi"/>
        </w:rPr>
        <w:t>τ</w:t>
      </w:r>
      <w:r w:rsidRPr="00A8520E">
        <w:rPr>
          <w:rFonts w:cstheme="minorHAnsi"/>
          <w:vertAlign w:val="subscript"/>
        </w:rPr>
        <w:t>S</w:t>
      </w:r>
      <w:proofErr w:type="spellEnd"/>
      <w:r w:rsidRPr="00A8520E">
        <w:t xml:space="preserve"> prior standard deviation was set to one third of that value. For each serotype dummy variable, the corresponding </w:t>
      </w:r>
      <w:r w:rsidRPr="00A8520E">
        <w:rPr>
          <w:rFonts w:cstheme="minorHAnsi"/>
        </w:rPr>
        <w:t>β</w:t>
      </w:r>
      <w:r w:rsidRPr="00A8520E">
        <w:t xml:space="preserve"> prior mean was similarly set to 0 with a prior standard deviation of one tenth of the </w:t>
      </w:r>
      <w:r w:rsidRPr="00A8520E">
        <w:rPr>
          <w:rFonts w:cstheme="minorHAnsi"/>
        </w:rPr>
        <w:t>β</w:t>
      </w:r>
      <w:r w:rsidRPr="00A8520E">
        <w:rPr>
          <w:rFonts w:cstheme="minorHAnsi"/>
          <w:vertAlign w:val="subscript"/>
        </w:rPr>
        <w:t>0</w:t>
      </w:r>
      <w:r w:rsidRPr="00A8520E">
        <w:t xml:space="preserve"> mean.</w:t>
      </w:r>
      <w:bookmarkStart w:id="0" w:name="_GoBack"/>
      <w:bookmarkEnd w:id="0"/>
    </w:p>
    <w:sectPr w:rsidR="00D9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AB1"/>
    <w:multiLevelType w:val="hybridMultilevel"/>
    <w:tmpl w:val="5F26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merging Inf Di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w9f5zwbzez03evsa9px0dqrxt2xw2evaxa&quot;&gt;maj_biblio&lt;record-ids&gt;&lt;item&gt;120&lt;/item&gt;&lt;item&gt;578&lt;/item&gt;&lt;item&gt;579&lt;/item&gt;&lt;item&gt;580&lt;/item&gt;&lt;item&gt;581&lt;/item&gt;&lt;item&gt;582&lt;/item&gt;&lt;item&gt;583&lt;/item&gt;&lt;item&gt;584&lt;/item&gt;&lt;item&gt;609&lt;/item&gt;&lt;item&gt;610&lt;/item&gt;&lt;item&gt;611&lt;/item&gt;&lt;item&gt;612&lt;/item&gt;&lt;item&gt;614&lt;/item&gt;&lt;item&gt;629&lt;/item&gt;&lt;item&gt;630&lt;/item&gt;&lt;item&gt;631&lt;/item&gt;&lt;item&gt;633&lt;/item&gt;&lt;item&gt;634&lt;/item&gt;&lt;item&gt;635&lt;/item&gt;&lt;item&gt;636&lt;/item&gt;&lt;item&gt;637&lt;/item&gt;&lt;item&gt;640&lt;/item&gt;&lt;item&gt;641&lt;/item&gt;&lt;item&gt;642&lt;/item&gt;&lt;item&gt;643&lt;/item&gt;&lt;item&gt;644&lt;/item&gt;&lt;item&gt;645&lt;/item&gt;&lt;item&gt;650&lt;/item&gt;&lt;item&gt;654&lt;/item&gt;&lt;item&gt;658&lt;/item&gt;&lt;item&gt;659&lt;/item&gt;&lt;item&gt;660&lt;/item&gt;&lt;item&gt;662&lt;/item&gt;&lt;item&gt;665&lt;/item&gt;&lt;item&gt;666&lt;/item&gt;&lt;item&gt;667&lt;/item&gt;&lt;item&gt;674&lt;/item&gt;&lt;item&gt;675&lt;/item&gt;&lt;/record-ids&gt;&lt;/item&gt;&lt;/Libraries&gt;"/>
  </w:docVars>
  <w:rsids>
    <w:rsidRoot w:val="00FB7210"/>
    <w:rsid w:val="0007378A"/>
    <w:rsid w:val="00082670"/>
    <w:rsid w:val="00087E3B"/>
    <w:rsid w:val="000A4740"/>
    <w:rsid w:val="000B6716"/>
    <w:rsid w:val="000C2071"/>
    <w:rsid w:val="000C7892"/>
    <w:rsid w:val="000D0B0A"/>
    <w:rsid w:val="000E7229"/>
    <w:rsid w:val="00105A35"/>
    <w:rsid w:val="00106ED1"/>
    <w:rsid w:val="00136D31"/>
    <w:rsid w:val="001856FD"/>
    <w:rsid w:val="00187D61"/>
    <w:rsid w:val="001C4412"/>
    <w:rsid w:val="001D107A"/>
    <w:rsid w:val="001E416D"/>
    <w:rsid w:val="001F0E4E"/>
    <w:rsid w:val="00200359"/>
    <w:rsid w:val="00257A93"/>
    <w:rsid w:val="00293B72"/>
    <w:rsid w:val="002E5B35"/>
    <w:rsid w:val="0031284F"/>
    <w:rsid w:val="00312B36"/>
    <w:rsid w:val="00322969"/>
    <w:rsid w:val="00324CF0"/>
    <w:rsid w:val="00343034"/>
    <w:rsid w:val="00346873"/>
    <w:rsid w:val="003555B2"/>
    <w:rsid w:val="0036492F"/>
    <w:rsid w:val="003946CD"/>
    <w:rsid w:val="003C6E7B"/>
    <w:rsid w:val="003E5EB5"/>
    <w:rsid w:val="00472AA9"/>
    <w:rsid w:val="0048354A"/>
    <w:rsid w:val="004C3174"/>
    <w:rsid w:val="00504F2F"/>
    <w:rsid w:val="00507E3E"/>
    <w:rsid w:val="00525B79"/>
    <w:rsid w:val="005375B3"/>
    <w:rsid w:val="005457A8"/>
    <w:rsid w:val="00557228"/>
    <w:rsid w:val="005758B3"/>
    <w:rsid w:val="005A4E1D"/>
    <w:rsid w:val="005C6E7C"/>
    <w:rsid w:val="005D1F63"/>
    <w:rsid w:val="005D3B30"/>
    <w:rsid w:val="005E52CC"/>
    <w:rsid w:val="005F0778"/>
    <w:rsid w:val="005F0A22"/>
    <w:rsid w:val="0060487E"/>
    <w:rsid w:val="00625C35"/>
    <w:rsid w:val="006350AF"/>
    <w:rsid w:val="00650D4B"/>
    <w:rsid w:val="0067571C"/>
    <w:rsid w:val="006B0F30"/>
    <w:rsid w:val="006C1B42"/>
    <w:rsid w:val="006C5E6E"/>
    <w:rsid w:val="006F3201"/>
    <w:rsid w:val="00711C14"/>
    <w:rsid w:val="007978EA"/>
    <w:rsid w:val="007A6454"/>
    <w:rsid w:val="007C08A5"/>
    <w:rsid w:val="007F277B"/>
    <w:rsid w:val="007F5073"/>
    <w:rsid w:val="008168F8"/>
    <w:rsid w:val="00856090"/>
    <w:rsid w:val="008662E2"/>
    <w:rsid w:val="008A54BE"/>
    <w:rsid w:val="008E245F"/>
    <w:rsid w:val="008F4DC2"/>
    <w:rsid w:val="00916B59"/>
    <w:rsid w:val="00957E0C"/>
    <w:rsid w:val="009930B7"/>
    <w:rsid w:val="009C04B8"/>
    <w:rsid w:val="009E4E75"/>
    <w:rsid w:val="00A3675D"/>
    <w:rsid w:val="00A40E07"/>
    <w:rsid w:val="00A77706"/>
    <w:rsid w:val="00A84D04"/>
    <w:rsid w:val="00A8520E"/>
    <w:rsid w:val="00A95AA8"/>
    <w:rsid w:val="00AB5C43"/>
    <w:rsid w:val="00AD7320"/>
    <w:rsid w:val="00B052AD"/>
    <w:rsid w:val="00B211A8"/>
    <w:rsid w:val="00B274B7"/>
    <w:rsid w:val="00B46272"/>
    <w:rsid w:val="00B71531"/>
    <w:rsid w:val="00B92E9E"/>
    <w:rsid w:val="00BA0066"/>
    <w:rsid w:val="00BE03F0"/>
    <w:rsid w:val="00BF0F52"/>
    <w:rsid w:val="00BF3EC2"/>
    <w:rsid w:val="00BF7E2E"/>
    <w:rsid w:val="00C0359C"/>
    <w:rsid w:val="00C64E5F"/>
    <w:rsid w:val="00C73F9F"/>
    <w:rsid w:val="00C74566"/>
    <w:rsid w:val="00C85F0C"/>
    <w:rsid w:val="00CB558B"/>
    <w:rsid w:val="00CC392D"/>
    <w:rsid w:val="00CF6F8B"/>
    <w:rsid w:val="00D16B92"/>
    <w:rsid w:val="00D17B1A"/>
    <w:rsid w:val="00D50DDD"/>
    <w:rsid w:val="00D57ECB"/>
    <w:rsid w:val="00D63DAC"/>
    <w:rsid w:val="00D70032"/>
    <w:rsid w:val="00D9453B"/>
    <w:rsid w:val="00D95AA7"/>
    <w:rsid w:val="00DA37D1"/>
    <w:rsid w:val="00DB2797"/>
    <w:rsid w:val="00DB6360"/>
    <w:rsid w:val="00E3284B"/>
    <w:rsid w:val="00E476A6"/>
    <w:rsid w:val="00EA001D"/>
    <w:rsid w:val="00EF2AB9"/>
    <w:rsid w:val="00F64E9F"/>
    <w:rsid w:val="00F7655E"/>
    <w:rsid w:val="00FA11C5"/>
    <w:rsid w:val="00FB342E"/>
    <w:rsid w:val="00FB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679">
      <w:bodyDiv w:val="1"/>
      <w:marLeft w:val="0"/>
      <w:marRight w:val="0"/>
      <w:marTop w:val="0"/>
      <w:marBottom w:val="0"/>
      <w:divBdr>
        <w:top w:val="none" w:sz="0" w:space="0" w:color="auto"/>
        <w:left w:val="none" w:sz="0" w:space="0" w:color="auto"/>
        <w:bottom w:val="none" w:sz="0" w:space="0" w:color="auto"/>
        <w:right w:val="none" w:sz="0" w:space="0" w:color="auto"/>
      </w:divBdr>
    </w:div>
    <w:div w:id="202443264">
      <w:bodyDiv w:val="1"/>
      <w:marLeft w:val="0"/>
      <w:marRight w:val="0"/>
      <w:marTop w:val="0"/>
      <w:marBottom w:val="0"/>
      <w:divBdr>
        <w:top w:val="none" w:sz="0" w:space="0" w:color="auto"/>
        <w:left w:val="none" w:sz="0" w:space="0" w:color="auto"/>
        <w:bottom w:val="none" w:sz="0" w:space="0" w:color="auto"/>
        <w:right w:val="none" w:sz="0" w:space="0" w:color="auto"/>
      </w:divBdr>
    </w:div>
    <w:div w:id="333805168">
      <w:bodyDiv w:val="1"/>
      <w:marLeft w:val="0"/>
      <w:marRight w:val="0"/>
      <w:marTop w:val="0"/>
      <w:marBottom w:val="0"/>
      <w:divBdr>
        <w:top w:val="none" w:sz="0" w:space="0" w:color="auto"/>
        <w:left w:val="none" w:sz="0" w:space="0" w:color="auto"/>
        <w:bottom w:val="none" w:sz="0" w:space="0" w:color="auto"/>
        <w:right w:val="none" w:sz="0" w:space="0" w:color="auto"/>
      </w:divBdr>
    </w:div>
    <w:div w:id="337928659">
      <w:bodyDiv w:val="1"/>
      <w:marLeft w:val="0"/>
      <w:marRight w:val="0"/>
      <w:marTop w:val="0"/>
      <w:marBottom w:val="0"/>
      <w:divBdr>
        <w:top w:val="none" w:sz="0" w:space="0" w:color="auto"/>
        <w:left w:val="none" w:sz="0" w:space="0" w:color="auto"/>
        <w:bottom w:val="none" w:sz="0" w:space="0" w:color="auto"/>
        <w:right w:val="none" w:sz="0" w:space="0" w:color="auto"/>
      </w:divBdr>
    </w:div>
    <w:div w:id="932318449">
      <w:bodyDiv w:val="1"/>
      <w:marLeft w:val="0"/>
      <w:marRight w:val="0"/>
      <w:marTop w:val="0"/>
      <w:marBottom w:val="0"/>
      <w:divBdr>
        <w:top w:val="none" w:sz="0" w:space="0" w:color="auto"/>
        <w:left w:val="none" w:sz="0" w:space="0" w:color="auto"/>
        <w:bottom w:val="none" w:sz="0" w:space="0" w:color="auto"/>
        <w:right w:val="none" w:sz="0" w:space="0" w:color="auto"/>
      </w:divBdr>
    </w:div>
    <w:div w:id="976035432">
      <w:bodyDiv w:val="1"/>
      <w:marLeft w:val="0"/>
      <w:marRight w:val="0"/>
      <w:marTop w:val="0"/>
      <w:marBottom w:val="0"/>
      <w:divBdr>
        <w:top w:val="none" w:sz="0" w:space="0" w:color="auto"/>
        <w:left w:val="none" w:sz="0" w:space="0" w:color="auto"/>
        <w:bottom w:val="none" w:sz="0" w:space="0" w:color="auto"/>
        <w:right w:val="none" w:sz="0" w:space="0" w:color="auto"/>
      </w:divBdr>
    </w:div>
    <w:div w:id="996811889">
      <w:bodyDiv w:val="1"/>
      <w:marLeft w:val="0"/>
      <w:marRight w:val="0"/>
      <w:marTop w:val="0"/>
      <w:marBottom w:val="0"/>
      <w:divBdr>
        <w:top w:val="none" w:sz="0" w:space="0" w:color="auto"/>
        <w:left w:val="none" w:sz="0" w:space="0" w:color="auto"/>
        <w:bottom w:val="none" w:sz="0" w:space="0" w:color="auto"/>
        <w:right w:val="none" w:sz="0" w:space="0" w:color="auto"/>
      </w:divBdr>
    </w:div>
    <w:div w:id="1339888822">
      <w:bodyDiv w:val="1"/>
      <w:marLeft w:val="0"/>
      <w:marRight w:val="0"/>
      <w:marTop w:val="0"/>
      <w:marBottom w:val="0"/>
      <w:divBdr>
        <w:top w:val="none" w:sz="0" w:space="0" w:color="auto"/>
        <w:left w:val="none" w:sz="0" w:space="0" w:color="auto"/>
        <w:bottom w:val="none" w:sz="0" w:space="0" w:color="auto"/>
        <w:right w:val="none" w:sz="0" w:space="0" w:color="auto"/>
      </w:divBdr>
    </w:div>
    <w:div w:id="1400396832">
      <w:bodyDiv w:val="1"/>
      <w:marLeft w:val="0"/>
      <w:marRight w:val="0"/>
      <w:marTop w:val="0"/>
      <w:marBottom w:val="0"/>
      <w:divBdr>
        <w:top w:val="none" w:sz="0" w:space="0" w:color="auto"/>
        <w:left w:val="none" w:sz="0" w:space="0" w:color="auto"/>
        <w:bottom w:val="none" w:sz="0" w:space="0" w:color="auto"/>
        <w:right w:val="none" w:sz="0" w:space="0" w:color="auto"/>
      </w:divBdr>
    </w:div>
    <w:div w:id="1710715468">
      <w:bodyDiv w:val="1"/>
      <w:marLeft w:val="0"/>
      <w:marRight w:val="0"/>
      <w:marTop w:val="0"/>
      <w:marBottom w:val="0"/>
      <w:divBdr>
        <w:top w:val="none" w:sz="0" w:space="0" w:color="auto"/>
        <w:left w:val="none" w:sz="0" w:space="0" w:color="auto"/>
        <w:bottom w:val="none" w:sz="0" w:space="0" w:color="auto"/>
        <w:right w:val="none" w:sz="0" w:space="0" w:color="auto"/>
      </w:divBdr>
    </w:div>
    <w:div w:id="1712270041">
      <w:bodyDiv w:val="1"/>
      <w:marLeft w:val="0"/>
      <w:marRight w:val="0"/>
      <w:marTop w:val="0"/>
      <w:marBottom w:val="0"/>
      <w:divBdr>
        <w:top w:val="none" w:sz="0" w:space="0" w:color="auto"/>
        <w:left w:val="none" w:sz="0" w:space="0" w:color="auto"/>
        <w:bottom w:val="none" w:sz="0" w:space="0" w:color="auto"/>
        <w:right w:val="none" w:sz="0" w:space="0" w:color="auto"/>
      </w:divBdr>
    </w:div>
    <w:div w:id="18604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F62D-079B-4417-AC52-CA708B3B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2012-11-01T13:10:00Z</dcterms:created>
  <dcterms:modified xsi:type="dcterms:W3CDTF">2012-11-01T13:26:00Z</dcterms:modified>
</cp:coreProperties>
</file>