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892" w:rsidRDefault="00322EA3" w:rsidP="00FB7210">
      <w:pPr>
        <w:pStyle w:val="NoSpacing"/>
      </w:pPr>
      <w:r>
        <w:rPr>
          <w:b/>
        </w:rPr>
        <w:t>Text S1</w:t>
      </w:r>
      <w:r w:rsidRPr="00322EA3">
        <w:rPr>
          <w:b/>
        </w:rPr>
        <w:t>:</w:t>
      </w:r>
      <w:r w:rsidR="00D95AA7" w:rsidRPr="00322EA3">
        <w:rPr>
          <w:b/>
        </w:rPr>
        <w:t xml:space="preserve"> Data</w:t>
      </w:r>
      <w:bookmarkStart w:id="0" w:name="_GoBack"/>
      <w:bookmarkEnd w:id="0"/>
    </w:p>
    <w:p w:rsidR="000D0B0A" w:rsidRDefault="000D0B0A" w:rsidP="00FB7210">
      <w:pPr>
        <w:pStyle w:val="NoSpacing"/>
      </w:pPr>
    </w:p>
    <w:p w:rsidR="008F4DC2" w:rsidRDefault="00105A35" w:rsidP="00FB7210">
      <w:pPr>
        <w:pStyle w:val="NoSpacing"/>
      </w:pPr>
      <w:r w:rsidRPr="00105A35">
        <w:rPr>
          <w:b/>
        </w:rPr>
        <w:t>Extrinsic Incubation Period</w:t>
      </w:r>
      <w:r w:rsidR="00525B79">
        <w:rPr>
          <w:b/>
        </w:rPr>
        <w:t xml:space="preserve"> Data</w:t>
      </w:r>
      <w:r>
        <w:t xml:space="preserve"> </w:t>
      </w:r>
      <w:r w:rsidR="008F4DC2">
        <w:t>(additional notes are below and the full referen</w:t>
      </w:r>
      <w:r w:rsidR="00C73F9F">
        <w:t>ces are in the main manuscript)</w:t>
      </w:r>
    </w:p>
    <w:tbl>
      <w:tblPr>
        <w:tblW w:w="9105" w:type="dxa"/>
        <w:jc w:val="center"/>
        <w:tblInd w:w="93" w:type="dxa"/>
        <w:tblLayout w:type="fixed"/>
        <w:tblLook w:val="04A0" w:firstRow="1" w:lastRow="0" w:firstColumn="1" w:lastColumn="0" w:noHBand="0" w:noVBand="1"/>
      </w:tblPr>
      <w:tblGrid>
        <w:gridCol w:w="700"/>
        <w:gridCol w:w="711"/>
        <w:gridCol w:w="700"/>
        <w:gridCol w:w="700"/>
        <w:gridCol w:w="700"/>
        <w:gridCol w:w="704"/>
        <w:gridCol w:w="700"/>
        <w:gridCol w:w="1760"/>
        <w:gridCol w:w="810"/>
        <w:gridCol w:w="810"/>
        <w:gridCol w:w="810"/>
      </w:tblGrid>
      <w:tr w:rsidR="00C73F9F" w:rsidRPr="00C73F9F" w:rsidTr="00525B79">
        <w:trPr>
          <w:trHeight w:val="438"/>
          <w:jc w:val="center"/>
        </w:trPr>
        <w:tc>
          <w:tcPr>
            <w:tcW w:w="1411" w:type="dxa"/>
            <w:gridSpan w:val="2"/>
            <w:tcBorders>
              <w:top w:val="nil"/>
              <w:bottom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EIP (days)</w:t>
            </w:r>
          </w:p>
        </w:tc>
        <w:tc>
          <w:tcPr>
            <w:tcW w:w="700" w:type="dxa"/>
            <w:tcBorders>
              <w:top w:val="nil"/>
              <w:bottom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Serotype</w:t>
            </w:r>
          </w:p>
        </w:tc>
        <w:tc>
          <w:tcPr>
            <w:tcW w:w="5374" w:type="dxa"/>
            <w:gridSpan w:val="6"/>
            <w:tcBorders>
              <w:top w:val="nil"/>
              <w:bottom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Temperature (°C)</w:t>
            </w:r>
          </w:p>
        </w:tc>
        <w:tc>
          <w:tcPr>
            <w:tcW w:w="1620" w:type="dxa"/>
            <w:gridSpan w:val="2"/>
            <w:tcBorders>
              <w:top w:val="nil"/>
              <w:bottom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Source</w:t>
            </w:r>
          </w:p>
        </w:tc>
      </w:tr>
      <w:tr w:rsidR="00C73F9F" w:rsidRPr="00C73F9F" w:rsidTr="00525B79">
        <w:trPr>
          <w:trHeight w:val="438"/>
          <w:jc w:val="center"/>
        </w:trPr>
        <w:tc>
          <w:tcPr>
            <w:tcW w:w="700" w:type="dxa"/>
            <w:tcBorders>
              <w:top w:val="nil"/>
              <w:left w:val="single" w:sz="8" w:space="0" w:color="auto"/>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Minimum</w:t>
            </w:r>
          </w:p>
        </w:tc>
        <w:tc>
          <w:tcPr>
            <w:tcW w:w="711" w:type="dxa"/>
            <w:tcBorders>
              <w:top w:val="nil"/>
              <w:left w:val="nil"/>
              <w:bottom w:val="nil"/>
              <w:right w:val="single" w:sz="8" w:space="0" w:color="auto"/>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Maximum</w:t>
            </w:r>
          </w:p>
        </w:tc>
        <w:tc>
          <w:tcPr>
            <w:tcW w:w="700" w:type="dxa"/>
            <w:tcBorders>
              <w:top w:val="nil"/>
              <w:left w:val="nil"/>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p>
        </w:tc>
        <w:tc>
          <w:tcPr>
            <w:tcW w:w="700" w:type="dxa"/>
            <w:tcBorders>
              <w:top w:val="nil"/>
              <w:left w:val="single" w:sz="8" w:space="0" w:color="auto"/>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Reported mean</w:t>
            </w:r>
          </w:p>
        </w:tc>
        <w:tc>
          <w:tcPr>
            <w:tcW w:w="700" w:type="dxa"/>
            <w:tcBorders>
              <w:top w:val="nil"/>
              <w:left w:val="nil"/>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Reported minimum</w:t>
            </w:r>
          </w:p>
        </w:tc>
        <w:tc>
          <w:tcPr>
            <w:tcW w:w="704" w:type="dxa"/>
            <w:tcBorders>
              <w:top w:val="nil"/>
              <w:left w:val="nil"/>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Reported maximum</w:t>
            </w:r>
          </w:p>
        </w:tc>
        <w:tc>
          <w:tcPr>
            <w:tcW w:w="700" w:type="dxa"/>
            <w:tcBorders>
              <w:top w:val="nil"/>
              <w:left w:val="nil"/>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Time period</w:t>
            </w:r>
          </w:p>
        </w:tc>
        <w:tc>
          <w:tcPr>
            <w:tcW w:w="1760" w:type="dxa"/>
            <w:tcBorders>
              <w:top w:val="nil"/>
              <w:left w:val="nil"/>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Location</w:t>
            </w:r>
          </w:p>
        </w:tc>
        <w:tc>
          <w:tcPr>
            <w:tcW w:w="810" w:type="dxa"/>
            <w:tcBorders>
              <w:top w:val="nil"/>
              <w:left w:val="nil"/>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Estimated mean</w:t>
            </w:r>
          </w:p>
        </w:tc>
        <w:tc>
          <w:tcPr>
            <w:tcW w:w="810" w:type="dxa"/>
            <w:tcBorders>
              <w:top w:val="nil"/>
              <w:left w:val="single" w:sz="8" w:space="0" w:color="auto"/>
              <w:bottom w:val="nil"/>
              <w:right w:val="nil"/>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First author</w:t>
            </w:r>
          </w:p>
        </w:tc>
        <w:tc>
          <w:tcPr>
            <w:tcW w:w="810" w:type="dxa"/>
            <w:tcBorders>
              <w:top w:val="nil"/>
              <w:left w:val="nil"/>
              <w:bottom w:val="nil"/>
              <w:right w:val="single" w:sz="8" w:space="0" w:color="auto"/>
            </w:tcBorders>
            <w:shd w:val="clear" w:color="auto" w:fill="auto"/>
            <w:vAlign w:val="bottom"/>
            <w:hideMark/>
          </w:tcPr>
          <w:p w:rsidR="00C73F9F" w:rsidRPr="00C73F9F" w:rsidRDefault="00C73F9F" w:rsidP="00C73F9F">
            <w:pPr>
              <w:spacing w:after="0"/>
              <w:jc w:val="center"/>
              <w:rPr>
                <w:rFonts w:ascii="Calibri" w:eastAsia="Times New Roman" w:hAnsi="Calibri" w:cs="Calibri"/>
                <w:color w:val="000000"/>
                <w:sz w:val="12"/>
                <w:szCs w:val="16"/>
              </w:rPr>
            </w:pPr>
            <w:r w:rsidRPr="00C73F9F">
              <w:rPr>
                <w:rFonts w:ascii="Calibri" w:eastAsia="Times New Roman" w:hAnsi="Calibri" w:cs="Calibri"/>
                <w:color w:val="000000"/>
                <w:sz w:val="12"/>
                <w:szCs w:val="16"/>
              </w:rPr>
              <w:t>Publication year</w:t>
            </w:r>
          </w:p>
        </w:tc>
      </w:tr>
      <w:tr w:rsidR="00C73F9F" w:rsidRPr="00C73F9F" w:rsidTr="00525B79">
        <w:trPr>
          <w:trHeight w:val="20"/>
          <w:jc w:val="center"/>
        </w:trPr>
        <w:tc>
          <w:tcPr>
            <w:tcW w:w="700" w:type="dxa"/>
            <w:tcBorders>
              <w:top w:val="single" w:sz="8" w:space="0" w:color="auto"/>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single" w:sz="8" w:space="0" w:color="auto"/>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single" w:sz="8" w:space="0" w:color="auto"/>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Isthmian Canal Zone, Panama</w:t>
            </w:r>
          </w:p>
        </w:tc>
        <w:tc>
          <w:tcPr>
            <w:tcW w:w="810"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28.3</w:t>
            </w:r>
          </w:p>
        </w:tc>
        <w:tc>
          <w:tcPr>
            <w:tcW w:w="810" w:type="dxa"/>
            <w:tcBorders>
              <w:top w:val="single" w:sz="8" w:space="0" w:color="auto"/>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Carpenter</w:t>
            </w:r>
          </w:p>
        </w:tc>
        <w:tc>
          <w:tcPr>
            <w:tcW w:w="810" w:type="dxa"/>
            <w:tcBorders>
              <w:top w:val="single" w:sz="8" w:space="0" w:color="auto"/>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1905</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Jan-May</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Brisbane, Australia</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22.4</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Bancroft</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1906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Apr-May</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Sydney, Australia</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Cleland</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1916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Sep-Oct</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27.6</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Sep-Oct</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27.6</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9</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26.1</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26.1</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26.1</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8</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9</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62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DENV-4</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Siler</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1926</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13</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13</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21.5</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Fort Mills,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proofErr w:type="spellStart"/>
            <w:r w:rsidRPr="00C73F9F">
              <w:rPr>
                <w:rFonts w:ascii="Calibri" w:eastAsia="Times New Roman" w:hAnsi="Calibri" w:cs="Calibri"/>
                <w:color w:val="000000"/>
                <w:sz w:val="12"/>
                <w:szCs w:val="16"/>
              </w:rPr>
              <w:t>Schule</w:t>
            </w:r>
            <w:proofErr w:type="spellEnd"/>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1928</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13</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67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79</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91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Athens, Greece</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Blanc</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1930</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26.1</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Feb-Apr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27.7</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Feb-Apr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27.7</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Apr-May</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29.3</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Apr-May</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29.3</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May</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29.4</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May-Jun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Jun-Jul</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13</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Jul</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13</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Jul</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Jul</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Aug</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27.4</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Aug</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27.4</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Aug</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27.4</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lastRenderedPageBreak/>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Aug-Sep</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Aug-Oct</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Aug-Sep</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Sep-Oct</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27.6</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Sep-Oct</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27.6</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Aug</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27.4</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23</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Nov-Dec</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52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33</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25.7</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41</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Dec-Jan</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25.9</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Jan-Feb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26.2</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52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46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Feb-Mar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27.0</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27.7</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Mar-Apr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Mar-Apr</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28.5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DENV-1</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Oct</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Manila, Philippines</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27.5</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Simmons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1931</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24</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26</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25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30</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7</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12</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35</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r w:rsidR="00C73F9F" w:rsidRPr="00C73F9F" w:rsidTr="00525B79">
        <w:trPr>
          <w:trHeight w:val="20"/>
          <w:jc w:val="center"/>
        </w:trPr>
        <w:tc>
          <w:tcPr>
            <w:tcW w:w="700" w:type="dxa"/>
            <w:tcBorders>
              <w:top w:val="nil"/>
              <w:left w:val="single" w:sz="8" w:space="0" w:color="auto"/>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0</w:t>
            </w:r>
          </w:p>
        </w:tc>
        <w:tc>
          <w:tcPr>
            <w:tcW w:w="711"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18</w:t>
            </w:r>
          </w:p>
        </w:tc>
        <w:tc>
          <w:tcPr>
            <w:tcW w:w="700"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DENV-2</w:t>
            </w:r>
          </w:p>
        </w:tc>
        <w:tc>
          <w:tcPr>
            <w:tcW w:w="700" w:type="dxa"/>
            <w:tcBorders>
              <w:top w:val="nil"/>
              <w:left w:val="single" w:sz="8" w:space="0" w:color="auto"/>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35</w:t>
            </w:r>
          </w:p>
        </w:tc>
        <w:tc>
          <w:tcPr>
            <w:tcW w:w="700"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4"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700"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1760"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Bangkok, Thailand</w:t>
            </w:r>
          </w:p>
        </w:tc>
        <w:tc>
          <w:tcPr>
            <w:tcW w:w="810"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NA</w:t>
            </w:r>
          </w:p>
        </w:tc>
        <w:tc>
          <w:tcPr>
            <w:tcW w:w="810" w:type="dxa"/>
            <w:tcBorders>
              <w:top w:val="nil"/>
              <w:left w:val="single" w:sz="8" w:space="0" w:color="auto"/>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Watts</w:t>
            </w:r>
          </w:p>
        </w:tc>
        <w:tc>
          <w:tcPr>
            <w:tcW w:w="810"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szCs w:val="16"/>
              </w:rPr>
            </w:pPr>
            <w:r w:rsidRPr="00C73F9F">
              <w:rPr>
                <w:rFonts w:ascii="Calibri" w:eastAsia="Times New Roman" w:hAnsi="Calibri" w:cs="Calibri"/>
                <w:color w:val="000000"/>
                <w:sz w:val="12"/>
                <w:szCs w:val="16"/>
              </w:rPr>
              <w:t>1987</w:t>
            </w:r>
          </w:p>
        </w:tc>
      </w:tr>
    </w:tbl>
    <w:p w:rsidR="00087E3B" w:rsidRDefault="00087E3B" w:rsidP="00FB7210">
      <w:pPr>
        <w:pStyle w:val="NoSpacing"/>
      </w:pPr>
    </w:p>
    <w:p w:rsidR="00856090" w:rsidRPr="00856090" w:rsidRDefault="00856090" w:rsidP="00856090">
      <w:pPr>
        <w:pStyle w:val="NoSpacing"/>
        <w:rPr>
          <w:b/>
        </w:rPr>
      </w:pPr>
      <w:r w:rsidRPr="00856090">
        <w:rPr>
          <w:b/>
        </w:rPr>
        <w:t>Additional notes regarding data selection from selected articles:</w:t>
      </w:r>
    </w:p>
    <w:p w:rsidR="00FB7210" w:rsidRDefault="00FB7210" w:rsidP="00FB7210">
      <w:pPr>
        <w:pStyle w:val="NoSpacing"/>
      </w:pPr>
    </w:p>
    <w:p w:rsidR="00105A35" w:rsidRDefault="00105A35" w:rsidP="00105A35">
      <w:proofErr w:type="gramStart"/>
      <w:r>
        <w:t>Watts et al., 1987.</w:t>
      </w:r>
      <w:proofErr w:type="gramEnd"/>
      <w:r>
        <w:t xml:space="preserve"> There are two experiments reported. In the first experiment no viremia was detected in the monkey that provided the original infectious blood meal for the mosquitoes. Despite this, that blood meal did prove infectious for a number of mosquitoes and </w:t>
      </w:r>
      <w:proofErr w:type="spellStart"/>
      <w:r>
        <w:t>seroconversion</w:t>
      </w:r>
      <w:proofErr w:type="spellEnd"/>
      <w:r>
        <w:t xml:space="preserve"> occurred in the monkey. However, only a single pool of mosquitoes was shown to be infectious (the 30</w:t>
      </w:r>
      <w:r w:rsidRPr="00003481">
        <w:rPr>
          <w:rFonts w:ascii="Lucida Grande" w:hAnsi="Lucida Grande"/>
          <w:b/>
          <w:color w:val="000000"/>
        </w:rPr>
        <w:t>°</w:t>
      </w:r>
      <w:r>
        <w:t xml:space="preserve">C pool after </w:t>
      </w:r>
      <w:r w:rsidR="00A8520E">
        <w:t xml:space="preserve">25 days). The second experiment, </w:t>
      </w:r>
      <w:r>
        <w:t xml:space="preserve">meanwhile, used a demonstrably viremic monkey and produced much higher rates of infection in the mosquitoes and subsequent transmission. Because of the substantial </w:t>
      </w:r>
      <w:r>
        <w:lastRenderedPageBreak/>
        <w:t xml:space="preserve">known difference between the two experiments, we assigned </w:t>
      </w:r>
      <w:r w:rsidRPr="00A8520E">
        <w:t>each a unique random effect</w:t>
      </w:r>
      <w:r w:rsidR="000E7229" w:rsidRPr="00A8520E">
        <w:t>.</w:t>
      </w:r>
      <w:r w:rsidR="000E7229">
        <w:t xml:space="preserve"> For both </w:t>
      </w:r>
      <w:r w:rsidR="00A8520E">
        <w:t>experiments</w:t>
      </w:r>
      <w:r w:rsidR="000E7229">
        <w:t xml:space="preserve">, </w:t>
      </w:r>
      <w:r w:rsidR="00A8520E">
        <w:t xml:space="preserve">we treated </w:t>
      </w:r>
      <w:r w:rsidR="000E7229">
        <w:t xml:space="preserve">a pool of </w:t>
      </w:r>
      <w:r w:rsidR="00A8520E">
        <w:t>mosquitoes that did</w:t>
      </w:r>
      <w:r>
        <w:t xml:space="preserve"> not tr</w:t>
      </w:r>
      <w:r w:rsidR="000E7229">
        <w:t>ansmit the virus as a single</w:t>
      </w:r>
      <w:r w:rsidR="00A8520E">
        <w:t>,</w:t>
      </w:r>
      <w:r>
        <w:t xml:space="preserve"> </w:t>
      </w:r>
      <w:r w:rsidR="000E7229">
        <w:t>right-censored observation</w:t>
      </w:r>
      <w:r w:rsidRPr="00105A35">
        <w:t>.</w:t>
      </w:r>
      <w:r w:rsidR="000E7229">
        <w:t xml:space="preserve"> </w:t>
      </w:r>
      <w:r w:rsidR="00A8520E">
        <w:t xml:space="preserve">We record it as a </w:t>
      </w:r>
      <w:r w:rsidR="000E7229">
        <w:t>single observation because the exact number of mosquitoes that fed at each time point is not reported (the reported range is 42-100%).</w:t>
      </w:r>
      <w:r w:rsidRPr="00105A35">
        <w:t xml:space="preserve"> </w:t>
      </w:r>
      <w:r w:rsidR="000E7229">
        <w:t>Any</w:t>
      </w:r>
      <w:r w:rsidRPr="00105A35">
        <w:t xml:space="preserve"> pool that successfully transmitted the virus is treated as a single interval-censored</w:t>
      </w:r>
      <w:r w:rsidR="000E7229">
        <w:t xml:space="preserve"> observation, as it is clear that at least one mosquito was infectious</w:t>
      </w:r>
      <w:r>
        <w:t>.</w:t>
      </w:r>
    </w:p>
    <w:p w:rsidR="00105A35" w:rsidRDefault="0060487E" w:rsidP="00FB7210">
      <w:pPr>
        <w:pStyle w:val="NoSpacing"/>
      </w:pPr>
      <w:proofErr w:type="spellStart"/>
      <w:proofErr w:type="gramStart"/>
      <w:r>
        <w:t>Schule</w:t>
      </w:r>
      <w:proofErr w:type="spellEnd"/>
      <w:r>
        <w:t>, 1928.</w:t>
      </w:r>
      <w:proofErr w:type="gramEnd"/>
      <w:r>
        <w:t xml:space="preserve"> </w:t>
      </w:r>
      <w:proofErr w:type="spellStart"/>
      <w:r>
        <w:t>Schule</w:t>
      </w:r>
      <w:proofErr w:type="spellEnd"/>
      <w:r>
        <w:t xml:space="preserve"> decided that if 9-10 days passed without evidence of disease that an individual had not been successfully</w:t>
      </w:r>
      <w:r w:rsidR="00200359">
        <w:t xml:space="preserve"> infected and then </w:t>
      </w:r>
      <w:r>
        <w:t>used for a subsequent experiment. Here</w:t>
      </w:r>
      <w:r w:rsidR="00200359">
        <w:t>,</w:t>
      </w:r>
      <w:r>
        <w:t xml:space="preserve"> we conservatively assume </w:t>
      </w:r>
      <w:r w:rsidR="00200359">
        <w:t>that an initial exposure could cause illness even after this time period</w:t>
      </w:r>
      <w:r>
        <w:t>.</w:t>
      </w:r>
      <w:r w:rsidR="00200359">
        <w:t xml:space="preserve"> Thus, instead of assuming that the first experiment represents a negative assessment of mosquito infectivity, we assume that the infectivity status is unknown at that time. </w:t>
      </w:r>
      <w:r w:rsidR="00200359" w:rsidRPr="00A8520E">
        <w:t>Thus all of the observations are treated as interval-censored from zero to the last potential day of exposure prior to the onset illness.</w:t>
      </w:r>
    </w:p>
    <w:p w:rsidR="0048354A" w:rsidRDefault="0048354A" w:rsidP="00FB7210">
      <w:pPr>
        <w:pStyle w:val="NoSpacing"/>
      </w:pPr>
    </w:p>
    <w:p w:rsidR="00650D4B" w:rsidRDefault="0048354A" w:rsidP="00FB7210">
      <w:pPr>
        <w:pStyle w:val="NoSpacing"/>
      </w:pPr>
      <w:proofErr w:type="gramStart"/>
      <w:r>
        <w:t>Blanc</w:t>
      </w:r>
      <w:r w:rsidR="005F0778">
        <w:t xml:space="preserve"> and </w:t>
      </w:r>
      <w:proofErr w:type="spellStart"/>
      <w:r w:rsidR="005F0778">
        <w:t>Caminopetros</w:t>
      </w:r>
      <w:proofErr w:type="spellEnd"/>
      <w:r>
        <w:t>, 1930.</w:t>
      </w:r>
      <w:proofErr w:type="gramEnd"/>
      <w:r>
        <w:t xml:space="preserve"> </w:t>
      </w:r>
      <w:r w:rsidR="00DB6360">
        <w:t xml:space="preserve"> </w:t>
      </w:r>
      <w:r w:rsidR="005F0778">
        <w:t>The authors carried out a number of infectivity experiments with pools of mosquitoes, exposing multiple volunteers</w:t>
      </w:r>
      <w:r w:rsidR="00BE03F0">
        <w:t xml:space="preserve"> to</w:t>
      </w:r>
      <w:r w:rsidR="005F0778">
        <w:t xml:space="preserve"> </w:t>
      </w:r>
      <w:r w:rsidR="00650D4B">
        <w:t xml:space="preserve">the pools over periods of several months. In </w:t>
      </w:r>
      <w:r w:rsidR="00BE03F0">
        <w:t>captivity</w:t>
      </w:r>
      <w:r w:rsidR="00650D4B">
        <w:t xml:space="preserve">, mosquitoes were able to feed on raisins and, occasionally, on </w:t>
      </w:r>
      <w:r w:rsidR="00BE03F0">
        <w:t>DENV-immune</w:t>
      </w:r>
      <w:r w:rsidR="00650D4B">
        <w:t xml:space="preserve"> humans. </w:t>
      </w:r>
      <w:r w:rsidR="00BE03F0">
        <w:t>Because of these alternate food sources and the absence of a feeding record, it is unknown whether each mosquito fed during each transmission experiment.</w:t>
      </w:r>
      <w:r w:rsidR="00650D4B">
        <w:t xml:space="preserve"> We therefore assume that initial negative feedings represent right-censored observations, i.e. that </w:t>
      </w:r>
      <w:r w:rsidR="00BE03F0">
        <w:t>at least one feeding</w:t>
      </w:r>
      <w:r w:rsidR="00650D4B">
        <w:t xml:space="preserve"> mosquito had been infected but ha</w:t>
      </w:r>
      <w:r w:rsidR="00BE03F0">
        <w:t>d not yet become infectious. And we assume</w:t>
      </w:r>
      <w:r w:rsidR="00650D4B">
        <w:t xml:space="preserve"> </w:t>
      </w:r>
      <w:r w:rsidR="00BE03F0">
        <w:t>that the first positive feeding</w:t>
      </w:r>
      <w:r w:rsidR="00650D4B">
        <w:t xml:space="preserve"> represent</w:t>
      </w:r>
      <w:r w:rsidR="00BE03F0">
        <w:t>s a censored interval from the earliest potential time of infection</w:t>
      </w:r>
      <w:r w:rsidR="00650D4B">
        <w:t xml:space="preserve"> to the time of feeding. For the wild caught mosquitoes that were not experimentally exposed, we know nothing </w:t>
      </w:r>
      <w:r w:rsidR="00BE03F0">
        <w:t>of the EIP because some may have been</w:t>
      </w:r>
      <w:r w:rsidR="00650D4B">
        <w:t xml:space="preserve"> infectious before capture and may not have fed at</w:t>
      </w:r>
      <w:r w:rsidR="00BE03F0">
        <w:t xml:space="preserve"> early time points in captivity. </w:t>
      </w:r>
      <w:r w:rsidR="009E4E75">
        <w:t>Lastly, observations for pools of mosquitoes that were maintained at different temperatures for different time periods</w:t>
      </w:r>
      <w:r w:rsidR="00557228">
        <w:t xml:space="preserve"> were only used from the time period corresponding to the initial temperature.</w:t>
      </w:r>
    </w:p>
    <w:p w:rsidR="001856FD" w:rsidRDefault="001856FD" w:rsidP="00FB7210">
      <w:pPr>
        <w:pStyle w:val="NoSpacing"/>
      </w:pPr>
    </w:p>
    <w:p w:rsidR="00AD7320" w:rsidRDefault="00AD7320" w:rsidP="00FB7210">
      <w:pPr>
        <w:pStyle w:val="NoSpacing"/>
      </w:pPr>
      <w:proofErr w:type="gramStart"/>
      <w:r>
        <w:t>Simmons, St. John, and Reynolds, 1931.</w:t>
      </w:r>
      <w:proofErr w:type="gramEnd"/>
      <w:r w:rsidR="0007378A">
        <w:t xml:space="preserve"> </w:t>
      </w:r>
      <w:r w:rsidR="00B052AD">
        <w:t>Most o</w:t>
      </w:r>
      <w:r w:rsidR="00A8520E">
        <w:t>f the EIP observations were recorded</w:t>
      </w:r>
      <w:r w:rsidR="00B052AD">
        <w:t xml:space="preserve"> in Table 14 though the text was also reviewed for additional information.</w:t>
      </w:r>
      <w:r w:rsidR="00B92E9E">
        <w:t xml:space="preserve"> In the case of disagreement between the table and the text descriptions, we used the descriptions as they </w:t>
      </w:r>
      <w:r w:rsidR="005E52CC">
        <w:t>contain more detail</w:t>
      </w:r>
      <w:r w:rsidR="00B92E9E">
        <w:t xml:space="preserve">. </w:t>
      </w:r>
    </w:p>
    <w:p w:rsidR="00AD7320" w:rsidRDefault="00AD7320" w:rsidP="00FB7210">
      <w:pPr>
        <w:pStyle w:val="NoSpacing"/>
      </w:pPr>
    </w:p>
    <w:p w:rsidR="00322EA3" w:rsidRDefault="00322EA3" w:rsidP="00FB7210">
      <w:pPr>
        <w:pStyle w:val="NoSpacing"/>
      </w:pPr>
    </w:p>
    <w:p w:rsidR="00105A35" w:rsidRPr="00472AA9" w:rsidRDefault="00472AA9" w:rsidP="00105A35">
      <w:pPr>
        <w:pStyle w:val="NoSpacing"/>
        <w:rPr>
          <w:b/>
        </w:rPr>
      </w:pPr>
      <w:r>
        <w:rPr>
          <w:b/>
        </w:rPr>
        <w:t>Intrinsic Incubation Period</w:t>
      </w:r>
      <w:r w:rsidR="00525B79">
        <w:rPr>
          <w:b/>
        </w:rPr>
        <w:t xml:space="preserve"> Data</w:t>
      </w:r>
    </w:p>
    <w:tbl>
      <w:tblPr>
        <w:tblW w:w="5267" w:type="dxa"/>
        <w:jc w:val="center"/>
        <w:tblInd w:w="93" w:type="dxa"/>
        <w:tblLook w:val="04A0" w:firstRow="1" w:lastRow="0" w:firstColumn="1" w:lastColumn="0" w:noHBand="0" w:noVBand="1"/>
      </w:tblPr>
      <w:tblGrid>
        <w:gridCol w:w="525"/>
        <w:gridCol w:w="692"/>
        <w:gridCol w:w="711"/>
        <w:gridCol w:w="864"/>
        <w:gridCol w:w="1395"/>
        <w:gridCol w:w="1080"/>
      </w:tblGrid>
      <w:tr w:rsidR="00C73F9F" w:rsidRPr="00C73F9F" w:rsidTr="00525B79">
        <w:trPr>
          <w:trHeight w:val="288"/>
          <w:jc w:val="center"/>
        </w:trPr>
        <w:tc>
          <w:tcPr>
            <w:tcW w:w="1928" w:type="dxa"/>
            <w:gridSpan w:val="3"/>
            <w:tcBorders>
              <w:top w:val="nil"/>
              <w:left w:val="nil"/>
              <w:right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IIP</w:t>
            </w:r>
            <w:r w:rsidR="00472AA9">
              <w:rPr>
                <w:rFonts w:ascii="Calibri" w:eastAsia="Times New Roman" w:hAnsi="Calibri" w:cs="Calibri"/>
                <w:color w:val="000000"/>
                <w:sz w:val="12"/>
              </w:rPr>
              <w:t xml:space="preserve"> (days)</w:t>
            </w:r>
          </w:p>
        </w:tc>
        <w:tc>
          <w:tcPr>
            <w:tcW w:w="864" w:type="dxa"/>
            <w:tcBorders>
              <w:top w:val="nil"/>
              <w:left w:val="nil"/>
              <w:right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Serotype</w:t>
            </w:r>
          </w:p>
        </w:tc>
        <w:tc>
          <w:tcPr>
            <w:tcW w:w="2475" w:type="dxa"/>
            <w:gridSpan w:val="2"/>
            <w:tcBorders>
              <w:top w:val="nil"/>
              <w:left w:val="nil"/>
              <w:right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Source</w:t>
            </w:r>
          </w:p>
        </w:tc>
      </w:tr>
      <w:tr w:rsidR="00C73F9F" w:rsidRPr="00C73F9F" w:rsidTr="00525B79">
        <w:trPr>
          <w:trHeight w:val="144"/>
          <w:jc w:val="center"/>
        </w:trPr>
        <w:tc>
          <w:tcPr>
            <w:tcW w:w="525" w:type="dxa"/>
            <w:tcBorders>
              <w:top w:val="nil"/>
              <w:left w:val="single" w:sz="8" w:space="0" w:color="auto"/>
              <w:bottom w:val="single" w:sz="8" w:space="0" w:color="auto"/>
              <w:right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Actual</w:t>
            </w:r>
          </w:p>
        </w:tc>
        <w:tc>
          <w:tcPr>
            <w:tcW w:w="692"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Minimum</w:t>
            </w:r>
          </w:p>
        </w:tc>
        <w:tc>
          <w:tcPr>
            <w:tcW w:w="711"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Maximum</w:t>
            </w:r>
          </w:p>
        </w:tc>
        <w:tc>
          <w:tcPr>
            <w:tcW w:w="864"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p>
        </w:tc>
        <w:tc>
          <w:tcPr>
            <w:tcW w:w="1395"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First author</w:t>
            </w:r>
          </w:p>
        </w:tc>
        <w:tc>
          <w:tcPr>
            <w:tcW w:w="1080"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center"/>
              <w:rPr>
                <w:rFonts w:ascii="Calibri" w:eastAsia="Times New Roman" w:hAnsi="Calibri" w:cs="Calibri"/>
                <w:color w:val="000000"/>
                <w:sz w:val="12"/>
              </w:rPr>
            </w:pPr>
            <w:r w:rsidRPr="00C73F9F">
              <w:rPr>
                <w:rFonts w:ascii="Calibri" w:eastAsia="Times New Roman" w:hAnsi="Calibri" w:cs="Calibri"/>
                <w:color w:val="000000"/>
                <w:sz w:val="12"/>
              </w:rPr>
              <w:t>Publication year</w:t>
            </w:r>
          </w:p>
        </w:tc>
      </w:tr>
      <w:tr w:rsidR="00C73F9F" w:rsidRPr="00C73F9F" w:rsidTr="00525B79">
        <w:trPr>
          <w:trHeight w:val="20"/>
          <w:jc w:val="center"/>
        </w:trPr>
        <w:tc>
          <w:tcPr>
            <w:tcW w:w="525" w:type="dxa"/>
            <w:tcBorders>
              <w:top w:val="single" w:sz="8" w:space="0" w:color="auto"/>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single" w:sz="8" w:space="0" w:color="auto"/>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864" w:type="dxa"/>
            <w:tcBorders>
              <w:top w:val="single" w:sz="8" w:space="0" w:color="auto"/>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single" w:sz="8" w:space="0" w:color="auto"/>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Graham</w:t>
            </w:r>
          </w:p>
        </w:tc>
        <w:tc>
          <w:tcPr>
            <w:tcW w:w="1080" w:type="dxa"/>
            <w:tcBorders>
              <w:top w:val="single" w:sz="8" w:space="0" w:color="auto"/>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Graham</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Graham</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Graham</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Graham</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Graham</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Bancroft</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Bancroft</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1906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8.2</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Cleland</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1916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Cleland</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1916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9.4</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Cleland</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1916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7.8</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Cleland</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1916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5.8</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Chandler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6.2</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Chandler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Chandler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4.1</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Chandler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33</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Chandler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lastRenderedPageBreak/>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9.25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4.25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12.25</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8.25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000000" w:fill="FFFFFF"/>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7.25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18.25</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8.5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4.75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14.75</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10</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8.25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5.75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17</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16.5</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14.5</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Siler</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16</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9</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17</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9</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Schule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1928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Snijders</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Snijders</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Snijders</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9</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lastRenderedPageBreak/>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13</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2.25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12.25</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9.25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Simmons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1931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DENV-2</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Iwamoto</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1973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37</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DENV-2</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Schleupner</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1977</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CDC</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1982</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CDC</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1982</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CDC</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1982</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CDC</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1982</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DENV-4</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CDC</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1982</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22</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Malison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23</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Malison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123</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Malison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12</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Malison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129</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Malison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San Juan Laboratories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Blackburn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1987</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Jacobs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Jacobs</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DENV-3</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Melissant</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1992</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58</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Patey</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30</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Patey</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1993</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8</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McCarthy</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1995</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18</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Amendola</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17</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Amendola</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1996</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22</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DENV-2</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Teichmann</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1998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70</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Durand</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Helbok</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2004</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Helbok</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2004</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Nilsson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2005</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Gasperino</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2007</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26</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DENV-2</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Jensenius</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2007</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5</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Tavakoli</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2007</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DENV-3</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Morita</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DENV-2</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Takasaki</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2008</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27</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DENV-2</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Cardosa</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2009</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9</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Courtney</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2009</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Ninove</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2009</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0</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CDC</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Vainio</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DENV-3</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Vainio</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Vainio</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DENV-3</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Vainio</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Vainio</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DENV-3</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Vainio</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Vainio</w:t>
            </w:r>
            <w:proofErr w:type="spellEnd"/>
            <w:r w:rsidRPr="00C73F9F">
              <w:rPr>
                <w:rFonts w:ascii="Calibri" w:eastAsia="Times New Roman" w:hAnsi="Calibri" w:cs="Calibri"/>
                <w:color w:val="000000"/>
                <w:sz w:val="12"/>
              </w:rPr>
              <w:t xml:space="preserve"> </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24</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proofErr w:type="spellStart"/>
            <w:r w:rsidRPr="00C73F9F">
              <w:rPr>
                <w:rFonts w:ascii="Calibri" w:eastAsia="Times New Roman" w:hAnsi="Calibri" w:cs="Calibri"/>
                <w:color w:val="000000"/>
                <w:sz w:val="12"/>
              </w:rPr>
              <w:t>Waagsbo</w:t>
            </w:r>
            <w:proofErr w:type="spellEnd"/>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2010</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10</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Anderson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3</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10</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Anderson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Anderson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4</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11</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Anderson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lastRenderedPageBreak/>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13</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Anderson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2011</w:t>
            </w:r>
          </w:p>
        </w:tc>
      </w:tr>
      <w:tr w:rsidR="00C73F9F" w:rsidRPr="00C73F9F" w:rsidTr="00525B79">
        <w:trPr>
          <w:trHeight w:val="20"/>
          <w:jc w:val="center"/>
        </w:trPr>
        <w:tc>
          <w:tcPr>
            <w:tcW w:w="525" w:type="dxa"/>
            <w:tcBorders>
              <w:top w:val="nil"/>
              <w:left w:val="single" w:sz="8" w:space="0" w:color="auto"/>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6</w:t>
            </w:r>
          </w:p>
        </w:tc>
        <w:tc>
          <w:tcPr>
            <w:tcW w:w="711"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13</w:t>
            </w:r>
          </w:p>
        </w:tc>
        <w:tc>
          <w:tcPr>
            <w:tcW w:w="864"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nil"/>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Anderson</w:t>
            </w:r>
          </w:p>
        </w:tc>
        <w:tc>
          <w:tcPr>
            <w:tcW w:w="1080" w:type="dxa"/>
            <w:tcBorders>
              <w:top w:val="nil"/>
              <w:left w:val="nil"/>
              <w:bottom w:val="nil"/>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2011</w:t>
            </w:r>
          </w:p>
        </w:tc>
      </w:tr>
      <w:tr w:rsidR="00C73F9F" w:rsidRPr="00C73F9F" w:rsidTr="00525B79">
        <w:trPr>
          <w:trHeight w:val="20"/>
          <w:jc w:val="center"/>
        </w:trPr>
        <w:tc>
          <w:tcPr>
            <w:tcW w:w="525" w:type="dxa"/>
            <w:tcBorders>
              <w:top w:val="nil"/>
              <w:left w:val="single" w:sz="8" w:space="0" w:color="auto"/>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NA</w:t>
            </w:r>
          </w:p>
        </w:tc>
        <w:tc>
          <w:tcPr>
            <w:tcW w:w="692"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7</w:t>
            </w:r>
          </w:p>
        </w:tc>
        <w:tc>
          <w:tcPr>
            <w:tcW w:w="711"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14</w:t>
            </w:r>
          </w:p>
        </w:tc>
        <w:tc>
          <w:tcPr>
            <w:tcW w:w="864"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DENV-1</w:t>
            </w:r>
          </w:p>
        </w:tc>
        <w:tc>
          <w:tcPr>
            <w:tcW w:w="1395" w:type="dxa"/>
            <w:tcBorders>
              <w:top w:val="nil"/>
              <w:left w:val="nil"/>
              <w:bottom w:val="single" w:sz="8" w:space="0" w:color="auto"/>
              <w:right w:val="nil"/>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Anderson</w:t>
            </w:r>
          </w:p>
        </w:tc>
        <w:tc>
          <w:tcPr>
            <w:tcW w:w="1080" w:type="dxa"/>
            <w:tcBorders>
              <w:top w:val="nil"/>
              <w:left w:val="nil"/>
              <w:bottom w:val="single" w:sz="8" w:space="0" w:color="auto"/>
              <w:right w:val="single" w:sz="8" w:space="0" w:color="auto"/>
            </w:tcBorders>
            <w:shd w:val="clear" w:color="auto" w:fill="auto"/>
            <w:noWrap/>
            <w:vAlign w:val="bottom"/>
            <w:hideMark/>
          </w:tcPr>
          <w:p w:rsidR="00C73F9F" w:rsidRPr="00C73F9F" w:rsidRDefault="00C73F9F" w:rsidP="00C73F9F">
            <w:pPr>
              <w:spacing w:after="0"/>
              <w:jc w:val="right"/>
              <w:rPr>
                <w:rFonts w:ascii="Calibri" w:eastAsia="Times New Roman" w:hAnsi="Calibri" w:cs="Calibri"/>
                <w:color w:val="000000"/>
                <w:sz w:val="12"/>
              </w:rPr>
            </w:pPr>
            <w:r w:rsidRPr="00C73F9F">
              <w:rPr>
                <w:rFonts w:ascii="Calibri" w:eastAsia="Times New Roman" w:hAnsi="Calibri" w:cs="Calibri"/>
                <w:color w:val="000000"/>
                <w:sz w:val="12"/>
              </w:rPr>
              <w:t>2011</w:t>
            </w:r>
          </w:p>
        </w:tc>
      </w:tr>
    </w:tbl>
    <w:p w:rsidR="00856090" w:rsidRPr="00D95AA7" w:rsidRDefault="00472AA9" w:rsidP="00D95AA7">
      <w:pPr>
        <w:pStyle w:val="NoSpacing"/>
        <w:tabs>
          <w:tab w:val="left" w:pos="2496"/>
        </w:tabs>
      </w:pPr>
      <w:r>
        <w:tab/>
      </w:r>
    </w:p>
    <w:p w:rsidR="00FB7210" w:rsidRPr="00856090" w:rsidRDefault="00FB7210" w:rsidP="00FB7210">
      <w:pPr>
        <w:pStyle w:val="NoSpacing"/>
        <w:rPr>
          <w:b/>
        </w:rPr>
      </w:pPr>
      <w:r w:rsidRPr="00856090">
        <w:rPr>
          <w:b/>
        </w:rPr>
        <w:t>Additional notes regarding data s</w:t>
      </w:r>
      <w:r w:rsidR="008F4DC2" w:rsidRPr="00856090">
        <w:rPr>
          <w:b/>
        </w:rPr>
        <w:t>election from selected articles:</w:t>
      </w:r>
    </w:p>
    <w:p w:rsidR="00FB7210" w:rsidRDefault="00FB7210" w:rsidP="00FB7210">
      <w:pPr>
        <w:pStyle w:val="NoSpacing"/>
      </w:pPr>
    </w:p>
    <w:p w:rsidR="00FB7210" w:rsidRDefault="00FB7210" w:rsidP="008F4DC2">
      <w:pPr>
        <w:pStyle w:val="NoSpacing"/>
      </w:pPr>
      <w:proofErr w:type="gramStart"/>
      <w:r>
        <w:t>Simmons, St. John, and Reynolds, 1931.</w:t>
      </w:r>
      <w:proofErr w:type="gramEnd"/>
      <w:r>
        <w:t xml:space="preserve"> All of the experiments on American volunteers resulting in IIP observations are reported in Table 14. </w:t>
      </w:r>
      <w:r w:rsidR="005A4E1D">
        <w:t xml:space="preserve">We used this table as the basis for data selection, as it has more IIP observations than are recorded in the experiment descriptions in the rest of the text. </w:t>
      </w:r>
      <w:r w:rsidR="00AD7320">
        <w:t xml:space="preserve">However, we </w:t>
      </w:r>
      <w:r w:rsidR="00A8520E">
        <w:t xml:space="preserve">also </w:t>
      </w:r>
      <w:r w:rsidR="00AD7320">
        <w:t>review</w:t>
      </w:r>
      <w:r w:rsidR="00A8520E">
        <w:t>ed</w:t>
      </w:r>
      <w:r w:rsidR="00AD7320">
        <w:t xml:space="preserve"> the text to corroborate that data and identify other important considerations. For example, many volunteers were exposed to DENV via non-natural or now discredited (thanks to this work) transmission mechanisms such as feeding by </w:t>
      </w:r>
      <w:proofErr w:type="spellStart"/>
      <w:r w:rsidR="00AD7320" w:rsidRPr="00AD7320">
        <w:rPr>
          <w:i/>
        </w:rPr>
        <w:t>Culex</w:t>
      </w:r>
      <w:proofErr w:type="spellEnd"/>
      <w:r w:rsidR="005375B3">
        <w:t xml:space="preserve"> mosquitoes,</w:t>
      </w:r>
      <w:r w:rsidR="00AD7320">
        <w:t xml:space="preserve"> grinding infectio</w:t>
      </w:r>
      <w:r w:rsidR="005375B3">
        <w:t xml:space="preserve">us mosquitoes into abraded skin, or inoculating volunteers with infectious blood. All experiments in which feeding by naturally infected </w:t>
      </w:r>
      <w:r w:rsidR="005375B3" w:rsidRPr="005375B3">
        <w:rPr>
          <w:i/>
        </w:rPr>
        <w:t>Aedes</w:t>
      </w:r>
      <w:r w:rsidR="005375B3">
        <w:t xml:space="preserve"> was not the source of infection were discarded. Some of the volunteers used in these unsuccessful experiments were used for later successful experiments. In these cases, as long as the early exposure was via an unlikely transmission mechanism, we retained the observation and assumed that infection resulted from exposure in the most recent experiment. </w:t>
      </w:r>
      <w:r w:rsidR="007A6454">
        <w:t>Most of the IIPs were directly observed, except for volunteers 52 and 92 who were exposed at least twice.</w:t>
      </w:r>
      <w:r w:rsidR="005A4E1D">
        <w:t xml:space="preserve"> Volunteer 59 was excluded because the I</w:t>
      </w:r>
      <w:r w:rsidR="00B274B7">
        <w:t>IP could not be completely read (the</w:t>
      </w:r>
      <w:r w:rsidR="00187D61">
        <w:t xml:space="preserve"> unreadable</w:t>
      </w:r>
      <w:r w:rsidR="00B274B7">
        <w:t xml:space="preserve"> observed IIP for several others was confirmed in the text).</w:t>
      </w:r>
      <w:r w:rsidR="00187D61">
        <w:t xml:space="preserve"> </w:t>
      </w:r>
      <w:r w:rsidR="005375B3">
        <w:t>Five additional observations were reported in the text and not present in the table: f</w:t>
      </w:r>
      <w:r>
        <w:t>our for Filipinos from non-endemic areas</w:t>
      </w:r>
      <w:r w:rsidR="005375B3">
        <w:t xml:space="preserve"> and</w:t>
      </w:r>
      <w:r w:rsidR="00AD7320">
        <w:t xml:space="preserve"> </w:t>
      </w:r>
      <w:r w:rsidR="005375B3">
        <w:t xml:space="preserve">one </w:t>
      </w:r>
      <w:r w:rsidR="00A3675D">
        <w:t xml:space="preserve">for an </w:t>
      </w:r>
      <w:r w:rsidR="005375B3">
        <w:t>American volunteer</w:t>
      </w:r>
      <w:r w:rsidR="00AD7320">
        <w:t xml:space="preserve"> </w:t>
      </w:r>
      <w:r w:rsidR="005375B3">
        <w:t xml:space="preserve">(AV </w:t>
      </w:r>
      <w:r w:rsidR="00AD7320">
        <w:t>49</w:t>
      </w:r>
      <w:r w:rsidR="005375B3">
        <w:t>)</w:t>
      </w:r>
      <w:r w:rsidR="00AD7320">
        <w:t>.</w:t>
      </w:r>
    </w:p>
    <w:p w:rsidR="00187D61" w:rsidRDefault="00187D61" w:rsidP="00FB7210">
      <w:pPr>
        <w:pStyle w:val="NoSpacing"/>
      </w:pPr>
    </w:p>
    <w:p w:rsidR="008F4DC2" w:rsidRDefault="008F4DC2" w:rsidP="00FB7210">
      <w:pPr>
        <w:pStyle w:val="NoSpacing"/>
      </w:pPr>
      <w:proofErr w:type="gramStart"/>
      <w:r>
        <w:t>Siler, Hall, and Hitchens, 1926.</w:t>
      </w:r>
      <w:proofErr w:type="gramEnd"/>
      <w:r>
        <w:t xml:space="preserve"> </w:t>
      </w:r>
      <w:proofErr w:type="gramStart"/>
      <w:r>
        <w:t xml:space="preserve">The experimental human infections by </w:t>
      </w:r>
      <w:r w:rsidRPr="008F4DC2">
        <w:rPr>
          <w:i/>
        </w:rPr>
        <w:t>Ae.</w:t>
      </w:r>
      <w:proofErr w:type="gramEnd"/>
      <w:r w:rsidRPr="008F4DC2">
        <w:rPr>
          <w:i/>
        </w:rPr>
        <w:t xml:space="preserve"> </w:t>
      </w:r>
      <w:proofErr w:type="gramStart"/>
      <w:r w:rsidRPr="008F4DC2">
        <w:rPr>
          <w:i/>
        </w:rPr>
        <w:t>aegypti</w:t>
      </w:r>
      <w:proofErr w:type="gramEnd"/>
      <w:r w:rsidRPr="008F4DC2">
        <w:rPr>
          <w:i/>
        </w:rPr>
        <w:t xml:space="preserve"> </w:t>
      </w:r>
      <w:r>
        <w:t>are reported in Table 2. Those also reported in Table</w:t>
      </w:r>
      <w:r w:rsidR="00105A35">
        <w:t xml:space="preserve"> 3 are assumed to have interval-</w:t>
      </w:r>
      <w:r>
        <w:t>censored IIP observations as they were exposed to multiple potentially infectious feedings.</w:t>
      </w:r>
    </w:p>
    <w:p w:rsidR="0060487E" w:rsidRDefault="0060487E" w:rsidP="00FB7210">
      <w:pPr>
        <w:pStyle w:val="NoSpacing"/>
      </w:pPr>
    </w:p>
    <w:p w:rsidR="0060487E" w:rsidRDefault="0060487E" w:rsidP="00B46272">
      <w:pPr>
        <w:pStyle w:val="NoSpacing"/>
      </w:pPr>
      <w:proofErr w:type="spellStart"/>
      <w:proofErr w:type="gramStart"/>
      <w:r>
        <w:t>Schule</w:t>
      </w:r>
      <w:proofErr w:type="spellEnd"/>
      <w:r>
        <w:t>, 1928.</w:t>
      </w:r>
      <w:proofErr w:type="gramEnd"/>
      <w:r>
        <w:t xml:space="preserve"> </w:t>
      </w:r>
      <w:proofErr w:type="spellStart"/>
      <w:r>
        <w:t>Schule</w:t>
      </w:r>
      <w:proofErr w:type="spellEnd"/>
      <w:r>
        <w:t xml:space="preserve"> used volunteers for second experiments if they did not become ill within 9-10 days of the first infection experiment</w:t>
      </w:r>
      <w:r w:rsidR="005375B3">
        <w:t>, assuming</w:t>
      </w:r>
      <w:r w:rsidR="00B46272">
        <w:t xml:space="preserve"> that the IIP was less than 9 days.</w:t>
      </w:r>
      <w:r>
        <w:t xml:space="preserve"> </w:t>
      </w:r>
      <w:r w:rsidR="00B46272">
        <w:t>Because this is precisely what we are trying to estimate, to avoid circular logic, we assume that this is not known. Instead we</w:t>
      </w:r>
      <w:r>
        <w:t xml:space="preserve"> use interval censoring for those volunteers that were exposed twice.</w:t>
      </w:r>
    </w:p>
    <w:sectPr w:rsidR="00604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25AB1"/>
    <w:multiLevelType w:val="hybridMultilevel"/>
    <w:tmpl w:val="5F269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Emerging Inf Dis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fw9f5zwbzez03evsa9px0dqrxt2xw2evaxa&quot;&gt;maj_biblio&lt;record-ids&gt;&lt;item&gt;120&lt;/item&gt;&lt;item&gt;578&lt;/item&gt;&lt;item&gt;579&lt;/item&gt;&lt;item&gt;580&lt;/item&gt;&lt;item&gt;581&lt;/item&gt;&lt;item&gt;582&lt;/item&gt;&lt;item&gt;583&lt;/item&gt;&lt;item&gt;584&lt;/item&gt;&lt;item&gt;609&lt;/item&gt;&lt;item&gt;610&lt;/item&gt;&lt;item&gt;611&lt;/item&gt;&lt;item&gt;612&lt;/item&gt;&lt;item&gt;614&lt;/item&gt;&lt;item&gt;629&lt;/item&gt;&lt;item&gt;630&lt;/item&gt;&lt;item&gt;631&lt;/item&gt;&lt;item&gt;633&lt;/item&gt;&lt;item&gt;634&lt;/item&gt;&lt;item&gt;635&lt;/item&gt;&lt;item&gt;636&lt;/item&gt;&lt;item&gt;637&lt;/item&gt;&lt;item&gt;640&lt;/item&gt;&lt;item&gt;641&lt;/item&gt;&lt;item&gt;642&lt;/item&gt;&lt;item&gt;643&lt;/item&gt;&lt;item&gt;644&lt;/item&gt;&lt;item&gt;645&lt;/item&gt;&lt;item&gt;650&lt;/item&gt;&lt;item&gt;654&lt;/item&gt;&lt;item&gt;658&lt;/item&gt;&lt;item&gt;659&lt;/item&gt;&lt;item&gt;660&lt;/item&gt;&lt;item&gt;662&lt;/item&gt;&lt;item&gt;665&lt;/item&gt;&lt;item&gt;666&lt;/item&gt;&lt;item&gt;667&lt;/item&gt;&lt;item&gt;674&lt;/item&gt;&lt;item&gt;675&lt;/item&gt;&lt;/record-ids&gt;&lt;/item&gt;&lt;/Libraries&gt;"/>
  </w:docVars>
  <w:rsids>
    <w:rsidRoot w:val="00FB7210"/>
    <w:rsid w:val="0007378A"/>
    <w:rsid w:val="00082670"/>
    <w:rsid w:val="00087E3B"/>
    <w:rsid w:val="000A4740"/>
    <w:rsid w:val="000B6716"/>
    <w:rsid w:val="000C2071"/>
    <w:rsid w:val="000C7892"/>
    <w:rsid w:val="000D0B0A"/>
    <w:rsid w:val="000E7229"/>
    <w:rsid w:val="00105A35"/>
    <w:rsid w:val="00106ED1"/>
    <w:rsid w:val="00136D31"/>
    <w:rsid w:val="001856FD"/>
    <w:rsid w:val="00187D61"/>
    <w:rsid w:val="001C4412"/>
    <w:rsid w:val="001D107A"/>
    <w:rsid w:val="001E416D"/>
    <w:rsid w:val="001F0E4E"/>
    <w:rsid w:val="00200359"/>
    <w:rsid w:val="00257A93"/>
    <w:rsid w:val="00293B72"/>
    <w:rsid w:val="002E5B35"/>
    <w:rsid w:val="0031284F"/>
    <w:rsid w:val="00312B36"/>
    <w:rsid w:val="00322969"/>
    <w:rsid w:val="00322EA3"/>
    <w:rsid w:val="00324CF0"/>
    <w:rsid w:val="00343034"/>
    <w:rsid w:val="00346873"/>
    <w:rsid w:val="003555B2"/>
    <w:rsid w:val="0036492F"/>
    <w:rsid w:val="003946CD"/>
    <w:rsid w:val="003C6E7B"/>
    <w:rsid w:val="003E5EB5"/>
    <w:rsid w:val="00472AA9"/>
    <w:rsid w:val="0048354A"/>
    <w:rsid w:val="004C3174"/>
    <w:rsid w:val="00504F2F"/>
    <w:rsid w:val="00507E3E"/>
    <w:rsid w:val="00525B79"/>
    <w:rsid w:val="005375B3"/>
    <w:rsid w:val="005457A8"/>
    <w:rsid w:val="00557228"/>
    <w:rsid w:val="005758B3"/>
    <w:rsid w:val="005A4E1D"/>
    <w:rsid w:val="005C6E7C"/>
    <w:rsid w:val="005D1F63"/>
    <w:rsid w:val="005D3B30"/>
    <w:rsid w:val="005E52CC"/>
    <w:rsid w:val="005F0778"/>
    <w:rsid w:val="005F0A22"/>
    <w:rsid w:val="0060487E"/>
    <w:rsid w:val="00625C35"/>
    <w:rsid w:val="006350AF"/>
    <w:rsid w:val="00650D4B"/>
    <w:rsid w:val="0067571C"/>
    <w:rsid w:val="006B0F30"/>
    <w:rsid w:val="006C1B42"/>
    <w:rsid w:val="006C5E6E"/>
    <w:rsid w:val="006F3201"/>
    <w:rsid w:val="00711C14"/>
    <w:rsid w:val="007978EA"/>
    <w:rsid w:val="007A6454"/>
    <w:rsid w:val="007C08A5"/>
    <w:rsid w:val="007F277B"/>
    <w:rsid w:val="007F5073"/>
    <w:rsid w:val="008168F8"/>
    <w:rsid w:val="00856090"/>
    <w:rsid w:val="008662E2"/>
    <w:rsid w:val="008A54BE"/>
    <w:rsid w:val="008E245F"/>
    <w:rsid w:val="008F4DC2"/>
    <w:rsid w:val="00916B59"/>
    <w:rsid w:val="00957E0C"/>
    <w:rsid w:val="009930B7"/>
    <w:rsid w:val="009C04B8"/>
    <w:rsid w:val="009E4E75"/>
    <w:rsid w:val="00A3675D"/>
    <w:rsid w:val="00A40E07"/>
    <w:rsid w:val="00A77706"/>
    <w:rsid w:val="00A84D04"/>
    <w:rsid w:val="00A8520E"/>
    <w:rsid w:val="00A95AA8"/>
    <w:rsid w:val="00AB5C43"/>
    <w:rsid w:val="00AD7320"/>
    <w:rsid w:val="00B052AD"/>
    <w:rsid w:val="00B211A8"/>
    <w:rsid w:val="00B274B7"/>
    <w:rsid w:val="00B46272"/>
    <w:rsid w:val="00B71531"/>
    <w:rsid w:val="00B92E9E"/>
    <w:rsid w:val="00BA0066"/>
    <w:rsid w:val="00BE03F0"/>
    <w:rsid w:val="00BF0F52"/>
    <w:rsid w:val="00BF3EC2"/>
    <w:rsid w:val="00BF7E2E"/>
    <w:rsid w:val="00C0359C"/>
    <w:rsid w:val="00C64E5F"/>
    <w:rsid w:val="00C73F9F"/>
    <w:rsid w:val="00C74566"/>
    <w:rsid w:val="00C85F0C"/>
    <w:rsid w:val="00CB558B"/>
    <w:rsid w:val="00CC392D"/>
    <w:rsid w:val="00CF6F8B"/>
    <w:rsid w:val="00D16B92"/>
    <w:rsid w:val="00D17B1A"/>
    <w:rsid w:val="00D50DDD"/>
    <w:rsid w:val="00D57ECB"/>
    <w:rsid w:val="00D63DAC"/>
    <w:rsid w:val="00D70032"/>
    <w:rsid w:val="00D95AA7"/>
    <w:rsid w:val="00DA37D1"/>
    <w:rsid w:val="00DB2797"/>
    <w:rsid w:val="00DB6360"/>
    <w:rsid w:val="00E3284B"/>
    <w:rsid w:val="00E476A6"/>
    <w:rsid w:val="00EA001D"/>
    <w:rsid w:val="00EF2AB9"/>
    <w:rsid w:val="00F64E9F"/>
    <w:rsid w:val="00F7655E"/>
    <w:rsid w:val="00FA11C5"/>
    <w:rsid w:val="00FB342E"/>
    <w:rsid w:val="00FB7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10"/>
    <w:pPr>
      <w:spacing w:after="0"/>
    </w:pPr>
  </w:style>
  <w:style w:type="paragraph" w:styleId="BalloonText">
    <w:name w:val="Balloon Text"/>
    <w:basedOn w:val="Normal"/>
    <w:link w:val="BalloonTextChar"/>
    <w:uiPriority w:val="99"/>
    <w:semiHidden/>
    <w:unhideWhenUsed/>
    <w:rsid w:val="00C73F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9F"/>
    <w:rPr>
      <w:rFonts w:ascii="Tahoma" w:hAnsi="Tahoma" w:cs="Tahoma"/>
      <w:sz w:val="16"/>
      <w:szCs w:val="16"/>
    </w:rPr>
  </w:style>
  <w:style w:type="character" w:styleId="Hyperlink">
    <w:name w:val="Hyperlink"/>
    <w:basedOn w:val="DefaultParagraphFont"/>
    <w:uiPriority w:val="99"/>
    <w:unhideWhenUsed/>
    <w:rsid w:val="00106ED1"/>
    <w:rPr>
      <w:color w:val="0000FF" w:themeColor="hyperlink"/>
      <w:u w:val="single"/>
    </w:rPr>
  </w:style>
  <w:style w:type="table" w:styleId="TableGrid">
    <w:name w:val="Table Grid"/>
    <w:basedOn w:val="TableNormal"/>
    <w:uiPriority w:val="59"/>
    <w:rsid w:val="001D10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10"/>
    <w:pPr>
      <w:spacing w:after="0"/>
    </w:pPr>
  </w:style>
  <w:style w:type="paragraph" w:styleId="BalloonText">
    <w:name w:val="Balloon Text"/>
    <w:basedOn w:val="Normal"/>
    <w:link w:val="BalloonTextChar"/>
    <w:uiPriority w:val="99"/>
    <w:semiHidden/>
    <w:unhideWhenUsed/>
    <w:rsid w:val="00C73F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F9F"/>
    <w:rPr>
      <w:rFonts w:ascii="Tahoma" w:hAnsi="Tahoma" w:cs="Tahoma"/>
      <w:sz w:val="16"/>
      <w:szCs w:val="16"/>
    </w:rPr>
  </w:style>
  <w:style w:type="character" w:styleId="Hyperlink">
    <w:name w:val="Hyperlink"/>
    <w:basedOn w:val="DefaultParagraphFont"/>
    <w:uiPriority w:val="99"/>
    <w:unhideWhenUsed/>
    <w:rsid w:val="00106ED1"/>
    <w:rPr>
      <w:color w:val="0000FF" w:themeColor="hyperlink"/>
      <w:u w:val="single"/>
    </w:rPr>
  </w:style>
  <w:style w:type="table" w:styleId="TableGrid">
    <w:name w:val="Table Grid"/>
    <w:basedOn w:val="TableNormal"/>
    <w:uiPriority w:val="59"/>
    <w:rsid w:val="001D107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00679">
      <w:bodyDiv w:val="1"/>
      <w:marLeft w:val="0"/>
      <w:marRight w:val="0"/>
      <w:marTop w:val="0"/>
      <w:marBottom w:val="0"/>
      <w:divBdr>
        <w:top w:val="none" w:sz="0" w:space="0" w:color="auto"/>
        <w:left w:val="none" w:sz="0" w:space="0" w:color="auto"/>
        <w:bottom w:val="none" w:sz="0" w:space="0" w:color="auto"/>
        <w:right w:val="none" w:sz="0" w:space="0" w:color="auto"/>
      </w:divBdr>
    </w:div>
    <w:div w:id="202443264">
      <w:bodyDiv w:val="1"/>
      <w:marLeft w:val="0"/>
      <w:marRight w:val="0"/>
      <w:marTop w:val="0"/>
      <w:marBottom w:val="0"/>
      <w:divBdr>
        <w:top w:val="none" w:sz="0" w:space="0" w:color="auto"/>
        <w:left w:val="none" w:sz="0" w:space="0" w:color="auto"/>
        <w:bottom w:val="none" w:sz="0" w:space="0" w:color="auto"/>
        <w:right w:val="none" w:sz="0" w:space="0" w:color="auto"/>
      </w:divBdr>
    </w:div>
    <w:div w:id="333805168">
      <w:bodyDiv w:val="1"/>
      <w:marLeft w:val="0"/>
      <w:marRight w:val="0"/>
      <w:marTop w:val="0"/>
      <w:marBottom w:val="0"/>
      <w:divBdr>
        <w:top w:val="none" w:sz="0" w:space="0" w:color="auto"/>
        <w:left w:val="none" w:sz="0" w:space="0" w:color="auto"/>
        <w:bottom w:val="none" w:sz="0" w:space="0" w:color="auto"/>
        <w:right w:val="none" w:sz="0" w:space="0" w:color="auto"/>
      </w:divBdr>
    </w:div>
    <w:div w:id="337928659">
      <w:bodyDiv w:val="1"/>
      <w:marLeft w:val="0"/>
      <w:marRight w:val="0"/>
      <w:marTop w:val="0"/>
      <w:marBottom w:val="0"/>
      <w:divBdr>
        <w:top w:val="none" w:sz="0" w:space="0" w:color="auto"/>
        <w:left w:val="none" w:sz="0" w:space="0" w:color="auto"/>
        <w:bottom w:val="none" w:sz="0" w:space="0" w:color="auto"/>
        <w:right w:val="none" w:sz="0" w:space="0" w:color="auto"/>
      </w:divBdr>
    </w:div>
    <w:div w:id="932318449">
      <w:bodyDiv w:val="1"/>
      <w:marLeft w:val="0"/>
      <w:marRight w:val="0"/>
      <w:marTop w:val="0"/>
      <w:marBottom w:val="0"/>
      <w:divBdr>
        <w:top w:val="none" w:sz="0" w:space="0" w:color="auto"/>
        <w:left w:val="none" w:sz="0" w:space="0" w:color="auto"/>
        <w:bottom w:val="none" w:sz="0" w:space="0" w:color="auto"/>
        <w:right w:val="none" w:sz="0" w:space="0" w:color="auto"/>
      </w:divBdr>
    </w:div>
    <w:div w:id="976035432">
      <w:bodyDiv w:val="1"/>
      <w:marLeft w:val="0"/>
      <w:marRight w:val="0"/>
      <w:marTop w:val="0"/>
      <w:marBottom w:val="0"/>
      <w:divBdr>
        <w:top w:val="none" w:sz="0" w:space="0" w:color="auto"/>
        <w:left w:val="none" w:sz="0" w:space="0" w:color="auto"/>
        <w:bottom w:val="none" w:sz="0" w:space="0" w:color="auto"/>
        <w:right w:val="none" w:sz="0" w:space="0" w:color="auto"/>
      </w:divBdr>
    </w:div>
    <w:div w:id="996811889">
      <w:bodyDiv w:val="1"/>
      <w:marLeft w:val="0"/>
      <w:marRight w:val="0"/>
      <w:marTop w:val="0"/>
      <w:marBottom w:val="0"/>
      <w:divBdr>
        <w:top w:val="none" w:sz="0" w:space="0" w:color="auto"/>
        <w:left w:val="none" w:sz="0" w:space="0" w:color="auto"/>
        <w:bottom w:val="none" w:sz="0" w:space="0" w:color="auto"/>
        <w:right w:val="none" w:sz="0" w:space="0" w:color="auto"/>
      </w:divBdr>
    </w:div>
    <w:div w:id="1339888822">
      <w:bodyDiv w:val="1"/>
      <w:marLeft w:val="0"/>
      <w:marRight w:val="0"/>
      <w:marTop w:val="0"/>
      <w:marBottom w:val="0"/>
      <w:divBdr>
        <w:top w:val="none" w:sz="0" w:space="0" w:color="auto"/>
        <w:left w:val="none" w:sz="0" w:space="0" w:color="auto"/>
        <w:bottom w:val="none" w:sz="0" w:space="0" w:color="auto"/>
        <w:right w:val="none" w:sz="0" w:space="0" w:color="auto"/>
      </w:divBdr>
    </w:div>
    <w:div w:id="1400396832">
      <w:bodyDiv w:val="1"/>
      <w:marLeft w:val="0"/>
      <w:marRight w:val="0"/>
      <w:marTop w:val="0"/>
      <w:marBottom w:val="0"/>
      <w:divBdr>
        <w:top w:val="none" w:sz="0" w:space="0" w:color="auto"/>
        <w:left w:val="none" w:sz="0" w:space="0" w:color="auto"/>
        <w:bottom w:val="none" w:sz="0" w:space="0" w:color="auto"/>
        <w:right w:val="none" w:sz="0" w:space="0" w:color="auto"/>
      </w:divBdr>
    </w:div>
    <w:div w:id="1710715468">
      <w:bodyDiv w:val="1"/>
      <w:marLeft w:val="0"/>
      <w:marRight w:val="0"/>
      <w:marTop w:val="0"/>
      <w:marBottom w:val="0"/>
      <w:divBdr>
        <w:top w:val="none" w:sz="0" w:space="0" w:color="auto"/>
        <w:left w:val="none" w:sz="0" w:space="0" w:color="auto"/>
        <w:bottom w:val="none" w:sz="0" w:space="0" w:color="auto"/>
        <w:right w:val="none" w:sz="0" w:space="0" w:color="auto"/>
      </w:divBdr>
    </w:div>
    <w:div w:id="1712270041">
      <w:bodyDiv w:val="1"/>
      <w:marLeft w:val="0"/>
      <w:marRight w:val="0"/>
      <w:marTop w:val="0"/>
      <w:marBottom w:val="0"/>
      <w:divBdr>
        <w:top w:val="none" w:sz="0" w:space="0" w:color="auto"/>
        <w:left w:val="none" w:sz="0" w:space="0" w:color="auto"/>
        <w:bottom w:val="none" w:sz="0" w:space="0" w:color="auto"/>
        <w:right w:val="none" w:sz="0" w:space="0" w:color="auto"/>
      </w:divBdr>
    </w:div>
    <w:div w:id="186046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22F3-7A54-4CBB-AB6C-9EF8674E4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3105</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CDC User</cp:lastModifiedBy>
  <cp:revision>3</cp:revision>
  <dcterms:created xsi:type="dcterms:W3CDTF">2012-11-01T13:10:00Z</dcterms:created>
  <dcterms:modified xsi:type="dcterms:W3CDTF">2012-11-01T13:32:00Z</dcterms:modified>
</cp:coreProperties>
</file>