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5A" w:rsidRPr="00C46440" w:rsidRDefault="00BB235A" w:rsidP="00BB235A">
      <w:pPr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  <w:r w:rsidRPr="00C46440">
        <w:rPr>
          <w:rFonts w:ascii="Times New Roman" w:hAnsi="Times New Roman"/>
          <w:b/>
          <w:sz w:val="24"/>
          <w:lang w:val="en-US"/>
        </w:rPr>
        <w:t>Table S1. Number of TBE cases reported in Poland, by province of residence, and provinces included in the study, Poland, 2004-2008.</w:t>
      </w:r>
    </w:p>
    <w:tbl>
      <w:tblPr>
        <w:tblW w:w="91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820"/>
        <w:gridCol w:w="820"/>
        <w:gridCol w:w="820"/>
        <w:gridCol w:w="820"/>
        <w:gridCol w:w="820"/>
        <w:gridCol w:w="1152"/>
        <w:gridCol w:w="1326"/>
      </w:tblGrid>
      <w:tr w:rsidR="00BB235A" w:rsidTr="0083536B">
        <w:trPr>
          <w:trHeight w:val="57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5-year </w:t>
            </w:r>
            <w:proofErr w:type="spellStart"/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Included</w:t>
            </w:r>
            <w:proofErr w:type="spellEnd"/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2009 </w:t>
            </w:r>
            <w:proofErr w:type="spellStart"/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Dolnoslaskie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5B798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No 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Lodzkie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Malopolskie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5B798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5B798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Slaskie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Swietokrzyskie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5B798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Warminsko</w:t>
            </w:r>
            <w:proofErr w:type="spellEnd"/>
            <w:r w:rsidRPr="005B7982">
              <w:rPr>
                <w:rFonts w:ascii="Arial" w:hAnsi="Arial" w:cs="Arial"/>
                <w:sz w:val="20"/>
                <w:szCs w:val="20"/>
              </w:rPr>
              <w:t>-mazurskie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2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5B798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B235A" w:rsidTr="0083536B">
        <w:trPr>
          <w:trHeight w:hRule="exact" w:val="301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POLAND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5A" w:rsidRPr="005B7982" w:rsidRDefault="00BB235A" w:rsidP="0083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98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BB235A" w:rsidRDefault="00BB235A" w:rsidP="00BB235A">
      <w:pPr>
        <w:rPr>
          <w:rFonts w:ascii="Times New Roman" w:hAnsi="Times New Roman"/>
          <w:sz w:val="20"/>
          <w:lang w:val="en-US"/>
        </w:rPr>
      </w:pPr>
      <w:r w:rsidRPr="005B7982">
        <w:rPr>
          <w:rFonts w:ascii="Times New Roman" w:hAnsi="Times New Roman"/>
          <w:sz w:val="20"/>
          <w:lang w:val="en-US"/>
        </w:rPr>
        <w:t>* Provinces included despite low incidence due to a parallel study during which all patients with aseptic CNS infection were tested for TBE (unpublished results)</w:t>
      </w:r>
    </w:p>
    <w:p w:rsidR="00D9143B" w:rsidRDefault="00D9143B"/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5A"/>
    <w:rsid w:val="00156438"/>
    <w:rsid w:val="002C6EAA"/>
    <w:rsid w:val="008636D7"/>
    <w:rsid w:val="00996023"/>
    <w:rsid w:val="00AF680A"/>
    <w:rsid w:val="00BB235A"/>
    <w:rsid w:val="00C759FA"/>
    <w:rsid w:val="00C826EF"/>
    <w:rsid w:val="00CC1121"/>
    <w:rsid w:val="00D91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B67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5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5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Company>University of Oxford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1</cp:revision>
  <dcterms:created xsi:type="dcterms:W3CDTF">2012-08-24T11:18:00Z</dcterms:created>
  <dcterms:modified xsi:type="dcterms:W3CDTF">2012-08-24T11:19:00Z</dcterms:modified>
</cp:coreProperties>
</file>