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6D" w:rsidRPr="0079616D" w:rsidRDefault="0079616D" w:rsidP="0079616D">
      <w:pPr>
        <w:widowControl w:val="0"/>
        <w:autoSpaceDE w:val="0"/>
        <w:autoSpaceDN w:val="0"/>
        <w:adjustRightInd w:val="0"/>
        <w:spacing w:line="276" w:lineRule="auto"/>
        <w:jc w:val="center"/>
        <w:outlineLvl w:val="0"/>
        <w:rPr>
          <w:rFonts w:ascii="Arial" w:eastAsia="Times New Roman" w:hAnsi="Arial" w:cs="Arial"/>
          <w:b/>
          <w:szCs w:val="24"/>
        </w:rPr>
      </w:pPr>
      <w:r w:rsidRPr="0079616D">
        <w:rPr>
          <w:rFonts w:ascii="Arial" w:hAnsi="Arial" w:cs="Arial"/>
          <w:b/>
          <w:szCs w:val="24"/>
        </w:rPr>
        <w:t xml:space="preserve">Alternative Language Abstract </w:t>
      </w:r>
      <w:r>
        <w:rPr>
          <w:rFonts w:ascii="Arial" w:hAnsi="Arial" w:cs="Arial"/>
          <w:b/>
          <w:szCs w:val="24"/>
        </w:rPr>
        <w:t>6</w:t>
      </w:r>
      <w:r w:rsidRPr="0079616D">
        <w:rPr>
          <w:rFonts w:ascii="Arial" w:hAnsi="Arial" w:cs="Arial"/>
          <w:b/>
          <w:szCs w:val="24"/>
        </w:rPr>
        <w:t xml:space="preserve">: </w:t>
      </w:r>
      <w:r>
        <w:rPr>
          <w:rFonts w:ascii="Arial" w:hAnsi="Arial" w:cs="Arial"/>
          <w:b/>
          <w:szCs w:val="24"/>
        </w:rPr>
        <w:t>Spanish</w:t>
      </w:r>
    </w:p>
    <w:p w:rsidR="00481EBB" w:rsidRPr="0079616D" w:rsidRDefault="00481EBB" w:rsidP="0079616D">
      <w:pPr>
        <w:widowControl w:val="0"/>
        <w:autoSpaceDE w:val="0"/>
        <w:autoSpaceDN w:val="0"/>
        <w:adjustRightInd w:val="0"/>
        <w:spacing w:line="276" w:lineRule="auto"/>
        <w:outlineLvl w:val="0"/>
        <w:rPr>
          <w:rFonts w:ascii="Arial" w:eastAsia="Times New Roman" w:hAnsi="Arial" w:cs="Arial"/>
          <w:b/>
          <w:szCs w:val="24"/>
        </w:rPr>
      </w:pPr>
      <w:r w:rsidRPr="0079616D">
        <w:rPr>
          <w:rFonts w:ascii="Arial" w:eastAsia="Times New Roman" w:hAnsi="Arial" w:cs="Arial"/>
          <w:b/>
          <w:szCs w:val="24"/>
        </w:rPr>
        <w:t>Translation of the abstract “Multidrug-resistant pulmonary tuberculosis treatment regimens and patient outcomes: an individual patient data meta-analysis of 9153 patients.” Into Spanish by authors</w:t>
      </w:r>
      <w:r w:rsidRPr="0079616D">
        <w:rPr>
          <w:rFonts w:ascii="Arial" w:eastAsia="Times New Roman" w:hAnsi="Arial" w:cs="Arial"/>
          <w:b/>
          <w:color w:val="000000"/>
          <w:szCs w:val="24"/>
        </w:rPr>
        <w:t xml:space="preserve"> Domingo </w:t>
      </w:r>
      <w:proofErr w:type="spellStart"/>
      <w:r w:rsidRPr="0079616D">
        <w:rPr>
          <w:rFonts w:ascii="Arial" w:eastAsia="Times New Roman" w:hAnsi="Arial" w:cs="Arial"/>
          <w:b/>
          <w:color w:val="000000"/>
          <w:szCs w:val="24"/>
        </w:rPr>
        <w:t>Palmero</w:t>
      </w:r>
      <w:proofErr w:type="spellEnd"/>
      <w:r w:rsidRPr="0079616D">
        <w:rPr>
          <w:rFonts w:ascii="Arial" w:eastAsia="Times New Roman" w:hAnsi="Arial" w:cs="Arial"/>
          <w:b/>
          <w:color w:val="000000"/>
          <w:szCs w:val="24"/>
        </w:rPr>
        <w:t xml:space="preserve">, Lourdes </w:t>
      </w:r>
      <w:proofErr w:type="spellStart"/>
      <w:r w:rsidRPr="0079616D">
        <w:rPr>
          <w:rFonts w:ascii="Arial" w:eastAsia="Times New Roman" w:hAnsi="Arial" w:cs="Arial"/>
          <w:b/>
          <w:color w:val="000000"/>
          <w:szCs w:val="24"/>
        </w:rPr>
        <w:t>García-García</w:t>
      </w:r>
      <w:proofErr w:type="spellEnd"/>
      <w:r w:rsidRPr="0079616D">
        <w:rPr>
          <w:rFonts w:ascii="Arial" w:eastAsia="Times New Roman" w:hAnsi="Arial" w:cs="Arial"/>
          <w:b/>
          <w:color w:val="000000"/>
          <w:szCs w:val="24"/>
        </w:rPr>
        <w:t xml:space="preserve">, Jose </w:t>
      </w:r>
      <w:proofErr w:type="spellStart"/>
      <w:r w:rsidRPr="0079616D">
        <w:rPr>
          <w:rFonts w:ascii="Arial" w:eastAsia="Times New Roman" w:hAnsi="Arial" w:cs="Arial"/>
          <w:b/>
          <w:color w:val="000000"/>
          <w:szCs w:val="24"/>
        </w:rPr>
        <w:t>Sifuentes-Osornio</w:t>
      </w:r>
      <w:proofErr w:type="spellEnd"/>
      <w:r w:rsidRPr="0079616D">
        <w:rPr>
          <w:rFonts w:ascii="Arial" w:eastAsia="Times New Roman" w:hAnsi="Arial" w:cs="Arial"/>
          <w:b/>
          <w:color w:val="000000"/>
          <w:szCs w:val="24"/>
        </w:rPr>
        <w:t xml:space="preserve">, Alfredo Ponce de Leon, Mario H Vargas and Carlos </w:t>
      </w:r>
      <w:proofErr w:type="spellStart"/>
      <w:r w:rsidRPr="0079616D">
        <w:rPr>
          <w:rFonts w:ascii="Arial" w:eastAsia="Times New Roman" w:hAnsi="Arial" w:cs="Arial"/>
          <w:b/>
          <w:color w:val="000000"/>
          <w:szCs w:val="24"/>
        </w:rPr>
        <w:t>Pèrez-Guzmán</w:t>
      </w:r>
      <w:proofErr w:type="spellEnd"/>
      <w:r w:rsidRPr="0079616D">
        <w:rPr>
          <w:rFonts w:ascii="Arial" w:eastAsia="Times New Roman" w:hAnsi="Arial" w:cs="Arial"/>
          <w:b/>
          <w:color w:val="000000"/>
          <w:szCs w:val="24"/>
        </w:rPr>
        <w:t>.</w:t>
      </w:r>
    </w:p>
    <w:p w:rsidR="00481EBB" w:rsidRPr="0079616D" w:rsidRDefault="00481EBB" w:rsidP="0079616D">
      <w:pPr>
        <w:widowControl w:val="0"/>
        <w:autoSpaceDE w:val="0"/>
        <w:autoSpaceDN w:val="0"/>
        <w:adjustRightInd w:val="0"/>
        <w:spacing w:line="276" w:lineRule="auto"/>
        <w:rPr>
          <w:rFonts w:ascii="Arial" w:eastAsia="Times New Roman" w:hAnsi="Arial" w:cs="Arial"/>
          <w:szCs w:val="24"/>
        </w:rPr>
      </w:pPr>
    </w:p>
    <w:p w:rsidR="00481EBB" w:rsidRPr="0079616D" w:rsidRDefault="00481EBB" w:rsidP="0079616D">
      <w:pPr>
        <w:widowControl w:val="0"/>
        <w:autoSpaceDE w:val="0"/>
        <w:autoSpaceDN w:val="0"/>
        <w:adjustRightInd w:val="0"/>
        <w:spacing w:line="276" w:lineRule="auto"/>
        <w:rPr>
          <w:rFonts w:ascii="Arial" w:eastAsia="Times New Roman" w:hAnsi="Arial" w:cs="Arial"/>
          <w:szCs w:val="24"/>
          <w:lang w:val="es-ES"/>
        </w:rPr>
      </w:pPr>
      <w:r w:rsidRPr="0079616D">
        <w:rPr>
          <w:rFonts w:ascii="Arial" w:eastAsia="Times New Roman" w:hAnsi="Arial" w:cs="Arial"/>
          <w:szCs w:val="24"/>
          <w:lang w:val="es-ES"/>
        </w:rPr>
        <w:t xml:space="preserve">Regímenes de tratamiento para la tuberculosis pulmonar </w:t>
      </w:r>
      <w:proofErr w:type="spellStart"/>
      <w:r w:rsidRPr="0079616D">
        <w:rPr>
          <w:rFonts w:ascii="Arial" w:eastAsia="Times New Roman" w:hAnsi="Arial" w:cs="Arial"/>
          <w:szCs w:val="24"/>
          <w:lang w:val="es-ES"/>
        </w:rPr>
        <w:t>multidrogorresistente</w:t>
      </w:r>
      <w:proofErr w:type="spellEnd"/>
      <w:r w:rsidRPr="0079616D">
        <w:rPr>
          <w:rFonts w:ascii="Arial" w:eastAsia="Times New Roman" w:hAnsi="Arial" w:cs="Arial"/>
          <w:szCs w:val="24"/>
          <w:lang w:val="es-ES"/>
        </w:rPr>
        <w:t xml:space="preserve"> y respuesta clínica: </w:t>
      </w:r>
      <w:proofErr w:type="spellStart"/>
      <w:r w:rsidRPr="0079616D">
        <w:rPr>
          <w:rFonts w:ascii="Arial" w:eastAsia="Times New Roman" w:hAnsi="Arial" w:cs="Arial"/>
          <w:szCs w:val="24"/>
          <w:lang w:val="es-ES"/>
        </w:rPr>
        <w:t>metaanálisis</w:t>
      </w:r>
      <w:proofErr w:type="spellEnd"/>
      <w:r w:rsidRPr="0079616D">
        <w:rPr>
          <w:rFonts w:ascii="Arial" w:eastAsia="Times New Roman" w:hAnsi="Arial" w:cs="Arial"/>
          <w:szCs w:val="24"/>
          <w:lang w:val="es-ES"/>
        </w:rPr>
        <w:t xml:space="preserve"> de datos individuales de 9153 pacientes</w:t>
      </w:r>
    </w:p>
    <w:p w:rsidR="001B5EC2" w:rsidRPr="0079616D" w:rsidRDefault="001B5EC2" w:rsidP="0079616D">
      <w:pPr>
        <w:widowControl w:val="0"/>
        <w:autoSpaceDE w:val="0"/>
        <w:autoSpaceDN w:val="0"/>
        <w:adjustRightInd w:val="0"/>
        <w:spacing w:line="276" w:lineRule="auto"/>
        <w:rPr>
          <w:rFonts w:ascii="Arial" w:eastAsia="Times New Roman" w:hAnsi="Arial" w:cs="Arial"/>
          <w:szCs w:val="24"/>
          <w:lang w:val="es-ES"/>
        </w:rPr>
      </w:pPr>
    </w:p>
    <w:p w:rsidR="00481EBB" w:rsidRPr="0079616D" w:rsidRDefault="00481EBB" w:rsidP="0079616D">
      <w:pPr>
        <w:widowControl w:val="0"/>
        <w:autoSpaceDE w:val="0"/>
        <w:autoSpaceDN w:val="0"/>
        <w:adjustRightInd w:val="0"/>
        <w:spacing w:line="276" w:lineRule="auto"/>
        <w:rPr>
          <w:rFonts w:ascii="Arial" w:eastAsia="Times New Roman" w:hAnsi="Arial" w:cs="Arial"/>
          <w:szCs w:val="24"/>
          <w:lang w:val="es-ES"/>
        </w:rPr>
      </w:pPr>
      <w:r w:rsidRPr="0079616D">
        <w:rPr>
          <w:rFonts w:ascii="Arial" w:eastAsia="Times New Roman" w:hAnsi="Arial" w:cs="Arial"/>
          <w:szCs w:val="24"/>
          <w:lang w:val="es-ES"/>
        </w:rPr>
        <w:t xml:space="preserve">“Grupo Colaborativo para el </w:t>
      </w:r>
      <w:proofErr w:type="spellStart"/>
      <w:r w:rsidRPr="0079616D">
        <w:rPr>
          <w:rFonts w:ascii="Arial" w:eastAsia="Times New Roman" w:hAnsi="Arial" w:cs="Arial"/>
          <w:szCs w:val="24"/>
          <w:lang w:val="es-ES"/>
        </w:rPr>
        <w:t>Metaanálisis</w:t>
      </w:r>
      <w:proofErr w:type="spellEnd"/>
      <w:r w:rsidRPr="0079616D">
        <w:rPr>
          <w:rFonts w:ascii="Arial" w:eastAsia="Times New Roman" w:hAnsi="Arial" w:cs="Arial"/>
          <w:szCs w:val="24"/>
          <w:lang w:val="es-ES"/>
        </w:rPr>
        <w:t xml:space="preserve"> de Datos Individuales de Pacientes con TBMDR” </w:t>
      </w:r>
    </w:p>
    <w:p w:rsidR="00481EBB" w:rsidRPr="0079616D" w:rsidRDefault="00481EBB" w:rsidP="0079616D">
      <w:pPr>
        <w:widowControl w:val="0"/>
        <w:autoSpaceDE w:val="0"/>
        <w:autoSpaceDN w:val="0"/>
        <w:adjustRightInd w:val="0"/>
        <w:spacing w:line="276" w:lineRule="auto"/>
        <w:rPr>
          <w:rFonts w:ascii="Arial" w:eastAsia="Times New Roman" w:hAnsi="Arial" w:cs="Arial"/>
          <w:szCs w:val="24"/>
          <w:lang w:val="es-ES"/>
        </w:rPr>
      </w:pPr>
      <w:r w:rsidRPr="0079616D">
        <w:rPr>
          <w:rFonts w:ascii="Arial" w:eastAsia="Times New Roman" w:hAnsi="Arial" w:cs="Arial"/>
          <w:szCs w:val="24"/>
          <w:lang w:val="es-ES"/>
        </w:rPr>
        <w:t>Miembros (en orden alfabético):</w:t>
      </w:r>
    </w:p>
    <w:p w:rsidR="00481EBB" w:rsidRPr="0079616D" w:rsidRDefault="00481EBB" w:rsidP="0079616D">
      <w:pPr>
        <w:widowControl w:val="0"/>
        <w:autoSpaceDE w:val="0"/>
        <w:autoSpaceDN w:val="0"/>
        <w:adjustRightInd w:val="0"/>
        <w:spacing w:line="276" w:lineRule="auto"/>
        <w:rPr>
          <w:rFonts w:ascii="Arial" w:eastAsia="Times New Roman" w:hAnsi="Arial" w:cs="Arial"/>
          <w:szCs w:val="24"/>
          <w:lang w:val="fr-FR"/>
        </w:rPr>
      </w:pPr>
    </w:p>
    <w:p w:rsidR="00481EBB" w:rsidRPr="0079616D" w:rsidRDefault="00481EBB" w:rsidP="0079616D">
      <w:pPr>
        <w:widowControl w:val="0"/>
        <w:autoSpaceDE w:val="0"/>
        <w:autoSpaceDN w:val="0"/>
        <w:adjustRightInd w:val="0"/>
        <w:spacing w:line="276" w:lineRule="auto"/>
        <w:outlineLvl w:val="0"/>
        <w:rPr>
          <w:rFonts w:ascii="Arial" w:eastAsia="Times New Roman" w:hAnsi="Arial" w:cs="Arial"/>
          <w:szCs w:val="24"/>
          <w:lang w:val="fr-FR"/>
        </w:rPr>
      </w:pPr>
      <w:proofErr w:type="spellStart"/>
      <w:r w:rsidRPr="0079616D">
        <w:rPr>
          <w:rFonts w:ascii="Arial" w:eastAsia="Times New Roman" w:hAnsi="Arial" w:cs="Arial"/>
          <w:szCs w:val="24"/>
          <w:u w:val="single"/>
          <w:lang w:val="fr-FR"/>
        </w:rPr>
        <w:t>Resumen</w:t>
      </w:r>
      <w:proofErr w:type="spellEnd"/>
      <w:r w:rsidRPr="0079616D">
        <w:rPr>
          <w:rFonts w:ascii="Arial" w:eastAsia="Times New Roman" w:hAnsi="Arial" w:cs="Arial"/>
          <w:szCs w:val="24"/>
          <w:u w:val="single"/>
          <w:lang w:val="fr-FR"/>
        </w:rPr>
        <w:t>:</w:t>
      </w:r>
      <w:r w:rsidRPr="0079616D">
        <w:rPr>
          <w:rFonts w:ascii="Arial" w:eastAsia="Times New Roman" w:hAnsi="Arial" w:cs="Arial"/>
          <w:szCs w:val="24"/>
          <w:lang w:val="fr-FR"/>
        </w:rPr>
        <w:t xml:space="preserve"> </w:t>
      </w:r>
    </w:p>
    <w:p w:rsidR="00481EBB" w:rsidRPr="0079616D" w:rsidRDefault="00481EBB" w:rsidP="0079616D">
      <w:pPr>
        <w:widowControl w:val="0"/>
        <w:autoSpaceDE w:val="0"/>
        <w:autoSpaceDN w:val="0"/>
        <w:adjustRightInd w:val="0"/>
        <w:spacing w:line="276" w:lineRule="auto"/>
        <w:rPr>
          <w:rFonts w:ascii="Arial" w:eastAsia="Times New Roman" w:hAnsi="Arial" w:cs="Arial"/>
          <w:szCs w:val="24"/>
          <w:lang w:val="es-ES"/>
        </w:rPr>
      </w:pPr>
      <w:r w:rsidRPr="0079616D">
        <w:rPr>
          <w:rFonts w:ascii="Arial" w:eastAsia="Times New Roman" w:hAnsi="Arial" w:cs="Arial"/>
          <w:szCs w:val="24"/>
          <w:lang w:val="es-ES"/>
        </w:rPr>
        <w:t xml:space="preserve">Antecedentes: El tratamiento de la tuberculosis </w:t>
      </w:r>
      <w:proofErr w:type="spellStart"/>
      <w:r w:rsidRPr="0079616D">
        <w:rPr>
          <w:rFonts w:ascii="Arial" w:eastAsia="Times New Roman" w:hAnsi="Arial" w:cs="Arial"/>
          <w:szCs w:val="24"/>
          <w:lang w:val="es-ES"/>
        </w:rPr>
        <w:t>multidrogorresistente</w:t>
      </w:r>
      <w:proofErr w:type="spellEnd"/>
      <w:r w:rsidRPr="0079616D">
        <w:rPr>
          <w:rFonts w:ascii="Arial" w:eastAsia="Times New Roman" w:hAnsi="Arial" w:cs="Arial"/>
          <w:szCs w:val="24"/>
          <w:lang w:val="es-ES"/>
        </w:rPr>
        <w:t xml:space="preserve"> (TBMDR) es prolongado, tóxico, costoso y en general tiene pobres resultados. Realizamos un </w:t>
      </w:r>
      <w:proofErr w:type="spellStart"/>
      <w:r w:rsidRPr="0079616D">
        <w:rPr>
          <w:rFonts w:ascii="Arial" w:eastAsia="Times New Roman" w:hAnsi="Arial" w:cs="Arial"/>
          <w:szCs w:val="24"/>
          <w:lang w:val="es-ES"/>
        </w:rPr>
        <w:t>metaanálisis</w:t>
      </w:r>
      <w:proofErr w:type="spellEnd"/>
      <w:r w:rsidRPr="0079616D">
        <w:rPr>
          <w:rFonts w:ascii="Arial" w:eastAsia="Times New Roman" w:hAnsi="Arial" w:cs="Arial"/>
          <w:szCs w:val="24"/>
          <w:lang w:val="es-ES"/>
        </w:rPr>
        <w:t xml:space="preserve"> de datos individuales de pacientes para evaluar el impacto que tienen el tipo, número y tiempo de uso de los fármacos utilizados para tratar la TBMDR sobre los resultados del tratamiento.  </w:t>
      </w:r>
    </w:p>
    <w:p w:rsidR="00481EBB" w:rsidRPr="0079616D" w:rsidRDefault="00481EBB" w:rsidP="0079616D">
      <w:pPr>
        <w:widowControl w:val="0"/>
        <w:autoSpaceDE w:val="0"/>
        <w:autoSpaceDN w:val="0"/>
        <w:adjustRightInd w:val="0"/>
        <w:spacing w:line="276" w:lineRule="auto"/>
        <w:rPr>
          <w:rFonts w:ascii="Arial" w:eastAsia="Times New Roman" w:hAnsi="Arial" w:cs="Arial"/>
          <w:szCs w:val="24"/>
          <w:lang w:val="es-ES"/>
        </w:rPr>
      </w:pPr>
      <w:r w:rsidRPr="0079616D">
        <w:rPr>
          <w:rFonts w:ascii="Arial" w:eastAsia="Times New Roman" w:hAnsi="Arial" w:cs="Arial"/>
          <w:szCs w:val="24"/>
          <w:lang w:val="es-ES"/>
        </w:rPr>
        <w:t xml:space="preserve">Métodos: Se utilizaron tres revisiones sistemáticas recientes para identificar estudios que reportaran resultados del tratamiento de TBMDR confirmada microbiológicamente. Los autores de los estudios fueron contactados para solicitar los datos individuales de los pacientes, incluyendo características clínicas,  tratamientos administrados y desenlaces. A través de </w:t>
      </w:r>
      <w:proofErr w:type="spellStart"/>
      <w:r w:rsidRPr="0079616D">
        <w:rPr>
          <w:rFonts w:ascii="Arial" w:eastAsia="Times New Roman" w:hAnsi="Arial" w:cs="Arial"/>
          <w:szCs w:val="24"/>
          <w:lang w:val="es-ES"/>
        </w:rPr>
        <w:t>metarregresión</w:t>
      </w:r>
      <w:proofErr w:type="spellEnd"/>
      <w:r w:rsidRPr="0079616D">
        <w:rPr>
          <w:rFonts w:ascii="Arial" w:eastAsia="Times New Roman" w:hAnsi="Arial" w:cs="Arial"/>
          <w:szCs w:val="24"/>
          <w:lang w:val="es-ES"/>
        </w:rPr>
        <w:t xml:space="preserve"> logística </w:t>
      </w:r>
      <w:proofErr w:type="spellStart"/>
      <w:r w:rsidRPr="0079616D">
        <w:rPr>
          <w:rFonts w:ascii="Arial" w:eastAsia="Times New Roman" w:hAnsi="Arial" w:cs="Arial"/>
          <w:szCs w:val="24"/>
          <w:lang w:val="es-ES"/>
        </w:rPr>
        <w:t>multivariada</w:t>
      </w:r>
      <w:proofErr w:type="spellEnd"/>
      <w:r w:rsidRPr="0079616D">
        <w:rPr>
          <w:rFonts w:ascii="Arial" w:eastAsia="Times New Roman" w:hAnsi="Arial" w:cs="Arial"/>
          <w:szCs w:val="24"/>
          <w:lang w:val="es-ES"/>
        </w:rPr>
        <w:t xml:space="preserve"> se estimaron los momios ajustados de éxito del tratamiento.  </w:t>
      </w:r>
    </w:p>
    <w:p w:rsidR="00481EBB" w:rsidRPr="0079616D" w:rsidRDefault="00481EBB" w:rsidP="0079616D">
      <w:pPr>
        <w:widowControl w:val="0"/>
        <w:autoSpaceDE w:val="0"/>
        <w:autoSpaceDN w:val="0"/>
        <w:adjustRightInd w:val="0"/>
        <w:spacing w:line="276" w:lineRule="auto"/>
        <w:rPr>
          <w:rFonts w:ascii="Arial" w:eastAsia="Times New Roman" w:hAnsi="Arial" w:cs="Arial"/>
          <w:szCs w:val="24"/>
          <w:lang w:val="es-ES"/>
        </w:rPr>
      </w:pPr>
      <w:r w:rsidRPr="0079616D">
        <w:rPr>
          <w:rFonts w:ascii="Arial" w:eastAsia="Times New Roman" w:hAnsi="Arial" w:cs="Arial"/>
          <w:szCs w:val="24"/>
          <w:lang w:val="es-ES"/>
        </w:rPr>
        <w:t xml:space="preserve">Resultados: Se obtuvieron datos adecuados acerca del tratamiento y resultado de 9153 pacientes con TBMDR provenientes de 32 estudios observacionales. El éxito del tratamiento, comparado con fracaso/recaída, estuvo asociado con el uso de: </w:t>
      </w:r>
      <w:proofErr w:type="spellStart"/>
      <w:r w:rsidRPr="0079616D">
        <w:rPr>
          <w:rFonts w:ascii="Arial" w:eastAsia="Times New Roman" w:hAnsi="Arial" w:cs="Arial"/>
          <w:szCs w:val="24"/>
          <w:lang w:val="es-ES"/>
        </w:rPr>
        <w:t>quinolonas</w:t>
      </w:r>
      <w:proofErr w:type="spellEnd"/>
      <w:r w:rsidRPr="0079616D">
        <w:rPr>
          <w:rFonts w:ascii="Arial" w:eastAsia="Times New Roman" w:hAnsi="Arial" w:cs="Arial"/>
          <w:szCs w:val="24"/>
          <w:lang w:val="es-ES"/>
        </w:rPr>
        <w:t xml:space="preserve"> de generaciones recientes [razón de momios ajustada (</w:t>
      </w:r>
      <w:proofErr w:type="spellStart"/>
      <w:r w:rsidRPr="0079616D">
        <w:rPr>
          <w:rFonts w:ascii="Arial" w:eastAsia="Times New Roman" w:hAnsi="Arial" w:cs="Arial"/>
          <w:szCs w:val="24"/>
          <w:lang w:val="es-ES"/>
        </w:rPr>
        <w:t>aOR</w:t>
      </w:r>
      <w:proofErr w:type="spellEnd"/>
      <w:r w:rsidRPr="0079616D">
        <w:rPr>
          <w:rFonts w:ascii="Arial" w:eastAsia="Times New Roman" w:hAnsi="Arial" w:cs="Arial"/>
          <w:szCs w:val="24"/>
          <w:lang w:val="es-ES"/>
        </w:rPr>
        <w:t xml:space="preserve">): 2.5 (intervalo de confianza al 95%: 1.1, 6.0)], </w:t>
      </w:r>
      <w:proofErr w:type="spellStart"/>
      <w:r w:rsidRPr="0079616D">
        <w:rPr>
          <w:rFonts w:ascii="Arial" w:eastAsia="Times New Roman" w:hAnsi="Arial" w:cs="Arial"/>
          <w:szCs w:val="24"/>
          <w:lang w:val="es-ES"/>
        </w:rPr>
        <w:t>ofloxacina</w:t>
      </w:r>
      <w:proofErr w:type="spellEnd"/>
      <w:r w:rsidRPr="0079616D">
        <w:rPr>
          <w:rFonts w:ascii="Arial" w:eastAsia="Times New Roman" w:hAnsi="Arial" w:cs="Arial"/>
          <w:szCs w:val="24"/>
          <w:lang w:val="es-ES"/>
        </w:rPr>
        <w:t xml:space="preserve"> [</w:t>
      </w:r>
      <w:proofErr w:type="spellStart"/>
      <w:r w:rsidRPr="0079616D">
        <w:rPr>
          <w:rFonts w:ascii="Arial" w:eastAsia="Times New Roman" w:hAnsi="Arial" w:cs="Arial"/>
          <w:szCs w:val="24"/>
          <w:lang w:val="es-ES"/>
        </w:rPr>
        <w:t>aOR</w:t>
      </w:r>
      <w:proofErr w:type="spellEnd"/>
      <w:r w:rsidRPr="0079616D">
        <w:rPr>
          <w:rFonts w:ascii="Arial" w:eastAsia="Times New Roman" w:hAnsi="Arial" w:cs="Arial"/>
          <w:szCs w:val="24"/>
          <w:lang w:val="es-ES"/>
        </w:rPr>
        <w:t xml:space="preserve">: 2.5 (1.6, 3.9)], </w:t>
      </w:r>
      <w:proofErr w:type="spellStart"/>
      <w:r w:rsidRPr="0079616D">
        <w:rPr>
          <w:rFonts w:ascii="Arial" w:eastAsia="Times New Roman" w:hAnsi="Arial" w:cs="Arial"/>
          <w:szCs w:val="24"/>
          <w:lang w:val="es-ES"/>
        </w:rPr>
        <w:t>etionamida</w:t>
      </w:r>
      <w:proofErr w:type="spellEnd"/>
      <w:r w:rsidRPr="0079616D">
        <w:rPr>
          <w:rFonts w:ascii="Arial" w:eastAsia="Times New Roman" w:hAnsi="Arial" w:cs="Arial"/>
          <w:szCs w:val="24"/>
          <w:lang w:val="es-ES"/>
        </w:rPr>
        <w:t xml:space="preserve"> o </w:t>
      </w:r>
      <w:proofErr w:type="spellStart"/>
      <w:r w:rsidRPr="0079616D">
        <w:rPr>
          <w:rFonts w:ascii="Arial" w:eastAsia="Times New Roman" w:hAnsi="Arial" w:cs="Arial"/>
          <w:szCs w:val="24"/>
          <w:lang w:val="es-ES"/>
        </w:rPr>
        <w:t>protionamida</w:t>
      </w:r>
      <w:proofErr w:type="spellEnd"/>
      <w:r w:rsidRPr="0079616D">
        <w:rPr>
          <w:rFonts w:ascii="Arial" w:eastAsia="Times New Roman" w:hAnsi="Arial" w:cs="Arial"/>
          <w:szCs w:val="24"/>
          <w:lang w:val="es-ES"/>
        </w:rPr>
        <w:t xml:space="preserve"> [</w:t>
      </w:r>
      <w:proofErr w:type="spellStart"/>
      <w:r w:rsidRPr="0079616D">
        <w:rPr>
          <w:rFonts w:ascii="Arial" w:eastAsia="Times New Roman" w:hAnsi="Arial" w:cs="Arial"/>
          <w:szCs w:val="24"/>
          <w:lang w:val="es-ES"/>
        </w:rPr>
        <w:t>aOR</w:t>
      </w:r>
      <w:proofErr w:type="spellEnd"/>
      <w:r w:rsidRPr="0079616D">
        <w:rPr>
          <w:rFonts w:ascii="Arial" w:eastAsia="Times New Roman" w:hAnsi="Arial" w:cs="Arial"/>
          <w:szCs w:val="24"/>
          <w:lang w:val="es-ES"/>
        </w:rPr>
        <w:t xml:space="preserve">: 1.7 (1.3, 2.3)], cuatro o más drogas </w:t>
      </w:r>
      <w:r w:rsidRPr="0079616D">
        <w:rPr>
          <w:rFonts w:ascii="Arial" w:eastAsia="Times New Roman" w:hAnsi="Arial" w:cs="Arial"/>
          <w:szCs w:val="24"/>
          <w:lang w:val="es-ES"/>
        </w:rPr>
        <w:lastRenderedPageBreak/>
        <w:t>posiblemente eficaces en la fase intensiva inicial [</w:t>
      </w:r>
      <w:proofErr w:type="spellStart"/>
      <w:r w:rsidRPr="0079616D">
        <w:rPr>
          <w:rFonts w:ascii="Arial" w:eastAsia="Times New Roman" w:hAnsi="Arial" w:cs="Arial"/>
          <w:szCs w:val="24"/>
          <w:lang w:val="es-ES"/>
        </w:rPr>
        <w:t>aOR</w:t>
      </w:r>
      <w:proofErr w:type="spellEnd"/>
      <w:r w:rsidRPr="0079616D">
        <w:rPr>
          <w:rFonts w:ascii="Arial" w:eastAsia="Times New Roman" w:hAnsi="Arial" w:cs="Arial"/>
          <w:szCs w:val="24"/>
          <w:lang w:val="es-ES"/>
        </w:rPr>
        <w:t>: 2.3 (1.3, 3.9)] y tres o más drogas posiblemente eficaces en la fase de continuación [</w:t>
      </w:r>
      <w:proofErr w:type="spellStart"/>
      <w:r w:rsidRPr="0079616D">
        <w:rPr>
          <w:rFonts w:ascii="Arial" w:eastAsia="Times New Roman" w:hAnsi="Arial" w:cs="Arial"/>
          <w:szCs w:val="24"/>
          <w:lang w:val="es-ES"/>
        </w:rPr>
        <w:t>aOR</w:t>
      </w:r>
      <w:proofErr w:type="spellEnd"/>
      <w:r w:rsidRPr="0079616D">
        <w:rPr>
          <w:rFonts w:ascii="Arial" w:eastAsia="Times New Roman" w:hAnsi="Arial" w:cs="Arial"/>
          <w:szCs w:val="24"/>
          <w:lang w:val="es-ES"/>
        </w:rPr>
        <w:t xml:space="preserve">: 2.7 (1.7, 4.1)]. Resultados similares fueron observados para la asociación de éxito del tratamiento comparado con fracaso/recaída o muerte: </w:t>
      </w:r>
      <w:proofErr w:type="spellStart"/>
      <w:r w:rsidRPr="0079616D">
        <w:rPr>
          <w:rFonts w:ascii="Arial" w:eastAsia="Times New Roman" w:hAnsi="Arial" w:cs="Arial"/>
          <w:szCs w:val="24"/>
          <w:lang w:val="es-ES"/>
        </w:rPr>
        <w:t>quinolonas</w:t>
      </w:r>
      <w:proofErr w:type="spellEnd"/>
      <w:r w:rsidRPr="0079616D">
        <w:rPr>
          <w:rFonts w:ascii="Arial" w:eastAsia="Times New Roman" w:hAnsi="Arial" w:cs="Arial"/>
          <w:szCs w:val="24"/>
          <w:lang w:val="es-ES"/>
        </w:rPr>
        <w:t xml:space="preserve"> de generaciones recientes [</w:t>
      </w:r>
      <w:proofErr w:type="spellStart"/>
      <w:r w:rsidRPr="0079616D">
        <w:rPr>
          <w:rFonts w:ascii="Arial" w:eastAsia="Times New Roman" w:hAnsi="Arial" w:cs="Arial"/>
          <w:szCs w:val="24"/>
          <w:lang w:val="es-ES"/>
        </w:rPr>
        <w:t>aOR</w:t>
      </w:r>
      <w:proofErr w:type="spellEnd"/>
      <w:r w:rsidRPr="0079616D">
        <w:rPr>
          <w:rFonts w:ascii="Arial" w:eastAsia="Times New Roman" w:hAnsi="Arial" w:cs="Arial"/>
          <w:szCs w:val="24"/>
          <w:lang w:val="es-ES"/>
        </w:rPr>
        <w:t xml:space="preserve">: 2.7 (1.7, 4.3)], </w:t>
      </w:r>
      <w:proofErr w:type="spellStart"/>
      <w:r w:rsidRPr="0079616D">
        <w:rPr>
          <w:rFonts w:ascii="Arial" w:eastAsia="Times New Roman" w:hAnsi="Arial" w:cs="Arial"/>
          <w:szCs w:val="24"/>
          <w:lang w:val="es-ES"/>
        </w:rPr>
        <w:t>ofloxacina</w:t>
      </w:r>
      <w:proofErr w:type="spellEnd"/>
      <w:r w:rsidRPr="0079616D">
        <w:rPr>
          <w:rFonts w:ascii="Arial" w:eastAsia="Times New Roman" w:hAnsi="Arial" w:cs="Arial"/>
          <w:szCs w:val="24"/>
          <w:lang w:val="es-ES"/>
        </w:rPr>
        <w:t xml:space="preserve"> [</w:t>
      </w:r>
      <w:proofErr w:type="spellStart"/>
      <w:r w:rsidRPr="0079616D">
        <w:rPr>
          <w:rFonts w:ascii="Arial" w:eastAsia="Times New Roman" w:hAnsi="Arial" w:cs="Arial"/>
          <w:szCs w:val="24"/>
          <w:lang w:val="es-ES"/>
        </w:rPr>
        <w:t>aOR</w:t>
      </w:r>
      <w:proofErr w:type="spellEnd"/>
      <w:r w:rsidRPr="0079616D">
        <w:rPr>
          <w:rFonts w:ascii="Arial" w:eastAsia="Times New Roman" w:hAnsi="Arial" w:cs="Arial"/>
          <w:szCs w:val="24"/>
          <w:lang w:val="es-ES"/>
        </w:rPr>
        <w:t xml:space="preserve">: 2.3 (1.3, 3.8)], </w:t>
      </w:r>
      <w:proofErr w:type="spellStart"/>
      <w:r w:rsidRPr="0079616D">
        <w:rPr>
          <w:rFonts w:ascii="Arial" w:eastAsia="Times New Roman" w:hAnsi="Arial" w:cs="Arial"/>
          <w:szCs w:val="24"/>
          <w:lang w:val="es-ES"/>
        </w:rPr>
        <w:t>etionamida</w:t>
      </w:r>
      <w:proofErr w:type="spellEnd"/>
      <w:r w:rsidRPr="0079616D">
        <w:rPr>
          <w:rFonts w:ascii="Arial" w:eastAsia="Times New Roman" w:hAnsi="Arial" w:cs="Arial"/>
          <w:szCs w:val="24"/>
          <w:lang w:val="es-ES"/>
        </w:rPr>
        <w:t xml:space="preserve"> o </w:t>
      </w:r>
      <w:proofErr w:type="spellStart"/>
      <w:r w:rsidRPr="0079616D">
        <w:rPr>
          <w:rFonts w:ascii="Arial" w:eastAsia="Times New Roman" w:hAnsi="Arial" w:cs="Arial"/>
          <w:szCs w:val="24"/>
          <w:lang w:val="es-ES"/>
        </w:rPr>
        <w:t>protionamida</w:t>
      </w:r>
      <w:proofErr w:type="spellEnd"/>
      <w:r w:rsidRPr="0079616D">
        <w:rPr>
          <w:rFonts w:ascii="Arial" w:eastAsia="Times New Roman" w:hAnsi="Arial" w:cs="Arial"/>
          <w:szCs w:val="24"/>
          <w:lang w:val="es-ES"/>
        </w:rPr>
        <w:t xml:space="preserve"> [</w:t>
      </w:r>
      <w:proofErr w:type="spellStart"/>
      <w:r w:rsidRPr="0079616D">
        <w:rPr>
          <w:rFonts w:ascii="Arial" w:eastAsia="Times New Roman" w:hAnsi="Arial" w:cs="Arial"/>
          <w:szCs w:val="24"/>
          <w:lang w:val="es-ES"/>
        </w:rPr>
        <w:t>aOR</w:t>
      </w:r>
      <w:proofErr w:type="spellEnd"/>
      <w:r w:rsidRPr="0079616D">
        <w:rPr>
          <w:rFonts w:ascii="Arial" w:eastAsia="Times New Roman" w:hAnsi="Arial" w:cs="Arial"/>
          <w:szCs w:val="24"/>
          <w:lang w:val="es-ES"/>
        </w:rPr>
        <w:t>: 1.7 (1.4, 2.1)], cuatro o más drogas posiblemente eficaces en la fase intensiva inicial [</w:t>
      </w:r>
      <w:proofErr w:type="spellStart"/>
      <w:r w:rsidRPr="0079616D">
        <w:rPr>
          <w:rFonts w:ascii="Arial" w:eastAsia="Times New Roman" w:hAnsi="Arial" w:cs="Arial"/>
          <w:szCs w:val="24"/>
          <w:lang w:val="es-ES"/>
        </w:rPr>
        <w:t>aOR</w:t>
      </w:r>
      <w:proofErr w:type="spellEnd"/>
      <w:r w:rsidRPr="0079616D">
        <w:rPr>
          <w:rFonts w:ascii="Arial" w:eastAsia="Times New Roman" w:hAnsi="Arial" w:cs="Arial"/>
          <w:szCs w:val="24"/>
          <w:lang w:val="es-ES"/>
        </w:rPr>
        <w:t>: 2.7 (1.9, 3.9)] y tres o más drogas posiblemente eficaces en la fase de continuación [</w:t>
      </w:r>
      <w:proofErr w:type="spellStart"/>
      <w:r w:rsidRPr="0079616D">
        <w:rPr>
          <w:rFonts w:ascii="Arial" w:eastAsia="Times New Roman" w:hAnsi="Arial" w:cs="Arial"/>
          <w:szCs w:val="24"/>
          <w:lang w:val="es-ES"/>
        </w:rPr>
        <w:t>aOR</w:t>
      </w:r>
      <w:proofErr w:type="spellEnd"/>
      <w:r w:rsidRPr="0079616D">
        <w:rPr>
          <w:rFonts w:ascii="Arial" w:eastAsia="Times New Roman" w:hAnsi="Arial" w:cs="Arial"/>
          <w:szCs w:val="24"/>
          <w:lang w:val="es-ES"/>
        </w:rPr>
        <w:t>: 4.5 (3.4, 6.0)].</w:t>
      </w:r>
    </w:p>
    <w:p w:rsidR="00481EBB" w:rsidRPr="0079616D" w:rsidRDefault="00481EBB" w:rsidP="0079616D">
      <w:pPr>
        <w:widowControl w:val="0"/>
        <w:autoSpaceDE w:val="0"/>
        <w:autoSpaceDN w:val="0"/>
        <w:adjustRightInd w:val="0"/>
        <w:spacing w:line="276" w:lineRule="auto"/>
        <w:rPr>
          <w:rFonts w:ascii="Arial" w:eastAsia="Times New Roman" w:hAnsi="Arial" w:cs="Arial"/>
          <w:szCs w:val="24"/>
          <w:lang w:val="es-ES"/>
        </w:rPr>
      </w:pPr>
      <w:r w:rsidRPr="0079616D">
        <w:rPr>
          <w:rFonts w:ascii="Arial" w:eastAsia="Times New Roman" w:hAnsi="Arial" w:cs="Arial"/>
          <w:szCs w:val="24"/>
          <w:lang w:val="es-ES"/>
        </w:rPr>
        <w:t xml:space="preserve">Conclusiones: En este </w:t>
      </w:r>
      <w:proofErr w:type="spellStart"/>
      <w:r w:rsidRPr="0079616D">
        <w:rPr>
          <w:rFonts w:ascii="Arial" w:eastAsia="Times New Roman" w:hAnsi="Arial" w:cs="Arial"/>
          <w:szCs w:val="24"/>
          <w:lang w:val="es-ES"/>
        </w:rPr>
        <w:t>metaanálisis</w:t>
      </w:r>
      <w:proofErr w:type="spellEnd"/>
      <w:r w:rsidRPr="0079616D">
        <w:rPr>
          <w:rFonts w:ascii="Arial" w:eastAsia="Times New Roman" w:hAnsi="Arial" w:cs="Arial"/>
          <w:szCs w:val="24"/>
          <w:lang w:val="es-ES"/>
        </w:rPr>
        <w:t xml:space="preserve"> de datos individuales de pacientes a partir de estudios observacionales se encontró que el uso de ciertas </w:t>
      </w:r>
      <w:proofErr w:type="spellStart"/>
      <w:r w:rsidRPr="0079616D">
        <w:rPr>
          <w:rFonts w:ascii="Arial" w:eastAsia="Times New Roman" w:hAnsi="Arial" w:cs="Arial"/>
          <w:szCs w:val="24"/>
          <w:lang w:val="es-ES"/>
        </w:rPr>
        <w:t>fluoroquinolonas</w:t>
      </w:r>
      <w:proofErr w:type="spellEnd"/>
      <w:r w:rsidRPr="0079616D">
        <w:rPr>
          <w:rFonts w:ascii="Arial" w:eastAsia="Times New Roman" w:hAnsi="Arial" w:cs="Arial"/>
          <w:szCs w:val="24"/>
          <w:lang w:val="es-ES"/>
        </w:rPr>
        <w:t xml:space="preserve">, de </w:t>
      </w:r>
      <w:proofErr w:type="spellStart"/>
      <w:r w:rsidRPr="0079616D">
        <w:rPr>
          <w:rFonts w:ascii="Arial" w:eastAsia="Times New Roman" w:hAnsi="Arial" w:cs="Arial"/>
          <w:szCs w:val="24"/>
          <w:lang w:val="es-ES"/>
        </w:rPr>
        <w:t>etionamida</w:t>
      </w:r>
      <w:proofErr w:type="spellEnd"/>
      <w:r w:rsidRPr="0079616D">
        <w:rPr>
          <w:rFonts w:ascii="Arial" w:eastAsia="Times New Roman" w:hAnsi="Arial" w:cs="Arial"/>
          <w:szCs w:val="24"/>
          <w:lang w:val="es-ES"/>
        </w:rPr>
        <w:t xml:space="preserve"> o </w:t>
      </w:r>
      <w:proofErr w:type="spellStart"/>
      <w:r w:rsidRPr="0079616D">
        <w:rPr>
          <w:rFonts w:ascii="Arial" w:eastAsia="Times New Roman" w:hAnsi="Arial" w:cs="Arial"/>
          <w:szCs w:val="24"/>
          <w:lang w:val="es-ES"/>
        </w:rPr>
        <w:t>protionamida</w:t>
      </w:r>
      <w:proofErr w:type="spellEnd"/>
      <w:r w:rsidRPr="0079616D">
        <w:rPr>
          <w:rFonts w:ascii="Arial" w:eastAsia="Times New Roman" w:hAnsi="Arial" w:cs="Arial"/>
          <w:szCs w:val="24"/>
          <w:lang w:val="es-ES"/>
        </w:rPr>
        <w:t xml:space="preserve"> y de un mayor número total de fármacos eficaces se asoció con una mayor probabilidad de éxito del tratamiento y supervivencia en pacientes con TBMDR. Sin embargo, se necesitan urgentemente estudios clínicos </w:t>
      </w:r>
      <w:proofErr w:type="spellStart"/>
      <w:r w:rsidRPr="0079616D">
        <w:rPr>
          <w:rFonts w:ascii="Arial" w:eastAsia="Times New Roman" w:hAnsi="Arial" w:cs="Arial"/>
          <w:szCs w:val="24"/>
          <w:lang w:val="es-ES"/>
        </w:rPr>
        <w:t>aleatorizados</w:t>
      </w:r>
      <w:proofErr w:type="spellEnd"/>
      <w:r w:rsidRPr="0079616D">
        <w:rPr>
          <w:rFonts w:ascii="Arial" w:eastAsia="Times New Roman" w:hAnsi="Arial" w:cs="Arial"/>
          <w:szCs w:val="24"/>
          <w:lang w:val="es-ES"/>
        </w:rPr>
        <w:t xml:space="preserve"> para optimizar el tratamiento de la TBMDR.</w:t>
      </w:r>
    </w:p>
    <w:p w:rsidR="00481EBB" w:rsidRPr="0079616D" w:rsidRDefault="00481EBB" w:rsidP="0079616D">
      <w:pPr>
        <w:widowControl w:val="0"/>
        <w:autoSpaceDE w:val="0"/>
        <w:autoSpaceDN w:val="0"/>
        <w:adjustRightInd w:val="0"/>
        <w:spacing w:line="276" w:lineRule="auto"/>
        <w:rPr>
          <w:rFonts w:ascii="Arial" w:eastAsia="Times New Roman" w:hAnsi="Arial" w:cs="Arial"/>
          <w:szCs w:val="24"/>
          <w:lang w:val="es-ES"/>
        </w:rPr>
      </w:pPr>
    </w:p>
    <w:p w:rsidR="00A10B0F" w:rsidRPr="0079616D" w:rsidRDefault="00A10B0F" w:rsidP="0079616D">
      <w:pPr>
        <w:spacing w:line="276" w:lineRule="auto"/>
        <w:rPr>
          <w:rFonts w:ascii="Arial" w:eastAsia="Times" w:hAnsi="Arial" w:cs="Arial"/>
          <w:szCs w:val="24"/>
          <w:lang w:val="it-IT"/>
        </w:rPr>
      </w:pPr>
    </w:p>
    <w:p w:rsidR="001375E3" w:rsidRPr="0079616D" w:rsidRDefault="001375E3" w:rsidP="0079616D">
      <w:pPr>
        <w:spacing w:line="276" w:lineRule="auto"/>
        <w:rPr>
          <w:rFonts w:ascii="Arial" w:eastAsia="Times" w:hAnsi="Arial" w:cs="Arial"/>
          <w:szCs w:val="24"/>
          <w:lang w:val="it-IT"/>
        </w:rPr>
      </w:pPr>
    </w:p>
    <w:p w:rsidR="001375E3" w:rsidRPr="0079616D" w:rsidRDefault="001375E3" w:rsidP="0079616D">
      <w:pPr>
        <w:spacing w:line="276" w:lineRule="auto"/>
        <w:rPr>
          <w:rFonts w:ascii="Arial" w:eastAsia="Times" w:hAnsi="Arial" w:cs="Arial"/>
          <w:szCs w:val="24"/>
          <w:lang w:val="it-IT"/>
        </w:rPr>
      </w:pPr>
    </w:p>
    <w:p w:rsidR="0079616D" w:rsidRPr="00CB4349" w:rsidRDefault="0079616D" w:rsidP="0079616D">
      <w:pPr>
        <w:widowControl w:val="0"/>
        <w:autoSpaceDE w:val="0"/>
        <w:autoSpaceDN w:val="0"/>
        <w:adjustRightInd w:val="0"/>
        <w:spacing w:line="276" w:lineRule="auto"/>
        <w:outlineLvl w:val="0"/>
        <w:rPr>
          <w:rFonts w:ascii="Arial" w:eastAsia="Times New Roman" w:hAnsi="Arial" w:cs="Arial"/>
          <w:szCs w:val="24"/>
          <w:lang w:val="fr-FR"/>
        </w:rPr>
      </w:pPr>
    </w:p>
    <w:p w:rsidR="0079616D" w:rsidRPr="00CB4349" w:rsidRDefault="0079616D" w:rsidP="0079616D">
      <w:pPr>
        <w:widowControl w:val="0"/>
        <w:autoSpaceDE w:val="0"/>
        <w:autoSpaceDN w:val="0"/>
        <w:adjustRightInd w:val="0"/>
        <w:spacing w:line="276" w:lineRule="auto"/>
        <w:outlineLvl w:val="0"/>
        <w:rPr>
          <w:rFonts w:ascii="Arial" w:eastAsia="Times New Roman" w:hAnsi="Arial" w:cs="Arial"/>
          <w:szCs w:val="24"/>
          <w:lang w:val="fr-FR"/>
        </w:rPr>
      </w:pPr>
    </w:p>
    <w:p w:rsidR="0079616D" w:rsidRPr="00CB4349" w:rsidRDefault="0079616D" w:rsidP="0079616D">
      <w:pPr>
        <w:widowControl w:val="0"/>
        <w:autoSpaceDE w:val="0"/>
        <w:autoSpaceDN w:val="0"/>
        <w:adjustRightInd w:val="0"/>
        <w:spacing w:line="276" w:lineRule="auto"/>
        <w:outlineLvl w:val="0"/>
        <w:rPr>
          <w:rFonts w:ascii="Arial" w:eastAsia="Times New Roman" w:hAnsi="Arial" w:cs="Arial"/>
          <w:szCs w:val="24"/>
          <w:lang w:val="fr-FR"/>
        </w:rPr>
      </w:pPr>
    </w:p>
    <w:p w:rsidR="0079616D" w:rsidRPr="00CB4349" w:rsidRDefault="0079616D" w:rsidP="0079616D">
      <w:pPr>
        <w:widowControl w:val="0"/>
        <w:autoSpaceDE w:val="0"/>
        <w:autoSpaceDN w:val="0"/>
        <w:adjustRightInd w:val="0"/>
        <w:spacing w:line="276" w:lineRule="auto"/>
        <w:outlineLvl w:val="0"/>
        <w:rPr>
          <w:rFonts w:ascii="Arial" w:eastAsia="Times New Roman" w:hAnsi="Arial" w:cs="Arial"/>
          <w:szCs w:val="24"/>
          <w:lang w:val="fr-FR"/>
        </w:rPr>
      </w:pPr>
    </w:p>
    <w:p w:rsidR="0079616D" w:rsidRPr="00CB4349" w:rsidRDefault="0079616D" w:rsidP="0079616D">
      <w:pPr>
        <w:widowControl w:val="0"/>
        <w:autoSpaceDE w:val="0"/>
        <w:autoSpaceDN w:val="0"/>
        <w:adjustRightInd w:val="0"/>
        <w:spacing w:line="276" w:lineRule="auto"/>
        <w:outlineLvl w:val="0"/>
        <w:rPr>
          <w:rFonts w:ascii="Arial" w:eastAsia="Times New Roman" w:hAnsi="Arial" w:cs="Arial"/>
          <w:szCs w:val="24"/>
          <w:lang w:val="fr-FR"/>
        </w:rPr>
      </w:pPr>
    </w:p>
    <w:p w:rsidR="0079616D" w:rsidRPr="00CB4349" w:rsidRDefault="0079616D" w:rsidP="0079616D">
      <w:pPr>
        <w:widowControl w:val="0"/>
        <w:autoSpaceDE w:val="0"/>
        <w:autoSpaceDN w:val="0"/>
        <w:adjustRightInd w:val="0"/>
        <w:spacing w:line="276" w:lineRule="auto"/>
        <w:outlineLvl w:val="0"/>
        <w:rPr>
          <w:rFonts w:ascii="Arial" w:eastAsia="Times New Roman" w:hAnsi="Arial" w:cs="Arial"/>
          <w:szCs w:val="24"/>
          <w:lang w:val="fr-FR"/>
        </w:rPr>
      </w:pPr>
    </w:p>
    <w:p w:rsidR="0079616D" w:rsidRPr="00CB4349" w:rsidRDefault="0079616D" w:rsidP="0079616D">
      <w:pPr>
        <w:widowControl w:val="0"/>
        <w:autoSpaceDE w:val="0"/>
        <w:autoSpaceDN w:val="0"/>
        <w:adjustRightInd w:val="0"/>
        <w:spacing w:line="276" w:lineRule="auto"/>
        <w:outlineLvl w:val="0"/>
        <w:rPr>
          <w:rFonts w:ascii="Arial" w:eastAsia="Times New Roman" w:hAnsi="Arial" w:cs="Arial"/>
          <w:szCs w:val="24"/>
          <w:lang w:val="fr-FR"/>
        </w:rPr>
      </w:pPr>
    </w:p>
    <w:p w:rsidR="0079616D" w:rsidRPr="00CB4349" w:rsidRDefault="0079616D" w:rsidP="0079616D">
      <w:pPr>
        <w:widowControl w:val="0"/>
        <w:autoSpaceDE w:val="0"/>
        <w:autoSpaceDN w:val="0"/>
        <w:adjustRightInd w:val="0"/>
        <w:spacing w:line="276" w:lineRule="auto"/>
        <w:outlineLvl w:val="0"/>
        <w:rPr>
          <w:rFonts w:ascii="Arial" w:eastAsia="Times New Roman" w:hAnsi="Arial" w:cs="Arial"/>
          <w:szCs w:val="24"/>
          <w:lang w:val="fr-FR"/>
        </w:rPr>
      </w:pPr>
    </w:p>
    <w:p w:rsidR="0079616D" w:rsidRPr="00CB4349" w:rsidRDefault="0079616D" w:rsidP="0079616D">
      <w:pPr>
        <w:widowControl w:val="0"/>
        <w:autoSpaceDE w:val="0"/>
        <w:autoSpaceDN w:val="0"/>
        <w:adjustRightInd w:val="0"/>
        <w:spacing w:line="276" w:lineRule="auto"/>
        <w:outlineLvl w:val="0"/>
        <w:rPr>
          <w:rFonts w:ascii="Arial" w:eastAsia="Times New Roman" w:hAnsi="Arial" w:cs="Arial"/>
          <w:szCs w:val="24"/>
          <w:lang w:val="fr-FR"/>
        </w:rPr>
      </w:pPr>
    </w:p>
    <w:p w:rsidR="0079616D" w:rsidRPr="00CB4349" w:rsidRDefault="0079616D" w:rsidP="0079616D">
      <w:pPr>
        <w:widowControl w:val="0"/>
        <w:autoSpaceDE w:val="0"/>
        <w:autoSpaceDN w:val="0"/>
        <w:adjustRightInd w:val="0"/>
        <w:spacing w:line="276" w:lineRule="auto"/>
        <w:outlineLvl w:val="0"/>
        <w:rPr>
          <w:rFonts w:ascii="Arial" w:eastAsia="Times New Roman" w:hAnsi="Arial" w:cs="Arial"/>
          <w:szCs w:val="24"/>
          <w:lang w:val="fr-FR"/>
        </w:rPr>
      </w:pPr>
    </w:p>
    <w:p w:rsidR="0079616D" w:rsidRPr="00CB4349" w:rsidRDefault="0079616D" w:rsidP="0079616D">
      <w:pPr>
        <w:widowControl w:val="0"/>
        <w:autoSpaceDE w:val="0"/>
        <w:autoSpaceDN w:val="0"/>
        <w:adjustRightInd w:val="0"/>
        <w:spacing w:line="276" w:lineRule="auto"/>
        <w:outlineLvl w:val="0"/>
        <w:rPr>
          <w:rFonts w:ascii="Arial" w:eastAsia="Times New Roman" w:hAnsi="Arial" w:cs="Arial"/>
          <w:szCs w:val="24"/>
          <w:lang w:val="fr-FR"/>
        </w:rPr>
      </w:pPr>
    </w:p>
    <w:p w:rsidR="0079616D" w:rsidRPr="00CB4349" w:rsidRDefault="0079616D" w:rsidP="0079616D">
      <w:pPr>
        <w:widowControl w:val="0"/>
        <w:autoSpaceDE w:val="0"/>
        <w:autoSpaceDN w:val="0"/>
        <w:adjustRightInd w:val="0"/>
        <w:spacing w:line="276" w:lineRule="auto"/>
        <w:outlineLvl w:val="0"/>
        <w:rPr>
          <w:rFonts w:ascii="Arial" w:eastAsia="Times New Roman" w:hAnsi="Arial" w:cs="Arial"/>
          <w:szCs w:val="24"/>
          <w:lang w:val="fr-FR"/>
        </w:rPr>
      </w:pPr>
    </w:p>
    <w:p w:rsidR="0079616D" w:rsidRPr="00CB4349" w:rsidRDefault="0079616D" w:rsidP="0079616D">
      <w:pPr>
        <w:widowControl w:val="0"/>
        <w:autoSpaceDE w:val="0"/>
        <w:autoSpaceDN w:val="0"/>
        <w:adjustRightInd w:val="0"/>
        <w:spacing w:line="276" w:lineRule="auto"/>
        <w:outlineLvl w:val="0"/>
        <w:rPr>
          <w:rFonts w:ascii="Arial" w:eastAsia="Times New Roman" w:hAnsi="Arial" w:cs="Arial"/>
          <w:szCs w:val="24"/>
          <w:lang w:val="fr-FR"/>
        </w:rPr>
      </w:pPr>
    </w:p>
    <w:sectPr w:rsidR="0079616D" w:rsidRPr="00CB4349" w:rsidSect="00053CC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C13" w:rsidRDefault="00822C13" w:rsidP="00D14DCB">
      <w:r>
        <w:separator/>
      </w:r>
    </w:p>
  </w:endnote>
  <w:endnote w:type="continuationSeparator" w:id="0">
    <w:p w:rsidR="00822C13" w:rsidRDefault="00822C13" w:rsidP="00D14D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C13" w:rsidRDefault="00822C13" w:rsidP="00D14DCB">
      <w:r>
        <w:separator/>
      </w:r>
    </w:p>
  </w:footnote>
  <w:footnote w:type="continuationSeparator" w:id="0">
    <w:p w:rsidR="00822C13" w:rsidRDefault="00822C13" w:rsidP="00D14D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5699"/>
    <w:rsid w:val="00007A8A"/>
    <w:rsid w:val="0001373F"/>
    <w:rsid w:val="00043673"/>
    <w:rsid w:val="00053CC0"/>
    <w:rsid w:val="00117189"/>
    <w:rsid w:val="001375E3"/>
    <w:rsid w:val="001A5699"/>
    <w:rsid w:val="001B5EC2"/>
    <w:rsid w:val="001E0DE5"/>
    <w:rsid w:val="00221A4C"/>
    <w:rsid w:val="00236C93"/>
    <w:rsid w:val="002C1B28"/>
    <w:rsid w:val="0034019D"/>
    <w:rsid w:val="003C5CBC"/>
    <w:rsid w:val="00403A8E"/>
    <w:rsid w:val="00425C81"/>
    <w:rsid w:val="004400CC"/>
    <w:rsid w:val="00481EBB"/>
    <w:rsid w:val="004E071F"/>
    <w:rsid w:val="005379D4"/>
    <w:rsid w:val="005A0981"/>
    <w:rsid w:val="005D4C7F"/>
    <w:rsid w:val="006554F4"/>
    <w:rsid w:val="0069194A"/>
    <w:rsid w:val="006E061C"/>
    <w:rsid w:val="006F33E7"/>
    <w:rsid w:val="0079616D"/>
    <w:rsid w:val="007C3A5F"/>
    <w:rsid w:val="00822C13"/>
    <w:rsid w:val="00841396"/>
    <w:rsid w:val="008665E3"/>
    <w:rsid w:val="008B0046"/>
    <w:rsid w:val="008B0C63"/>
    <w:rsid w:val="008C508C"/>
    <w:rsid w:val="00907CB6"/>
    <w:rsid w:val="00927A29"/>
    <w:rsid w:val="00941EEE"/>
    <w:rsid w:val="009777F9"/>
    <w:rsid w:val="00A10B0F"/>
    <w:rsid w:val="00AE1DF8"/>
    <w:rsid w:val="00B24020"/>
    <w:rsid w:val="00B55134"/>
    <w:rsid w:val="00B71882"/>
    <w:rsid w:val="00BC6B1C"/>
    <w:rsid w:val="00BF70ED"/>
    <w:rsid w:val="00C91E36"/>
    <w:rsid w:val="00CA3FD3"/>
    <w:rsid w:val="00CB4349"/>
    <w:rsid w:val="00CD3030"/>
    <w:rsid w:val="00CF44AC"/>
    <w:rsid w:val="00D0408E"/>
    <w:rsid w:val="00D14DCB"/>
    <w:rsid w:val="00D8094E"/>
    <w:rsid w:val="00D9436E"/>
    <w:rsid w:val="00DA447D"/>
    <w:rsid w:val="00DB1E7D"/>
    <w:rsid w:val="00DE73AD"/>
    <w:rsid w:val="00E16E50"/>
    <w:rsid w:val="00E219C3"/>
    <w:rsid w:val="00E6579C"/>
    <w:rsid w:val="00E76229"/>
    <w:rsid w:val="00F00E95"/>
    <w:rsid w:val="00F812BC"/>
    <w:rsid w:val="00FD012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99"/>
    <w:rPr>
      <w:rFonts w:ascii="Times" w:hAnsi="Time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A8E"/>
    <w:rPr>
      <w:rFonts w:ascii="Cambria" w:hAnsi="Cambria"/>
      <w:sz w:val="18"/>
      <w:szCs w:val="18"/>
    </w:rPr>
  </w:style>
  <w:style w:type="character" w:customStyle="1" w:styleId="BalloonTextChar">
    <w:name w:val="Balloon Text Char"/>
    <w:link w:val="BalloonText"/>
    <w:uiPriority w:val="99"/>
    <w:semiHidden/>
    <w:rsid w:val="00403A8E"/>
    <w:rPr>
      <w:rFonts w:ascii="Cambria" w:eastAsia="PMingLiU" w:hAnsi="Cambria" w:cs="Times New Roman"/>
      <w:sz w:val="18"/>
      <w:szCs w:val="18"/>
      <w:lang w:eastAsia="en-CA"/>
    </w:rPr>
  </w:style>
  <w:style w:type="paragraph" w:styleId="Header">
    <w:name w:val="header"/>
    <w:basedOn w:val="Normal"/>
    <w:link w:val="HeaderChar"/>
    <w:uiPriority w:val="99"/>
    <w:unhideWhenUsed/>
    <w:rsid w:val="00D14DCB"/>
    <w:pPr>
      <w:tabs>
        <w:tab w:val="center" w:pos="4153"/>
        <w:tab w:val="right" w:pos="8306"/>
      </w:tabs>
      <w:snapToGrid w:val="0"/>
    </w:pPr>
    <w:rPr>
      <w:sz w:val="20"/>
    </w:rPr>
  </w:style>
  <w:style w:type="character" w:customStyle="1" w:styleId="HeaderChar">
    <w:name w:val="Header Char"/>
    <w:link w:val="Header"/>
    <w:uiPriority w:val="99"/>
    <w:rsid w:val="00D14DCB"/>
    <w:rPr>
      <w:rFonts w:ascii="Times" w:hAnsi="Times"/>
      <w:lang w:eastAsia="en-CA"/>
    </w:rPr>
  </w:style>
  <w:style w:type="paragraph" w:styleId="Footer">
    <w:name w:val="footer"/>
    <w:basedOn w:val="Normal"/>
    <w:link w:val="FooterChar"/>
    <w:uiPriority w:val="99"/>
    <w:unhideWhenUsed/>
    <w:rsid w:val="00D14DCB"/>
    <w:pPr>
      <w:tabs>
        <w:tab w:val="center" w:pos="4153"/>
        <w:tab w:val="right" w:pos="8306"/>
      </w:tabs>
      <w:snapToGrid w:val="0"/>
    </w:pPr>
    <w:rPr>
      <w:sz w:val="20"/>
    </w:rPr>
  </w:style>
  <w:style w:type="character" w:customStyle="1" w:styleId="FooterChar">
    <w:name w:val="Footer Char"/>
    <w:link w:val="Footer"/>
    <w:uiPriority w:val="99"/>
    <w:rsid w:val="00D14DCB"/>
    <w:rPr>
      <w:rFonts w:ascii="Times" w:hAnsi="Times"/>
      <w:lang w:eastAsia="en-CA"/>
    </w:rPr>
  </w:style>
  <w:style w:type="character" w:customStyle="1" w:styleId="st1">
    <w:name w:val="st1"/>
    <w:basedOn w:val="DefaultParagraphFont"/>
    <w:rsid w:val="00137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304893">
      <w:bodyDiv w:val="1"/>
      <w:marLeft w:val="0"/>
      <w:marRight w:val="0"/>
      <w:marTop w:val="0"/>
      <w:marBottom w:val="0"/>
      <w:divBdr>
        <w:top w:val="none" w:sz="0" w:space="0" w:color="auto"/>
        <w:left w:val="none" w:sz="0" w:space="0" w:color="auto"/>
        <w:bottom w:val="none" w:sz="0" w:space="0" w:color="auto"/>
        <w:right w:val="none" w:sz="0" w:space="0" w:color="auto"/>
      </w:divBdr>
    </w:div>
    <w:div w:id="1429500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2608</Characters>
  <Application>Microsoft Office Word</Application>
  <DocSecurity>0</DocSecurity>
  <Lines>21</Lines>
  <Paragraphs>6</Paragraphs>
  <ScaleCrop>false</ScaleCrop>
  <Company>Microsoft</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Multidrug-resistant pulmonary tuberculosis treatment regimens and patient outcomes: an individual patient data meta-analysis of 9153 patients</dc:title>
  <dc:creator>CHIANG C-Y</dc:creator>
  <cp:lastModifiedBy>ria.choe</cp:lastModifiedBy>
  <cp:revision>3</cp:revision>
  <dcterms:created xsi:type="dcterms:W3CDTF">2012-06-14T13:15:00Z</dcterms:created>
  <dcterms:modified xsi:type="dcterms:W3CDTF">2012-06-14T13:19:00Z</dcterms:modified>
</cp:coreProperties>
</file>