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6D" w:rsidRPr="0079616D" w:rsidRDefault="0079616D" w:rsidP="007961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79616D">
        <w:rPr>
          <w:rFonts w:ascii="Arial" w:hAnsi="Arial" w:cs="Arial"/>
          <w:b/>
          <w:szCs w:val="24"/>
        </w:rPr>
        <w:t>Alternative Language Abstract 1: Chinese</w:t>
      </w:r>
    </w:p>
    <w:p w:rsidR="008B0046" w:rsidRPr="0079616D" w:rsidRDefault="008B0046" w:rsidP="00C91E36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color w:val="000000"/>
          <w:szCs w:val="24"/>
          <w:lang w:val="en-CA" w:eastAsia="zh-CN"/>
        </w:rPr>
      </w:pPr>
      <w:r w:rsidRPr="0079616D">
        <w:rPr>
          <w:rFonts w:ascii="Arial" w:eastAsia="Times New Roman" w:hAnsi="Arial" w:cs="Arial"/>
          <w:b/>
          <w:szCs w:val="24"/>
        </w:rPr>
        <w:t xml:space="preserve">Translation of the abstract “Multidrug-resistant pulmonary tuberculosis treatment regimens and patient outcomes: an individual patient data meta-analysis of 9153 patients.” Into Chinese by authors </w:t>
      </w:r>
      <w:r w:rsidRPr="0079616D">
        <w:rPr>
          <w:rFonts w:ascii="Arial" w:hAnsi="Arial" w:cs="Arial"/>
          <w:b/>
          <w:szCs w:val="24"/>
        </w:rPr>
        <w:t xml:space="preserve">Chen-Yuan CHIANG, </w:t>
      </w:r>
      <w:proofErr w:type="spellStart"/>
      <w:r w:rsidRPr="0079616D">
        <w:rPr>
          <w:rFonts w:ascii="Arial" w:hAnsi="Arial" w:cs="Arial"/>
          <w:b/>
          <w:szCs w:val="24"/>
        </w:rPr>
        <w:t>Yuhong</w:t>
      </w:r>
      <w:proofErr w:type="spellEnd"/>
      <w:r w:rsidRPr="0079616D">
        <w:rPr>
          <w:rFonts w:ascii="Arial" w:hAnsi="Arial" w:cs="Arial"/>
          <w:b/>
          <w:szCs w:val="24"/>
        </w:rPr>
        <w:t xml:space="preserve"> Liu</w:t>
      </w:r>
    </w:p>
    <w:p w:rsidR="008B0046" w:rsidRPr="0079616D" w:rsidRDefault="008B0046" w:rsidP="00C91E36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val="en-CA" w:eastAsia="zh-CN"/>
        </w:rPr>
      </w:pPr>
    </w:p>
    <w:p w:rsidR="00927A29" w:rsidRPr="0079616D" w:rsidRDefault="00927A29" w:rsidP="00C91E36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eastAsia="zh-CN"/>
        </w:rPr>
      </w:pPr>
      <w:r w:rsidRPr="0079616D">
        <w:rPr>
          <w:rFonts w:ascii="Arial" w:eastAsia="SimSun" w:hAnsi="SimSun" w:cs="Arial"/>
          <w:color w:val="000000"/>
          <w:szCs w:val="24"/>
          <w:lang w:eastAsia="zh-CN"/>
        </w:rPr>
        <w:t>耐多药肺结核治疗方案和病人转归：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9153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例病例个案资料的荟萃分析</w:t>
      </w:r>
    </w:p>
    <w:p w:rsidR="00403A8E" w:rsidRPr="0079616D" w:rsidRDefault="00403A8E" w:rsidP="001A5699">
      <w:pPr>
        <w:rPr>
          <w:rFonts w:ascii="Arial" w:hAnsi="Arial" w:cs="Arial"/>
          <w:color w:val="000000"/>
          <w:szCs w:val="24"/>
          <w:lang w:eastAsia="zh-TW"/>
        </w:rPr>
      </w:pPr>
    </w:p>
    <w:p w:rsidR="00927A29" w:rsidRPr="0079616D" w:rsidRDefault="00927A29" w:rsidP="001A5699">
      <w:pPr>
        <w:rPr>
          <w:rFonts w:ascii="Arial" w:eastAsia="SimSun" w:hAnsi="Arial" w:cs="Arial"/>
          <w:color w:val="000000"/>
          <w:szCs w:val="24"/>
          <w:lang w:eastAsia="zh-CN"/>
        </w:rPr>
      </w:pPr>
      <w:r w:rsidRPr="0079616D">
        <w:rPr>
          <w:rFonts w:ascii="Arial" w:eastAsia="SimSun" w:hAnsi="SimSun" w:cs="Arial"/>
          <w:color w:val="000000"/>
          <w:szCs w:val="24"/>
          <w:lang w:eastAsia="zh-CN"/>
        </w:rPr>
        <w:t>耐多药结核病人个案资料荟萃分析协作小组</w:t>
      </w:r>
    </w:p>
    <w:p w:rsidR="00927A29" w:rsidRPr="0079616D" w:rsidRDefault="00927A29" w:rsidP="001A5699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u w:val="single"/>
          <w:lang w:eastAsia="zh-CN"/>
        </w:rPr>
      </w:pPr>
    </w:p>
    <w:p w:rsidR="00927A29" w:rsidRPr="0079616D" w:rsidRDefault="00927A29" w:rsidP="001A5699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u w:val="single"/>
          <w:lang w:eastAsia="zh-CN"/>
        </w:rPr>
      </w:pPr>
      <w:r w:rsidRPr="0079616D">
        <w:rPr>
          <w:rFonts w:ascii="Arial" w:eastAsia="SimSun" w:hAnsi="SimSun" w:cs="Arial"/>
          <w:color w:val="000000"/>
          <w:szCs w:val="24"/>
          <w:u w:val="single"/>
          <w:lang w:eastAsia="zh-CN"/>
        </w:rPr>
        <w:t>摘要：</w:t>
      </w:r>
    </w:p>
    <w:p w:rsidR="00927A29" w:rsidRPr="0079616D" w:rsidRDefault="00927A29" w:rsidP="001A5699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u w:val="single"/>
          <w:lang w:eastAsia="zh-CN"/>
        </w:rPr>
      </w:pPr>
    </w:p>
    <w:p w:rsidR="00927A29" w:rsidRPr="0079616D" w:rsidRDefault="00927A29" w:rsidP="001A5699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eastAsia="zh-CN"/>
        </w:rPr>
      </w:pPr>
      <w:r w:rsidRPr="0079616D">
        <w:rPr>
          <w:rFonts w:ascii="Arial" w:eastAsia="SimSun" w:hAnsi="SimSun" w:cs="Arial"/>
          <w:color w:val="000000"/>
          <w:szCs w:val="24"/>
          <w:lang w:eastAsia="zh-CN"/>
        </w:rPr>
        <w:t>背景：耐多药结核病（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MDR-TB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）的治疗是漫长、有毒性、昂贵的，并且通常效果不佳。我们进行了一项病例个案资料的荟萃分析，评估用于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MDR-TB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治疗的药物种类、药物数量和用药时间对于转归的影响。</w:t>
      </w:r>
    </w:p>
    <w:p w:rsidR="00927A29" w:rsidRPr="0079616D" w:rsidRDefault="00927A29" w:rsidP="001A5699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eastAsia="zh-CN"/>
        </w:rPr>
      </w:pPr>
    </w:p>
    <w:p w:rsidR="00927A29" w:rsidRPr="0079616D" w:rsidRDefault="00927A29" w:rsidP="001A5699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eastAsia="zh-CN"/>
        </w:rPr>
      </w:pPr>
      <w:r w:rsidRPr="0079616D">
        <w:rPr>
          <w:rFonts w:ascii="Arial" w:eastAsia="SimSun" w:hAnsi="SimSun" w:cs="Arial"/>
          <w:color w:val="000000"/>
          <w:szCs w:val="24"/>
          <w:lang w:eastAsia="zh-CN"/>
        </w:rPr>
        <w:t>方法：利用最近的三篇系统综述</w:t>
      </w:r>
      <w:r w:rsidR="00403A8E" w:rsidRPr="0079616D">
        <w:rPr>
          <w:rFonts w:ascii="Arial" w:eastAsia="SimSun" w:hAnsi="PMingLiU" w:cs="Arial"/>
          <w:color w:val="000000"/>
          <w:szCs w:val="24"/>
          <w:lang w:eastAsia="zh-CN"/>
        </w:rPr>
        <w:t>找寻关于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细菌学确定</w:t>
      </w:r>
      <w:r w:rsidR="00403A8E" w:rsidRPr="0079616D">
        <w:rPr>
          <w:rFonts w:ascii="Arial" w:eastAsia="SimSun" w:hAnsi="SimSun" w:cs="Arial"/>
          <w:color w:val="000000"/>
          <w:szCs w:val="24"/>
          <w:lang w:eastAsia="zh-CN"/>
        </w:rPr>
        <w:t>的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MDR-TB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病人的治疗转归</w:t>
      </w:r>
      <w:r w:rsidR="00403A8E" w:rsidRPr="0079616D">
        <w:rPr>
          <w:rFonts w:ascii="Arial" w:eastAsia="SimSun" w:hAnsi="SimSun" w:cs="Arial"/>
          <w:color w:val="000000"/>
          <w:szCs w:val="24"/>
          <w:lang w:eastAsia="zh-CN"/>
        </w:rPr>
        <w:t>的研究报告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。联络研究的作者，请求提供关于病人临床特征、所给予的治疗、以及转归的个案信息。使用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“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随机效应多元回归模型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”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估计病人治疗成功的调整后比值比。</w:t>
      </w:r>
    </w:p>
    <w:p w:rsidR="00927A29" w:rsidRPr="0079616D" w:rsidRDefault="00927A29" w:rsidP="001A5699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eastAsia="zh-CN"/>
        </w:rPr>
      </w:pPr>
    </w:p>
    <w:p w:rsidR="00927A29" w:rsidRPr="0079616D" w:rsidRDefault="00927A29" w:rsidP="00BF70ED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eastAsia="zh-CN"/>
        </w:rPr>
      </w:pPr>
      <w:r w:rsidRPr="0079616D">
        <w:rPr>
          <w:rFonts w:ascii="Arial" w:eastAsia="SimSun" w:hAnsi="SimSun" w:cs="Arial"/>
          <w:color w:val="000000"/>
          <w:szCs w:val="24"/>
          <w:lang w:eastAsia="zh-CN"/>
        </w:rPr>
        <w:t>结果：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32</w:t>
      </w:r>
      <w:r w:rsidR="004400CC" w:rsidRPr="0079616D">
        <w:rPr>
          <w:rFonts w:ascii="Arial" w:eastAsia="SimSun" w:hAnsi="PMingLiU" w:cs="Arial"/>
          <w:color w:val="000000"/>
          <w:szCs w:val="24"/>
          <w:lang w:eastAsia="zh-CN"/>
        </w:rPr>
        <w:t>个观察性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研究提供了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9153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例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MDR-TB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病人治疗和转归的足够信息。与治疗失败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/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复发相比，治疗成功与下列药物使用相关：新代喹诺酮类药物</w:t>
      </w:r>
      <w:r w:rsidRPr="0079616D">
        <w:rPr>
          <w:rFonts w:ascii="Arial" w:eastAsia="SimSun" w:hAnsi="SimSun" w:cs="Arial"/>
          <w:szCs w:val="24"/>
          <w:lang w:eastAsia="zh-CN"/>
        </w:rPr>
        <w:t>（</w:t>
      </w:r>
      <w:proofErr w:type="gramStart"/>
      <w:r w:rsidRPr="0079616D">
        <w:rPr>
          <w:rFonts w:ascii="Arial" w:eastAsia="SimSun" w:hAnsi="SimSun" w:cs="Arial"/>
          <w:szCs w:val="24"/>
          <w:lang w:eastAsia="zh-CN"/>
        </w:rPr>
        <w:t>调整后比值比</w:t>
      </w:r>
      <w:r w:rsidRPr="0079616D">
        <w:rPr>
          <w:rFonts w:ascii="Arial" w:eastAsia="SimSun" w:hAnsi="Arial" w:cs="Arial"/>
          <w:szCs w:val="24"/>
          <w:lang w:eastAsia="zh-CN"/>
        </w:rPr>
        <w:t>(</w:t>
      </w:r>
      <w:proofErr w:type="spellStart"/>
      <w:proofErr w:type="gramEnd"/>
      <w:r w:rsidRPr="0079616D">
        <w:rPr>
          <w:rFonts w:ascii="Arial" w:eastAsia="SimSun" w:hAnsi="Arial" w:cs="Arial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szCs w:val="24"/>
          <w:lang w:eastAsia="zh-CN"/>
        </w:rPr>
        <w:t>)</w:t>
      </w:r>
      <w:r w:rsidRPr="0079616D">
        <w:rPr>
          <w:rFonts w:ascii="Arial" w:eastAsia="SimSun" w:hAnsi="SimSun" w:cs="Arial"/>
          <w:szCs w:val="24"/>
          <w:lang w:eastAsia="zh-CN"/>
        </w:rPr>
        <w:t>：</w:t>
      </w:r>
      <w:r w:rsidRPr="0079616D">
        <w:rPr>
          <w:rFonts w:ascii="Arial" w:eastAsia="SimSun" w:hAnsi="Arial" w:cs="Arial"/>
          <w:szCs w:val="24"/>
          <w:lang w:eastAsia="zh-CN"/>
        </w:rPr>
        <w:t>2.5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[95%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可信区间：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1.1, 6.0]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），氧氟沙星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 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SimSun" w:cs="Arial"/>
          <w:color w:val="000000"/>
          <w:szCs w:val="24"/>
          <w:lang w:eastAsia="zh-CN"/>
        </w:rPr>
        <w:t>：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2.5 [1.6, 3.9]), 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乙硫异烟胺或丙硫异烟胺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>: 1.7 [1.3, 2.3]),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最初强化期使用四种或四种以上可能有效的药物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: 2.3 [1.3, 3.9]), 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继续期使用三种或三种以上可能有效的药物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 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>: 2.7 [1.7, 4.1])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。与治疗失败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/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复发或死亡相比较，结果</w:t>
      </w:r>
      <w:r w:rsidR="004400CC" w:rsidRPr="0079616D">
        <w:rPr>
          <w:rFonts w:ascii="Arial" w:eastAsia="SimSun" w:hAnsi="SimSun" w:cs="Arial"/>
          <w:color w:val="000000"/>
          <w:szCs w:val="24"/>
          <w:lang w:eastAsia="zh-CN"/>
        </w:rPr>
        <w:t>相似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，治疗成功与下列药物</w:t>
      </w:r>
      <w:r w:rsidR="004400CC" w:rsidRPr="0079616D">
        <w:rPr>
          <w:rFonts w:ascii="Arial" w:eastAsia="SimSun" w:hAnsi="SimSun" w:cs="Arial"/>
          <w:color w:val="000000"/>
          <w:szCs w:val="24"/>
          <w:lang w:eastAsia="zh-CN"/>
        </w:rPr>
        <w:t>的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使用</w:t>
      </w:r>
      <w:r w:rsidR="004400CC" w:rsidRPr="0079616D">
        <w:rPr>
          <w:rFonts w:ascii="Arial" w:eastAsia="SimSun" w:hAnsi="SimSun" w:cs="Arial"/>
          <w:color w:val="000000"/>
          <w:szCs w:val="24"/>
          <w:lang w:eastAsia="zh-CN"/>
        </w:rPr>
        <w:t>相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关：新代喹诺酮类药物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: 2.7 [1.7, 4.3]), 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氧氟沙星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: 2.3 [1.3, 3.8]), 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乙硫异烟胺或丙硫异烟胺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: 1.7 [1.4, 2.1]), 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最初强化期使用四种或四种以上可能有效的药物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: 2.7 [1.9, 3.9]), 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继续期使用三种或三种以上可能有效的药物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(</w:t>
      </w:r>
      <w:proofErr w:type="spellStart"/>
      <w:r w:rsidRPr="0079616D">
        <w:rPr>
          <w:rFonts w:ascii="Arial" w:eastAsia="SimSun" w:hAnsi="Arial" w:cs="Arial"/>
          <w:color w:val="000000"/>
          <w:szCs w:val="24"/>
          <w:lang w:eastAsia="zh-CN"/>
        </w:rPr>
        <w:t>aOR</w:t>
      </w:r>
      <w:proofErr w:type="spellEnd"/>
      <w:r w:rsidRPr="0079616D">
        <w:rPr>
          <w:rFonts w:ascii="Arial" w:eastAsia="SimSun" w:hAnsi="Arial" w:cs="Arial"/>
          <w:color w:val="000000"/>
          <w:szCs w:val="24"/>
          <w:lang w:eastAsia="zh-CN"/>
        </w:rPr>
        <w:t>: 4.5 [3.4, 6.0])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。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 xml:space="preserve">   </w:t>
      </w:r>
    </w:p>
    <w:p w:rsidR="00927A29" w:rsidRPr="0079616D" w:rsidRDefault="00927A29" w:rsidP="00B2402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eastAsia="zh-CN"/>
        </w:rPr>
      </w:pPr>
    </w:p>
    <w:p w:rsidR="00927A29" w:rsidRPr="0079616D" w:rsidRDefault="00927A29" w:rsidP="00B240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zh-TW"/>
        </w:rPr>
      </w:pPr>
      <w:r w:rsidRPr="0079616D">
        <w:rPr>
          <w:rFonts w:ascii="Arial" w:eastAsia="SimSun" w:hAnsi="SimSun" w:cs="Arial"/>
          <w:color w:val="000000"/>
          <w:szCs w:val="24"/>
          <w:lang w:eastAsia="zh-CN"/>
        </w:rPr>
        <w:t>结论：在本次病例个案信息的荟萃分析中，耐多药结核病治疗成功率和生存率的改善与</w:t>
      </w:r>
      <w:r w:rsidR="004400CC" w:rsidRPr="0079616D">
        <w:rPr>
          <w:rFonts w:ascii="Arial" w:eastAsia="SimSun" w:hAnsi="SimSun" w:cs="Arial"/>
          <w:color w:val="000000"/>
          <w:szCs w:val="24"/>
          <w:lang w:eastAsia="zh-CN"/>
        </w:rPr>
        <w:t>使用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某些氟喹诺酮类药物、乙硫异烟胺或丙硫异烟胺、以及应用多种有效药物治疗相关。随机对照试验</w:t>
      </w:r>
      <w:r w:rsidR="004400CC" w:rsidRPr="0079616D">
        <w:rPr>
          <w:rFonts w:ascii="Arial" w:eastAsia="SimSun" w:hAnsi="SimSun" w:cs="Arial"/>
          <w:color w:val="000000"/>
          <w:szCs w:val="24"/>
          <w:lang w:eastAsia="zh-CN"/>
        </w:rPr>
        <w:t>急需开展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，以优化耐多药结核的治疗。</w:t>
      </w:r>
    </w:p>
    <w:p w:rsidR="00E76229" w:rsidRPr="0079616D" w:rsidRDefault="00E76229" w:rsidP="00B240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zh-TW"/>
        </w:rPr>
      </w:pPr>
    </w:p>
    <w:p w:rsidR="008C508C" w:rsidRPr="0079616D" w:rsidRDefault="00E76229" w:rsidP="00B2402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val="en-CA" w:eastAsia="zh-CN"/>
        </w:rPr>
      </w:pPr>
      <w:r w:rsidRPr="0079616D">
        <w:rPr>
          <w:rFonts w:ascii="Arial" w:eastAsia="SimSun" w:hAnsi="SimSun" w:cs="Arial"/>
          <w:color w:val="000000"/>
          <w:szCs w:val="24"/>
          <w:lang w:eastAsia="zh-CN"/>
        </w:rPr>
        <w:t>翻译</w:t>
      </w:r>
      <w:r w:rsidRPr="0079616D">
        <w:rPr>
          <w:rFonts w:ascii="Arial" w:eastAsia="SimSun" w:hAnsi="Arial" w:cs="Arial"/>
          <w:color w:val="000000"/>
          <w:szCs w:val="24"/>
          <w:lang w:eastAsia="zh-CN"/>
        </w:rPr>
        <w:t>:</w:t>
      </w:r>
      <w:r w:rsidRPr="0079616D">
        <w:rPr>
          <w:rFonts w:ascii="Arial" w:eastAsia="SimSun" w:hAnsi="SimSun" w:cs="Arial"/>
          <w:color w:val="000000"/>
          <w:szCs w:val="24"/>
          <w:lang w:eastAsia="zh-CN"/>
        </w:rPr>
        <w:t>刘宇红</w:t>
      </w:r>
    </w:p>
    <w:p w:rsidR="008C508C" w:rsidRPr="0079616D" w:rsidRDefault="008C508C" w:rsidP="00B2402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000000"/>
          <w:szCs w:val="24"/>
          <w:lang w:val="en-CA" w:eastAsia="zh-CN"/>
        </w:rPr>
      </w:pPr>
    </w:p>
    <w:sectPr w:rsidR="008C508C" w:rsidRPr="0079616D" w:rsidSect="00053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13" w:rsidRDefault="00822C13" w:rsidP="00D14DCB">
      <w:r>
        <w:separator/>
      </w:r>
    </w:p>
  </w:endnote>
  <w:endnote w:type="continuationSeparator" w:id="0">
    <w:p w:rsidR="00822C13" w:rsidRDefault="00822C13" w:rsidP="00D1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13" w:rsidRDefault="00822C13" w:rsidP="00D14DCB">
      <w:r>
        <w:separator/>
      </w:r>
    </w:p>
  </w:footnote>
  <w:footnote w:type="continuationSeparator" w:id="0">
    <w:p w:rsidR="00822C13" w:rsidRDefault="00822C13" w:rsidP="00D14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99"/>
    <w:rsid w:val="00007A8A"/>
    <w:rsid w:val="0001373F"/>
    <w:rsid w:val="00043673"/>
    <w:rsid w:val="00053CC0"/>
    <w:rsid w:val="001375E3"/>
    <w:rsid w:val="001A5699"/>
    <w:rsid w:val="001B5EC2"/>
    <w:rsid w:val="00221A4C"/>
    <w:rsid w:val="00236C93"/>
    <w:rsid w:val="002C1B28"/>
    <w:rsid w:val="0034019D"/>
    <w:rsid w:val="003C5CBC"/>
    <w:rsid w:val="00403A8E"/>
    <w:rsid w:val="00425C81"/>
    <w:rsid w:val="004400CC"/>
    <w:rsid w:val="0044603B"/>
    <w:rsid w:val="00481EBB"/>
    <w:rsid w:val="004E071F"/>
    <w:rsid w:val="005379D4"/>
    <w:rsid w:val="005A0981"/>
    <w:rsid w:val="005D4C7F"/>
    <w:rsid w:val="006554F4"/>
    <w:rsid w:val="0069194A"/>
    <w:rsid w:val="006E061C"/>
    <w:rsid w:val="006F33E7"/>
    <w:rsid w:val="0079616D"/>
    <w:rsid w:val="007C3A5F"/>
    <w:rsid w:val="00822C13"/>
    <w:rsid w:val="00841396"/>
    <w:rsid w:val="008665E3"/>
    <w:rsid w:val="008B0046"/>
    <w:rsid w:val="008B0C63"/>
    <w:rsid w:val="008C508C"/>
    <w:rsid w:val="00907CB6"/>
    <w:rsid w:val="00927A29"/>
    <w:rsid w:val="00941EEE"/>
    <w:rsid w:val="009777F9"/>
    <w:rsid w:val="00A10B0F"/>
    <w:rsid w:val="00AD194D"/>
    <w:rsid w:val="00AE1DF8"/>
    <w:rsid w:val="00B24020"/>
    <w:rsid w:val="00B55134"/>
    <w:rsid w:val="00B71882"/>
    <w:rsid w:val="00BC6B1C"/>
    <w:rsid w:val="00BF70ED"/>
    <w:rsid w:val="00C91E36"/>
    <w:rsid w:val="00CD3030"/>
    <w:rsid w:val="00CF44AC"/>
    <w:rsid w:val="00CF5D27"/>
    <w:rsid w:val="00D0408E"/>
    <w:rsid w:val="00D14DCB"/>
    <w:rsid w:val="00D9436E"/>
    <w:rsid w:val="00DA447D"/>
    <w:rsid w:val="00DB1E7D"/>
    <w:rsid w:val="00DE73AD"/>
    <w:rsid w:val="00E16E50"/>
    <w:rsid w:val="00E219C3"/>
    <w:rsid w:val="00E6579C"/>
    <w:rsid w:val="00E76229"/>
    <w:rsid w:val="00EA6D38"/>
    <w:rsid w:val="00F00E95"/>
    <w:rsid w:val="00F812BC"/>
    <w:rsid w:val="00FD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99"/>
    <w:rPr>
      <w:rFonts w:ascii="Times" w:hAnsi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8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A8E"/>
    <w:rPr>
      <w:rFonts w:ascii="Cambria" w:eastAsia="PMingLiU" w:hAnsi="Cambria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14DCB"/>
    <w:rPr>
      <w:rFonts w:ascii="Times" w:hAnsi="Times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14DCB"/>
    <w:rPr>
      <w:rFonts w:ascii="Times" w:hAnsi="Times"/>
      <w:lang w:eastAsia="en-CA"/>
    </w:rPr>
  </w:style>
  <w:style w:type="character" w:customStyle="1" w:styleId="st1">
    <w:name w:val="st1"/>
    <w:basedOn w:val="DefaultParagraphFont"/>
    <w:rsid w:val="0013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464</Characters>
  <Application>Microsoft Office Word</Application>
  <DocSecurity>0</DocSecurity>
  <Lines>3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Multidrug-resistant pulmonary tuberculosis treatment regimens and patient outcomes: an individual patient data meta-analysis of 9153 patients</dc:title>
  <dc:creator>CHIANG C-Y</dc:creator>
  <cp:lastModifiedBy>ria.choe</cp:lastModifiedBy>
  <cp:revision>3</cp:revision>
  <dcterms:created xsi:type="dcterms:W3CDTF">2012-06-14T13:08:00Z</dcterms:created>
  <dcterms:modified xsi:type="dcterms:W3CDTF">2012-06-14T13:16:00Z</dcterms:modified>
</cp:coreProperties>
</file>