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B23D2" w14:textId="766419F5" w:rsidR="00C679BB" w:rsidRPr="008246EA" w:rsidRDefault="000C2F6D">
      <w:pPr>
        <w:rPr>
          <w:rFonts w:ascii="Times New Roman" w:hAnsi="Times New Roman" w:cs="Times New Roman"/>
          <w:b/>
        </w:rPr>
      </w:pPr>
      <w:r w:rsidRPr="008246EA">
        <w:rPr>
          <w:rFonts w:ascii="Times New Roman" w:hAnsi="Times New Roman" w:cs="Times New Roman"/>
          <w:b/>
        </w:rPr>
        <w:t>Supplementa</w:t>
      </w:r>
      <w:r w:rsidR="00756DE8">
        <w:rPr>
          <w:rFonts w:ascii="Times New Roman" w:hAnsi="Times New Roman" w:cs="Times New Roman"/>
          <w:b/>
        </w:rPr>
        <w:t xml:space="preserve">ry Methods </w:t>
      </w:r>
      <w:r w:rsidRPr="008246EA">
        <w:rPr>
          <w:rFonts w:ascii="Times New Roman" w:hAnsi="Times New Roman" w:cs="Times New Roman"/>
          <w:b/>
        </w:rPr>
        <w:t>(Ochs-Balcom et al)</w:t>
      </w:r>
    </w:p>
    <w:p w14:paraId="1BAA07A2" w14:textId="77777777" w:rsidR="008246EA" w:rsidRDefault="008246EA">
      <w:pPr>
        <w:rPr>
          <w:rFonts w:ascii="Times New Roman" w:hAnsi="Times New Roman" w:cs="Times New Roman"/>
          <w:b/>
        </w:rPr>
      </w:pPr>
    </w:p>
    <w:p w14:paraId="64F38B3F" w14:textId="77777777" w:rsidR="000C2F6D" w:rsidRPr="008246EA" w:rsidRDefault="008246EA">
      <w:pPr>
        <w:rPr>
          <w:rFonts w:ascii="Times New Roman" w:hAnsi="Times New Roman" w:cs="Times New Roman"/>
          <w:b/>
        </w:rPr>
      </w:pPr>
      <w:r w:rsidRPr="008246EA">
        <w:rPr>
          <w:rFonts w:ascii="Times New Roman" w:hAnsi="Times New Roman" w:cs="Times New Roman"/>
          <w:b/>
        </w:rPr>
        <w:t>METHODS</w:t>
      </w:r>
    </w:p>
    <w:p w14:paraId="6E31CEF8" w14:textId="3AF1D111" w:rsidR="0094182A" w:rsidRPr="008246EA" w:rsidRDefault="0094182A" w:rsidP="008246EA">
      <w:pPr>
        <w:spacing w:after="0" w:line="480" w:lineRule="auto"/>
        <w:rPr>
          <w:rFonts w:ascii="Times New Roman" w:hAnsi="Times New Roman" w:cs="Times New Roman"/>
        </w:rPr>
      </w:pPr>
      <w:r w:rsidRPr="008246EA">
        <w:rPr>
          <w:rFonts w:ascii="Times New Roman" w:hAnsi="Times New Roman" w:cs="Times New Roman"/>
          <w:u w:val="single"/>
        </w:rPr>
        <w:t>Utah Population Data Base (UPDB).</w:t>
      </w:r>
      <w:r w:rsidRPr="008246EA">
        <w:rPr>
          <w:rFonts w:ascii="Times New Roman" w:hAnsi="Times New Roman" w:cs="Times New Roman"/>
        </w:rPr>
        <w:t xml:space="preserve"> The UPDB includes Utah </w:t>
      </w:r>
      <w:r w:rsidR="00BD3244">
        <w:rPr>
          <w:rFonts w:ascii="Times New Roman" w:hAnsi="Times New Roman" w:cs="Times New Roman"/>
        </w:rPr>
        <w:t xml:space="preserve">genealogy </w:t>
      </w:r>
      <w:r w:rsidRPr="008246EA">
        <w:rPr>
          <w:rFonts w:ascii="Times New Roman" w:hAnsi="Times New Roman" w:cs="Times New Roman"/>
        </w:rPr>
        <w:t xml:space="preserve">from the </w:t>
      </w:r>
      <w:r w:rsidR="0019108E">
        <w:rPr>
          <w:rFonts w:ascii="Times New Roman" w:hAnsi="Times New Roman" w:cs="Times New Roman"/>
        </w:rPr>
        <w:t xml:space="preserve">Northern European </w:t>
      </w:r>
      <w:r w:rsidRPr="008246EA">
        <w:rPr>
          <w:rFonts w:ascii="Times New Roman" w:hAnsi="Times New Roman" w:cs="Times New Roman"/>
        </w:rPr>
        <w:t>founders in the mid-1800s to modern day</w:t>
      </w:r>
      <w:r w:rsidR="0019108E" w:rsidRPr="001F5D7E">
        <w:rPr>
          <w:rFonts w:ascii="Times New Roman" w:hAnsi="Times New Roman" w:cs="Times New Roman"/>
          <w:vertAlign w:val="superscript"/>
        </w:rPr>
        <w:t>1</w:t>
      </w:r>
      <w:r w:rsidRPr="008246EA">
        <w:rPr>
          <w:rFonts w:ascii="Times New Roman" w:hAnsi="Times New Roman" w:cs="Times New Roman"/>
        </w:rPr>
        <w:t xml:space="preserve">Approximately 3 million of the individuals in UPDB are part of at least 3 generations and connect to a Utah founder. </w:t>
      </w:r>
    </w:p>
    <w:p w14:paraId="07DDED31" w14:textId="0D371B62" w:rsidR="0094182A" w:rsidRPr="008246EA" w:rsidRDefault="0094182A" w:rsidP="008246EA">
      <w:pPr>
        <w:spacing w:after="0" w:line="480" w:lineRule="auto"/>
        <w:rPr>
          <w:rFonts w:ascii="Times New Roman" w:hAnsi="Times New Roman" w:cs="Times New Roman"/>
        </w:rPr>
      </w:pPr>
      <w:r w:rsidRPr="008246EA">
        <w:rPr>
          <w:rFonts w:ascii="Times New Roman" w:hAnsi="Times New Roman" w:cs="Times New Roman"/>
        </w:rPr>
        <w:tab/>
        <w:t>The Utah Cancer Registry (UCR)</w:t>
      </w:r>
      <w:r w:rsidR="00B00F23">
        <w:rPr>
          <w:rFonts w:ascii="Times New Roman" w:hAnsi="Times New Roman" w:cs="Times New Roman"/>
        </w:rPr>
        <w:t>,</w:t>
      </w:r>
      <w:r w:rsidRPr="008246EA">
        <w:rPr>
          <w:rFonts w:ascii="Times New Roman" w:hAnsi="Times New Roman" w:cs="Times New Roman"/>
        </w:rPr>
        <w:t xml:space="preserve"> established in 1966</w:t>
      </w:r>
      <w:r w:rsidR="00B00F23">
        <w:rPr>
          <w:rFonts w:ascii="Times New Roman" w:hAnsi="Times New Roman" w:cs="Times New Roman"/>
        </w:rPr>
        <w:t>,</w:t>
      </w:r>
      <w:r w:rsidRPr="008246EA">
        <w:rPr>
          <w:rFonts w:ascii="Times New Roman" w:hAnsi="Times New Roman" w:cs="Times New Roman"/>
        </w:rPr>
        <w:t xml:space="preserve"> became an NCI Surveillance, Epidemiology, and End-Results (SEER) Registry in 1973.  Approximately 166,000 cancer records up to 2014 are linked to individuals with at least three generations of genealogy and analyzed.  </w:t>
      </w:r>
    </w:p>
    <w:p w14:paraId="67E13642" w14:textId="12BCEAA0" w:rsidR="00491EAE" w:rsidRDefault="0019108E" w:rsidP="008246EA">
      <w:pPr>
        <w:spacing w:after="0" w:line="480" w:lineRule="auto"/>
        <w:rPr>
          <w:rFonts w:ascii="Times New Roman" w:eastAsia="Times New Roman" w:hAnsi="Times New Roman" w:cs="Times New Roman"/>
          <w:color w:val="000000"/>
        </w:rPr>
      </w:pPr>
      <w:r>
        <w:rPr>
          <w:rFonts w:ascii="Times New Roman" w:hAnsi="Times New Roman" w:cs="Times New Roman"/>
        </w:rPr>
        <w:tab/>
      </w:r>
      <w:r w:rsidR="00491EAE" w:rsidRPr="008246EA">
        <w:rPr>
          <w:rFonts w:ascii="Times New Roman" w:hAnsi="Times New Roman" w:cs="Times New Roman"/>
        </w:rPr>
        <w:t xml:space="preserve">Colorectal cancer (CRC) cases (n=17,024) </w:t>
      </w:r>
      <w:r>
        <w:rPr>
          <w:rFonts w:ascii="Times New Roman" w:hAnsi="Times New Roman" w:cs="Times New Roman"/>
        </w:rPr>
        <w:t xml:space="preserve">with linked genealogy data </w:t>
      </w:r>
      <w:r w:rsidR="00491EAE" w:rsidRPr="008246EA">
        <w:rPr>
          <w:rFonts w:ascii="Times New Roman" w:hAnsi="Times New Roman" w:cs="Times New Roman"/>
        </w:rPr>
        <w:t xml:space="preserve">were identified from SEER codes as </w:t>
      </w:r>
      <w:r w:rsidR="00491EAE" w:rsidRPr="008246EA">
        <w:rPr>
          <w:rFonts w:ascii="Times New Roman" w:eastAsia="Times New Roman" w:hAnsi="Times New Roman" w:cs="Times New Roman"/>
          <w:color w:val="000000"/>
        </w:rPr>
        <w:t xml:space="preserve">cecum (21041), ascending colon (21043), hepatic flexure (21044), transverse colon (21045), splenic flexure (21046), descending colon (21047), sigmoid colon (21048), large intestine NOS (21049), rectosigmoid junction (21051), and rectum (21052). Left-sided CRC cases (n=11,355) included SEER cancer codes for splenic flexure, descending colon, sigmoid colon, rectosigmoid junction and rectum; right-sided CRC cases (n=6,914) included SEER codes for cecum, ascending colon, hepatic </w:t>
      </w:r>
      <w:proofErr w:type="gramStart"/>
      <w:r w:rsidR="00491EAE" w:rsidRPr="008246EA">
        <w:rPr>
          <w:rFonts w:ascii="Times New Roman" w:eastAsia="Times New Roman" w:hAnsi="Times New Roman" w:cs="Times New Roman"/>
          <w:color w:val="000000"/>
        </w:rPr>
        <w:t>flexure</w:t>
      </w:r>
      <w:proofErr w:type="gramEnd"/>
      <w:r w:rsidR="00491EAE" w:rsidRPr="008246EA">
        <w:rPr>
          <w:rFonts w:ascii="Times New Roman" w:eastAsia="Times New Roman" w:hAnsi="Times New Roman" w:cs="Times New Roman"/>
          <w:color w:val="000000"/>
        </w:rPr>
        <w:t xml:space="preserve"> and transverse colon.  CRC cases coded as 21049: large intestine NOS were included in all CRC cases, but not included in either left- or right-sided cases due to the non-specific localization</w:t>
      </w:r>
      <w:r>
        <w:rPr>
          <w:rFonts w:ascii="Times New Roman" w:eastAsia="Times New Roman" w:hAnsi="Times New Roman" w:cs="Times New Roman"/>
          <w:color w:val="000000"/>
        </w:rPr>
        <w:t>.</w:t>
      </w:r>
    </w:p>
    <w:p w14:paraId="0E3E2BAB" w14:textId="77777777" w:rsidR="000554A6" w:rsidRPr="008246EA" w:rsidRDefault="000554A6" w:rsidP="008246EA">
      <w:pPr>
        <w:spacing w:after="0" w:line="480" w:lineRule="auto"/>
        <w:rPr>
          <w:rFonts w:ascii="Times New Roman" w:eastAsia="Times New Roman" w:hAnsi="Times New Roman" w:cs="Times New Roman"/>
          <w:color w:val="000000"/>
          <w:highlight w:val="yellow"/>
        </w:rPr>
      </w:pPr>
    </w:p>
    <w:p w14:paraId="45EB6A6D" w14:textId="6CD41614" w:rsidR="00316237" w:rsidRPr="008246EA" w:rsidRDefault="00316237" w:rsidP="008246EA">
      <w:pPr>
        <w:spacing w:after="0" w:line="480" w:lineRule="auto"/>
        <w:rPr>
          <w:rFonts w:ascii="Times New Roman" w:hAnsi="Times New Roman" w:cs="Times New Roman"/>
        </w:rPr>
      </w:pPr>
      <w:r w:rsidRPr="008246EA">
        <w:rPr>
          <w:rFonts w:ascii="Times New Roman" w:hAnsi="Times New Roman" w:cs="Times New Roman"/>
          <w:u w:val="single"/>
        </w:rPr>
        <w:t>Estimation of Relative Risks in Relatives.</w:t>
      </w:r>
      <w:r w:rsidRPr="008246EA">
        <w:rPr>
          <w:rFonts w:ascii="Times New Roman" w:hAnsi="Times New Roman" w:cs="Times New Roman"/>
        </w:rPr>
        <w:t xml:space="preserve">  All individuals in the UPDB with genealogy data as described were assigned to a sex-, 5</w:t>
      </w:r>
      <w:r w:rsidR="00BD3244">
        <w:rPr>
          <w:rFonts w:ascii="Times New Roman" w:hAnsi="Times New Roman" w:cs="Times New Roman"/>
        </w:rPr>
        <w:t>-</w:t>
      </w:r>
      <w:r w:rsidRPr="008246EA">
        <w:rPr>
          <w:rFonts w:ascii="Times New Roman" w:hAnsi="Times New Roman" w:cs="Times New Roman"/>
        </w:rPr>
        <w:t>year birth year range, and birth state</w:t>
      </w:r>
      <w:proofErr w:type="gramStart"/>
      <w:r w:rsidRPr="008246EA">
        <w:rPr>
          <w:rFonts w:ascii="Times New Roman" w:hAnsi="Times New Roman" w:cs="Times New Roman"/>
        </w:rPr>
        <w:t>-(</w:t>
      </w:r>
      <w:proofErr w:type="gramEnd"/>
      <w:r w:rsidRPr="008246EA">
        <w:rPr>
          <w:rFonts w:ascii="Times New Roman" w:hAnsi="Times New Roman" w:cs="Times New Roman"/>
        </w:rPr>
        <w:t>Utah or not) specific cohort. Cohort</w:t>
      </w:r>
      <w:r w:rsidR="0019108E">
        <w:rPr>
          <w:rFonts w:ascii="Times New Roman" w:hAnsi="Times New Roman" w:cs="Times New Roman"/>
        </w:rPr>
        <w:t>-</w:t>
      </w:r>
      <w:r w:rsidRPr="008246EA">
        <w:rPr>
          <w:rFonts w:ascii="Times New Roman" w:hAnsi="Times New Roman" w:cs="Times New Roman"/>
        </w:rPr>
        <w:t xml:space="preserve">specific rates for each </w:t>
      </w:r>
      <w:r w:rsidR="0019108E">
        <w:rPr>
          <w:rFonts w:ascii="Times New Roman" w:hAnsi="Times New Roman" w:cs="Times New Roman"/>
        </w:rPr>
        <w:t>phenotype</w:t>
      </w:r>
      <w:r w:rsidR="0019108E" w:rsidRPr="008246EA">
        <w:rPr>
          <w:rFonts w:ascii="Times New Roman" w:hAnsi="Times New Roman" w:cs="Times New Roman"/>
        </w:rPr>
        <w:t xml:space="preserve"> </w:t>
      </w:r>
      <w:r w:rsidRPr="008246EA">
        <w:rPr>
          <w:rFonts w:ascii="Times New Roman" w:hAnsi="Times New Roman" w:cs="Times New Roman"/>
        </w:rPr>
        <w:t xml:space="preserve">were estimated by counting all of the </w:t>
      </w:r>
      <w:r w:rsidR="00BD3244">
        <w:rPr>
          <w:rFonts w:ascii="Times New Roman" w:hAnsi="Times New Roman" w:cs="Times New Roman"/>
        </w:rPr>
        <w:t xml:space="preserve">CRC </w:t>
      </w:r>
      <w:r w:rsidRPr="008246EA">
        <w:rPr>
          <w:rFonts w:ascii="Times New Roman" w:hAnsi="Times New Roman" w:cs="Times New Roman"/>
        </w:rPr>
        <w:t xml:space="preserve">cases in each cohort and dividing by the total number of individuals in each </w:t>
      </w:r>
      <w:proofErr w:type="gramStart"/>
      <w:r w:rsidRPr="008246EA">
        <w:rPr>
          <w:rFonts w:ascii="Times New Roman" w:hAnsi="Times New Roman" w:cs="Times New Roman"/>
        </w:rPr>
        <w:t>cohort.</w:t>
      </w:r>
      <w:r w:rsidR="0019108E">
        <w:rPr>
          <w:rFonts w:ascii="Times New Roman" w:hAnsi="Times New Roman" w:cs="Times New Roman"/>
        </w:rPr>
        <w:t>.</w:t>
      </w:r>
      <w:proofErr w:type="gramEnd"/>
      <w:r w:rsidR="0019108E">
        <w:rPr>
          <w:rFonts w:ascii="Times New Roman" w:hAnsi="Times New Roman" w:cs="Times New Roman"/>
        </w:rPr>
        <w:t xml:space="preserve"> </w:t>
      </w:r>
      <w:r w:rsidR="00C90202" w:rsidRPr="001F5D7E">
        <w:rPr>
          <w:rFonts w:ascii="Times New Roman" w:hAnsi="Times New Roman" w:cs="Times New Roman"/>
        </w:rPr>
        <w:t xml:space="preserve">The “N” is the total number of relatives of the 1,510 </w:t>
      </w:r>
      <w:r w:rsidR="0019108E" w:rsidRPr="001F5D7E">
        <w:rPr>
          <w:rFonts w:ascii="Times New Roman" w:hAnsi="Times New Roman" w:cs="Times New Roman"/>
        </w:rPr>
        <w:t xml:space="preserve">early-onset </w:t>
      </w:r>
      <w:r w:rsidR="00C90202" w:rsidRPr="001F5D7E">
        <w:rPr>
          <w:rFonts w:ascii="Times New Roman" w:hAnsi="Times New Roman" w:cs="Times New Roman"/>
        </w:rPr>
        <w:t>CRC probands for each degree of relative, ‘observed’ is the observed number of relatives with early-onset CRC, ‘expected’ is the expected number of relatives diagnosed with early-onset CRC.</w:t>
      </w:r>
      <w:r w:rsidR="00C90202">
        <w:rPr>
          <w:rFonts w:ascii="Times New Roman" w:hAnsi="Times New Roman" w:cs="Times New Roman"/>
        </w:rPr>
        <w:t xml:space="preserve"> </w:t>
      </w:r>
      <w:r w:rsidRPr="008246EA">
        <w:rPr>
          <w:rFonts w:ascii="Times New Roman" w:hAnsi="Times New Roman" w:cs="Times New Roman"/>
        </w:rPr>
        <w:t>The significance and 95% CI for the 2-tailed test used the method of Agresti</w:t>
      </w:r>
      <w:r w:rsidRPr="008246EA">
        <w:rPr>
          <w:rFonts w:ascii="Times New Roman" w:hAnsi="Times New Roman" w:cs="Times New Roman"/>
        </w:rPr>
        <w:fldChar w:fldCharType="begin"/>
      </w:r>
      <w:r w:rsidR="008246EA">
        <w:rPr>
          <w:rFonts w:ascii="Times New Roman" w:hAnsi="Times New Roman" w:cs="Times New Roman"/>
        </w:rPr>
        <w:instrText xml:space="preserve"> ADDIN EN.CITE &lt;EndNote&gt;&lt;Cite&gt;&lt;Author&gt;Agresti&lt;/Author&gt;&lt;Year&gt;1990&lt;/Year&gt;&lt;RecNum&gt;27&lt;/RecNum&gt;&lt;DisplayText&gt;&lt;style face="superscript"&gt;2&lt;/style&gt;&lt;/DisplayText&gt;&lt;record&gt;&lt;rec-number&gt;27&lt;/rec-number&gt;&lt;foreign-keys&gt;&lt;key app="EN" db-id="tppxwpt2ar5ddtezzvzpx2pufexs9vaxwf5z" timestamp="1555602838"&gt;27&lt;/key&gt;&lt;/foreign-keys&gt;&lt;ref-type name="Book"&gt;6&lt;/ref-type&gt;&lt;contributors&gt;&lt;authors&gt;&lt;author&gt;Agresti, A.&lt;/author&gt;&lt;/authors&gt;&lt;/contributors&gt;&lt;titles&gt;&lt;title&gt;Categorical Data Analysis&lt;/title&gt;&lt;/titles&gt;&lt;dates&gt;&lt;year&gt;1990&lt;/year&gt;&lt;/dates&gt;&lt;publisher&gt;Wiley&lt;/publisher&gt;&lt;isbn&gt;9780471853015&lt;/isbn&gt;&lt;urls&gt;&lt;related-urls&gt;&lt;url&gt;https://books.google.com/books?id=MCnvAAAAMAAJ&lt;/url&gt;&lt;/related-urls&gt;&lt;/urls&gt;&lt;/record&gt;&lt;/Cite&gt;&lt;/EndNote&gt;</w:instrText>
      </w:r>
      <w:r w:rsidRPr="008246EA">
        <w:rPr>
          <w:rFonts w:ascii="Times New Roman" w:hAnsi="Times New Roman" w:cs="Times New Roman"/>
        </w:rPr>
        <w:fldChar w:fldCharType="separate"/>
      </w:r>
      <w:r w:rsidR="008246EA" w:rsidRPr="008246EA">
        <w:rPr>
          <w:rFonts w:ascii="Times New Roman" w:hAnsi="Times New Roman" w:cs="Times New Roman"/>
          <w:noProof/>
          <w:vertAlign w:val="superscript"/>
        </w:rPr>
        <w:t>2</w:t>
      </w:r>
      <w:r w:rsidRPr="008246EA">
        <w:rPr>
          <w:rFonts w:ascii="Times New Roman" w:hAnsi="Times New Roman" w:cs="Times New Roman"/>
        </w:rPr>
        <w:fldChar w:fldCharType="end"/>
      </w:r>
      <w:r w:rsidRPr="008246EA">
        <w:rPr>
          <w:rFonts w:ascii="Times New Roman" w:hAnsi="Times New Roman" w:cs="Times New Roman"/>
        </w:rPr>
        <w:t xml:space="preserve">. </w:t>
      </w:r>
    </w:p>
    <w:p w14:paraId="735EB960" w14:textId="77777777" w:rsidR="00316237" w:rsidRPr="008246EA" w:rsidRDefault="00316237" w:rsidP="008246EA">
      <w:pPr>
        <w:spacing w:after="0" w:line="480" w:lineRule="auto"/>
        <w:rPr>
          <w:rFonts w:ascii="Times New Roman" w:hAnsi="Times New Roman" w:cs="Times New Roman"/>
        </w:rPr>
      </w:pPr>
    </w:p>
    <w:p w14:paraId="5665836D" w14:textId="13AC6C3B" w:rsidR="007022DF" w:rsidRDefault="008246EA" w:rsidP="008246EA">
      <w:pPr>
        <w:spacing w:after="0" w:line="480" w:lineRule="auto"/>
        <w:rPr>
          <w:rFonts w:ascii="Times New Roman" w:hAnsi="Times New Roman" w:cs="Times New Roman"/>
        </w:rPr>
      </w:pPr>
      <w:r w:rsidRPr="008246EA">
        <w:rPr>
          <w:rFonts w:ascii="Times New Roman" w:hAnsi="Times New Roman" w:cs="Times New Roman"/>
          <w:u w:val="single"/>
        </w:rPr>
        <w:lastRenderedPageBreak/>
        <w:t xml:space="preserve">Genealogical Index of </w:t>
      </w:r>
      <w:proofErr w:type="spellStart"/>
      <w:r w:rsidRPr="008246EA">
        <w:rPr>
          <w:rFonts w:ascii="Times New Roman" w:hAnsi="Times New Roman" w:cs="Times New Roman"/>
          <w:u w:val="single"/>
        </w:rPr>
        <w:t>Familiality</w:t>
      </w:r>
      <w:proofErr w:type="spellEnd"/>
      <w:r w:rsidRPr="008246EA">
        <w:rPr>
          <w:rFonts w:ascii="Times New Roman" w:hAnsi="Times New Roman" w:cs="Times New Roman"/>
          <w:u w:val="single"/>
        </w:rPr>
        <w:t xml:space="preserve"> (GIF) Test for Excess Relatedness of Cases</w:t>
      </w:r>
      <w:r w:rsidRPr="008246EA">
        <w:rPr>
          <w:rFonts w:ascii="Times New Roman" w:hAnsi="Times New Roman" w:cs="Times New Roman"/>
        </w:rPr>
        <w:t xml:space="preserve">. The GIF test allows </w:t>
      </w:r>
      <w:r w:rsidR="00BD3244">
        <w:rPr>
          <w:rFonts w:ascii="Times New Roman" w:hAnsi="Times New Roman" w:cs="Times New Roman"/>
        </w:rPr>
        <w:t>for</w:t>
      </w:r>
      <w:r w:rsidRPr="008246EA">
        <w:rPr>
          <w:rFonts w:ascii="Times New Roman" w:hAnsi="Times New Roman" w:cs="Times New Roman"/>
        </w:rPr>
        <w:t xml:space="preserve"> test</w:t>
      </w:r>
      <w:r w:rsidR="00BD3244">
        <w:rPr>
          <w:rFonts w:ascii="Times New Roman" w:hAnsi="Times New Roman" w:cs="Times New Roman"/>
        </w:rPr>
        <w:t>ing</w:t>
      </w:r>
      <w:r w:rsidRPr="008246EA">
        <w:rPr>
          <w:rFonts w:ascii="Times New Roman" w:hAnsi="Times New Roman" w:cs="Times New Roman"/>
        </w:rPr>
        <w:t xml:space="preserve"> the hypothesis of excess relatedness among a group of individuals with a common phenotype.  The test compares average pairwise relatedness of cases (</w:t>
      </w:r>
      <w:proofErr w:type="gramStart"/>
      <w:r w:rsidRPr="008246EA">
        <w:rPr>
          <w:rFonts w:ascii="Times New Roman" w:hAnsi="Times New Roman" w:cs="Times New Roman"/>
        </w:rPr>
        <w:t>e.g.</w:t>
      </w:r>
      <w:proofErr w:type="gramEnd"/>
      <w:r w:rsidRPr="008246EA">
        <w:rPr>
          <w:rFonts w:ascii="Times New Roman" w:hAnsi="Times New Roman" w:cs="Times New Roman"/>
        </w:rPr>
        <w:t xml:space="preserve"> CRC dx </w:t>
      </w:r>
      <w:r w:rsidRPr="008246EA">
        <w:rPr>
          <w:rFonts w:ascii="Times New Roman" w:hAnsi="Times New Roman" w:cs="Times New Roman"/>
          <w:u w:val="single"/>
        </w:rPr>
        <w:t>&lt;</w:t>
      </w:r>
      <w:r w:rsidRPr="008246EA">
        <w:rPr>
          <w:rFonts w:ascii="Times New Roman" w:hAnsi="Times New Roman" w:cs="Times New Roman"/>
        </w:rPr>
        <w:t xml:space="preserve">50 years) with the expected pairwise relatedness for a matched set of individuals in the UPDB. Coefficient of kinship is used to measure relatedness; pairs are defined based on genetic distance. The expected pairwise relatedness for a set of cases is estimated in a set of randomly selected, matched controls from UPDB. Controls were matched on the cohorts described above. For the GIF test for a set of cases, the expected pairwise relatedness was estimated as the average pairwise relatedness computed for 1,000 sets of matched controls. The significance of the case GIF was empirically assessed by comparison with the 1,000 control GIF values. The GIF method tests excess </w:t>
      </w:r>
      <w:proofErr w:type="gramStart"/>
      <w:r w:rsidRPr="008246EA">
        <w:rPr>
          <w:rFonts w:ascii="Times New Roman" w:hAnsi="Times New Roman" w:cs="Times New Roman"/>
        </w:rPr>
        <w:t>relatedness, but</w:t>
      </w:r>
      <w:proofErr w:type="gramEnd"/>
      <w:r w:rsidRPr="008246EA">
        <w:rPr>
          <w:rFonts w:ascii="Times New Roman" w:hAnsi="Times New Roman" w:cs="Times New Roman"/>
        </w:rPr>
        <w:t xml:space="preserve"> does not distinguish between relatedness due to genetics versus that due to common environment. For this reason, the distant GIF (</w:t>
      </w:r>
      <w:proofErr w:type="spellStart"/>
      <w:r w:rsidRPr="008246EA">
        <w:rPr>
          <w:rFonts w:ascii="Times New Roman" w:hAnsi="Times New Roman" w:cs="Times New Roman"/>
        </w:rPr>
        <w:t>dGIF</w:t>
      </w:r>
      <w:proofErr w:type="spellEnd"/>
      <w:r w:rsidRPr="008246EA">
        <w:rPr>
          <w:rFonts w:ascii="Times New Roman" w:hAnsi="Times New Roman" w:cs="Times New Roman"/>
        </w:rPr>
        <w:t>) test is also performed while ignoring all relationships closer than third-degree</w:t>
      </w:r>
      <w:r w:rsidR="00BD3244">
        <w:rPr>
          <w:rFonts w:ascii="Times New Roman" w:hAnsi="Times New Roman" w:cs="Times New Roman"/>
        </w:rPr>
        <w:t>, allowing</w:t>
      </w:r>
      <w:r w:rsidRPr="008246EA">
        <w:rPr>
          <w:rFonts w:ascii="Times New Roman" w:hAnsi="Times New Roman" w:cs="Times New Roman"/>
        </w:rPr>
        <w:t xml:space="preserve"> a test of excess distant relatedness which is unlikely in the absence of an inherited contribution to the phenotype examined. </w:t>
      </w:r>
    </w:p>
    <w:p w14:paraId="13FA99A7" w14:textId="09FEC172" w:rsidR="008246EA" w:rsidRDefault="008246EA" w:rsidP="00350D72">
      <w:pPr>
        <w:spacing w:after="0" w:line="480" w:lineRule="auto"/>
        <w:rPr>
          <w:rFonts w:ascii="Times New Roman" w:hAnsi="Times New Roman" w:cs="Times New Roman"/>
        </w:rPr>
      </w:pPr>
    </w:p>
    <w:p w14:paraId="0FE5663A" w14:textId="77777777" w:rsidR="008246EA" w:rsidRPr="00350D72" w:rsidRDefault="008246EA" w:rsidP="00350D72">
      <w:pPr>
        <w:spacing w:after="0" w:line="480" w:lineRule="auto"/>
        <w:rPr>
          <w:rFonts w:ascii="Times New Roman" w:hAnsi="Times New Roman" w:cs="Times New Roman"/>
          <w:b/>
        </w:rPr>
      </w:pPr>
      <w:r w:rsidRPr="00350D72">
        <w:rPr>
          <w:rFonts w:ascii="Times New Roman" w:hAnsi="Times New Roman" w:cs="Times New Roman"/>
          <w:b/>
        </w:rPr>
        <w:t>REFERENCES</w:t>
      </w:r>
    </w:p>
    <w:p w14:paraId="6E8F6847" w14:textId="4987DDD5" w:rsidR="008246EA" w:rsidRPr="00350D72" w:rsidRDefault="008246EA" w:rsidP="00350D72">
      <w:pPr>
        <w:pStyle w:val="EndNoteBibliography"/>
        <w:spacing w:after="0" w:line="480" w:lineRule="auto"/>
        <w:ind w:left="720" w:hanging="720"/>
        <w:rPr>
          <w:rFonts w:ascii="Times New Roman" w:hAnsi="Times New Roman" w:cs="Times New Roman"/>
        </w:rPr>
      </w:pPr>
      <w:r w:rsidRPr="00350D72">
        <w:rPr>
          <w:rFonts w:ascii="Times New Roman" w:hAnsi="Times New Roman" w:cs="Times New Roman"/>
          <w:u w:val="single"/>
        </w:rPr>
        <w:fldChar w:fldCharType="begin"/>
      </w:r>
      <w:r w:rsidRPr="00350D72">
        <w:rPr>
          <w:rFonts w:ascii="Times New Roman" w:hAnsi="Times New Roman" w:cs="Times New Roman"/>
          <w:u w:val="single"/>
        </w:rPr>
        <w:instrText xml:space="preserve"> ADDIN EN.REFLIST </w:instrText>
      </w:r>
      <w:r w:rsidRPr="00350D72">
        <w:rPr>
          <w:rFonts w:ascii="Times New Roman" w:hAnsi="Times New Roman" w:cs="Times New Roman"/>
          <w:u w:val="single"/>
        </w:rPr>
        <w:fldChar w:fldCharType="separate"/>
      </w:r>
      <w:r w:rsidRPr="00350D72">
        <w:rPr>
          <w:rFonts w:ascii="Times New Roman" w:hAnsi="Times New Roman" w:cs="Times New Roman"/>
        </w:rPr>
        <w:t>1.</w:t>
      </w:r>
      <w:r w:rsidRPr="00350D72">
        <w:rPr>
          <w:rFonts w:ascii="Times New Roman" w:hAnsi="Times New Roman" w:cs="Times New Roman"/>
        </w:rPr>
        <w:tab/>
        <w:t>Cannon-Albright L</w:t>
      </w:r>
      <w:r w:rsidRPr="007C4383">
        <w:rPr>
          <w:rFonts w:ascii="Times New Roman" w:hAnsi="Times New Roman" w:cs="Times New Roman"/>
        </w:rPr>
        <w:t xml:space="preserve">A, et al. </w:t>
      </w:r>
      <w:r w:rsidR="007C4383" w:rsidRPr="007C4383">
        <w:rPr>
          <w:rFonts w:ascii="Times New Roman" w:hAnsi="Times New Roman" w:cs="Times New Roman"/>
        </w:rPr>
        <w:t xml:space="preserve">Identification and study of Utah pseudo-isolate populations-prospects for gene identification </w:t>
      </w:r>
      <w:r w:rsidRPr="007C4383">
        <w:rPr>
          <w:rFonts w:ascii="Times New Roman" w:hAnsi="Times New Roman" w:cs="Times New Roman"/>
        </w:rPr>
        <w:t>A</w:t>
      </w:r>
      <w:r w:rsidRPr="00350D72">
        <w:rPr>
          <w:rFonts w:ascii="Times New Roman" w:hAnsi="Times New Roman" w:cs="Times New Roman"/>
        </w:rPr>
        <w:t>m J Med Genet A 2005;137A:269-75.</w:t>
      </w:r>
    </w:p>
    <w:p w14:paraId="0EA06841" w14:textId="77777777" w:rsidR="008246EA" w:rsidRPr="00350D72" w:rsidRDefault="008246EA" w:rsidP="00350D72">
      <w:pPr>
        <w:pStyle w:val="EndNoteBibliography"/>
        <w:spacing w:line="480" w:lineRule="auto"/>
        <w:ind w:left="720" w:hanging="720"/>
        <w:rPr>
          <w:rFonts w:ascii="Times New Roman" w:hAnsi="Times New Roman" w:cs="Times New Roman"/>
        </w:rPr>
      </w:pPr>
      <w:r w:rsidRPr="00350D72">
        <w:rPr>
          <w:rFonts w:ascii="Times New Roman" w:hAnsi="Times New Roman" w:cs="Times New Roman"/>
        </w:rPr>
        <w:t>2.</w:t>
      </w:r>
      <w:r w:rsidRPr="00350D72">
        <w:rPr>
          <w:rFonts w:ascii="Times New Roman" w:hAnsi="Times New Roman" w:cs="Times New Roman"/>
        </w:rPr>
        <w:tab/>
        <w:t>Agresti A. Categorical Data Analysis: Wiley, 1990.</w:t>
      </w:r>
    </w:p>
    <w:p w14:paraId="3ACC2DDA" w14:textId="77777777" w:rsidR="000C2F6D" w:rsidRPr="008246EA" w:rsidRDefault="008246EA" w:rsidP="00350D72">
      <w:pPr>
        <w:spacing w:after="0" w:line="480" w:lineRule="auto"/>
        <w:rPr>
          <w:rFonts w:ascii="Times New Roman" w:hAnsi="Times New Roman" w:cs="Times New Roman"/>
          <w:u w:val="single"/>
        </w:rPr>
      </w:pPr>
      <w:r w:rsidRPr="00350D72">
        <w:rPr>
          <w:rFonts w:ascii="Times New Roman" w:hAnsi="Times New Roman" w:cs="Times New Roman"/>
          <w:u w:val="single"/>
        </w:rPr>
        <w:fldChar w:fldCharType="end"/>
      </w:r>
    </w:p>
    <w:sectPr w:rsidR="000C2F6D" w:rsidRPr="008246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JAMA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0C2F6D"/>
    <w:rsid w:val="000554A6"/>
    <w:rsid w:val="000C2F6D"/>
    <w:rsid w:val="0019108E"/>
    <w:rsid w:val="001F5D7E"/>
    <w:rsid w:val="00210E51"/>
    <w:rsid w:val="00316237"/>
    <w:rsid w:val="00350D72"/>
    <w:rsid w:val="00354323"/>
    <w:rsid w:val="00411AE7"/>
    <w:rsid w:val="00491EAE"/>
    <w:rsid w:val="00603B9D"/>
    <w:rsid w:val="007022DF"/>
    <w:rsid w:val="00756DE8"/>
    <w:rsid w:val="007C4383"/>
    <w:rsid w:val="007F0AD3"/>
    <w:rsid w:val="008246EA"/>
    <w:rsid w:val="008262DF"/>
    <w:rsid w:val="008F757F"/>
    <w:rsid w:val="0094182A"/>
    <w:rsid w:val="00AA69B9"/>
    <w:rsid w:val="00B00F23"/>
    <w:rsid w:val="00BD3244"/>
    <w:rsid w:val="00C028C2"/>
    <w:rsid w:val="00C679BB"/>
    <w:rsid w:val="00C90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4F56"/>
  <w15:chartTrackingRefBased/>
  <w15:docId w15:val="{5A1CD12D-C1C6-41BA-AD3B-E818540D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91EAE"/>
    <w:rPr>
      <w:sz w:val="16"/>
      <w:szCs w:val="16"/>
    </w:rPr>
  </w:style>
  <w:style w:type="paragraph" w:styleId="CommentText">
    <w:name w:val="annotation text"/>
    <w:basedOn w:val="Normal"/>
    <w:link w:val="CommentTextChar"/>
    <w:uiPriority w:val="99"/>
    <w:unhideWhenUsed/>
    <w:rsid w:val="00491EAE"/>
    <w:pPr>
      <w:spacing w:after="0" w:line="240" w:lineRule="auto"/>
    </w:pPr>
    <w:rPr>
      <w:sz w:val="20"/>
      <w:szCs w:val="20"/>
    </w:rPr>
  </w:style>
  <w:style w:type="character" w:customStyle="1" w:styleId="CommentTextChar">
    <w:name w:val="Comment Text Char"/>
    <w:basedOn w:val="DefaultParagraphFont"/>
    <w:link w:val="CommentText"/>
    <w:uiPriority w:val="99"/>
    <w:rsid w:val="00491EAE"/>
    <w:rPr>
      <w:sz w:val="20"/>
      <w:szCs w:val="20"/>
    </w:rPr>
  </w:style>
  <w:style w:type="paragraph" w:styleId="BalloonText">
    <w:name w:val="Balloon Text"/>
    <w:basedOn w:val="Normal"/>
    <w:link w:val="BalloonTextChar"/>
    <w:uiPriority w:val="99"/>
    <w:semiHidden/>
    <w:unhideWhenUsed/>
    <w:rsid w:val="00491E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EAE"/>
    <w:rPr>
      <w:rFonts w:ascii="Segoe UI" w:hAnsi="Segoe UI" w:cs="Segoe UI"/>
      <w:sz w:val="18"/>
      <w:szCs w:val="18"/>
    </w:rPr>
  </w:style>
  <w:style w:type="paragraph" w:customStyle="1" w:styleId="EndNoteBibliographyTitle">
    <w:name w:val="EndNote Bibliography Title"/>
    <w:basedOn w:val="Normal"/>
    <w:link w:val="EndNoteBibliographyTitleChar"/>
    <w:rsid w:val="008246E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8246EA"/>
    <w:rPr>
      <w:rFonts w:ascii="Calibri" w:hAnsi="Calibri" w:cs="Calibri"/>
      <w:noProof/>
    </w:rPr>
  </w:style>
  <w:style w:type="paragraph" w:customStyle="1" w:styleId="EndNoteBibliography">
    <w:name w:val="EndNote Bibliography"/>
    <w:basedOn w:val="Normal"/>
    <w:link w:val="EndNoteBibliographyChar"/>
    <w:rsid w:val="008246E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8246EA"/>
    <w:rPr>
      <w:rFonts w:ascii="Calibri" w:hAnsi="Calibri" w:cs="Calibri"/>
      <w:noProof/>
    </w:rPr>
  </w:style>
  <w:style w:type="paragraph" w:styleId="CommentSubject">
    <w:name w:val="annotation subject"/>
    <w:basedOn w:val="CommentText"/>
    <w:next w:val="CommentText"/>
    <w:link w:val="CommentSubjectChar"/>
    <w:uiPriority w:val="99"/>
    <w:semiHidden/>
    <w:unhideWhenUsed/>
    <w:rsid w:val="00603B9D"/>
    <w:pPr>
      <w:spacing w:after="160"/>
    </w:pPr>
    <w:rPr>
      <w:b/>
      <w:bCs/>
    </w:rPr>
  </w:style>
  <w:style w:type="character" w:customStyle="1" w:styleId="CommentSubjectChar">
    <w:name w:val="Comment Subject Char"/>
    <w:basedOn w:val="CommentTextChar"/>
    <w:link w:val="CommentSubject"/>
    <w:uiPriority w:val="99"/>
    <w:semiHidden/>
    <w:rsid w:val="00603B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Ochs-Balcom, Heather</dc:creator>
  <cp:keywords/>
  <dc:description/>
  <cp:lastModifiedBy>Heather Ochs-Balcom</cp:lastModifiedBy>
  <cp:revision>2</cp:revision>
  <dcterms:created xsi:type="dcterms:W3CDTF">2021-03-16T17:58:00Z</dcterms:created>
  <dcterms:modified xsi:type="dcterms:W3CDTF">2021-03-16T17:58:00Z</dcterms:modified>
</cp:coreProperties>
</file>