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CD" w:rsidRDefault="00EE4ECD" w:rsidP="007D296F">
      <w:pPr>
        <w:jc w:val="center"/>
      </w:pPr>
      <w:r>
        <w:t xml:space="preserve">Supplementary Materials </w:t>
      </w:r>
      <w:r w:rsidR="007D296F" w:rsidRPr="007D296F">
        <w:t>for</w:t>
      </w:r>
    </w:p>
    <w:p w:rsidR="007D296F" w:rsidRPr="007D296F" w:rsidRDefault="007D296F" w:rsidP="007D296F">
      <w:pPr>
        <w:jc w:val="center"/>
        <w:rPr>
          <w:b/>
        </w:rPr>
      </w:pPr>
      <w:r w:rsidRPr="007D296F">
        <w:br/>
      </w:r>
      <w:r w:rsidR="00EE4ECD" w:rsidRPr="00DF76BD">
        <w:rPr>
          <w:b/>
          <w:szCs w:val="24"/>
        </w:rPr>
        <w:t xml:space="preserve">Longitudinal Understanding </w:t>
      </w:r>
      <w:r w:rsidR="00EE4ECD">
        <w:rPr>
          <w:b/>
          <w:szCs w:val="24"/>
        </w:rPr>
        <w:t xml:space="preserve">of </w:t>
      </w:r>
      <w:r w:rsidR="00EE4ECD" w:rsidRPr="00DF76BD">
        <w:rPr>
          <w:b/>
          <w:szCs w:val="24"/>
        </w:rPr>
        <w:t>Child Maltreatment Report Risks</w:t>
      </w:r>
    </w:p>
    <w:p w:rsidR="007D296F" w:rsidRDefault="007D296F"/>
    <w:p w:rsidR="00EE4ECD" w:rsidRDefault="00EE4ECD">
      <w:r>
        <w:t>This file includes:</w:t>
      </w:r>
    </w:p>
    <w:p w:rsidR="00EE4ECD" w:rsidRDefault="00EE4ECD"/>
    <w:p w:rsidR="00EE4ECD" w:rsidRDefault="00EE4ECD">
      <w:r>
        <w:tab/>
      </w:r>
      <w:r w:rsidR="001E0842">
        <w:t xml:space="preserve">Appendix A, </w:t>
      </w:r>
      <w:r>
        <w:t>Table S1</w:t>
      </w:r>
    </w:p>
    <w:p w:rsidR="00EE4ECD" w:rsidRDefault="00EE4ECD">
      <w:r>
        <w:tab/>
      </w:r>
      <w:r w:rsidR="00601241">
        <w:t xml:space="preserve">Appendix </w:t>
      </w:r>
      <w:r w:rsidR="001E0842">
        <w:t>B</w:t>
      </w:r>
      <w:r>
        <w:t>, Table S2</w:t>
      </w:r>
    </w:p>
    <w:p w:rsidR="00EE4ECD" w:rsidRDefault="00EE4ECD">
      <w:r>
        <w:tab/>
      </w:r>
      <w:r w:rsidR="00601241">
        <w:t xml:space="preserve">Appendix </w:t>
      </w:r>
      <w:r w:rsidR="001E0842">
        <w:t>C</w:t>
      </w:r>
    </w:p>
    <w:p w:rsidR="00EE4ECD" w:rsidRDefault="00EE4ECD"/>
    <w:p w:rsidR="00EE4ECD" w:rsidRDefault="00EE4ECD">
      <w:r>
        <w:br w:type="page"/>
      </w:r>
    </w:p>
    <w:p w:rsidR="001E0842" w:rsidRDefault="001E0842" w:rsidP="00D97C85">
      <w:pPr>
        <w:jc w:val="center"/>
        <w:rPr>
          <w:b/>
          <w:szCs w:val="24"/>
        </w:rPr>
      </w:pPr>
      <w:r>
        <w:rPr>
          <w:b/>
          <w:szCs w:val="24"/>
        </w:rPr>
        <w:lastRenderedPageBreak/>
        <w:t>Appendix A</w:t>
      </w:r>
    </w:p>
    <w:p w:rsidR="001E0842" w:rsidRDefault="001E0842" w:rsidP="00D97C85">
      <w:pPr>
        <w:rPr>
          <w:szCs w:val="24"/>
        </w:rPr>
      </w:pPr>
    </w:p>
    <w:p w:rsidR="001E0842" w:rsidRPr="001E0842" w:rsidRDefault="001E0842" w:rsidP="00D97C85">
      <w:pPr>
        <w:rPr>
          <w:b/>
          <w:szCs w:val="24"/>
        </w:rPr>
      </w:pPr>
      <w:r w:rsidRPr="001E0842">
        <w:rPr>
          <w:b/>
          <w:szCs w:val="24"/>
        </w:rPr>
        <w:t>Level-1 Predictors</w:t>
      </w:r>
    </w:p>
    <w:p w:rsidR="001E0842" w:rsidRPr="00762227" w:rsidRDefault="001E0842" w:rsidP="00D97C85">
      <w:r>
        <w:rPr>
          <w:b/>
        </w:rPr>
        <w:tab/>
      </w:r>
      <w:r w:rsidRPr="00762227">
        <w:rPr>
          <w:b/>
        </w:rPr>
        <w:t>TANF lifetime limit</w:t>
      </w:r>
      <w:r w:rsidRPr="00762227">
        <w:t xml:space="preserve">. This variable was a binary measure, coded “1” for age-year observations after reaching the TANF lifetime limit (i.e., 60 months) and “0” otherwise. This variable was used to control for age-year </w:t>
      </w:r>
      <w:proofErr w:type="gramStart"/>
      <w:r w:rsidRPr="00762227">
        <w:t>observations which</w:t>
      </w:r>
      <w:proofErr w:type="gramEnd"/>
      <w:r w:rsidRPr="00762227">
        <w:t xml:space="preserve"> might have no welfare rec</w:t>
      </w:r>
      <w:r>
        <w:t>eipt due to the lifetime limit.</w:t>
      </w:r>
    </w:p>
    <w:p w:rsidR="001E0842" w:rsidRPr="00762227" w:rsidRDefault="001E0842" w:rsidP="00D97C85">
      <w:r w:rsidRPr="00762227">
        <w:tab/>
      </w:r>
      <w:r w:rsidRPr="00762227">
        <w:rPr>
          <w:b/>
        </w:rPr>
        <w:t>TANF no limit</w:t>
      </w:r>
      <w:r w:rsidRPr="00762227">
        <w:t xml:space="preserve">. Some children continued receiving TANF beyond the 60-month lifetime limit. This variable was coded “1” for those age-year observations and “0” otherwise. This can happen for two different reasons. First, a child’s caregiver can be exempted from the lifetime limit if the caregiver is “under age 18 attending school, age 60 or over, is disabled or is needed in the home to care for a disabled family member” </w:t>
      </w:r>
      <w:r w:rsidRPr="00762227">
        <w:fldChar w:fldCharType="begin" w:fldLock="1"/>
      </w:r>
      <w:r w:rsidR="0004596B">
        <w:instrText>ADDIN CSL_CITATION {"citationItems":[{"id":"ITEM-1","itemData":{"author":[{"dropping-particle":"","family":"Missouri Department of Social Services","given":"","non-dropping-particle":"","parse-names":false,"suffix":""}],"id":"ITEM-1","issued":{"date-parts":[["2015"]]},"title":"Overview of Temporary Assistance for Needy Families","type":"report"},"uris":["http://www.mendeley.com/documents/?uuid=dbdcce2c-5cfe-4d69-8cbd-f91cd4302290"]}],"mendeley":{"formattedCitation":"(Missouri Department of Social Services, 2015)","manualFormatting":"(Missouri Department of Social Services, 2015, p. 2)","plainTextFormattedCitation":"(Missouri Department of Social Services, 2015)","previouslyFormattedCitation":"(Missouri Department of Social Services, 2015)"},"properties":{"noteIndex":0},"schema":"https://github.com/citation-style-language/schema/raw/master/csl-citation.json"}</w:instrText>
      </w:r>
      <w:r w:rsidRPr="00762227">
        <w:fldChar w:fldCharType="separate"/>
      </w:r>
      <w:r w:rsidRPr="00762227">
        <w:rPr>
          <w:noProof/>
        </w:rPr>
        <w:t>(Missouri Department of Social Services, 2015, p. 2)</w:t>
      </w:r>
      <w:r w:rsidRPr="00762227">
        <w:fldChar w:fldCharType="end"/>
      </w:r>
      <w:r w:rsidRPr="00762227">
        <w:t xml:space="preserve">. Second, a child may continue receiving TANF over 60 months if a child moves into another household whose householder has not yet reached the lifetime limit. This is because the lifetime limit of the Missouri TANF program is applied to a household, but not to a child </w:t>
      </w:r>
      <w:r w:rsidRPr="00762227">
        <w:fldChar w:fldCharType="begin" w:fldLock="1"/>
      </w:r>
      <w:r w:rsidR="0004596B">
        <w:instrText>ADDIN CSL_CITATION {"citationItems":[{"id":"ITEM-1","itemData":{"author":[{"dropping-particle":"","family":"U.S. Department of Health and Human Services","given":"","non-dropping-particle":"","parse-names":false,"suffix":""}],"id":"ITEM-1","issued":{"date-parts":[["1998"]]},"title":"Aid to Families with Dependent Children: The baseline","type":"report"},"uris":["http://www.mendeley.com/documents/?uuid=e5c9fc14-f706-49f6-9ffa-ed29c21c6e1c"]}],"mendeley":{"formattedCitation":"(U.S. Department of Health and Human Services, 1998)","plainTextFormattedCitation":"(U.S. Department of Health and Human Services, 1998)","previouslyFormattedCitation":"(U.S. Department of Health and Human Services, 1998)"},"properties":{"noteIndex":0},"schema":"https://github.com/citation-style-language/schema/raw/master/csl-citation.json"}</w:instrText>
      </w:r>
      <w:r w:rsidRPr="00762227">
        <w:fldChar w:fldCharType="separate"/>
      </w:r>
      <w:r w:rsidRPr="00762227">
        <w:rPr>
          <w:noProof/>
        </w:rPr>
        <w:t>(U.S. Department of Health and Human Services, 1998)</w:t>
      </w:r>
      <w:r w:rsidRPr="00762227">
        <w:fldChar w:fldCharType="end"/>
      </w:r>
      <w:r w:rsidRPr="00762227">
        <w:t>. In either case, the risk of maltreatment reporting for those receiving TANF beyond the lifetime limit may be different from that for others.</w:t>
      </w:r>
    </w:p>
    <w:p w:rsidR="001E0842" w:rsidRPr="00762227" w:rsidRDefault="001E0842" w:rsidP="00D97C85">
      <w:r w:rsidRPr="00762227">
        <w:tab/>
      </w:r>
      <w:r w:rsidRPr="00762227">
        <w:rPr>
          <w:b/>
        </w:rPr>
        <w:t>Prior CPS report</w:t>
      </w:r>
      <w:r w:rsidRPr="00762227">
        <w:t xml:space="preserve">. This variable measured the number of prior child maltreatment reports, indicating the cumulative history of prior exposure to reported maltreatment. </w:t>
      </w:r>
      <w:r>
        <w:t>T</w:t>
      </w:r>
      <w:r w:rsidRPr="00762227">
        <w:t xml:space="preserve">he number </w:t>
      </w:r>
      <w:r w:rsidR="00EE519C">
        <w:t>of prior maltreatment reports by</w:t>
      </w:r>
      <w:r w:rsidRPr="00762227">
        <w:t xml:space="preserve"> the current age was ranged from </w:t>
      </w:r>
      <w:proofErr w:type="gramStart"/>
      <w:r w:rsidRPr="00762227">
        <w:t>1</w:t>
      </w:r>
      <w:proofErr w:type="gramEnd"/>
      <w:r w:rsidRPr="00762227">
        <w:t xml:space="preserve"> to 9 for the CAN sample and from 0 to 6 for the AFDC sample. This variable was categorized into “1”, “2”, “3”, and “4 or more” for the CAN sample and “0”, “1”, “2”, “3 or more” for the AFDC sample as a few children had more than three or four</w:t>
      </w:r>
      <w:r>
        <w:t xml:space="preserve"> </w:t>
      </w:r>
      <w:r w:rsidRPr="00762227">
        <w:t xml:space="preserve">prior reports at an age. </w:t>
      </w:r>
    </w:p>
    <w:p w:rsidR="001E0842" w:rsidRPr="00762227" w:rsidRDefault="001E0842" w:rsidP="00D97C85">
      <w:r w:rsidRPr="00762227">
        <w:tab/>
        <w:t>CPS often offers in-home preventive services to intact families after investigating (or assessing) maltreatment reports. Broadly, there are two sorts of services for intact families. More common services are Family Centered Services (FCS), which are less intensive case management services provided over a longer-term period (3 months or longer). Less common but more intensive services are Intensive In-home Services (IIS), which are offered to families in crisis to prevent foster care placement of their children and are usually provided in a short period (within 4 to 6 weeks). The current study measured these services separately as prior studies suggested that FCS generally acted as a protective factor, while IIS sometimes acted as a risk indicator in analyses.</w:t>
      </w:r>
    </w:p>
    <w:p w:rsidR="001E0842" w:rsidRDefault="001E0842" w:rsidP="00D97C85">
      <w:r w:rsidRPr="00762227">
        <w:tab/>
      </w:r>
      <w:r w:rsidRPr="00762227">
        <w:rPr>
          <w:b/>
        </w:rPr>
        <w:t>Family Centered Services (FCS) only</w:t>
      </w:r>
      <w:r w:rsidRPr="00762227">
        <w:t xml:space="preserve">. FCS </w:t>
      </w:r>
      <w:proofErr w:type="gramStart"/>
      <w:r w:rsidRPr="00762227">
        <w:t>are usually provided</w:t>
      </w:r>
      <w:proofErr w:type="gramEnd"/>
      <w:r w:rsidRPr="00762227">
        <w:t xml:space="preserve"> without IIS, while IIS typically take place with FCS. For this reason, this variable measured prior participation of FCS only, coded “1” for having FCS only and “0” otherwise. </w:t>
      </w:r>
    </w:p>
    <w:p w:rsidR="001E0842" w:rsidRPr="00762227" w:rsidRDefault="001E0842" w:rsidP="00D97C85">
      <w:r>
        <w:rPr>
          <w:b/>
        </w:rPr>
        <w:tab/>
      </w:r>
      <w:r w:rsidRPr="00762227">
        <w:rPr>
          <w:b/>
        </w:rPr>
        <w:t>Intensive In-home Services (IIS) with or without FCS</w:t>
      </w:r>
      <w:r w:rsidRPr="00762227">
        <w:t>. This variable was coded “1” for any prior participation in IIS with or without FCS and “0” otherwise.</w:t>
      </w:r>
      <w:r w:rsidRPr="00762227" w:rsidDel="00244AE1">
        <w:t xml:space="preserve"> </w:t>
      </w:r>
    </w:p>
    <w:p w:rsidR="001E0842" w:rsidRDefault="001E0842" w:rsidP="00D97C85">
      <w:r w:rsidRPr="00762227">
        <w:tab/>
        <w:t xml:space="preserve">Child’s medical and mental health problems </w:t>
      </w:r>
      <w:proofErr w:type="gramStart"/>
      <w:r w:rsidRPr="00762227">
        <w:t>were captured</w:t>
      </w:r>
      <w:proofErr w:type="gramEnd"/>
      <w:r w:rsidRPr="00762227">
        <w:t xml:space="preserve"> by six predictors based on Missouri emergency room (ER) records (1997-2009). It </w:t>
      </w:r>
      <w:r>
        <w:t>is</w:t>
      </w:r>
      <w:r w:rsidRPr="00762227">
        <w:t xml:space="preserve"> worth noting that the problems captured in ER records may be relatively only those that require urgent medical attention. On the other hand, in many cases low income families may use emergency rooms for a source of regular medical care </w:t>
      </w:r>
      <w:r w:rsidRPr="00762227">
        <w:fldChar w:fldCharType="begin" w:fldLock="1"/>
      </w:r>
      <w:r w:rsidR="0004596B">
        <w:instrText>ADDIN CSL_CITATION {"citationItems":[{"id":"ITEM-1","itemData":{"author":[{"dropping-particle":"","family":"Orr","given":"Suezanne T.","non-dropping-particle":"","parse-names":false,"suffix":""},{"dropping-particle":"","family":"Charney","given":"Evan","non-dropping-particle":"","parse-names":false,"suffix":""},{"dropping-particle":"","family":"Straus","given":"John","non-dropping-particle":"","parse-names":false,"suffix":""},{"dropping-particle":"","family":"Bloom","given":"Barbara","non-dropping-particle":"","parse-names":false,"suffix":""}],"container-title":"Medical Care","id":"ITEM-1","issue":"3","issued":{"date-parts":[["1991"]]},"page":"283-286","title":"Emergency room use by low income children with a regular source of health care","type":"article-journal","volume":"29"},"uris":["http://www.mendeley.com/documents/?uuid=c784d26f-8591-4595-9839-f3a6afb27757"]},{"id":"ITEM-2","itemData":{"abstract":"Background. The use of the emergency departments as a regular source of sick care has been increasing, despite the fact that it is costly and is often an inappropriate source of care. This study examines factors associated with routine use of emergency departments by using a national sample of US children. Methods. Data from the 1988 National Health Interview Survey on Child Health, a nationally representative sample of 17 710 children younger than 18 years, was linked to county-level health resource data from the Area Resource File. Bivariate and multivariate analyses were used to assess the association between children&amp;#039;s use of emergency departments as their usual sources of sick care and predisposing need and enabling characteristics of the families, as well as availability of health resources in their communities. Results. In 1988 3.4% or approximately 2 million US children younger than 18 years were reported to use emergency departments as their usual sources of sick care. Significant demographic risk factors for reporting an emergency department as a usual source of sick care included black versus white race (odds ratio [OR], 2.08), single-parent versus two-parent families (OR, 1.53), mothers with less than a high school education versus those with high school or more (OR, 1.76), poor versus nonpoor families (OR, 1.76), and living in an urban versus suburban setting (OR, 1.38). Specific indicators of need, such as recurrent health conditions (asthma, tonsillitis, headaches, and febrile seizures), were not associated with routine use of emergency departments for sick care. Furthermore, health insurance status and specifically Medicaid coverage had no association with use of the emergency department as a usual source of sick care. Compared with children who receive well child care in private physicians&amp;#039; offices or health maintenance organizations, children whose sources of well child care were neighborhood health centers were more likely to report emergency departments for sick care (OR, 2.01). Children residing in counties where the supply of primary care physicians was in the top quintile had half the odds (OR, 0.50) of reporting emergency departments as usual sources of sick care.","author":[{"dropping-particle":"","family":"Halfon","given":"Neal","non-dropping-particle":"","parse-names":false,"suffix":""},{"dropping-particle":"","family":"Newacheck","given":"Paul W","non-dropping-particle":"","parse-names":false,"suffix":""},{"dropping-particle":"","family":"Wood","given":"David L","non-dropping-particle":"","parse-names":false,"suffix":""},{"dropping-particle":"","family":"St Peter","given":"Robert F","non-dropping-particle":"","parse-names":false,"suffix":""}],"container-title":"Pediatrics","id":"ITEM-2","issue":"1","issued":{"date-parts":[["1996","7","1"]]},"page":"28-34","title":"Routine emergency department use for sick care by children in the United States","type":"article-journal","volume":"98"},"uris":["http://www.mendeley.com/documents/?uuid=9d8de984-f313-4edb-97db-e7f5b9385c2b"]}],"mendeley":{"formattedCitation":"(Halfon, Newacheck, Wood, &amp; St Peter, 1996; Orr, Charney, Straus, &amp; Bloom, 1991)","plainTextFormattedCitation":"(Halfon, Newacheck, Wood, &amp; St Peter, 1996; Orr, Charney, Straus, &amp; Bloom, 1991)","previouslyFormattedCitation":"(Halfon, Newacheck, Wood, &amp; St Peter, 1996; Orr, Charney, Straus, &amp; Bloom, 1991)"},"properties":{"noteIndex":0},"schema":"https://github.com/citation-style-language/schema/raw/master/csl-citation.json"}</w:instrText>
      </w:r>
      <w:r w:rsidRPr="00762227">
        <w:fldChar w:fldCharType="separate"/>
      </w:r>
      <w:r w:rsidRPr="00762227">
        <w:rPr>
          <w:noProof/>
        </w:rPr>
        <w:t>(Halfon, Newacheck, Wood, &amp; St Peter, 1996; Orr, Charney, Straus, &amp; Bloom, 1991)</w:t>
      </w:r>
      <w:r w:rsidRPr="00762227">
        <w:fldChar w:fldCharType="end"/>
      </w:r>
      <w:r w:rsidRPr="00762227">
        <w:t xml:space="preserve">. Table </w:t>
      </w:r>
      <w:r>
        <w:t>S1</w:t>
      </w:r>
      <w:r w:rsidRPr="00762227">
        <w:t xml:space="preserve"> exhibits the specific ER diagnoses and corresponding ICD-9 codes.</w:t>
      </w:r>
    </w:p>
    <w:p w:rsidR="001E0842" w:rsidRDefault="001E0842" w:rsidP="00D97C85">
      <w:r w:rsidRPr="00762227">
        <w:tab/>
      </w:r>
      <w:r w:rsidRPr="00762227">
        <w:rPr>
          <w:b/>
        </w:rPr>
        <w:t>Child current injury</w:t>
      </w:r>
      <w:r w:rsidRPr="00762227">
        <w:t>. This variable measured any current ER visit for injury</w:t>
      </w:r>
      <w:r>
        <w:t>,</w:t>
      </w:r>
      <w:r w:rsidRPr="00762227">
        <w:t xml:space="preserve"> coded “1” for having an ER visit with an injury diagnosis at the current age and “0” otherwise. </w:t>
      </w:r>
    </w:p>
    <w:p w:rsidR="001E0842" w:rsidRDefault="001E0842" w:rsidP="00D97C85">
      <w:r>
        <w:rPr>
          <w:b/>
        </w:rPr>
        <w:lastRenderedPageBreak/>
        <w:tab/>
      </w:r>
      <w:r w:rsidRPr="00762227">
        <w:rPr>
          <w:b/>
        </w:rPr>
        <w:t>Child prior injury</w:t>
      </w:r>
      <w:r w:rsidRPr="00762227">
        <w:t>. This variable measured any prior ER visit for injury. This variable was coded “1” for having any ER injury diagnosis prior to the current age and “0” otherwise.</w:t>
      </w:r>
    </w:p>
    <w:p w:rsidR="001E0842" w:rsidRDefault="001E0842" w:rsidP="00D97C85">
      <w:pPr>
        <w:rPr>
          <w:szCs w:val="24"/>
        </w:rPr>
      </w:pPr>
      <w:r>
        <w:rPr>
          <w:b/>
        </w:rPr>
        <w:tab/>
      </w:r>
      <w:r w:rsidRPr="00762227">
        <w:rPr>
          <w:b/>
        </w:rPr>
        <w:t>Child current mental health</w:t>
      </w:r>
      <w:r w:rsidRPr="00762227">
        <w:t>. This variable measured any current ER visit for mental health, coded “1” for any ER visit with a mental health diagnosis at the current age and “0” otherwise.</w:t>
      </w:r>
    </w:p>
    <w:p w:rsidR="001E0842" w:rsidRDefault="001E0842" w:rsidP="00D97C85">
      <w:r>
        <w:rPr>
          <w:b/>
        </w:rPr>
        <w:tab/>
      </w:r>
      <w:r w:rsidRPr="00762227">
        <w:rPr>
          <w:b/>
        </w:rPr>
        <w:t>Child prior mental health</w:t>
      </w:r>
      <w:r w:rsidRPr="00762227">
        <w:t>. This variable measured any prior ER visit for mental health, coded “1” for any ER diagnosis for mental health prior to the current age and “0” otherwise.</w:t>
      </w:r>
    </w:p>
    <w:p w:rsidR="001E0842" w:rsidRDefault="001E0842" w:rsidP="00D97C85">
      <w:r>
        <w:rPr>
          <w:b/>
        </w:rPr>
        <w:tab/>
      </w:r>
      <w:r w:rsidRPr="00762227">
        <w:rPr>
          <w:b/>
        </w:rPr>
        <w:t>Child mental delay</w:t>
      </w:r>
      <w:r w:rsidRPr="00762227">
        <w:t>. This variable was a binary measure of ever having any ER visit for mental delay. This variable was coded “1” for any ER diagnosis for mental delay at or prior to the current age and “0” otherwise.</w:t>
      </w:r>
    </w:p>
    <w:p w:rsidR="001E0842" w:rsidRDefault="001E0842" w:rsidP="00D97C85">
      <w:pPr>
        <w:rPr>
          <w:szCs w:val="24"/>
        </w:rPr>
      </w:pPr>
      <w:r>
        <w:rPr>
          <w:b/>
        </w:rPr>
        <w:tab/>
      </w:r>
      <w:r w:rsidRPr="00762227">
        <w:rPr>
          <w:b/>
        </w:rPr>
        <w:t>Child chronic health problem</w:t>
      </w:r>
      <w:r w:rsidRPr="00762227">
        <w:t>. This variable was a binary measure of ever having any ER visit for chronic or serious health problems. This variable was coded “1” for any ER diagnosis for such problems at or prior to the current age and “0” otherwise.</w:t>
      </w:r>
    </w:p>
    <w:p w:rsidR="00F65077" w:rsidRPr="00BD5247" w:rsidRDefault="00F65077" w:rsidP="00D97C85">
      <w:pPr>
        <w:rPr>
          <w:b/>
        </w:rPr>
      </w:pPr>
      <w:r w:rsidRPr="00BD5247">
        <w:rPr>
          <w:b/>
        </w:rPr>
        <w:t>Child’s Behavioral Problems</w:t>
      </w:r>
    </w:p>
    <w:p w:rsidR="00F65077" w:rsidRPr="00762227" w:rsidRDefault="00F65077" w:rsidP="00D97C85">
      <w:r w:rsidRPr="00762227">
        <w:tab/>
      </w:r>
      <w:proofErr w:type="gramStart"/>
      <w:r w:rsidRPr="00762227">
        <w:t>Child’s behavioral problems were captured by two predictors based on delinquency records</w:t>
      </w:r>
      <w:proofErr w:type="gramEnd"/>
      <w:r w:rsidRPr="00762227">
        <w:t>. The data sources were Missouri juvenile court records (1993-2009), Missouri Division of Youth Services records (1992-2010), and Missouri highway patrol records (1988-2009).</w:t>
      </w:r>
    </w:p>
    <w:p w:rsidR="00F65077" w:rsidRPr="00762227" w:rsidRDefault="00F65077" w:rsidP="00D97C85">
      <w:r w:rsidRPr="00762227">
        <w:tab/>
      </w:r>
      <w:r w:rsidRPr="00762227">
        <w:rPr>
          <w:b/>
        </w:rPr>
        <w:t>Child current delinquency</w:t>
      </w:r>
      <w:r w:rsidRPr="00762227">
        <w:t>. This variable was a binary measure of a current delinquency problem, coded “1” for having a delinquency record at the current age and “0” otherwise.</w:t>
      </w:r>
    </w:p>
    <w:p w:rsidR="001E0842" w:rsidRDefault="00F65077" w:rsidP="00D97C85">
      <w:r w:rsidRPr="00762227">
        <w:tab/>
      </w:r>
      <w:r w:rsidRPr="00762227">
        <w:rPr>
          <w:b/>
        </w:rPr>
        <w:t>Child prior delinquency</w:t>
      </w:r>
      <w:r w:rsidRPr="00762227">
        <w:t>. This variable was a binary measure of any prior delinquency problem, coded “1” for having a delinquency record prior to the current age and “0” otherwise.</w:t>
      </w:r>
    </w:p>
    <w:p w:rsidR="00F65077" w:rsidRDefault="00F65077" w:rsidP="00D97C85">
      <w:r>
        <w:rPr>
          <w:b/>
        </w:rPr>
        <w:tab/>
      </w:r>
      <w:r w:rsidRPr="00762227">
        <w:rPr>
          <w:b/>
        </w:rPr>
        <w:t>Child’s Special Education</w:t>
      </w:r>
      <w:r w:rsidRPr="00762227">
        <w:t xml:space="preserve">. This variable </w:t>
      </w:r>
      <w:proofErr w:type="gramStart"/>
      <w:r w:rsidRPr="00762227">
        <w:t>was used</w:t>
      </w:r>
      <w:proofErr w:type="gramEnd"/>
      <w:r w:rsidRPr="00762227">
        <w:t xml:space="preserve"> as a proxy for child’s educational needs. This variable was measured at a binary scale, coded “1” </w:t>
      </w:r>
      <w:proofErr w:type="gramStart"/>
      <w:r w:rsidRPr="00762227">
        <w:t>for ever</w:t>
      </w:r>
      <w:proofErr w:type="gramEnd"/>
      <w:r w:rsidRPr="00762227">
        <w:t xml:space="preserve"> having an eligibility record for special education services and “0” otherwise. The data source was St Louis City Schools and St Louis Special School District special education eligibility records (1991-2006).</w:t>
      </w:r>
    </w:p>
    <w:p w:rsidR="00F65077" w:rsidRPr="00762227" w:rsidRDefault="00F65077" w:rsidP="00D97C85">
      <w:r w:rsidRPr="00762227">
        <w:tab/>
      </w:r>
      <w:r w:rsidRPr="00762227">
        <w:rPr>
          <w:b/>
        </w:rPr>
        <w:t>Parent current conviction</w:t>
      </w:r>
      <w:r w:rsidRPr="00762227">
        <w:t>. This variable measured a parent’s current involvement of the criminal justice system due to a conviction, coded “1” for having any active probation, parole, or incarceration at the subject child’s current age and “0” otherwise. A small proportion of the current convictions resulted in incarceration, while about 90% received probation or parole. This suggested that most parents with a current conviction were still able to be with their children.</w:t>
      </w:r>
    </w:p>
    <w:p w:rsidR="00F65077" w:rsidRPr="00762227" w:rsidRDefault="00F65077" w:rsidP="00D97C85">
      <w:r w:rsidRPr="00762227">
        <w:tab/>
      </w:r>
      <w:r w:rsidRPr="00762227">
        <w:rPr>
          <w:b/>
        </w:rPr>
        <w:t>Parent prior conviction</w:t>
      </w:r>
      <w:r w:rsidRPr="00762227">
        <w:t xml:space="preserve">. This variable measured a parent’s prior involvement of criminal justice system due to a conviction, coded “1” for having any prior history of probation, parole, or </w:t>
      </w:r>
      <w:proofErr w:type="gramStart"/>
      <w:r w:rsidRPr="00762227">
        <w:t>incarceration which</w:t>
      </w:r>
      <w:proofErr w:type="gramEnd"/>
      <w:r w:rsidRPr="00762227">
        <w:t xml:space="preserve"> ended prior to the subject child’s current age and “0” otherwise.</w:t>
      </w:r>
    </w:p>
    <w:p w:rsidR="00F65077" w:rsidRPr="00762227" w:rsidRDefault="00F65077" w:rsidP="00D97C85">
      <w:r w:rsidRPr="00762227">
        <w:tab/>
      </w:r>
      <w:r w:rsidRPr="00762227">
        <w:rPr>
          <w:b/>
        </w:rPr>
        <w:t>Parent current arrest</w:t>
      </w:r>
      <w:r w:rsidRPr="00762227">
        <w:t>. This variable measured a parent’s current arrest, coded “1” for having any arrest record at the subject child’s current age and “0” otherwise.</w:t>
      </w:r>
    </w:p>
    <w:p w:rsidR="00F65077" w:rsidRDefault="00F65077" w:rsidP="00D97C85">
      <w:r w:rsidRPr="00762227">
        <w:tab/>
      </w:r>
      <w:r w:rsidRPr="00762227">
        <w:rPr>
          <w:b/>
        </w:rPr>
        <w:t>Parent prior arrest</w:t>
      </w:r>
      <w:r w:rsidRPr="00762227">
        <w:t>. This variable measured a parent’s prior arrest, coded “1” for having any arrest record prior to the subject child’s current age and “0” otherwise.</w:t>
      </w:r>
    </w:p>
    <w:p w:rsidR="00F65077" w:rsidRDefault="00F65077" w:rsidP="00D97C85">
      <w:pPr>
        <w:rPr>
          <w:szCs w:val="24"/>
        </w:rPr>
      </w:pPr>
    </w:p>
    <w:p w:rsidR="00F65077" w:rsidRPr="00F65077" w:rsidRDefault="00F65077" w:rsidP="00D97C85">
      <w:pPr>
        <w:rPr>
          <w:b/>
          <w:szCs w:val="24"/>
        </w:rPr>
      </w:pPr>
      <w:r w:rsidRPr="00F65077">
        <w:rPr>
          <w:b/>
          <w:szCs w:val="24"/>
        </w:rPr>
        <w:t>Level-2 Predictors</w:t>
      </w:r>
    </w:p>
    <w:p w:rsidR="00F65077" w:rsidRPr="00762227" w:rsidRDefault="00D97C85" w:rsidP="00D97C85">
      <w:r>
        <w:rPr>
          <w:b/>
        </w:rPr>
        <w:tab/>
      </w:r>
      <w:r w:rsidR="00F65077" w:rsidRPr="00762227">
        <w:rPr>
          <w:b/>
        </w:rPr>
        <w:t>Child sex</w:t>
      </w:r>
      <w:r w:rsidR="00F65077" w:rsidRPr="00762227">
        <w:t>. This variable measured the subject child’s sex, coded “1” for female and “0” for male.</w:t>
      </w:r>
    </w:p>
    <w:p w:rsidR="00F65077" w:rsidRDefault="00F65077" w:rsidP="00D97C85">
      <w:r w:rsidRPr="00762227">
        <w:tab/>
      </w:r>
      <w:r w:rsidRPr="00762227">
        <w:rPr>
          <w:b/>
        </w:rPr>
        <w:t>Birth year</w:t>
      </w:r>
      <w:r w:rsidRPr="00762227">
        <w:t>. To control for any birth cohort effect, the current study measured the subject child’s birth year at a categorical scale: “1991”</w:t>
      </w:r>
      <w:r w:rsidR="0052656D">
        <w:t>, “1992”, “1993”, and “1994”.</w:t>
      </w:r>
    </w:p>
    <w:p w:rsidR="00F65077" w:rsidRPr="00762227" w:rsidRDefault="00D97C85" w:rsidP="00D97C85">
      <w:r>
        <w:rPr>
          <w:b/>
        </w:rPr>
        <w:tab/>
      </w:r>
      <w:proofErr w:type="gramStart"/>
      <w:r w:rsidR="00F65077" w:rsidRPr="00762227">
        <w:rPr>
          <w:b/>
        </w:rPr>
        <w:t>Child birth</w:t>
      </w:r>
      <w:proofErr w:type="gramEnd"/>
      <w:r w:rsidR="00F65077" w:rsidRPr="00762227">
        <w:rPr>
          <w:b/>
        </w:rPr>
        <w:t xml:space="preserve"> weight</w:t>
      </w:r>
      <w:r w:rsidR="00F65077" w:rsidRPr="00762227">
        <w:t xml:space="preserve">. This variable measured the subject child’s birthweight. This variable </w:t>
      </w:r>
      <w:proofErr w:type="gramStart"/>
      <w:r w:rsidR="00F65077" w:rsidRPr="00762227">
        <w:t>was categorized</w:t>
      </w:r>
      <w:proofErr w:type="gramEnd"/>
      <w:r w:rsidR="00F65077" w:rsidRPr="00762227">
        <w:t xml:space="preserve"> based on the clinical thresholds: “normal” for the birthweight </w:t>
      </w:r>
      <w:r w:rsidR="00F65077" w:rsidRPr="00762227">
        <w:rPr>
          <w:rFonts w:ascii="Cambria Math" w:hAnsi="Cambria Math"/>
        </w:rPr>
        <w:t>≥</w:t>
      </w:r>
      <w:r w:rsidR="00F65077" w:rsidRPr="00762227">
        <w:t xml:space="preserve"> 2.5kg, “low” for the birthweight </w:t>
      </w:r>
      <w:r w:rsidR="00F65077" w:rsidRPr="00762227">
        <w:rPr>
          <w:rFonts w:ascii="Cambria Math" w:hAnsi="Cambria Math"/>
        </w:rPr>
        <w:t>&lt;</w:t>
      </w:r>
      <w:r w:rsidR="00F65077" w:rsidRPr="00762227">
        <w:t xml:space="preserve"> 2.5kg and </w:t>
      </w:r>
      <w:r w:rsidR="00F65077" w:rsidRPr="00762227">
        <w:rPr>
          <w:rFonts w:ascii="Cambria Math" w:hAnsi="Cambria Math"/>
        </w:rPr>
        <w:t>≥</w:t>
      </w:r>
      <w:r w:rsidR="00F65077" w:rsidRPr="00762227">
        <w:t xml:space="preserve"> 1.5kg, and “very low” for the birthweight </w:t>
      </w:r>
      <w:r w:rsidR="00F65077" w:rsidRPr="00762227">
        <w:rPr>
          <w:rFonts w:ascii="Cambria Math" w:hAnsi="Cambria Math"/>
        </w:rPr>
        <w:t>&lt;</w:t>
      </w:r>
      <w:r w:rsidR="00F65077" w:rsidRPr="00762227">
        <w:t xml:space="preserve"> 1.5kg.</w:t>
      </w:r>
    </w:p>
    <w:p w:rsidR="00F65077" w:rsidRDefault="00F65077" w:rsidP="00D97C85">
      <w:r w:rsidRPr="00762227">
        <w:lastRenderedPageBreak/>
        <w:tab/>
      </w:r>
      <w:r w:rsidRPr="00762227">
        <w:rPr>
          <w:b/>
        </w:rPr>
        <w:t>Medicaid at birth</w:t>
      </w:r>
      <w:r w:rsidRPr="00762227">
        <w:t xml:space="preserve">. This variable was a binary measure, coded “1” for receiving Medicaid at the subject child’s birth and “0” otherwise. This variable </w:t>
      </w:r>
      <w:proofErr w:type="gramStart"/>
      <w:r w:rsidRPr="00762227">
        <w:t>was used</w:t>
      </w:r>
      <w:proofErr w:type="gramEnd"/>
      <w:r w:rsidRPr="00762227">
        <w:t xml:space="preserve"> to capture the family </w:t>
      </w:r>
      <w:r w:rsidR="0052656D">
        <w:t>socioeconomic status</w:t>
      </w:r>
      <w:r w:rsidRPr="00762227">
        <w:t xml:space="preserve"> at the subject child’s birth.</w:t>
      </w:r>
    </w:p>
    <w:p w:rsidR="00F65077" w:rsidRDefault="00F65077" w:rsidP="00D97C85">
      <w:r>
        <w:rPr>
          <w:b/>
        </w:rPr>
        <w:tab/>
      </w:r>
      <w:r w:rsidRPr="00762227">
        <w:rPr>
          <w:b/>
        </w:rPr>
        <w:t>Mom teen birth</w:t>
      </w:r>
      <w:r w:rsidRPr="00762227">
        <w:t>. This variable was a binary measure of maternal age at the subject child’s birth, coded “1” when a mother was a teenager (&lt; age 20) at that moment and “0” otherwise.</w:t>
      </w:r>
    </w:p>
    <w:p w:rsidR="00F65077" w:rsidRPr="00762227" w:rsidRDefault="00F65077" w:rsidP="00D97C85">
      <w:r>
        <w:rPr>
          <w:b/>
        </w:rPr>
        <w:tab/>
      </w:r>
      <w:r w:rsidRPr="00762227">
        <w:rPr>
          <w:b/>
        </w:rPr>
        <w:t>Mom no high school</w:t>
      </w:r>
      <w:r w:rsidRPr="00762227">
        <w:t xml:space="preserve">. This variable measured maternal education level at the subject child’s birth, coded “1” for those with an education level below high school graduation or equivalent and “0” otherwise. </w:t>
      </w:r>
    </w:p>
    <w:p w:rsidR="00F65077" w:rsidRPr="00762227" w:rsidRDefault="0052656D" w:rsidP="00D97C85">
      <w:pPr>
        <w:ind w:firstLine="720"/>
      </w:pPr>
      <w:r>
        <w:rPr>
          <w:b/>
        </w:rPr>
        <w:t>Mom</w:t>
      </w:r>
      <w:r w:rsidR="00F65077" w:rsidRPr="00762227">
        <w:rPr>
          <w:b/>
        </w:rPr>
        <w:t xml:space="preserve"> foster care</w:t>
      </w:r>
      <w:r w:rsidR="00F65077" w:rsidRPr="00762227">
        <w:t xml:space="preserve">. This variable measured a mother’s history of foster care placement as a minor during adolescence, coded “1” for having a placement and “0” otherwise. </w:t>
      </w:r>
    </w:p>
    <w:p w:rsidR="00F65077" w:rsidRDefault="00F65077" w:rsidP="00D97C85">
      <w:r w:rsidRPr="00762227">
        <w:rPr>
          <w:b/>
        </w:rPr>
        <w:tab/>
        <w:t>Baseline no AFDC</w:t>
      </w:r>
      <w:r w:rsidRPr="00762227">
        <w:t xml:space="preserve">. This variable was applicable only to the CAN sample. This variable was a binary measure, coded “1” for children who had no AFDC record before their index report (i.e., the </w:t>
      </w:r>
      <w:proofErr w:type="gramStart"/>
      <w:r w:rsidRPr="00762227">
        <w:t>first-time</w:t>
      </w:r>
      <w:proofErr w:type="gramEnd"/>
      <w:r w:rsidRPr="00762227">
        <w:t xml:space="preserve"> ever report to be selected in the CAN sample) and “0” otherwise. The underlying idea was that children who started their lives with a maltreatment report but </w:t>
      </w:r>
      <w:r>
        <w:t>without welfare (AFDC)</w:t>
      </w:r>
      <w:r w:rsidRPr="00762227">
        <w:t xml:space="preserve"> might be fundamentally different from those starting with </w:t>
      </w:r>
      <w:r>
        <w:t>experiencing</w:t>
      </w:r>
      <w:r w:rsidRPr="00762227">
        <w:t xml:space="preserve"> both reported maltreatment and </w:t>
      </w:r>
      <w:r>
        <w:t>welfare</w:t>
      </w:r>
      <w:r w:rsidRPr="00762227">
        <w:t>.</w:t>
      </w:r>
    </w:p>
    <w:p w:rsidR="00F65077" w:rsidRDefault="00F65077" w:rsidP="00D97C85"/>
    <w:p w:rsidR="00F65077" w:rsidRPr="00F65077" w:rsidRDefault="00F65077" w:rsidP="00D97C85">
      <w:pPr>
        <w:rPr>
          <w:b/>
          <w:szCs w:val="24"/>
        </w:rPr>
      </w:pPr>
      <w:r w:rsidRPr="00F65077">
        <w:rPr>
          <w:b/>
          <w:szCs w:val="24"/>
        </w:rPr>
        <w:t>Level-3 Predictors</w:t>
      </w:r>
    </w:p>
    <w:p w:rsidR="00F65077" w:rsidRDefault="00D97C85" w:rsidP="00F65077">
      <w:pPr>
        <w:rPr>
          <w:szCs w:val="24"/>
        </w:rPr>
      </w:pPr>
      <w:r>
        <w:rPr>
          <w:szCs w:val="24"/>
        </w:rPr>
        <w:tab/>
      </w:r>
      <w:proofErr w:type="gramStart"/>
      <w:r w:rsidR="00F65077">
        <w:rPr>
          <w:szCs w:val="24"/>
        </w:rPr>
        <w:t>To consider neighborhood contexts a</w:t>
      </w:r>
      <w:r w:rsidR="0052656D">
        <w:rPr>
          <w:szCs w:val="24"/>
        </w:rPr>
        <w:t>t the baseline (i.e., the sampling</w:t>
      </w:r>
      <w:r w:rsidR="00F65077">
        <w:rPr>
          <w:szCs w:val="24"/>
        </w:rPr>
        <w:t xml:space="preserve"> period from 1993-1994), we used the following three baseline neighborhood variables: (1) </w:t>
      </w:r>
      <w:r w:rsidR="00F65077" w:rsidRPr="00D97C85">
        <w:rPr>
          <w:b/>
          <w:szCs w:val="24"/>
        </w:rPr>
        <w:t>poverty rate</w:t>
      </w:r>
      <w:r w:rsidR="00F65077">
        <w:rPr>
          <w:szCs w:val="24"/>
        </w:rPr>
        <w:t xml:space="preserve"> = % persons whose income below the federal poverty level; (2) </w:t>
      </w:r>
      <w:r w:rsidR="00F65077" w:rsidRPr="00D97C85">
        <w:rPr>
          <w:b/>
          <w:szCs w:val="24"/>
        </w:rPr>
        <w:t>mobility rate</w:t>
      </w:r>
      <w:r w:rsidR="00F65077">
        <w:rPr>
          <w:szCs w:val="24"/>
        </w:rPr>
        <w:t xml:space="preserve"> = % households that moved within the last 5 years; and (3) </w:t>
      </w:r>
      <w:r w:rsidR="00F65077" w:rsidRPr="00D97C85">
        <w:rPr>
          <w:b/>
          <w:szCs w:val="24"/>
        </w:rPr>
        <w:t>child/adult ratio</w:t>
      </w:r>
      <w:r w:rsidR="00F65077">
        <w:rPr>
          <w:szCs w:val="24"/>
        </w:rPr>
        <w:t xml:space="preserve"> = ratio of the number of children aged 13 or younger to the number of adults aged 21 or older.</w:t>
      </w:r>
      <w:proofErr w:type="gramEnd"/>
      <w:r w:rsidR="001F6F13">
        <w:rPr>
          <w:szCs w:val="24"/>
        </w:rPr>
        <w:t xml:space="preserve"> The parent study geocoded and linked data with Census information for the baseline census tract. </w:t>
      </w:r>
      <w:bookmarkStart w:id="0" w:name="_GoBack"/>
      <w:bookmarkEnd w:id="0"/>
    </w:p>
    <w:p w:rsidR="00D97C85" w:rsidRDefault="00D97C85">
      <w:pPr>
        <w:rPr>
          <w:szCs w:val="24"/>
        </w:rPr>
      </w:pPr>
      <w:r>
        <w:rPr>
          <w:szCs w:val="24"/>
        </w:rPr>
        <w:br w:type="page"/>
      </w:r>
    </w:p>
    <w:p w:rsidR="007D296F" w:rsidRPr="001E0842" w:rsidRDefault="007D296F" w:rsidP="007D296F">
      <w:pPr>
        <w:rPr>
          <w:sz w:val="20"/>
          <w:szCs w:val="20"/>
        </w:rPr>
      </w:pPr>
      <w:r w:rsidRPr="001E0842">
        <w:rPr>
          <w:b/>
          <w:sz w:val="20"/>
          <w:szCs w:val="20"/>
        </w:rPr>
        <w:lastRenderedPageBreak/>
        <w:t xml:space="preserve">Table </w:t>
      </w:r>
      <w:r w:rsidR="0012321F" w:rsidRPr="001E0842">
        <w:rPr>
          <w:b/>
          <w:sz w:val="20"/>
          <w:szCs w:val="20"/>
        </w:rPr>
        <w:t>S1</w:t>
      </w:r>
      <w:r w:rsidRPr="001E0842">
        <w:rPr>
          <w:sz w:val="20"/>
          <w:szCs w:val="20"/>
        </w:rPr>
        <w:t>. Emergency Room Diagnoses and ICD-9 Codes.</w:t>
      </w:r>
    </w:p>
    <w:tbl>
      <w:tblPr>
        <w:tblW w:w="9355" w:type="dxa"/>
        <w:tblBorders>
          <w:top w:val="single" w:sz="4" w:space="0" w:color="auto"/>
          <w:bottom w:val="single" w:sz="4" w:space="0" w:color="auto"/>
        </w:tblBorders>
        <w:tblLook w:val="04A0" w:firstRow="1" w:lastRow="0" w:firstColumn="1" w:lastColumn="0" w:noHBand="0" w:noVBand="1"/>
      </w:tblPr>
      <w:tblGrid>
        <w:gridCol w:w="5755"/>
        <w:gridCol w:w="3600"/>
      </w:tblGrid>
      <w:tr w:rsidR="007D296F" w:rsidRPr="008D3626" w:rsidTr="00165694">
        <w:trPr>
          <w:trHeight w:val="50"/>
        </w:trPr>
        <w:tc>
          <w:tcPr>
            <w:tcW w:w="5755" w:type="dxa"/>
            <w:tcBorders>
              <w:top w:val="single" w:sz="4" w:space="0" w:color="auto"/>
              <w:bottom w:val="single" w:sz="4" w:space="0" w:color="auto"/>
            </w:tcBorders>
            <w:shd w:val="clear" w:color="auto" w:fill="auto"/>
            <w:vAlign w:val="bottom"/>
            <w:hideMark/>
          </w:tcPr>
          <w:p w:rsidR="007D296F" w:rsidRPr="008D3626" w:rsidRDefault="007D296F" w:rsidP="004B22EE">
            <w:pPr>
              <w:spacing w:before="240"/>
              <w:rPr>
                <w:rFonts w:eastAsia="Times New Roman"/>
                <w:color w:val="000000"/>
                <w:sz w:val="20"/>
                <w:szCs w:val="20"/>
              </w:rPr>
            </w:pPr>
            <w:r w:rsidRPr="008D3626">
              <w:rPr>
                <w:rFonts w:eastAsia="Times New Roman"/>
                <w:color w:val="000000"/>
                <w:sz w:val="20"/>
                <w:szCs w:val="20"/>
              </w:rPr>
              <w:t>Emergency Room Diagnosis</w:t>
            </w:r>
          </w:p>
        </w:tc>
        <w:tc>
          <w:tcPr>
            <w:tcW w:w="3600" w:type="dxa"/>
            <w:tcBorders>
              <w:top w:val="single" w:sz="4" w:space="0" w:color="auto"/>
              <w:bottom w:val="single" w:sz="4" w:space="0" w:color="auto"/>
            </w:tcBorders>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ICD-9 Code</w:t>
            </w:r>
          </w:p>
        </w:tc>
      </w:tr>
      <w:tr w:rsidR="007D296F" w:rsidRPr="008D3626" w:rsidTr="00165694">
        <w:trPr>
          <w:trHeight w:val="50"/>
        </w:trPr>
        <w:tc>
          <w:tcPr>
            <w:tcW w:w="5755" w:type="dxa"/>
            <w:tcBorders>
              <w:top w:val="single" w:sz="4" w:space="0" w:color="auto"/>
            </w:tcBorders>
            <w:shd w:val="clear" w:color="auto" w:fill="auto"/>
            <w:vAlign w:val="bottom"/>
            <w:hideMark/>
          </w:tcPr>
          <w:p w:rsidR="007D296F" w:rsidRPr="008D3626" w:rsidRDefault="007D296F" w:rsidP="004B22EE">
            <w:pPr>
              <w:spacing w:before="240"/>
              <w:rPr>
                <w:rFonts w:eastAsia="Times New Roman"/>
                <w:b/>
                <w:bCs/>
                <w:color w:val="000000"/>
                <w:sz w:val="20"/>
                <w:szCs w:val="20"/>
              </w:rPr>
            </w:pPr>
            <w:r w:rsidRPr="008D3626">
              <w:rPr>
                <w:rFonts w:eastAsia="Times New Roman"/>
                <w:b/>
                <w:bCs/>
                <w:color w:val="000000"/>
                <w:sz w:val="20"/>
                <w:szCs w:val="20"/>
              </w:rPr>
              <w:t>Child Injury</w:t>
            </w:r>
          </w:p>
        </w:tc>
        <w:tc>
          <w:tcPr>
            <w:tcW w:w="3600" w:type="dxa"/>
            <w:tcBorders>
              <w:top w:val="single" w:sz="4" w:space="0" w:color="auto"/>
            </w:tcBorders>
            <w:shd w:val="clear" w:color="auto" w:fill="auto"/>
            <w:vAlign w:val="bottom"/>
            <w:hideMark/>
          </w:tcPr>
          <w:p w:rsidR="007D296F" w:rsidRPr="008D3626" w:rsidRDefault="007D296F" w:rsidP="00165694">
            <w:pPr>
              <w:spacing w:before="40"/>
              <w:rPr>
                <w:rFonts w:eastAsia="Times New Roman"/>
                <w:color w:val="000000"/>
                <w:sz w:val="20"/>
                <w:szCs w:val="20"/>
              </w:rPr>
            </w:pPr>
            <w:r w:rsidRPr="008D3626">
              <w:rPr>
                <w:rFonts w:eastAsia="Times New Roman"/>
                <w:color w:val="000000"/>
                <w:sz w:val="20"/>
                <w:szCs w:val="20"/>
              </w:rPr>
              <w:t> </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Poisoning (drug/alcohol)</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969, 980, 965.0</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Child abuse/neglect</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783.41, 995.5, V200</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Poisoning (not drug/alcohol)</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960-968, 970-979, 981-989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Burns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940-949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Fractures (not skull/brain), Dislocation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805-829, 830-839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Skull/brain injuries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800-804, 850-854</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pacing w:val="-6"/>
                <w:w w:val="97"/>
                <w:sz w:val="20"/>
                <w:szCs w:val="20"/>
              </w:rPr>
            </w:pPr>
            <w:r w:rsidRPr="008D3626">
              <w:rPr>
                <w:rFonts w:eastAsia="Times New Roman"/>
                <w:color w:val="000000"/>
                <w:spacing w:val="-6"/>
                <w:w w:val="97"/>
                <w:sz w:val="20"/>
                <w:szCs w:val="20"/>
              </w:rPr>
              <w:t>Open wounds, blood vessel injuries, late effect of injuries, cellulitis, abscess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870-909, 682</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Sprain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840-848</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Internal injury</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860-869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Crush, contusion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920-929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Superficial injuries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910-919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Exposure (heat or cold)</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991-992, 994.4</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Hunger/thirst</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994.2, 994.3</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Suffocation/drown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994.1, 994.7</w:t>
            </w:r>
          </w:p>
        </w:tc>
      </w:tr>
      <w:tr w:rsidR="007D296F" w:rsidRPr="008D3626" w:rsidTr="00165694">
        <w:trPr>
          <w:trHeight w:val="6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Accidental injuries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E810-E829, E880-E888, E900-E919</w:t>
            </w:r>
          </w:p>
        </w:tc>
      </w:tr>
      <w:tr w:rsidR="007D296F" w:rsidRPr="008D3626" w:rsidTr="00165694">
        <w:trPr>
          <w:trHeight w:val="60"/>
        </w:trPr>
        <w:tc>
          <w:tcPr>
            <w:tcW w:w="5755" w:type="dxa"/>
            <w:shd w:val="clear" w:color="auto" w:fill="auto"/>
            <w:vAlign w:val="bottom"/>
            <w:hideMark/>
          </w:tcPr>
          <w:p w:rsidR="007D296F" w:rsidRPr="008D3626" w:rsidRDefault="007D296F" w:rsidP="004B22EE">
            <w:pPr>
              <w:spacing w:before="240"/>
              <w:rPr>
                <w:rFonts w:eastAsia="Times New Roman"/>
                <w:b/>
                <w:bCs/>
                <w:color w:val="000000"/>
                <w:sz w:val="20"/>
                <w:szCs w:val="20"/>
              </w:rPr>
            </w:pPr>
            <w:r w:rsidRPr="008D3626">
              <w:rPr>
                <w:rFonts w:eastAsia="Times New Roman"/>
                <w:b/>
                <w:bCs/>
                <w:color w:val="000000"/>
                <w:sz w:val="20"/>
                <w:szCs w:val="20"/>
              </w:rPr>
              <w:t>Child Mental Health</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Mental health general</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V40, V79, 648.4</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Psychoses</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294-298, 296.0-296.1, 296.4-296.9, 299.9</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Anxiety/personality</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300-302</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Conduct, attention deficit, other MH specific to child/adolescent</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312, 313, 314.0, 314.2</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Depression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296.2, 296.3, 311</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Other mental health</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293, 306-310, 316</w:t>
            </w:r>
          </w:p>
        </w:tc>
      </w:tr>
      <w:tr w:rsidR="007D296F" w:rsidRPr="008D3626" w:rsidTr="00165694">
        <w:trPr>
          <w:trHeight w:val="50"/>
        </w:trPr>
        <w:tc>
          <w:tcPr>
            <w:tcW w:w="5755" w:type="dxa"/>
            <w:shd w:val="clear" w:color="auto" w:fill="auto"/>
            <w:vAlign w:val="bottom"/>
            <w:hideMark/>
          </w:tcPr>
          <w:p w:rsidR="007D296F" w:rsidRPr="008D3626" w:rsidRDefault="007D296F" w:rsidP="004B22EE">
            <w:pPr>
              <w:spacing w:before="240"/>
              <w:rPr>
                <w:rFonts w:eastAsia="Times New Roman"/>
                <w:b/>
                <w:bCs/>
                <w:color w:val="000000"/>
                <w:sz w:val="20"/>
                <w:szCs w:val="20"/>
              </w:rPr>
            </w:pPr>
            <w:r w:rsidRPr="008D3626">
              <w:rPr>
                <w:rFonts w:eastAsia="Times New Roman"/>
                <w:b/>
                <w:bCs/>
                <w:color w:val="000000"/>
                <w:sz w:val="20"/>
                <w:szCs w:val="20"/>
              </w:rPr>
              <w:t>Child Mental Delay</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 </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Developmental delay/disorder, Mental retardation</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 xml:space="preserve">299.1, 299.8, 314.1, 315, 317-319 </w:t>
            </w:r>
          </w:p>
        </w:tc>
      </w:tr>
      <w:tr w:rsidR="007D296F" w:rsidRPr="008D3626" w:rsidTr="00165694">
        <w:trPr>
          <w:trHeight w:val="50"/>
        </w:trPr>
        <w:tc>
          <w:tcPr>
            <w:tcW w:w="5755"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Autism</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299.0</w:t>
            </w:r>
          </w:p>
        </w:tc>
      </w:tr>
      <w:tr w:rsidR="007D296F" w:rsidRPr="008D3626" w:rsidTr="00165694">
        <w:trPr>
          <w:trHeight w:val="50"/>
        </w:trPr>
        <w:tc>
          <w:tcPr>
            <w:tcW w:w="5755" w:type="dxa"/>
            <w:shd w:val="clear" w:color="auto" w:fill="auto"/>
            <w:vAlign w:val="bottom"/>
            <w:hideMark/>
          </w:tcPr>
          <w:p w:rsidR="007D296F" w:rsidRPr="008D3626" w:rsidRDefault="007D296F" w:rsidP="004B22EE">
            <w:pPr>
              <w:spacing w:before="240"/>
              <w:rPr>
                <w:rFonts w:eastAsia="Times New Roman"/>
                <w:b/>
                <w:bCs/>
                <w:color w:val="000000"/>
                <w:sz w:val="20"/>
                <w:szCs w:val="20"/>
              </w:rPr>
            </w:pPr>
            <w:r w:rsidRPr="008D3626">
              <w:rPr>
                <w:rFonts w:eastAsia="Times New Roman"/>
                <w:b/>
                <w:bCs/>
                <w:color w:val="000000"/>
                <w:sz w:val="20"/>
                <w:szCs w:val="20"/>
              </w:rPr>
              <w:t>Child Chronic/Serious Health Problem</w:t>
            </w:r>
          </w:p>
        </w:tc>
        <w:tc>
          <w:tcPr>
            <w:tcW w:w="3600" w:type="dxa"/>
            <w:shd w:val="clear" w:color="auto" w:fill="auto"/>
            <w:vAlign w:val="bottom"/>
            <w:hideMark/>
          </w:tcPr>
          <w:p w:rsidR="007D296F" w:rsidRPr="008D3626" w:rsidRDefault="007D296F" w:rsidP="00165694">
            <w:pPr>
              <w:rPr>
                <w:rFonts w:eastAsia="Times New Roman"/>
                <w:color w:val="000000"/>
                <w:sz w:val="20"/>
                <w:szCs w:val="20"/>
              </w:rPr>
            </w:pPr>
            <w:r w:rsidRPr="008D3626">
              <w:rPr>
                <w:rFonts w:eastAsia="Times New Roman"/>
                <w:color w:val="000000"/>
                <w:sz w:val="20"/>
                <w:szCs w:val="20"/>
              </w:rPr>
              <w:t> </w:t>
            </w:r>
          </w:p>
        </w:tc>
      </w:tr>
      <w:tr w:rsidR="007D296F" w:rsidRPr="008D3626" w:rsidTr="00165694">
        <w:trPr>
          <w:trHeight w:val="50"/>
        </w:trPr>
        <w:tc>
          <w:tcPr>
            <w:tcW w:w="5755" w:type="dxa"/>
            <w:shd w:val="clear" w:color="auto" w:fill="auto"/>
            <w:vAlign w:val="bottom"/>
            <w:hideMark/>
          </w:tcPr>
          <w:p w:rsidR="007D296F" w:rsidRPr="008D3626" w:rsidRDefault="007D296F" w:rsidP="00165694">
            <w:pPr>
              <w:spacing w:after="60"/>
              <w:rPr>
                <w:rFonts w:eastAsia="Times New Roman"/>
                <w:color w:val="000000"/>
                <w:sz w:val="20"/>
                <w:szCs w:val="20"/>
              </w:rPr>
            </w:pPr>
            <w:r w:rsidRPr="008D3626">
              <w:rPr>
                <w:rFonts w:eastAsia="Times New Roman"/>
                <w:color w:val="000000"/>
                <w:sz w:val="20"/>
                <w:szCs w:val="20"/>
              </w:rPr>
              <w:t>Paralysis, epilepsy, recurrent seizures, spina bifida, nervous system/heart/circulatory system/hemolytic anomalies, Cystic fibrosis</w:t>
            </w:r>
          </w:p>
        </w:tc>
        <w:tc>
          <w:tcPr>
            <w:tcW w:w="3600" w:type="dxa"/>
            <w:shd w:val="clear" w:color="auto" w:fill="auto"/>
            <w:vAlign w:val="bottom"/>
            <w:hideMark/>
          </w:tcPr>
          <w:p w:rsidR="007D296F" w:rsidRPr="008D3626" w:rsidRDefault="007D296F" w:rsidP="00165694">
            <w:pPr>
              <w:spacing w:after="60"/>
              <w:rPr>
                <w:rFonts w:eastAsia="Times New Roman"/>
                <w:color w:val="000000"/>
                <w:sz w:val="20"/>
                <w:szCs w:val="20"/>
              </w:rPr>
            </w:pPr>
            <w:r w:rsidRPr="008D3626">
              <w:rPr>
                <w:rFonts w:eastAsia="Times New Roman"/>
                <w:color w:val="000000"/>
                <w:sz w:val="20"/>
                <w:szCs w:val="20"/>
              </w:rPr>
              <w:t>344-345, 741-742, 745-747, 282, 277.0</w:t>
            </w:r>
          </w:p>
        </w:tc>
      </w:tr>
    </w:tbl>
    <w:p w:rsidR="00EE4ECD" w:rsidRDefault="00EE4ECD" w:rsidP="00EE4ECD"/>
    <w:p w:rsidR="00EE4ECD" w:rsidRDefault="00EE4ECD">
      <w:r>
        <w:br w:type="page"/>
      </w:r>
    </w:p>
    <w:p w:rsidR="00EE4ECD" w:rsidRPr="00676D5E" w:rsidRDefault="00601241" w:rsidP="00676D5E">
      <w:pPr>
        <w:jc w:val="center"/>
        <w:rPr>
          <w:rFonts w:cs="Times New Roman"/>
          <w:b/>
          <w:szCs w:val="24"/>
        </w:rPr>
      </w:pPr>
      <w:r>
        <w:rPr>
          <w:rFonts w:cs="Times New Roman"/>
          <w:b/>
          <w:szCs w:val="24"/>
        </w:rPr>
        <w:lastRenderedPageBreak/>
        <w:t xml:space="preserve">Appendix </w:t>
      </w:r>
      <w:r w:rsidR="001E0842">
        <w:rPr>
          <w:rFonts w:cs="Times New Roman"/>
          <w:b/>
          <w:szCs w:val="24"/>
        </w:rPr>
        <w:t>B</w:t>
      </w:r>
    </w:p>
    <w:p w:rsidR="00676D5E" w:rsidRPr="00676D5E" w:rsidRDefault="00676D5E" w:rsidP="00676D5E">
      <w:pPr>
        <w:rPr>
          <w:rFonts w:cs="Times New Roman"/>
          <w:szCs w:val="24"/>
        </w:rPr>
      </w:pPr>
    </w:p>
    <w:p w:rsidR="00BC15D5" w:rsidRDefault="00EE4ECD" w:rsidP="00676D5E">
      <w:pPr>
        <w:rPr>
          <w:rFonts w:cs="Times New Roman"/>
          <w:szCs w:val="24"/>
        </w:rPr>
      </w:pPr>
      <w:r w:rsidRPr="00676D5E">
        <w:rPr>
          <w:rFonts w:cs="Times New Roman"/>
          <w:szCs w:val="24"/>
        </w:rPr>
        <w:tab/>
        <w:t xml:space="preserve">The likelihood ratio (LR) test provided a formal significance test of model fit improvement by adding </w:t>
      </w:r>
      <w:r w:rsidR="0097035B">
        <w:rPr>
          <w:rFonts w:cs="Times New Roman"/>
          <w:szCs w:val="24"/>
        </w:rPr>
        <w:t xml:space="preserve">parameters including interaction terms. First, we estimated the relationship between child age and the CMR likelihood with no other predictor. Adding child age improved model fit in both samples. </w:t>
      </w:r>
      <w:r w:rsidR="00A55FE5">
        <w:rPr>
          <w:rFonts w:cs="Times New Roman"/>
          <w:szCs w:val="24"/>
        </w:rPr>
        <w:t>W</w:t>
      </w:r>
      <w:r w:rsidR="0097035B">
        <w:rPr>
          <w:rFonts w:cs="Times New Roman"/>
          <w:szCs w:val="24"/>
        </w:rPr>
        <w:t xml:space="preserve">e </w:t>
      </w:r>
      <w:r w:rsidR="00A55FE5">
        <w:rPr>
          <w:rFonts w:cs="Times New Roman"/>
          <w:szCs w:val="24"/>
        </w:rPr>
        <w:t xml:space="preserve">further </w:t>
      </w:r>
      <w:r w:rsidR="0097035B">
        <w:rPr>
          <w:rFonts w:cs="Times New Roman"/>
          <w:szCs w:val="24"/>
        </w:rPr>
        <w:t xml:space="preserve">examined polynomial growth models by adding the quadratic and cubic terms of child age in turn, but none improved model fit. This suggested a logit-linear relationship between child age and the CMR likelihood. </w:t>
      </w:r>
    </w:p>
    <w:p w:rsidR="00BC15D5" w:rsidRDefault="00BC15D5" w:rsidP="00676D5E">
      <w:pPr>
        <w:rPr>
          <w:rFonts w:cs="Times New Roman"/>
          <w:szCs w:val="24"/>
        </w:rPr>
      </w:pPr>
      <w:r>
        <w:rPr>
          <w:rFonts w:cs="Times New Roman"/>
          <w:szCs w:val="24"/>
        </w:rPr>
        <w:tab/>
        <w:t>A</w:t>
      </w:r>
      <w:r w:rsidR="0097035B">
        <w:rPr>
          <w:rFonts w:cs="Times New Roman"/>
          <w:szCs w:val="24"/>
        </w:rPr>
        <w:t xml:space="preserve">fter defining the growth curve (i.e., a logit-linear curve), we examined other predictors. </w:t>
      </w:r>
      <w:r>
        <w:rPr>
          <w:rFonts w:cs="Times New Roman"/>
          <w:szCs w:val="24"/>
        </w:rPr>
        <w:t xml:space="preserve">We included only predictors with meaningful improvement of model fit based on the </w:t>
      </w:r>
      <w:r w:rsidR="00483E20">
        <w:rPr>
          <w:rFonts w:cs="Times New Roman"/>
          <w:szCs w:val="24"/>
        </w:rPr>
        <w:t>likelihood ratio (LR)</w:t>
      </w:r>
      <w:r>
        <w:rPr>
          <w:rFonts w:cs="Times New Roman"/>
          <w:szCs w:val="24"/>
        </w:rPr>
        <w:t xml:space="preserve"> test without considering interactions between predictors (Model 1 in Table S2). </w:t>
      </w:r>
    </w:p>
    <w:p w:rsidR="00EE4ECD" w:rsidRDefault="00BC15D5" w:rsidP="00676D5E">
      <w:pPr>
        <w:rPr>
          <w:rFonts w:cs="Times New Roman"/>
          <w:color w:val="000000" w:themeColor="text1"/>
          <w:szCs w:val="24"/>
        </w:rPr>
      </w:pPr>
      <w:r>
        <w:rPr>
          <w:rFonts w:cs="Times New Roman"/>
          <w:szCs w:val="24"/>
        </w:rPr>
        <w:tab/>
        <w:t>Then, we examined interaction effects</w:t>
      </w:r>
      <w:r w:rsidR="001169A8">
        <w:rPr>
          <w:rFonts w:cs="Times New Roman"/>
          <w:szCs w:val="24"/>
        </w:rPr>
        <w:t xml:space="preserve"> (Table S2)</w:t>
      </w:r>
      <w:r>
        <w:rPr>
          <w:rFonts w:cs="Times New Roman"/>
          <w:szCs w:val="24"/>
        </w:rPr>
        <w:t xml:space="preserve">. </w:t>
      </w:r>
      <w:r w:rsidR="00EE4ECD" w:rsidRPr="00676D5E">
        <w:rPr>
          <w:rFonts w:cs="Times New Roman"/>
          <w:szCs w:val="24"/>
        </w:rPr>
        <w:t>In the CAN sample, adding the current welfare ×</w:t>
      </w:r>
      <w:r w:rsidR="00EE4ECD" w:rsidRPr="00676D5E">
        <w:rPr>
          <w:rFonts w:cs="Times New Roman"/>
          <w:szCs w:val="24"/>
          <w:vertAlign w:val="subscript"/>
        </w:rPr>
        <w:t xml:space="preserve"> </w:t>
      </w:r>
      <w:r w:rsidR="00EE4ECD" w:rsidRPr="00676D5E">
        <w:rPr>
          <w:rFonts w:cs="Times New Roman"/>
          <w:szCs w:val="24"/>
        </w:rPr>
        <w:t>prior welfare interaction significantly improved the model fit (</w:t>
      </w:r>
      <w:r w:rsidR="001D4AA9" w:rsidRPr="00676D5E">
        <w:rPr>
          <w:rFonts w:cs="Times New Roman"/>
          <w:szCs w:val="24"/>
        </w:rPr>
        <w:t>Model 1 → Model 2</w:t>
      </w:r>
      <w:r w:rsidR="001D4AA9">
        <w:rPr>
          <w:rFonts w:cs="Times New Roman"/>
          <w:szCs w:val="24"/>
        </w:rPr>
        <w:t xml:space="preserve">; </w:t>
      </w: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χ</m:t>
            </m:r>
          </m:e>
          <m:sup>
            <m:r>
              <w:rPr>
                <w:rFonts w:ascii="Cambria Math" w:hAnsi="Cambria Math" w:cs="Times New Roman"/>
                <w:color w:val="000000" w:themeColor="text1"/>
                <w:szCs w:val="24"/>
              </w:rPr>
              <m:t>2</m:t>
            </m:r>
          </m:sup>
        </m:sSup>
      </m:oMath>
      <w:r w:rsidR="00EE4ECD" w:rsidRPr="00676D5E">
        <w:rPr>
          <w:rFonts w:cs="Times New Roman"/>
          <w:color w:val="000000" w:themeColor="text1"/>
          <w:szCs w:val="24"/>
        </w:rPr>
        <w:t xml:space="preserve"> = 17.154, </w:t>
      </w:r>
      <w:proofErr w:type="spellStart"/>
      <w:proofErr w:type="gramStart"/>
      <w:r w:rsidR="00EE4ECD" w:rsidRPr="00676D5E">
        <w:rPr>
          <w:rFonts w:cs="Times New Roman"/>
          <w:i/>
          <w:color w:val="000000" w:themeColor="text1"/>
          <w:szCs w:val="24"/>
        </w:rPr>
        <w:t>df</w:t>
      </w:r>
      <w:proofErr w:type="spellEnd"/>
      <w:proofErr w:type="gramEnd"/>
      <w:r w:rsidR="00EE4ECD" w:rsidRPr="00676D5E">
        <w:rPr>
          <w:rFonts w:cs="Times New Roman"/>
          <w:color w:val="000000" w:themeColor="text1"/>
          <w:szCs w:val="24"/>
        </w:rPr>
        <w:t xml:space="preserve"> = 1, </w:t>
      </w:r>
      <w:r w:rsidR="00EE4ECD" w:rsidRPr="00676D5E">
        <w:rPr>
          <w:rFonts w:cs="Times New Roman"/>
          <w:i/>
          <w:color w:val="000000" w:themeColor="text1"/>
          <w:szCs w:val="24"/>
        </w:rPr>
        <w:t>p</w:t>
      </w:r>
      <w:r w:rsidR="00EE4ECD" w:rsidRPr="00676D5E">
        <w:rPr>
          <w:rFonts w:cs="Times New Roman"/>
          <w:color w:val="000000" w:themeColor="text1"/>
          <w:szCs w:val="24"/>
        </w:rPr>
        <w:t xml:space="preserve"> &lt; .0001), whereas adding other interactions show no significant improvement in model fit. In the AFDC sample, model fit increased significantly when adding </w:t>
      </w:r>
      <w:r w:rsidR="00EE4ECD" w:rsidRPr="00676D5E">
        <w:rPr>
          <w:rFonts w:cs="Times New Roman"/>
          <w:szCs w:val="24"/>
        </w:rPr>
        <w:t>the current welfare ×</w:t>
      </w:r>
      <w:r w:rsidR="00EE4ECD" w:rsidRPr="00676D5E">
        <w:rPr>
          <w:rFonts w:cs="Times New Roman"/>
          <w:szCs w:val="24"/>
          <w:vertAlign w:val="subscript"/>
        </w:rPr>
        <w:t xml:space="preserve"> </w:t>
      </w:r>
      <w:r w:rsidR="00EE4ECD" w:rsidRPr="00676D5E">
        <w:rPr>
          <w:rFonts w:cs="Times New Roman"/>
          <w:szCs w:val="24"/>
        </w:rPr>
        <w:t>prior welfare interaction (Model 1 → Model 2</w:t>
      </w:r>
      <w:r w:rsidR="001D4AA9">
        <w:rPr>
          <w:rFonts w:cs="Times New Roman"/>
          <w:szCs w:val="24"/>
        </w:rPr>
        <w:t xml:space="preserve">; </w:t>
      </w: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χ</m:t>
            </m:r>
          </m:e>
          <m:sup>
            <m:r>
              <w:rPr>
                <w:rFonts w:ascii="Cambria Math" w:hAnsi="Cambria Math" w:cs="Times New Roman"/>
                <w:color w:val="000000" w:themeColor="text1"/>
                <w:szCs w:val="24"/>
              </w:rPr>
              <m:t>2</m:t>
            </m:r>
          </m:sup>
        </m:sSup>
      </m:oMath>
      <w:r w:rsidR="00EE4ECD" w:rsidRPr="00676D5E">
        <w:rPr>
          <w:rFonts w:cs="Times New Roman"/>
          <w:color w:val="000000" w:themeColor="text1"/>
          <w:szCs w:val="24"/>
        </w:rPr>
        <w:t xml:space="preserve"> = 16.204, </w:t>
      </w:r>
      <w:proofErr w:type="spellStart"/>
      <w:proofErr w:type="gramStart"/>
      <w:r w:rsidR="00EE4ECD" w:rsidRPr="00676D5E">
        <w:rPr>
          <w:rFonts w:cs="Times New Roman"/>
          <w:i/>
          <w:color w:val="000000" w:themeColor="text1"/>
          <w:szCs w:val="24"/>
        </w:rPr>
        <w:t>df</w:t>
      </w:r>
      <w:proofErr w:type="spellEnd"/>
      <w:proofErr w:type="gramEnd"/>
      <w:r w:rsidR="00EE4ECD" w:rsidRPr="00676D5E">
        <w:rPr>
          <w:rFonts w:cs="Times New Roman"/>
          <w:color w:val="000000" w:themeColor="text1"/>
          <w:szCs w:val="24"/>
        </w:rPr>
        <w:t xml:space="preserve"> = 1, </w:t>
      </w:r>
      <w:r w:rsidR="00EE4ECD" w:rsidRPr="00676D5E">
        <w:rPr>
          <w:rFonts w:cs="Times New Roman"/>
          <w:i/>
          <w:color w:val="000000" w:themeColor="text1"/>
          <w:szCs w:val="24"/>
        </w:rPr>
        <w:t>p</w:t>
      </w:r>
      <w:r w:rsidR="00EE4ECD" w:rsidRPr="00676D5E">
        <w:rPr>
          <w:rFonts w:cs="Times New Roman"/>
          <w:color w:val="000000" w:themeColor="text1"/>
          <w:szCs w:val="24"/>
        </w:rPr>
        <w:t xml:space="preserve"> &lt; .0001) and </w:t>
      </w:r>
      <w:r w:rsidR="00EE4ECD" w:rsidRPr="00676D5E">
        <w:rPr>
          <w:rFonts w:cs="Times New Roman"/>
          <w:szCs w:val="24"/>
        </w:rPr>
        <w:t>the child age ×</w:t>
      </w:r>
      <w:r w:rsidR="00EE4ECD" w:rsidRPr="00676D5E">
        <w:rPr>
          <w:rFonts w:cs="Times New Roman"/>
          <w:szCs w:val="24"/>
          <w:vertAlign w:val="subscript"/>
        </w:rPr>
        <w:t xml:space="preserve"> </w:t>
      </w:r>
      <w:r w:rsidR="00EE4ECD" w:rsidRPr="00676D5E">
        <w:rPr>
          <w:rFonts w:cs="Times New Roman"/>
          <w:szCs w:val="24"/>
        </w:rPr>
        <w:t>current welfare interaction (Model 2 → Model 3</w:t>
      </w:r>
      <w:r w:rsidR="001D4AA9">
        <w:rPr>
          <w:rFonts w:cs="Times New Roman"/>
          <w:szCs w:val="24"/>
        </w:rPr>
        <w:t xml:space="preserve">; </w:t>
      </w: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χ</m:t>
            </m:r>
          </m:e>
          <m:sup>
            <m:r>
              <w:rPr>
                <w:rFonts w:ascii="Cambria Math" w:hAnsi="Cambria Math" w:cs="Times New Roman"/>
                <w:color w:val="000000" w:themeColor="text1"/>
                <w:szCs w:val="24"/>
              </w:rPr>
              <m:t>2</m:t>
            </m:r>
          </m:sup>
        </m:sSup>
      </m:oMath>
      <w:r w:rsidR="00EE4ECD" w:rsidRPr="00676D5E">
        <w:rPr>
          <w:rFonts w:cs="Times New Roman"/>
          <w:color w:val="000000" w:themeColor="text1"/>
          <w:szCs w:val="24"/>
        </w:rPr>
        <w:t xml:space="preserve"> = 14.775 </w:t>
      </w:r>
      <w:proofErr w:type="spellStart"/>
      <w:r w:rsidR="00EE4ECD" w:rsidRPr="00676D5E">
        <w:rPr>
          <w:rFonts w:cs="Times New Roman"/>
          <w:i/>
          <w:color w:val="000000" w:themeColor="text1"/>
          <w:szCs w:val="24"/>
        </w:rPr>
        <w:t>df</w:t>
      </w:r>
      <w:proofErr w:type="spellEnd"/>
      <w:r w:rsidR="00EE4ECD" w:rsidRPr="00676D5E">
        <w:rPr>
          <w:rFonts w:cs="Times New Roman"/>
          <w:color w:val="000000" w:themeColor="text1"/>
          <w:szCs w:val="24"/>
        </w:rPr>
        <w:t xml:space="preserve"> = 1, </w:t>
      </w:r>
      <w:r w:rsidR="00EE4ECD" w:rsidRPr="00676D5E">
        <w:rPr>
          <w:rFonts w:cs="Times New Roman"/>
          <w:i/>
          <w:color w:val="000000" w:themeColor="text1"/>
          <w:szCs w:val="24"/>
        </w:rPr>
        <w:t>p</w:t>
      </w:r>
      <w:r w:rsidR="00EE4ECD" w:rsidRPr="00676D5E">
        <w:rPr>
          <w:rFonts w:cs="Times New Roman"/>
          <w:color w:val="000000" w:themeColor="text1"/>
          <w:szCs w:val="24"/>
        </w:rPr>
        <w:t xml:space="preserve"> = .0001) in turn. </w:t>
      </w:r>
      <w:r w:rsidR="00DC125D">
        <w:rPr>
          <w:rFonts w:cs="Times New Roman"/>
          <w:color w:val="000000" w:themeColor="text1"/>
          <w:szCs w:val="24"/>
        </w:rPr>
        <w:t>No</w:t>
      </w:r>
      <w:r w:rsidR="00EE4ECD" w:rsidRPr="00676D5E">
        <w:rPr>
          <w:rFonts w:cs="Times New Roman"/>
          <w:color w:val="000000" w:themeColor="text1"/>
          <w:szCs w:val="24"/>
        </w:rPr>
        <w:t xml:space="preserve"> other interactions were statistically significant.</w:t>
      </w:r>
      <w:r>
        <w:rPr>
          <w:rFonts w:cs="Times New Roman"/>
          <w:color w:val="000000" w:themeColor="text1"/>
          <w:szCs w:val="24"/>
        </w:rPr>
        <w:t xml:space="preserve"> Based on these results, we selected Model 2 as the final model for the CAN sample and Model 3 as the final model for the AFDC sample. The final models </w:t>
      </w:r>
      <w:proofErr w:type="gramStart"/>
      <w:r>
        <w:rPr>
          <w:rFonts w:cs="Times New Roman"/>
          <w:color w:val="000000" w:themeColor="text1"/>
          <w:szCs w:val="24"/>
        </w:rPr>
        <w:t>are reported</w:t>
      </w:r>
      <w:proofErr w:type="gramEnd"/>
      <w:r>
        <w:rPr>
          <w:rFonts w:cs="Times New Roman"/>
          <w:color w:val="000000" w:themeColor="text1"/>
          <w:szCs w:val="24"/>
        </w:rPr>
        <w:t xml:space="preserve"> in Table 2 of the main text.</w:t>
      </w:r>
    </w:p>
    <w:p w:rsidR="001169A8" w:rsidRDefault="001169A8" w:rsidP="00676D5E">
      <w:pPr>
        <w:rPr>
          <w:szCs w:val="24"/>
        </w:rPr>
      </w:pPr>
      <w:r>
        <w:rPr>
          <w:rFonts w:cs="Times New Roman"/>
          <w:color w:val="000000" w:themeColor="text1"/>
          <w:szCs w:val="24"/>
        </w:rPr>
        <w:tab/>
        <w:t xml:space="preserve">Finally, </w:t>
      </w:r>
      <w:r w:rsidR="00AC52D4">
        <w:rPr>
          <w:szCs w:val="24"/>
        </w:rPr>
        <w:t>w</w:t>
      </w:r>
      <w:r w:rsidRPr="00DF76BD">
        <w:rPr>
          <w:szCs w:val="24"/>
        </w:rPr>
        <w:t xml:space="preserve">e examined random slope models. Adding the level-2 random slope of </w:t>
      </w:r>
      <w:r w:rsidRPr="00DF76BD">
        <w:rPr>
          <w:i/>
          <w:szCs w:val="24"/>
        </w:rPr>
        <w:t>current welfare</w:t>
      </w:r>
      <w:r w:rsidRPr="00DF76BD">
        <w:rPr>
          <w:szCs w:val="24"/>
        </w:rPr>
        <w:t xml:space="preserve"> improved model fit for both samples. This indicated that the effect size of current welfare differed between children, which </w:t>
      </w:r>
      <w:proofErr w:type="gramStart"/>
      <w:r w:rsidRPr="00DF76BD">
        <w:rPr>
          <w:szCs w:val="24"/>
        </w:rPr>
        <w:t>was not explained</w:t>
      </w:r>
      <w:proofErr w:type="gramEnd"/>
      <w:r w:rsidRPr="00DF76BD">
        <w:rPr>
          <w:szCs w:val="24"/>
        </w:rPr>
        <w:t xml:space="preserve"> by predictors in the model. Other random slopes </w:t>
      </w:r>
      <w:proofErr w:type="gramStart"/>
      <w:r w:rsidRPr="00DF76BD">
        <w:rPr>
          <w:szCs w:val="24"/>
        </w:rPr>
        <w:t>were explored</w:t>
      </w:r>
      <w:proofErr w:type="gramEnd"/>
      <w:r w:rsidRPr="00DF76BD">
        <w:rPr>
          <w:szCs w:val="24"/>
        </w:rPr>
        <w:t xml:space="preserve"> but none increased model fit.</w:t>
      </w:r>
    </w:p>
    <w:p w:rsidR="001169A8" w:rsidRPr="00676D5E" w:rsidRDefault="001169A8" w:rsidP="00676D5E">
      <w:pPr>
        <w:rPr>
          <w:rFonts w:cs="Times New Roman"/>
          <w:szCs w:val="24"/>
        </w:rPr>
      </w:pPr>
    </w:p>
    <w:p w:rsidR="00EE4ECD" w:rsidRPr="00676D5E" w:rsidRDefault="00EE4ECD" w:rsidP="00676D5E">
      <w:pPr>
        <w:rPr>
          <w:rFonts w:cs="Times New Roman"/>
          <w:szCs w:val="24"/>
        </w:rPr>
      </w:pPr>
    </w:p>
    <w:p w:rsidR="00EE4ECD" w:rsidRPr="004B22EE" w:rsidRDefault="00EE4ECD" w:rsidP="00EE4ECD">
      <w:pPr>
        <w:rPr>
          <w:sz w:val="20"/>
          <w:szCs w:val="20"/>
        </w:rPr>
      </w:pPr>
      <w:r w:rsidRPr="004B22EE">
        <w:rPr>
          <w:b/>
          <w:sz w:val="20"/>
          <w:szCs w:val="20"/>
        </w:rPr>
        <w:t>Table S2</w:t>
      </w:r>
      <w:r w:rsidRPr="004B22EE">
        <w:rPr>
          <w:sz w:val="20"/>
          <w:szCs w:val="20"/>
        </w:rPr>
        <w:t xml:space="preserve">. </w:t>
      </w:r>
      <w:r w:rsidR="004B22EE" w:rsidRPr="004B22EE">
        <w:rPr>
          <w:sz w:val="20"/>
          <w:szCs w:val="20"/>
        </w:rPr>
        <w:t>The Likelihood Ratio Tests of Interaction Effects.</w:t>
      </w:r>
    </w:p>
    <w:tbl>
      <w:tblPr>
        <w:tblW w:w="9267" w:type="dxa"/>
        <w:tblInd w:w="93" w:type="dxa"/>
        <w:tblLayout w:type="fixed"/>
        <w:tblCellMar>
          <w:left w:w="58" w:type="dxa"/>
          <w:right w:w="58" w:type="dxa"/>
        </w:tblCellMar>
        <w:tblLook w:val="04A0" w:firstRow="1" w:lastRow="0" w:firstColumn="1" w:lastColumn="0" w:noHBand="0" w:noVBand="1"/>
      </w:tblPr>
      <w:tblGrid>
        <w:gridCol w:w="1527"/>
        <w:gridCol w:w="720"/>
        <w:gridCol w:w="990"/>
        <w:gridCol w:w="1080"/>
        <w:gridCol w:w="270"/>
        <w:gridCol w:w="1800"/>
        <w:gridCol w:w="1080"/>
        <w:gridCol w:w="900"/>
        <w:gridCol w:w="900"/>
      </w:tblGrid>
      <w:tr w:rsidR="00A55FE5" w:rsidRPr="007A0318" w:rsidTr="00A55FE5">
        <w:trPr>
          <w:trHeight w:val="20"/>
        </w:trPr>
        <w:tc>
          <w:tcPr>
            <w:tcW w:w="4317" w:type="dxa"/>
            <w:gridSpan w:val="4"/>
            <w:tcBorders>
              <w:top w:val="single" w:sz="4" w:space="0" w:color="auto"/>
              <w:left w:val="nil"/>
              <w:bottom w:val="single" w:sz="4" w:space="0" w:color="auto"/>
              <w:right w:val="nil"/>
            </w:tcBorders>
            <w:shd w:val="clear" w:color="auto" w:fill="auto"/>
            <w:noWrap/>
            <w:vAlign w:val="bottom"/>
            <w:hideMark/>
          </w:tcPr>
          <w:p w:rsidR="00A55FE5" w:rsidRPr="007A0318" w:rsidRDefault="00A55FE5" w:rsidP="004B22EE">
            <w:pPr>
              <w:spacing w:before="240"/>
              <w:jc w:val="center"/>
              <w:rPr>
                <w:rFonts w:cs="Times New Roman"/>
                <w:color w:val="000000" w:themeColor="text1"/>
                <w:sz w:val="20"/>
                <w:szCs w:val="20"/>
              </w:rPr>
            </w:pPr>
            <w:r w:rsidRPr="007A0318">
              <w:rPr>
                <w:rFonts w:eastAsia="Times New Roman" w:cs="Times New Roman"/>
                <w:color w:val="000000" w:themeColor="text1"/>
                <w:sz w:val="20"/>
                <w:szCs w:val="20"/>
              </w:rPr>
              <w:t>CAN sample</w:t>
            </w:r>
          </w:p>
        </w:tc>
        <w:tc>
          <w:tcPr>
            <w:tcW w:w="270" w:type="dxa"/>
            <w:tcBorders>
              <w:top w:val="single" w:sz="4" w:space="0" w:color="auto"/>
              <w:left w:val="nil"/>
              <w:right w:val="nil"/>
            </w:tcBorders>
            <w:shd w:val="clear" w:color="auto" w:fill="auto"/>
            <w:noWrap/>
            <w:vAlign w:val="bottom"/>
            <w:hideMark/>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top w:val="single" w:sz="4" w:space="0" w:color="auto"/>
              <w:left w:val="nil"/>
              <w:bottom w:val="single" w:sz="4" w:space="0" w:color="auto"/>
              <w:right w:val="nil"/>
            </w:tcBorders>
            <w:shd w:val="clear" w:color="auto" w:fill="auto"/>
            <w:noWrap/>
            <w:vAlign w:val="bottom"/>
            <w:hideMark/>
          </w:tcPr>
          <w:p w:rsidR="00A55FE5" w:rsidRPr="007A0318" w:rsidRDefault="00A55FE5" w:rsidP="00EB5C05">
            <w:pPr>
              <w:jc w:val="center"/>
              <w:rPr>
                <w:rFonts w:cs="Times New Roman"/>
                <w:color w:val="000000" w:themeColor="text1"/>
                <w:sz w:val="20"/>
                <w:szCs w:val="20"/>
              </w:rPr>
            </w:pPr>
            <w:r w:rsidRPr="007A0318">
              <w:rPr>
                <w:rFonts w:eastAsia="Times New Roman" w:cs="Times New Roman"/>
                <w:color w:val="000000" w:themeColor="text1"/>
                <w:sz w:val="20"/>
                <w:szCs w:val="20"/>
              </w:rPr>
              <w:t>AFDC sample</w:t>
            </w:r>
          </w:p>
        </w:tc>
      </w:tr>
      <w:tr w:rsidR="00A55FE5" w:rsidRPr="007A0318" w:rsidTr="00A55FE5">
        <w:trPr>
          <w:trHeight w:val="20"/>
        </w:trPr>
        <w:tc>
          <w:tcPr>
            <w:tcW w:w="4317" w:type="dxa"/>
            <w:gridSpan w:val="4"/>
            <w:tcBorders>
              <w:top w:val="single" w:sz="4" w:space="0" w:color="auto"/>
              <w:left w:val="nil"/>
              <w:bottom w:val="single" w:sz="4" w:space="0" w:color="auto"/>
              <w:right w:val="nil"/>
            </w:tcBorders>
            <w:shd w:val="clear" w:color="auto" w:fill="auto"/>
            <w:noWrap/>
            <w:vAlign w:val="bottom"/>
          </w:tcPr>
          <w:p w:rsidR="00A55FE5" w:rsidRPr="007A0318" w:rsidRDefault="001169A8" w:rsidP="001169A8">
            <w:pPr>
              <w:spacing w:before="240"/>
              <w:rPr>
                <w:rFonts w:eastAsia="Times New Roman" w:cs="Times New Roman"/>
                <w:color w:val="000000" w:themeColor="text1"/>
                <w:sz w:val="20"/>
                <w:szCs w:val="20"/>
              </w:rPr>
            </w:pPr>
            <w:r>
              <w:rPr>
                <w:rFonts w:eastAsia="Times New Roman" w:cs="Times New Roman"/>
                <w:color w:val="000000" w:themeColor="text1"/>
                <w:sz w:val="20"/>
                <w:szCs w:val="20"/>
              </w:rPr>
              <w:t>Model</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top w:val="single" w:sz="4" w:space="0" w:color="auto"/>
              <w:left w:val="nil"/>
              <w:bottom w:val="single" w:sz="4" w:space="0" w:color="auto"/>
              <w:right w:val="nil"/>
            </w:tcBorders>
            <w:shd w:val="clear" w:color="auto" w:fill="auto"/>
            <w:noWrap/>
            <w:vAlign w:val="bottom"/>
          </w:tcPr>
          <w:p w:rsidR="00A55FE5" w:rsidRPr="007A0318" w:rsidRDefault="001169A8" w:rsidP="004B22EE">
            <w:pPr>
              <w:rPr>
                <w:rFonts w:eastAsia="Times New Roman" w:cs="Times New Roman"/>
                <w:color w:val="000000" w:themeColor="text1"/>
                <w:sz w:val="20"/>
                <w:szCs w:val="20"/>
              </w:rPr>
            </w:pPr>
            <w:r>
              <w:rPr>
                <w:rFonts w:eastAsia="Times New Roman" w:cs="Times New Roman"/>
                <w:color w:val="000000" w:themeColor="text1"/>
                <w:sz w:val="20"/>
                <w:szCs w:val="20"/>
              </w:rPr>
              <w:t>Model</w:t>
            </w:r>
          </w:p>
        </w:tc>
      </w:tr>
      <w:tr w:rsidR="00A55FE5" w:rsidRPr="007A0318" w:rsidTr="00A55FE5">
        <w:trPr>
          <w:trHeight w:val="20"/>
        </w:trPr>
        <w:tc>
          <w:tcPr>
            <w:tcW w:w="4317" w:type="dxa"/>
            <w:gridSpan w:val="4"/>
            <w:tcBorders>
              <w:top w:val="single" w:sz="4" w:space="0" w:color="auto"/>
              <w:left w:val="nil"/>
              <w:right w:val="nil"/>
            </w:tcBorders>
            <w:shd w:val="clear" w:color="auto" w:fill="auto"/>
            <w:noWrap/>
            <w:vAlign w:val="bottom"/>
          </w:tcPr>
          <w:p w:rsidR="00A55FE5" w:rsidRPr="007A0318" w:rsidRDefault="00A55FE5" w:rsidP="001169A8">
            <w:pPr>
              <w:rPr>
                <w:rFonts w:eastAsia="Times New Roman" w:cs="Times New Roman"/>
                <w:color w:val="000000" w:themeColor="text1"/>
                <w:sz w:val="20"/>
                <w:szCs w:val="20"/>
              </w:rPr>
            </w:pPr>
            <w:r>
              <w:rPr>
                <w:rFonts w:cs="Times New Roman"/>
                <w:sz w:val="20"/>
                <w:szCs w:val="20"/>
              </w:rPr>
              <w:t>Model 1: Final model (Table 2) with no interaction</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top w:val="single" w:sz="4" w:space="0" w:color="auto"/>
              <w:left w:val="nil"/>
              <w:right w:val="nil"/>
            </w:tcBorders>
            <w:shd w:val="clear" w:color="auto" w:fill="auto"/>
            <w:noWrap/>
            <w:vAlign w:val="bottom"/>
          </w:tcPr>
          <w:p w:rsidR="00A55FE5" w:rsidRPr="007A0318" w:rsidRDefault="00A55FE5" w:rsidP="00A55FE5">
            <w:pPr>
              <w:rPr>
                <w:rFonts w:eastAsia="Times New Roman" w:cs="Times New Roman"/>
                <w:color w:val="000000" w:themeColor="text1"/>
                <w:sz w:val="20"/>
                <w:szCs w:val="20"/>
              </w:rPr>
            </w:pPr>
            <w:r>
              <w:rPr>
                <w:rFonts w:cs="Times New Roman"/>
                <w:sz w:val="20"/>
                <w:szCs w:val="20"/>
              </w:rPr>
              <w:t xml:space="preserve">Model 1: Final model </w:t>
            </w:r>
            <w:r w:rsidR="001169A8">
              <w:rPr>
                <w:rFonts w:cs="Times New Roman"/>
                <w:sz w:val="20"/>
                <w:szCs w:val="20"/>
              </w:rPr>
              <w:t xml:space="preserve">(Table 2) </w:t>
            </w:r>
            <w:r>
              <w:rPr>
                <w:rFonts w:cs="Times New Roman"/>
                <w:sz w:val="20"/>
                <w:szCs w:val="20"/>
              </w:rPr>
              <w:t>with no interaction</w:t>
            </w:r>
          </w:p>
        </w:tc>
      </w:tr>
      <w:tr w:rsidR="00A55FE5" w:rsidRPr="007A0318" w:rsidTr="00A55FE5">
        <w:trPr>
          <w:trHeight w:val="20"/>
        </w:trPr>
        <w:tc>
          <w:tcPr>
            <w:tcW w:w="4317" w:type="dxa"/>
            <w:gridSpan w:val="4"/>
            <w:tcBorders>
              <w:left w:val="nil"/>
              <w:right w:val="nil"/>
            </w:tcBorders>
            <w:shd w:val="clear" w:color="auto" w:fill="auto"/>
            <w:noWrap/>
            <w:vAlign w:val="bottom"/>
          </w:tcPr>
          <w:p w:rsidR="00A55FE5" w:rsidRPr="00BC15D5" w:rsidRDefault="00A55FE5" w:rsidP="001169A8">
            <w:pPr>
              <w:rPr>
                <w:rFonts w:eastAsia="Times New Roman" w:cs="Times New Roman"/>
                <w:b/>
                <w:color w:val="000000" w:themeColor="text1"/>
                <w:sz w:val="20"/>
                <w:szCs w:val="20"/>
              </w:rPr>
            </w:pPr>
            <w:r>
              <w:rPr>
                <w:rFonts w:cs="Times New Roman"/>
                <w:b/>
                <w:sz w:val="20"/>
                <w:szCs w:val="20"/>
              </w:rPr>
              <w:t xml:space="preserve">Model 2: </w:t>
            </w:r>
            <w:r w:rsidRPr="00BC15D5">
              <w:rPr>
                <w:rFonts w:cs="Times New Roman"/>
                <w:b/>
                <w:sz w:val="20"/>
                <w:szCs w:val="20"/>
              </w:rPr>
              <w:t>Model 1 + CW×PW</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left w:val="nil"/>
              <w:right w:val="nil"/>
            </w:tcBorders>
            <w:shd w:val="clear" w:color="auto" w:fill="auto"/>
            <w:noWrap/>
            <w:vAlign w:val="bottom"/>
          </w:tcPr>
          <w:p w:rsidR="00A55FE5" w:rsidRPr="007A0318" w:rsidRDefault="00A55FE5" w:rsidP="00A55FE5">
            <w:pPr>
              <w:rPr>
                <w:rFonts w:eastAsia="Times New Roman" w:cs="Times New Roman"/>
                <w:color w:val="000000" w:themeColor="text1"/>
                <w:sz w:val="20"/>
                <w:szCs w:val="20"/>
              </w:rPr>
            </w:pPr>
            <w:r>
              <w:rPr>
                <w:rFonts w:cs="Times New Roman"/>
                <w:sz w:val="20"/>
                <w:szCs w:val="20"/>
              </w:rPr>
              <w:t>Model 2: Model 1</w:t>
            </w:r>
            <w:r w:rsidRPr="007A0318">
              <w:rPr>
                <w:rFonts w:cs="Times New Roman"/>
                <w:sz w:val="20"/>
                <w:szCs w:val="20"/>
              </w:rPr>
              <w:t xml:space="preserve"> + CW×PW</w:t>
            </w:r>
          </w:p>
        </w:tc>
      </w:tr>
      <w:tr w:rsidR="00A55FE5" w:rsidRPr="007A0318" w:rsidTr="00A55FE5">
        <w:trPr>
          <w:trHeight w:val="20"/>
        </w:trPr>
        <w:tc>
          <w:tcPr>
            <w:tcW w:w="4317" w:type="dxa"/>
            <w:gridSpan w:val="4"/>
            <w:tcBorders>
              <w:left w:val="nil"/>
              <w:right w:val="nil"/>
            </w:tcBorders>
            <w:shd w:val="clear" w:color="auto" w:fill="auto"/>
            <w:noWrap/>
            <w:vAlign w:val="bottom"/>
          </w:tcPr>
          <w:p w:rsidR="00A55FE5" w:rsidRPr="007A0318" w:rsidRDefault="00A55FE5" w:rsidP="001169A8">
            <w:pPr>
              <w:rPr>
                <w:rFonts w:eastAsia="Times New Roman" w:cs="Times New Roman"/>
                <w:color w:val="000000" w:themeColor="text1"/>
                <w:sz w:val="20"/>
                <w:szCs w:val="20"/>
              </w:rPr>
            </w:pPr>
            <w:r>
              <w:rPr>
                <w:rFonts w:cs="Times New Roman"/>
                <w:sz w:val="20"/>
                <w:szCs w:val="20"/>
              </w:rPr>
              <w:t>Model 3: Model 1</w:t>
            </w:r>
            <w:r w:rsidRPr="007A0318">
              <w:rPr>
                <w:rFonts w:cs="Times New Roman"/>
                <w:sz w:val="20"/>
                <w:szCs w:val="20"/>
              </w:rPr>
              <w:t xml:space="preserve"> + CW×PW + </w:t>
            </w:r>
            <w:proofErr w:type="spellStart"/>
            <w:r w:rsidRPr="007A0318">
              <w:rPr>
                <w:rFonts w:cs="Times New Roman"/>
                <w:sz w:val="20"/>
                <w:szCs w:val="20"/>
              </w:rPr>
              <w:t>Age×CW</w:t>
            </w:r>
            <w:proofErr w:type="spellEnd"/>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left w:val="nil"/>
              <w:right w:val="nil"/>
            </w:tcBorders>
            <w:shd w:val="clear" w:color="auto" w:fill="auto"/>
            <w:noWrap/>
            <w:vAlign w:val="bottom"/>
          </w:tcPr>
          <w:p w:rsidR="00A55FE5" w:rsidRPr="00A55FE5" w:rsidRDefault="00A55FE5" w:rsidP="00A55FE5">
            <w:pPr>
              <w:rPr>
                <w:rFonts w:eastAsia="Times New Roman" w:cs="Times New Roman"/>
                <w:b/>
                <w:color w:val="000000" w:themeColor="text1"/>
                <w:sz w:val="20"/>
                <w:szCs w:val="20"/>
              </w:rPr>
            </w:pPr>
            <w:r w:rsidRPr="00A55FE5">
              <w:rPr>
                <w:rFonts w:cs="Times New Roman"/>
                <w:b/>
                <w:sz w:val="20"/>
                <w:szCs w:val="20"/>
              </w:rPr>
              <w:t xml:space="preserve">Model 3: Model 1 + CW×PW + </w:t>
            </w:r>
            <w:proofErr w:type="spellStart"/>
            <w:r w:rsidRPr="00A55FE5">
              <w:rPr>
                <w:rFonts w:cs="Times New Roman"/>
                <w:b/>
                <w:sz w:val="20"/>
                <w:szCs w:val="20"/>
              </w:rPr>
              <w:t>Age×CW</w:t>
            </w:r>
            <w:proofErr w:type="spellEnd"/>
          </w:p>
        </w:tc>
      </w:tr>
      <w:tr w:rsidR="00A55FE5" w:rsidRPr="007A0318" w:rsidTr="00A55FE5">
        <w:trPr>
          <w:trHeight w:val="20"/>
        </w:trPr>
        <w:tc>
          <w:tcPr>
            <w:tcW w:w="4317" w:type="dxa"/>
            <w:gridSpan w:val="4"/>
            <w:tcBorders>
              <w:left w:val="nil"/>
              <w:right w:val="nil"/>
            </w:tcBorders>
            <w:shd w:val="clear" w:color="auto" w:fill="auto"/>
            <w:noWrap/>
            <w:vAlign w:val="bottom"/>
          </w:tcPr>
          <w:p w:rsidR="00A55FE5" w:rsidRPr="007A0318" w:rsidRDefault="00A55FE5" w:rsidP="001169A8">
            <w:pPr>
              <w:rPr>
                <w:rFonts w:eastAsia="Times New Roman" w:cs="Times New Roman"/>
                <w:color w:val="000000" w:themeColor="text1"/>
                <w:sz w:val="20"/>
                <w:szCs w:val="20"/>
              </w:rPr>
            </w:pPr>
            <w:r>
              <w:rPr>
                <w:rFonts w:cs="Times New Roman"/>
                <w:sz w:val="20"/>
                <w:szCs w:val="20"/>
              </w:rPr>
              <w:t>Model 4: Model 1</w:t>
            </w:r>
            <w:r w:rsidRPr="007A0318">
              <w:rPr>
                <w:rFonts w:cs="Times New Roman"/>
                <w:sz w:val="20"/>
                <w:szCs w:val="20"/>
              </w:rPr>
              <w:t xml:space="preserve"> + CW×PW + </w:t>
            </w:r>
            <w:proofErr w:type="spellStart"/>
            <w:r w:rsidRPr="007A0318">
              <w:rPr>
                <w:rFonts w:cs="Times New Roman"/>
                <w:sz w:val="20"/>
                <w:szCs w:val="20"/>
              </w:rPr>
              <w:t>Age×PW</w:t>
            </w:r>
            <w:proofErr w:type="spellEnd"/>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left w:val="nil"/>
              <w:right w:val="nil"/>
            </w:tcBorders>
            <w:shd w:val="clear" w:color="auto" w:fill="auto"/>
            <w:noWrap/>
            <w:vAlign w:val="bottom"/>
          </w:tcPr>
          <w:p w:rsidR="00A55FE5" w:rsidRPr="007A0318" w:rsidRDefault="00A55FE5" w:rsidP="00A55FE5">
            <w:pPr>
              <w:rPr>
                <w:rFonts w:eastAsia="Times New Roman" w:cs="Times New Roman"/>
                <w:color w:val="000000" w:themeColor="text1"/>
                <w:sz w:val="20"/>
                <w:szCs w:val="20"/>
              </w:rPr>
            </w:pPr>
            <w:r>
              <w:rPr>
                <w:rFonts w:cs="Times New Roman"/>
                <w:sz w:val="20"/>
                <w:szCs w:val="20"/>
              </w:rPr>
              <w:t>Model 4: Model 1</w:t>
            </w:r>
            <w:r w:rsidRPr="007A0318">
              <w:rPr>
                <w:rFonts w:cs="Times New Roman"/>
                <w:sz w:val="20"/>
                <w:szCs w:val="20"/>
              </w:rPr>
              <w:t xml:space="preserve"> + CW×PW + </w:t>
            </w:r>
            <w:proofErr w:type="spellStart"/>
            <w:r w:rsidRPr="007A0318">
              <w:rPr>
                <w:rFonts w:cs="Times New Roman"/>
                <w:sz w:val="20"/>
                <w:szCs w:val="20"/>
              </w:rPr>
              <w:t>Age×CW</w:t>
            </w:r>
            <w:proofErr w:type="spellEnd"/>
            <w:r w:rsidRPr="007A0318">
              <w:rPr>
                <w:rFonts w:cs="Times New Roman"/>
                <w:sz w:val="20"/>
                <w:szCs w:val="20"/>
              </w:rPr>
              <w:t xml:space="preserve"> + </w:t>
            </w:r>
            <w:proofErr w:type="spellStart"/>
            <w:r w:rsidRPr="007A0318">
              <w:rPr>
                <w:rFonts w:cs="Times New Roman"/>
                <w:sz w:val="20"/>
                <w:szCs w:val="20"/>
              </w:rPr>
              <w:t>Age×PW</w:t>
            </w:r>
            <w:proofErr w:type="spellEnd"/>
          </w:p>
        </w:tc>
      </w:tr>
      <w:tr w:rsidR="00A55FE5" w:rsidRPr="007A0318" w:rsidTr="00A55FE5">
        <w:trPr>
          <w:trHeight w:val="20"/>
        </w:trPr>
        <w:tc>
          <w:tcPr>
            <w:tcW w:w="4317" w:type="dxa"/>
            <w:gridSpan w:val="4"/>
            <w:tcBorders>
              <w:left w:val="nil"/>
              <w:right w:val="nil"/>
            </w:tcBorders>
            <w:shd w:val="clear" w:color="auto" w:fill="auto"/>
            <w:noWrap/>
            <w:vAlign w:val="bottom"/>
          </w:tcPr>
          <w:p w:rsidR="00A55FE5" w:rsidRPr="007A0318" w:rsidRDefault="00A55FE5" w:rsidP="001169A8">
            <w:pPr>
              <w:rPr>
                <w:rFonts w:eastAsia="Times New Roman" w:cs="Times New Roman"/>
                <w:color w:val="000000" w:themeColor="text1"/>
                <w:sz w:val="20"/>
                <w:szCs w:val="20"/>
              </w:rPr>
            </w:pPr>
            <w:r>
              <w:rPr>
                <w:rFonts w:cs="Times New Roman"/>
                <w:sz w:val="20"/>
                <w:szCs w:val="20"/>
              </w:rPr>
              <w:t>Model 5: Model 1</w:t>
            </w:r>
            <w:r w:rsidRPr="007A0318">
              <w:rPr>
                <w:rFonts w:cs="Times New Roman"/>
                <w:sz w:val="20"/>
                <w:szCs w:val="20"/>
              </w:rPr>
              <w:t xml:space="preserve"> + CW×PW + </w:t>
            </w:r>
            <w:proofErr w:type="spellStart"/>
            <w:r w:rsidRPr="007A0318">
              <w:rPr>
                <w:rFonts w:cs="Times New Roman"/>
                <w:sz w:val="20"/>
                <w:szCs w:val="20"/>
              </w:rPr>
              <w:t>Age×Race</w:t>
            </w:r>
            <w:proofErr w:type="spellEnd"/>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left w:val="nil"/>
              <w:right w:val="nil"/>
            </w:tcBorders>
            <w:shd w:val="clear" w:color="auto" w:fill="auto"/>
            <w:noWrap/>
            <w:vAlign w:val="bottom"/>
          </w:tcPr>
          <w:p w:rsidR="00A55FE5" w:rsidRPr="007A0318" w:rsidRDefault="00A55FE5" w:rsidP="00A55FE5">
            <w:pPr>
              <w:rPr>
                <w:rFonts w:eastAsia="Times New Roman" w:cs="Times New Roman"/>
                <w:color w:val="000000" w:themeColor="text1"/>
                <w:sz w:val="20"/>
                <w:szCs w:val="20"/>
              </w:rPr>
            </w:pPr>
            <w:r>
              <w:rPr>
                <w:rFonts w:cs="Times New Roman"/>
                <w:sz w:val="20"/>
                <w:szCs w:val="20"/>
              </w:rPr>
              <w:t>Model 5: Model 1</w:t>
            </w:r>
            <w:r w:rsidRPr="007A0318">
              <w:rPr>
                <w:rFonts w:cs="Times New Roman"/>
                <w:sz w:val="20"/>
                <w:szCs w:val="20"/>
              </w:rPr>
              <w:t xml:space="preserve"> + CW×PW + </w:t>
            </w:r>
            <w:proofErr w:type="spellStart"/>
            <w:r w:rsidRPr="007A0318">
              <w:rPr>
                <w:rFonts w:cs="Times New Roman"/>
                <w:sz w:val="20"/>
                <w:szCs w:val="20"/>
              </w:rPr>
              <w:t>Age×CW</w:t>
            </w:r>
            <w:proofErr w:type="spellEnd"/>
            <w:r w:rsidRPr="007A0318">
              <w:rPr>
                <w:rFonts w:cs="Times New Roman"/>
                <w:sz w:val="20"/>
                <w:szCs w:val="20"/>
              </w:rPr>
              <w:t xml:space="preserve"> + </w:t>
            </w:r>
            <w:proofErr w:type="spellStart"/>
            <w:r w:rsidRPr="007A0318">
              <w:rPr>
                <w:rFonts w:cs="Times New Roman"/>
                <w:sz w:val="20"/>
                <w:szCs w:val="20"/>
              </w:rPr>
              <w:t>Age×Race</w:t>
            </w:r>
            <w:proofErr w:type="spellEnd"/>
          </w:p>
        </w:tc>
      </w:tr>
      <w:tr w:rsidR="00A55FE5" w:rsidRPr="007A0318" w:rsidTr="00A55FE5">
        <w:trPr>
          <w:trHeight w:val="20"/>
        </w:trPr>
        <w:tc>
          <w:tcPr>
            <w:tcW w:w="4317" w:type="dxa"/>
            <w:gridSpan w:val="4"/>
            <w:tcBorders>
              <w:left w:val="nil"/>
              <w:right w:val="nil"/>
            </w:tcBorders>
            <w:shd w:val="clear" w:color="auto" w:fill="auto"/>
            <w:noWrap/>
            <w:vAlign w:val="bottom"/>
          </w:tcPr>
          <w:p w:rsidR="00A55FE5" w:rsidRPr="007A0318" w:rsidRDefault="00A55FE5" w:rsidP="001169A8">
            <w:pPr>
              <w:rPr>
                <w:rFonts w:eastAsia="Times New Roman" w:cs="Times New Roman"/>
                <w:color w:val="000000" w:themeColor="text1"/>
                <w:sz w:val="20"/>
                <w:szCs w:val="20"/>
              </w:rPr>
            </w:pPr>
            <w:r>
              <w:rPr>
                <w:rFonts w:cs="Times New Roman"/>
                <w:sz w:val="20"/>
                <w:szCs w:val="20"/>
              </w:rPr>
              <w:t>Model 6: Model 1</w:t>
            </w:r>
            <w:r w:rsidRPr="007A0318">
              <w:rPr>
                <w:rFonts w:cs="Times New Roman"/>
                <w:sz w:val="20"/>
                <w:szCs w:val="20"/>
              </w:rPr>
              <w:t xml:space="preserve"> + CW×PW + </w:t>
            </w:r>
            <w:proofErr w:type="spellStart"/>
            <w:r w:rsidRPr="007A0318">
              <w:rPr>
                <w:rFonts w:cs="Times New Roman"/>
                <w:sz w:val="20"/>
                <w:szCs w:val="20"/>
              </w:rPr>
              <w:t>CW×Race</w:t>
            </w:r>
            <w:proofErr w:type="spellEnd"/>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4680" w:type="dxa"/>
            <w:gridSpan w:val="4"/>
            <w:tcBorders>
              <w:left w:val="nil"/>
              <w:right w:val="nil"/>
            </w:tcBorders>
            <w:shd w:val="clear" w:color="auto" w:fill="auto"/>
            <w:noWrap/>
            <w:vAlign w:val="bottom"/>
          </w:tcPr>
          <w:p w:rsidR="00A55FE5" w:rsidRPr="007A0318" w:rsidRDefault="00A55FE5" w:rsidP="00A55FE5">
            <w:pPr>
              <w:rPr>
                <w:rFonts w:eastAsia="Times New Roman" w:cs="Times New Roman"/>
                <w:color w:val="000000" w:themeColor="text1"/>
                <w:sz w:val="20"/>
                <w:szCs w:val="20"/>
              </w:rPr>
            </w:pPr>
            <w:r>
              <w:rPr>
                <w:rFonts w:cs="Times New Roman"/>
                <w:sz w:val="20"/>
                <w:szCs w:val="20"/>
              </w:rPr>
              <w:t>Model 6: Model 1</w:t>
            </w:r>
            <w:r w:rsidRPr="007A0318">
              <w:rPr>
                <w:rFonts w:cs="Times New Roman"/>
                <w:sz w:val="20"/>
                <w:szCs w:val="20"/>
              </w:rPr>
              <w:t xml:space="preserve"> + CW×PW + </w:t>
            </w:r>
            <w:proofErr w:type="spellStart"/>
            <w:r w:rsidRPr="007A0318">
              <w:rPr>
                <w:rFonts w:cs="Times New Roman"/>
                <w:sz w:val="20"/>
                <w:szCs w:val="20"/>
              </w:rPr>
              <w:t>Age×CW</w:t>
            </w:r>
            <w:proofErr w:type="spellEnd"/>
            <w:r w:rsidRPr="007A0318">
              <w:rPr>
                <w:rFonts w:cs="Times New Roman"/>
                <w:sz w:val="20"/>
                <w:szCs w:val="20"/>
              </w:rPr>
              <w:t xml:space="preserve"> + </w:t>
            </w:r>
            <w:proofErr w:type="spellStart"/>
            <w:r w:rsidRPr="007A0318">
              <w:rPr>
                <w:rFonts w:cs="Times New Roman"/>
                <w:sz w:val="20"/>
                <w:szCs w:val="20"/>
              </w:rPr>
              <w:t>CW×Race</w:t>
            </w:r>
            <w:proofErr w:type="spellEnd"/>
          </w:p>
        </w:tc>
      </w:tr>
      <w:tr w:rsidR="00A55FE5" w:rsidRPr="007A0318" w:rsidTr="00A55FE5">
        <w:trPr>
          <w:trHeight w:val="20"/>
        </w:trPr>
        <w:tc>
          <w:tcPr>
            <w:tcW w:w="4317" w:type="dxa"/>
            <w:gridSpan w:val="4"/>
            <w:tcBorders>
              <w:left w:val="nil"/>
              <w:bottom w:val="single" w:sz="4" w:space="0" w:color="auto"/>
              <w:right w:val="nil"/>
            </w:tcBorders>
            <w:shd w:val="clear" w:color="auto" w:fill="auto"/>
            <w:noWrap/>
            <w:vAlign w:val="bottom"/>
          </w:tcPr>
          <w:p w:rsidR="00A55FE5" w:rsidRPr="007A0318" w:rsidRDefault="00A55FE5" w:rsidP="001169A8">
            <w:pPr>
              <w:spacing w:after="60"/>
              <w:rPr>
                <w:rFonts w:cs="Times New Roman"/>
                <w:sz w:val="20"/>
                <w:szCs w:val="20"/>
              </w:rPr>
            </w:pPr>
            <w:r>
              <w:rPr>
                <w:rFonts w:cs="Times New Roman"/>
                <w:sz w:val="20"/>
                <w:szCs w:val="20"/>
              </w:rPr>
              <w:t>Model 7: Model 1</w:t>
            </w:r>
            <w:r w:rsidRPr="007A0318">
              <w:rPr>
                <w:rFonts w:cs="Times New Roman"/>
                <w:sz w:val="20"/>
                <w:szCs w:val="20"/>
              </w:rPr>
              <w:t xml:space="preserve"> + CW×PW + </w:t>
            </w:r>
            <w:proofErr w:type="spellStart"/>
            <w:r w:rsidRPr="007A0318">
              <w:rPr>
                <w:rFonts w:cs="Times New Roman"/>
                <w:sz w:val="20"/>
                <w:szCs w:val="20"/>
              </w:rPr>
              <w:t>PW×Race</w:t>
            </w:r>
            <w:proofErr w:type="spellEnd"/>
          </w:p>
        </w:tc>
        <w:tc>
          <w:tcPr>
            <w:tcW w:w="270" w:type="dxa"/>
            <w:tcBorders>
              <w:left w:val="nil"/>
              <w:right w:val="nil"/>
            </w:tcBorders>
            <w:shd w:val="clear" w:color="auto" w:fill="auto"/>
            <w:noWrap/>
            <w:vAlign w:val="bottom"/>
          </w:tcPr>
          <w:p w:rsidR="00A55FE5" w:rsidRPr="007A0318" w:rsidRDefault="00A55FE5" w:rsidP="00F538AC">
            <w:pPr>
              <w:spacing w:after="60"/>
              <w:jc w:val="center"/>
              <w:rPr>
                <w:rFonts w:eastAsia="Times New Roman" w:cs="Times New Roman"/>
                <w:color w:val="000000" w:themeColor="text1"/>
                <w:sz w:val="20"/>
                <w:szCs w:val="20"/>
              </w:rPr>
            </w:pPr>
          </w:p>
        </w:tc>
        <w:tc>
          <w:tcPr>
            <w:tcW w:w="4680" w:type="dxa"/>
            <w:gridSpan w:val="4"/>
            <w:tcBorders>
              <w:left w:val="nil"/>
              <w:bottom w:val="single" w:sz="4" w:space="0" w:color="auto"/>
              <w:right w:val="nil"/>
            </w:tcBorders>
            <w:shd w:val="clear" w:color="auto" w:fill="auto"/>
            <w:noWrap/>
            <w:vAlign w:val="bottom"/>
          </w:tcPr>
          <w:p w:rsidR="00A55FE5" w:rsidRPr="007A0318" w:rsidRDefault="00A55FE5" w:rsidP="00A55FE5">
            <w:pPr>
              <w:spacing w:after="60"/>
              <w:rPr>
                <w:rFonts w:eastAsia="Times New Roman" w:cs="Times New Roman"/>
                <w:color w:val="000000" w:themeColor="text1"/>
                <w:sz w:val="20"/>
                <w:szCs w:val="20"/>
              </w:rPr>
            </w:pPr>
            <w:r>
              <w:rPr>
                <w:rFonts w:cs="Times New Roman"/>
                <w:sz w:val="20"/>
                <w:szCs w:val="20"/>
              </w:rPr>
              <w:t>Model 7: Model 1</w:t>
            </w:r>
            <w:r w:rsidRPr="007A0318">
              <w:rPr>
                <w:rFonts w:cs="Times New Roman"/>
                <w:sz w:val="20"/>
                <w:szCs w:val="20"/>
              </w:rPr>
              <w:t xml:space="preserve"> + CW×PW + </w:t>
            </w:r>
            <w:proofErr w:type="spellStart"/>
            <w:r w:rsidRPr="007A0318">
              <w:rPr>
                <w:rFonts w:cs="Times New Roman"/>
                <w:sz w:val="20"/>
                <w:szCs w:val="20"/>
              </w:rPr>
              <w:t>Age×CW</w:t>
            </w:r>
            <w:proofErr w:type="spellEnd"/>
            <w:r w:rsidRPr="007A0318">
              <w:rPr>
                <w:rFonts w:cs="Times New Roman"/>
                <w:sz w:val="20"/>
                <w:szCs w:val="20"/>
              </w:rPr>
              <w:t xml:space="preserve"> + </w:t>
            </w:r>
            <w:proofErr w:type="spellStart"/>
            <w:r w:rsidRPr="007A0318">
              <w:rPr>
                <w:rFonts w:cs="Times New Roman"/>
                <w:sz w:val="20"/>
                <w:szCs w:val="20"/>
              </w:rPr>
              <w:t>PW×Race</w:t>
            </w:r>
            <w:proofErr w:type="spellEnd"/>
          </w:p>
        </w:tc>
      </w:tr>
      <w:tr w:rsidR="00A55FE5" w:rsidRPr="007A0318" w:rsidTr="001169A8">
        <w:trPr>
          <w:trHeight w:val="20"/>
        </w:trPr>
        <w:tc>
          <w:tcPr>
            <w:tcW w:w="1527" w:type="dxa"/>
            <w:tcBorders>
              <w:top w:val="single" w:sz="4" w:space="0" w:color="auto"/>
              <w:left w:val="nil"/>
              <w:bottom w:val="single" w:sz="4" w:space="0" w:color="auto"/>
              <w:right w:val="nil"/>
            </w:tcBorders>
            <w:shd w:val="clear" w:color="auto" w:fill="auto"/>
            <w:noWrap/>
            <w:vAlign w:val="bottom"/>
          </w:tcPr>
          <w:p w:rsidR="00A55FE5" w:rsidRPr="007A0318" w:rsidRDefault="001169A8" w:rsidP="001169A8">
            <w:pPr>
              <w:spacing w:before="240"/>
              <w:rPr>
                <w:rFonts w:cs="Times New Roman"/>
                <w:bCs/>
                <w:color w:val="000000" w:themeColor="text1"/>
                <w:sz w:val="20"/>
                <w:szCs w:val="20"/>
              </w:rPr>
            </w:pPr>
            <w:r>
              <w:rPr>
                <w:rFonts w:cs="Times New Roman"/>
                <w:bCs/>
                <w:color w:val="000000" w:themeColor="text1"/>
                <w:sz w:val="20"/>
                <w:szCs w:val="20"/>
              </w:rPr>
              <w:t>LR t</w:t>
            </w:r>
            <w:r w:rsidR="00A55FE5">
              <w:rPr>
                <w:rFonts w:cs="Times New Roman"/>
                <w:bCs/>
                <w:color w:val="000000" w:themeColor="text1"/>
                <w:sz w:val="20"/>
                <w:szCs w:val="20"/>
              </w:rPr>
              <w:t>est of</w:t>
            </w:r>
          </w:p>
        </w:tc>
        <w:tc>
          <w:tcPr>
            <w:tcW w:w="720" w:type="dxa"/>
            <w:tcBorders>
              <w:top w:val="single" w:sz="4" w:space="0" w:color="auto"/>
              <w:left w:val="nil"/>
              <w:bottom w:val="single" w:sz="4" w:space="0" w:color="auto"/>
              <w:right w:val="nil"/>
            </w:tcBorders>
            <w:shd w:val="clear" w:color="auto" w:fill="auto"/>
            <w:noWrap/>
            <w:vAlign w:val="bottom"/>
          </w:tcPr>
          <w:p w:rsidR="00A55FE5" w:rsidRPr="007A0318" w:rsidRDefault="00A859D2" w:rsidP="00EB5C05">
            <w:pPr>
              <w:jc w:val="center"/>
              <w:rPr>
                <w:rFonts w:cs="Times New Roman"/>
                <w:i/>
                <w:color w:val="000000" w:themeColor="text1"/>
                <w:sz w:val="20"/>
                <w:szCs w:val="20"/>
              </w:rPr>
            </w:pPr>
            <m:oMathPara>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χ</m:t>
                    </m:r>
                  </m:e>
                  <m:sup>
                    <m:r>
                      <w:rPr>
                        <w:rFonts w:ascii="Cambria Math" w:hAnsi="Cambria Math" w:cs="Times New Roman"/>
                        <w:color w:val="000000" w:themeColor="text1"/>
                        <w:sz w:val="20"/>
                        <w:szCs w:val="20"/>
                      </w:rPr>
                      <m:t>2</m:t>
                    </m:r>
                  </m:sup>
                </m:sSup>
              </m:oMath>
            </m:oMathPara>
          </w:p>
        </w:tc>
        <w:tc>
          <w:tcPr>
            <w:tcW w:w="990" w:type="dxa"/>
            <w:tcBorders>
              <w:top w:val="single" w:sz="4" w:space="0" w:color="auto"/>
              <w:left w:val="nil"/>
              <w:bottom w:val="single" w:sz="4" w:space="0" w:color="auto"/>
              <w:right w:val="nil"/>
            </w:tcBorders>
            <w:shd w:val="clear" w:color="auto" w:fill="auto"/>
            <w:noWrap/>
            <w:vAlign w:val="bottom"/>
            <w:hideMark/>
          </w:tcPr>
          <w:p w:rsidR="00A55FE5" w:rsidRPr="007A0318" w:rsidRDefault="00A55FE5" w:rsidP="00EB5C05">
            <w:pPr>
              <w:jc w:val="center"/>
              <w:rPr>
                <w:rFonts w:eastAsia="Times New Roman" w:cs="Times New Roman"/>
                <w:color w:val="000000" w:themeColor="text1"/>
                <w:sz w:val="20"/>
                <w:szCs w:val="20"/>
              </w:rPr>
            </w:pPr>
            <w:proofErr w:type="spellStart"/>
            <w:r w:rsidRPr="007A0318">
              <w:rPr>
                <w:rFonts w:eastAsia="Times New Roman" w:cs="Times New Roman"/>
                <w:color w:val="000000" w:themeColor="text1"/>
                <w:sz w:val="20"/>
                <w:szCs w:val="20"/>
              </w:rPr>
              <w:t>df</w:t>
            </w:r>
            <w:proofErr w:type="spellEnd"/>
          </w:p>
        </w:tc>
        <w:tc>
          <w:tcPr>
            <w:tcW w:w="1080" w:type="dxa"/>
            <w:tcBorders>
              <w:top w:val="single" w:sz="4" w:space="0" w:color="auto"/>
              <w:left w:val="nil"/>
              <w:bottom w:val="single" w:sz="4" w:space="0" w:color="auto"/>
              <w:right w:val="nil"/>
            </w:tcBorders>
            <w:shd w:val="clear" w:color="auto" w:fill="auto"/>
            <w:vAlign w:val="bottom"/>
          </w:tcPr>
          <w:p w:rsidR="00A55FE5" w:rsidRPr="007A0318" w:rsidRDefault="00A55FE5" w:rsidP="00EB5C05">
            <w:pPr>
              <w:jc w:val="center"/>
              <w:rPr>
                <w:rFonts w:eastAsia="Times New Roman" w:cs="Times New Roman"/>
                <w:i/>
                <w:color w:val="000000" w:themeColor="text1"/>
                <w:sz w:val="20"/>
                <w:szCs w:val="20"/>
              </w:rPr>
            </w:pPr>
            <w:r w:rsidRPr="007A0318">
              <w:rPr>
                <w:rFonts w:eastAsia="Times New Roman" w:cs="Times New Roman"/>
                <w:i/>
                <w:color w:val="000000" w:themeColor="text1"/>
                <w:sz w:val="20"/>
                <w:szCs w:val="20"/>
              </w:rPr>
              <w:t>p</w:t>
            </w:r>
          </w:p>
        </w:tc>
        <w:tc>
          <w:tcPr>
            <w:tcW w:w="270" w:type="dxa"/>
            <w:tcBorders>
              <w:left w:val="nil"/>
              <w:right w:val="nil"/>
            </w:tcBorders>
            <w:shd w:val="clear" w:color="auto" w:fill="auto"/>
            <w:noWrap/>
            <w:vAlign w:val="bottom"/>
            <w:hideMark/>
          </w:tcPr>
          <w:p w:rsidR="00A55FE5" w:rsidRPr="007A0318" w:rsidRDefault="00A55FE5" w:rsidP="00EB5C05">
            <w:pPr>
              <w:jc w:val="center"/>
              <w:rPr>
                <w:rFonts w:eastAsia="Times New Roman" w:cs="Times New Roman"/>
                <w:color w:val="000000" w:themeColor="text1"/>
                <w:sz w:val="20"/>
                <w:szCs w:val="20"/>
              </w:rPr>
            </w:pPr>
          </w:p>
        </w:tc>
        <w:tc>
          <w:tcPr>
            <w:tcW w:w="1800" w:type="dxa"/>
            <w:tcBorders>
              <w:top w:val="single" w:sz="4" w:space="0" w:color="auto"/>
              <w:left w:val="nil"/>
              <w:bottom w:val="single" w:sz="4" w:space="0" w:color="auto"/>
              <w:right w:val="nil"/>
            </w:tcBorders>
            <w:shd w:val="clear" w:color="auto" w:fill="auto"/>
            <w:noWrap/>
            <w:vAlign w:val="bottom"/>
            <w:hideMark/>
          </w:tcPr>
          <w:p w:rsidR="00A55FE5" w:rsidRPr="007A0318" w:rsidRDefault="001169A8" w:rsidP="001169A8">
            <w:pPr>
              <w:rPr>
                <w:rFonts w:cs="Times New Roman"/>
                <w:bCs/>
                <w:color w:val="000000" w:themeColor="text1"/>
                <w:sz w:val="20"/>
                <w:szCs w:val="20"/>
              </w:rPr>
            </w:pPr>
            <w:r>
              <w:rPr>
                <w:rFonts w:cs="Times New Roman"/>
                <w:bCs/>
                <w:color w:val="000000" w:themeColor="text1"/>
                <w:sz w:val="20"/>
                <w:szCs w:val="20"/>
              </w:rPr>
              <w:t>LR t</w:t>
            </w:r>
            <w:r w:rsidR="00A55FE5">
              <w:rPr>
                <w:rFonts w:cs="Times New Roman"/>
                <w:bCs/>
                <w:color w:val="000000" w:themeColor="text1"/>
                <w:sz w:val="20"/>
                <w:szCs w:val="20"/>
              </w:rPr>
              <w:t>est of</w:t>
            </w:r>
          </w:p>
        </w:tc>
        <w:tc>
          <w:tcPr>
            <w:tcW w:w="1080" w:type="dxa"/>
            <w:tcBorders>
              <w:top w:val="single" w:sz="4" w:space="0" w:color="auto"/>
              <w:left w:val="nil"/>
              <w:bottom w:val="single" w:sz="4" w:space="0" w:color="auto"/>
              <w:right w:val="nil"/>
            </w:tcBorders>
            <w:shd w:val="clear" w:color="auto" w:fill="auto"/>
            <w:noWrap/>
            <w:vAlign w:val="bottom"/>
            <w:hideMark/>
          </w:tcPr>
          <w:p w:rsidR="00A55FE5" w:rsidRPr="007A0318" w:rsidRDefault="00A859D2" w:rsidP="00EB5C05">
            <w:pPr>
              <w:jc w:val="center"/>
              <w:rPr>
                <w:rFonts w:eastAsia="Times New Roman" w:cs="Times New Roman"/>
                <w:color w:val="000000" w:themeColor="text1"/>
                <w:sz w:val="20"/>
                <w:szCs w:val="20"/>
              </w:rPr>
            </w:pPr>
            <m:oMathPara>
              <m:oMath>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χ</m:t>
                    </m:r>
                  </m:e>
                  <m:sup>
                    <m:r>
                      <w:rPr>
                        <w:rFonts w:ascii="Cambria Math" w:hAnsi="Cambria Math" w:cs="Times New Roman"/>
                        <w:color w:val="000000" w:themeColor="text1"/>
                        <w:sz w:val="20"/>
                        <w:szCs w:val="20"/>
                      </w:rPr>
                      <m:t>2</m:t>
                    </m:r>
                  </m:sup>
                </m:sSup>
              </m:oMath>
            </m:oMathPara>
          </w:p>
        </w:tc>
        <w:tc>
          <w:tcPr>
            <w:tcW w:w="900" w:type="dxa"/>
            <w:tcBorders>
              <w:top w:val="single" w:sz="4" w:space="0" w:color="auto"/>
              <w:left w:val="nil"/>
              <w:bottom w:val="single" w:sz="4" w:space="0" w:color="auto"/>
              <w:right w:val="nil"/>
            </w:tcBorders>
            <w:shd w:val="clear" w:color="auto" w:fill="auto"/>
            <w:vAlign w:val="bottom"/>
          </w:tcPr>
          <w:p w:rsidR="00A55FE5" w:rsidRPr="007A0318" w:rsidRDefault="00A55FE5" w:rsidP="00EB5C05">
            <w:pPr>
              <w:jc w:val="center"/>
              <w:rPr>
                <w:rFonts w:eastAsia="Times New Roman" w:cs="Times New Roman"/>
                <w:color w:val="000000" w:themeColor="text1"/>
                <w:sz w:val="20"/>
                <w:szCs w:val="20"/>
              </w:rPr>
            </w:pPr>
            <w:proofErr w:type="spellStart"/>
            <w:r w:rsidRPr="007A0318">
              <w:rPr>
                <w:rFonts w:eastAsia="Times New Roman" w:cs="Times New Roman"/>
                <w:color w:val="000000" w:themeColor="text1"/>
                <w:sz w:val="20"/>
                <w:szCs w:val="20"/>
              </w:rPr>
              <w:t>df</w:t>
            </w:r>
            <w:proofErr w:type="spellEnd"/>
          </w:p>
        </w:tc>
        <w:tc>
          <w:tcPr>
            <w:tcW w:w="900" w:type="dxa"/>
            <w:tcBorders>
              <w:top w:val="single" w:sz="4" w:space="0" w:color="auto"/>
              <w:left w:val="nil"/>
              <w:bottom w:val="single" w:sz="4" w:space="0" w:color="auto"/>
              <w:right w:val="nil"/>
            </w:tcBorders>
            <w:shd w:val="clear" w:color="auto" w:fill="auto"/>
            <w:noWrap/>
            <w:vAlign w:val="bottom"/>
            <w:hideMark/>
          </w:tcPr>
          <w:p w:rsidR="00A55FE5" w:rsidRPr="007A0318" w:rsidRDefault="00A55FE5" w:rsidP="00EB5C05">
            <w:pPr>
              <w:jc w:val="center"/>
              <w:rPr>
                <w:rFonts w:eastAsia="Times New Roman" w:cs="Times New Roman"/>
                <w:color w:val="000000" w:themeColor="text1"/>
                <w:sz w:val="20"/>
                <w:szCs w:val="20"/>
              </w:rPr>
            </w:pPr>
            <w:r w:rsidRPr="007A0318">
              <w:rPr>
                <w:rFonts w:eastAsia="Times New Roman" w:cs="Times New Roman"/>
                <w:i/>
                <w:color w:val="000000" w:themeColor="text1"/>
                <w:sz w:val="20"/>
                <w:szCs w:val="20"/>
              </w:rPr>
              <w:t>p</w:t>
            </w:r>
          </w:p>
        </w:tc>
      </w:tr>
      <w:tr w:rsidR="00A55FE5" w:rsidRPr="007A0318" w:rsidTr="001169A8">
        <w:trPr>
          <w:trHeight w:val="20"/>
        </w:trPr>
        <w:tc>
          <w:tcPr>
            <w:tcW w:w="1527" w:type="dxa"/>
            <w:tcBorders>
              <w:top w:val="single" w:sz="4" w:space="0" w:color="auto"/>
              <w:left w:val="nil"/>
              <w:right w:val="nil"/>
            </w:tcBorders>
            <w:shd w:val="clear" w:color="auto" w:fill="auto"/>
            <w:noWrap/>
            <w:vAlign w:val="bottom"/>
          </w:tcPr>
          <w:p w:rsidR="00A55FE5" w:rsidRPr="007A0318" w:rsidRDefault="00A55FE5" w:rsidP="001169A8">
            <w:pPr>
              <w:rPr>
                <w:rFonts w:cs="Times New Roman"/>
                <w:b/>
                <w:color w:val="000000" w:themeColor="text1"/>
                <w:sz w:val="20"/>
                <w:szCs w:val="20"/>
              </w:rPr>
            </w:pPr>
            <w:r w:rsidRPr="007A0318">
              <w:rPr>
                <w:rFonts w:cs="Times New Roman"/>
                <w:b/>
                <w:color w:val="000000" w:themeColor="text1"/>
                <w:sz w:val="20"/>
                <w:szCs w:val="20"/>
              </w:rPr>
              <w:t>Model 1 to 2</w:t>
            </w:r>
          </w:p>
        </w:tc>
        <w:tc>
          <w:tcPr>
            <w:tcW w:w="720" w:type="dxa"/>
            <w:tcBorders>
              <w:top w:val="single" w:sz="4" w:space="0" w:color="auto"/>
              <w:left w:val="nil"/>
              <w:right w:val="nil"/>
            </w:tcBorders>
            <w:shd w:val="clear" w:color="auto" w:fill="auto"/>
            <w:noWrap/>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17.154</w:t>
            </w:r>
          </w:p>
        </w:tc>
        <w:tc>
          <w:tcPr>
            <w:tcW w:w="990" w:type="dxa"/>
            <w:tcBorders>
              <w:top w:val="single" w:sz="4" w:space="0" w:color="auto"/>
              <w:left w:val="nil"/>
              <w:right w:val="nil"/>
            </w:tcBorders>
            <w:shd w:val="clear" w:color="auto" w:fill="auto"/>
            <w:noWrap/>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1</w:t>
            </w:r>
          </w:p>
        </w:tc>
        <w:tc>
          <w:tcPr>
            <w:tcW w:w="1080" w:type="dxa"/>
            <w:tcBorders>
              <w:left w:val="nil"/>
              <w:right w:val="nil"/>
            </w:tcBorders>
            <w:shd w:val="clear" w:color="auto" w:fill="auto"/>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&lt; .0001</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1800" w:type="dxa"/>
            <w:tcBorders>
              <w:top w:val="single" w:sz="4" w:space="0" w:color="auto"/>
              <w:left w:val="nil"/>
              <w:right w:val="nil"/>
            </w:tcBorders>
            <w:shd w:val="clear" w:color="auto" w:fill="auto"/>
            <w:noWrap/>
            <w:vAlign w:val="bottom"/>
          </w:tcPr>
          <w:p w:rsidR="00A55FE5" w:rsidRPr="007A0318" w:rsidRDefault="00A55FE5" w:rsidP="00A55FE5">
            <w:pPr>
              <w:rPr>
                <w:rFonts w:cs="Times New Roman"/>
                <w:b/>
                <w:color w:val="000000" w:themeColor="text1"/>
                <w:sz w:val="20"/>
                <w:szCs w:val="20"/>
              </w:rPr>
            </w:pPr>
            <w:r w:rsidRPr="007A0318">
              <w:rPr>
                <w:rFonts w:cs="Times New Roman"/>
                <w:b/>
                <w:color w:val="000000" w:themeColor="text1"/>
                <w:sz w:val="20"/>
                <w:szCs w:val="20"/>
              </w:rPr>
              <w:t>Model 1 to 2</w:t>
            </w:r>
          </w:p>
        </w:tc>
        <w:tc>
          <w:tcPr>
            <w:tcW w:w="1080" w:type="dxa"/>
            <w:tcBorders>
              <w:top w:val="single" w:sz="4" w:space="0" w:color="auto"/>
              <w:left w:val="nil"/>
              <w:right w:val="nil"/>
            </w:tcBorders>
            <w:shd w:val="clear" w:color="auto" w:fill="auto"/>
            <w:noWrap/>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16.204</w:t>
            </w:r>
          </w:p>
        </w:tc>
        <w:tc>
          <w:tcPr>
            <w:tcW w:w="900" w:type="dxa"/>
            <w:tcBorders>
              <w:top w:val="single" w:sz="4" w:space="0" w:color="auto"/>
              <w:left w:val="nil"/>
              <w:right w:val="nil"/>
            </w:tcBorders>
            <w:shd w:val="clear" w:color="auto" w:fill="auto"/>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1</w:t>
            </w:r>
          </w:p>
        </w:tc>
        <w:tc>
          <w:tcPr>
            <w:tcW w:w="900" w:type="dxa"/>
            <w:tcBorders>
              <w:top w:val="single" w:sz="4" w:space="0" w:color="auto"/>
              <w:left w:val="nil"/>
              <w:right w:val="nil"/>
            </w:tcBorders>
            <w:shd w:val="clear" w:color="auto" w:fill="auto"/>
            <w:noWrap/>
            <w:vAlign w:val="bottom"/>
          </w:tcPr>
          <w:p w:rsidR="00A55FE5" w:rsidRPr="007A0318" w:rsidRDefault="00A55FE5" w:rsidP="00EB5C05">
            <w:pPr>
              <w:jc w:val="center"/>
              <w:rPr>
                <w:rFonts w:eastAsia="Times New Roman" w:cs="Times New Roman"/>
                <w:b/>
                <w:color w:val="000000" w:themeColor="text1"/>
                <w:sz w:val="20"/>
                <w:szCs w:val="20"/>
              </w:rPr>
            </w:pPr>
            <w:r w:rsidRPr="007A0318">
              <w:rPr>
                <w:rFonts w:eastAsia="Times New Roman" w:cs="Times New Roman"/>
                <w:b/>
                <w:color w:val="000000" w:themeColor="text1"/>
                <w:sz w:val="20"/>
                <w:szCs w:val="20"/>
              </w:rPr>
              <w:t>&lt; .0001</w:t>
            </w:r>
          </w:p>
        </w:tc>
      </w:tr>
      <w:tr w:rsidR="00A55FE5" w:rsidRPr="007A0318" w:rsidTr="001169A8">
        <w:trPr>
          <w:trHeight w:val="20"/>
        </w:trPr>
        <w:tc>
          <w:tcPr>
            <w:tcW w:w="1527" w:type="dxa"/>
            <w:tcBorders>
              <w:left w:val="nil"/>
              <w:right w:val="nil"/>
            </w:tcBorders>
            <w:shd w:val="clear" w:color="auto" w:fill="auto"/>
            <w:noWrap/>
            <w:vAlign w:val="bottom"/>
          </w:tcPr>
          <w:p w:rsidR="00A55FE5" w:rsidRPr="007A0318" w:rsidRDefault="00A55FE5" w:rsidP="001169A8">
            <w:pPr>
              <w:rPr>
                <w:rFonts w:cs="Times New Roman"/>
                <w:color w:val="000000" w:themeColor="text1"/>
                <w:sz w:val="20"/>
                <w:szCs w:val="20"/>
              </w:rPr>
            </w:pPr>
            <w:r w:rsidRPr="007A0318">
              <w:rPr>
                <w:rFonts w:cs="Times New Roman"/>
                <w:color w:val="000000" w:themeColor="text1"/>
                <w:sz w:val="20"/>
                <w:szCs w:val="20"/>
              </w:rPr>
              <w:t>Model 2 to 3</w:t>
            </w:r>
          </w:p>
        </w:tc>
        <w:tc>
          <w:tcPr>
            <w:tcW w:w="720" w:type="dxa"/>
            <w:tcBorders>
              <w:left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2.077</w:t>
            </w:r>
          </w:p>
        </w:tc>
        <w:tc>
          <w:tcPr>
            <w:tcW w:w="990" w:type="dxa"/>
            <w:tcBorders>
              <w:left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sidRPr="007A0318">
              <w:rPr>
                <w:rFonts w:cs="Times New Roman"/>
                <w:color w:val="000000" w:themeColor="text1"/>
                <w:sz w:val="20"/>
                <w:szCs w:val="20"/>
              </w:rPr>
              <w:t>1</w:t>
            </w:r>
          </w:p>
        </w:tc>
        <w:tc>
          <w:tcPr>
            <w:tcW w:w="1080" w:type="dxa"/>
            <w:tcBorders>
              <w:left w:val="nil"/>
              <w:right w:val="nil"/>
            </w:tcBorders>
            <w:shd w:val="clear" w:color="auto" w:fill="auto"/>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.1495</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1800" w:type="dxa"/>
            <w:tcBorders>
              <w:left w:val="nil"/>
              <w:right w:val="nil"/>
            </w:tcBorders>
            <w:shd w:val="clear" w:color="auto" w:fill="auto"/>
            <w:noWrap/>
            <w:vAlign w:val="bottom"/>
          </w:tcPr>
          <w:p w:rsidR="00A55FE5" w:rsidRPr="007A0318" w:rsidRDefault="00A55FE5" w:rsidP="00A55FE5">
            <w:pPr>
              <w:rPr>
                <w:rFonts w:cs="Times New Roman"/>
                <w:b/>
                <w:color w:val="000000" w:themeColor="text1"/>
                <w:sz w:val="20"/>
                <w:szCs w:val="20"/>
              </w:rPr>
            </w:pPr>
            <w:r w:rsidRPr="007A0318">
              <w:rPr>
                <w:rFonts w:cs="Times New Roman"/>
                <w:b/>
                <w:color w:val="000000" w:themeColor="text1"/>
                <w:sz w:val="20"/>
                <w:szCs w:val="20"/>
              </w:rPr>
              <w:t>Model 2 to 3</w:t>
            </w:r>
          </w:p>
        </w:tc>
        <w:tc>
          <w:tcPr>
            <w:tcW w:w="1080" w:type="dxa"/>
            <w:tcBorders>
              <w:left w:val="nil"/>
              <w:right w:val="nil"/>
            </w:tcBorders>
            <w:shd w:val="clear" w:color="auto" w:fill="auto"/>
            <w:noWrap/>
            <w:vAlign w:val="bottom"/>
          </w:tcPr>
          <w:p w:rsidR="00A55FE5" w:rsidRPr="007A0318" w:rsidRDefault="00A55FE5" w:rsidP="00EB5C05">
            <w:pPr>
              <w:jc w:val="center"/>
              <w:rPr>
                <w:rFonts w:cs="Times New Roman"/>
                <w:b/>
                <w:color w:val="000000" w:themeColor="text1"/>
                <w:sz w:val="20"/>
                <w:szCs w:val="20"/>
              </w:rPr>
            </w:pPr>
            <w:r w:rsidRPr="007A0318">
              <w:rPr>
                <w:rFonts w:cs="Times New Roman"/>
                <w:b/>
                <w:color w:val="000000" w:themeColor="text1"/>
                <w:sz w:val="20"/>
                <w:szCs w:val="20"/>
              </w:rPr>
              <w:t>14.775</w:t>
            </w:r>
          </w:p>
        </w:tc>
        <w:tc>
          <w:tcPr>
            <w:tcW w:w="900" w:type="dxa"/>
            <w:tcBorders>
              <w:left w:val="nil"/>
              <w:right w:val="nil"/>
            </w:tcBorders>
            <w:shd w:val="clear" w:color="auto" w:fill="auto"/>
            <w:vAlign w:val="bottom"/>
          </w:tcPr>
          <w:p w:rsidR="00A55FE5" w:rsidRPr="007A0318" w:rsidRDefault="00A55FE5" w:rsidP="00EB5C05">
            <w:pPr>
              <w:jc w:val="center"/>
              <w:rPr>
                <w:rFonts w:cs="Times New Roman"/>
                <w:b/>
                <w:color w:val="000000" w:themeColor="text1"/>
                <w:sz w:val="20"/>
                <w:szCs w:val="20"/>
              </w:rPr>
            </w:pPr>
            <w:r w:rsidRPr="007A0318">
              <w:rPr>
                <w:rFonts w:cs="Times New Roman"/>
                <w:b/>
                <w:color w:val="000000" w:themeColor="text1"/>
                <w:sz w:val="20"/>
                <w:szCs w:val="20"/>
              </w:rPr>
              <w:t>1</w:t>
            </w:r>
          </w:p>
        </w:tc>
        <w:tc>
          <w:tcPr>
            <w:tcW w:w="90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b/>
                <w:color w:val="000000" w:themeColor="text1"/>
                <w:sz w:val="20"/>
                <w:szCs w:val="20"/>
              </w:rPr>
            </w:pPr>
            <w:r>
              <w:rPr>
                <w:rFonts w:eastAsia="Times New Roman" w:cs="Times New Roman"/>
                <w:b/>
                <w:color w:val="000000" w:themeColor="text1"/>
                <w:sz w:val="20"/>
                <w:szCs w:val="20"/>
              </w:rPr>
              <w:t xml:space="preserve">   </w:t>
            </w:r>
            <w:r w:rsidRPr="007A0318">
              <w:rPr>
                <w:rFonts w:eastAsia="Times New Roman" w:cs="Times New Roman"/>
                <w:b/>
                <w:color w:val="000000" w:themeColor="text1"/>
                <w:sz w:val="20"/>
                <w:szCs w:val="20"/>
              </w:rPr>
              <w:t>.0001</w:t>
            </w:r>
          </w:p>
        </w:tc>
      </w:tr>
      <w:tr w:rsidR="00A55FE5" w:rsidRPr="007A0318" w:rsidTr="001169A8">
        <w:trPr>
          <w:trHeight w:val="20"/>
        </w:trPr>
        <w:tc>
          <w:tcPr>
            <w:tcW w:w="1527" w:type="dxa"/>
            <w:tcBorders>
              <w:top w:val="nil"/>
              <w:left w:val="nil"/>
              <w:bottom w:val="nil"/>
              <w:right w:val="nil"/>
            </w:tcBorders>
            <w:shd w:val="clear" w:color="auto" w:fill="auto"/>
            <w:noWrap/>
            <w:vAlign w:val="bottom"/>
          </w:tcPr>
          <w:p w:rsidR="00A55FE5" w:rsidRPr="007A0318" w:rsidRDefault="00A55FE5" w:rsidP="001169A8">
            <w:pPr>
              <w:rPr>
                <w:rFonts w:cs="Times New Roman"/>
                <w:color w:val="000000" w:themeColor="text1"/>
                <w:sz w:val="20"/>
                <w:szCs w:val="20"/>
              </w:rPr>
            </w:pPr>
            <w:r w:rsidRPr="007A0318">
              <w:rPr>
                <w:rFonts w:cs="Times New Roman"/>
                <w:color w:val="000000" w:themeColor="text1"/>
                <w:sz w:val="20"/>
                <w:szCs w:val="20"/>
              </w:rPr>
              <w:t>Model 2 to 4</w:t>
            </w:r>
          </w:p>
        </w:tc>
        <w:tc>
          <w:tcPr>
            <w:tcW w:w="720" w:type="dxa"/>
            <w:tcBorders>
              <w:top w:val="nil"/>
              <w:left w:val="nil"/>
              <w:bottom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0.150</w:t>
            </w:r>
          </w:p>
        </w:tc>
        <w:tc>
          <w:tcPr>
            <w:tcW w:w="99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sidRPr="007A0318">
              <w:rPr>
                <w:rFonts w:eastAsia="Times New Roman" w:cs="Times New Roman"/>
                <w:color w:val="000000" w:themeColor="text1"/>
                <w:sz w:val="20"/>
                <w:szCs w:val="20"/>
              </w:rPr>
              <w:t>1</w:t>
            </w:r>
          </w:p>
        </w:tc>
        <w:tc>
          <w:tcPr>
            <w:tcW w:w="1080" w:type="dxa"/>
            <w:tcBorders>
              <w:left w:val="nil"/>
              <w:right w:val="nil"/>
            </w:tcBorders>
            <w:shd w:val="clear" w:color="auto" w:fill="auto"/>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.6983</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1800" w:type="dxa"/>
            <w:tcBorders>
              <w:top w:val="nil"/>
              <w:left w:val="nil"/>
              <w:bottom w:val="nil"/>
              <w:right w:val="nil"/>
            </w:tcBorders>
            <w:shd w:val="clear" w:color="auto" w:fill="auto"/>
            <w:noWrap/>
            <w:vAlign w:val="bottom"/>
          </w:tcPr>
          <w:p w:rsidR="00A55FE5" w:rsidRPr="007A0318" w:rsidRDefault="00A55FE5" w:rsidP="00A55FE5">
            <w:pPr>
              <w:rPr>
                <w:rFonts w:cs="Times New Roman"/>
                <w:color w:val="000000" w:themeColor="text1"/>
                <w:sz w:val="20"/>
                <w:szCs w:val="20"/>
              </w:rPr>
            </w:pPr>
            <w:r w:rsidRPr="007A0318">
              <w:rPr>
                <w:rFonts w:cs="Times New Roman"/>
                <w:color w:val="000000" w:themeColor="text1"/>
                <w:sz w:val="20"/>
                <w:szCs w:val="20"/>
              </w:rPr>
              <w:t>Model 3 to 4</w:t>
            </w:r>
          </w:p>
        </w:tc>
        <w:tc>
          <w:tcPr>
            <w:tcW w:w="1080" w:type="dxa"/>
            <w:tcBorders>
              <w:left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0.000</w:t>
            </w:r>
          </w:p>
        </w:tc>
        <w:tc>
          <w:tcPr>
            <w:tcW w:w="900" w:type="dxa"/>
            <w:tcBorders>
              <w:left w:val="nil"/>
              <w:right w:val="nil"/>
            </w:tcBorders>
            <w:shd w:val="clear" w:color="auto" w:fill="auto"/>
            <w:vAlign w:val="bottom"/>
          </w:tcPr>
          <w:p w:rsidR="00A55FE5" w:rsidRPr="007A0318" w:rsidRDefault="00A55FE5" w:rsidP="00EB5C05">
            <w:pPr>
              <w:jc w:val="center"/>
              <w:rPr>
                <w:rFonts w:cs="Times New Roman"/>
                <w:color w:val="000000" w:themeColor="text1"/>
                <w:sz w:val="20"/>
                <w:szCs w:val="20"/>
              </w:rPr>
            </w:pPr>
            <w:r w:rsidRPr="007A0318">
              <w:rPr>
                <w:rFonts w:cs="Times New Roman"/>
                <w:color w:val="000000" w:themeColor="text1"/>
                <w:sz w:val="20"/>
                <w:szCs w:val="20"/>
              </w:rPr>
              <w:t>1</w:t>
            </w:r>
          </w:p>
        </w:tc>
        <w:tc>
          <w:tcPr>
            <w:tcW w:w="900" w:type="dxa"/>
            <w:tcBorders>
              <w:top w:val="nil"/>
              <w:left w:val="nil"/>
              <w:bottom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.9999</w:t>
            </w:r>
          </w:p>
        </w:tc>
      </w:tr>
      <w:tr w:rsidR="00A55FE5" w:rsidRPr="007A0318" w:rsidTr="001169A8">
        <w:trPr>
          <w:trHeight w:val="20"/>
        </w:trPr>
        <w:tc>
          <w:tcPr>
            <w:tcW w:w="1527" w:type="dxa"/>
            <w:tcBorders>
              <w:top w:val="nil"/>
              <w:left w:val="nil"/>
              <w:bottom w:val="nil"/>
              <w:right w:val="nil"/>
            </w:tcBorders>
            <w:shd w:val="clear" w:color="auto" w:fill="auto"/>
            <w:noWrap/>
            <w:vAlign w:val="bottom"/>
          </w:tcPr>
          <w:p w:rsidR="00A55FE5" w:rsidRPr="007A0318" w:rsidRDefault="00A55FE5" w:rsidP="001169A8">
            <w:pPr>
              <w:rPr>
                <w:rFonts w:cs="Times New Roman"/>
                <w:color w:val="000000" w:themeColor="text1"/>
                <w:sz w:val="20"/>
                <w:szCs w:val="20"/>
              </w:rPr>
            </w:pPr>
            <w:r w:rsidRPr="007A0318">
              <w:rPr>
                <w:rFonts w:cs="Times New Roman"/>
                <w:color w:val="000000" w:themeColor="text1"/>
                <w:sz w:val="20"/>
                <w:szCs w:val="20"/>
              </w:rPr>
              <w:t>Model 2 to 5</w:t>
            </w:r>
          </w:p>
        </w:tc>
        <w:tc>
          <w:tcPr>
            <w:tcW w:w="720" w:type="dxa"/>
            <w:tcBorders>
              <w:top w:val="nil"/>
              <w:left w:val="nil"/>
              <w:bottom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0.240</w:t>
            </w:r>
          </w:p>
        </w:tc>
        <w:tc>
          <w:tcPr>
            <w:tcW w:w="99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sidRPr="007A0318">
              <w:rPr>
                <w:rFonts w:eastAsia="Times New Roman" w:cs="Times New Roman"/>
                <w:color w:val="000000" w:themeColor="text1"/>
                <w:sz w:val="20"/>
                <w:szCs w:val="20"/>
              </w:rPr>
              <w:t>2</w:t>
            </w:r>
          </w:p>
        </w:tc>
        <w:tc>
          <w:tcPr>
            <w:tcW w:w="1080" w:type="dxa"/>
            <w:tcBorders>
              <w:left w:val="nil"/>
              <w:right w:val="nil"/>
            </w:tcBorders>
            <w:shd w:val="clear" w:color="auto" w:fill="auto"/>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.8867</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1800" w:type="dxa"/>
            <w:tcBorders>
              <w:top w:val="nil"/>
              <w:left w:val="nil"/>
              <w:bottom w:val="nil"/>
              <w:right w:val="nil"/>
            </w:tcBorders>
            <w:shd w:val="clear" w:color="auto" w:fill="auto"/>
            <w:noWrap/>
            <w:vAlign w:val="bottom"/>
          </w:tcPr>
          <w:p w:rsidR="00A55FE5" w:rsidRPr="007A0318" w:rsidRDefault="00A55FE5" w:rsidP="00A55FE5">
            <w:pPr>
              <w:rPr>
                <w:rFonts w:cs="Times New Roman"/>
                <w:color w:val="000000" w:themeColor="text1"/>
                <w:sz w:val="20"/>
                <w:szCs w:val="20"/>
              </w:rPr>
            </w:pPr>
            <w:r w:rsidRPr="007A0318">
              <w:rPr>
                <w:rFonts w:cs="Times New Roman"/>
                <w:color w:val="000000" w:themeColor="text1"/>
                <w:sz w:val="20"/>
                <w:szCs w:val="20"/>
              </w:rPr>
              <w:t>Model 3 to 5</w:t>
            </w:r>
          </w:p>
        </w:tc>
        <w:tc>
          <w:tcPr>
            <w:tcW w:w="1080" w:type="dxa"/>
            <w:tcBorders>
              <w:left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1.383</w:t>
            </w:r>
          </w:p>
        </w:tc>
        <w:tc>
          <w:tcPr>
            <w:tcW w:w="900" w:type="dxa"/>
            <w:tcBorders>
              <w:left w:val="nil"/>
              <w:right w:val="nil"/>
            </w:tcBorders>
            <w:shd w:val="clear" w:color="auto" w:fill="auto"/>
            <w:vAlign w:val="bottom"/>
          </w:tcPr>
          <w:p w:rsidR="00A55FE5" w:rsidRPr="007A0318" w:rsidRDefault="00A55FE5" w:rsidP="00EB5C05">
            <w:pPr>
              <w:jc w:val="center"/>
              <w:rPr>
                <w:rFonts w:cs="Times New Roman"/>
                <w:color w:val="000000" w:themeColor="text1"/>
                <w:sz w:val="20"/>
                <w:szCs w:val="20"/>
              </w:rPr>
            </w:pPr>
            <w:r w:rsidRPr="007A0318">
              <w:rPr>
                <w:rFonts w:cs="Times New Roman"/>
                <w:color w:val="000000" w:themeColor="text1"/>
                <w:sz w:val="20"/>
                <w:szCs w:val="20"/>
              </w:rPr>
              <w:t>2</w:t>
            </w:r>
          </w:p>
        </w:tc>
        <w:tc>
          <w:tcPr>
            <w:tcW w:w="900" w:type="dxa"/>
            <w:tcBorders>
              <w:top w:val="nil"/>
              <w:left w:val="nil"/>
              <w:bottom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.5008</w:t>
            </w:r>
          </w:p>
        </w:tc>
      </w:tr>
      <w:tr w:rsidR="00A55FE5" w:rsidRPr="007A0318" w:rsidTr="001169A8">
        <w:trPr>
          <w:trHeight w:val="20"/>
        </w:trPr>
        <w:tc>
          <w:tcPr>
            <w:tcW w:w="1527" w:type="dxa"/>
            <w:tcBorders>
              <w:top w:val="nil"/>
              <w:left w:val="nil"/>
              <w:bottom w:val="nil"/>
              <w:right w:val="nil"/>
            </w:tcBorders>
            <w:shd w:val="clear" w:color="auto" w:fill="auto"/>
            <w:noWrap/>
            <w:vAlign w:val="bottom"/>
          </w:tcPr>
          <w:p w:rsidR="00A55FE5" w:rsidRPr="007A0318" w:rsidRDefault="00A55FE5" w:rsidP="001169A8">
            <w:pPr>
              <w:rPr>
                <w:rFonts w:cs="Times New Roman"/>
                <w:color w:val="000000" w:themeColor="text1"/>
                <w:sz w:val="20"/>
                <w:szCs w:val="20"/>
              </w:rPr>
            </w:pPr>
            <w:r w:rsidRPr="007A0318">
              <w:rPr>
                <w:rFonts w:cs="Times New Roman"/>
                <w:color w:val="000000" w:themeColor="text1"/>
                <w:sz w:val="20"/>
                <w:szCs w:val="20"/>
              </w:rPr>
              <w:t>Model 2 to 6</w:t>
            </w:r>
          </w:p>
        </w:tc>
        <w:tc>
          <w:tcPr>
            <w:tcW w:w="720" w:type="dxa"/>
            <w:tcBorders>
              <w:top w:val="nil"/>
              <w:left w:val="nil"/>
              <w:bottom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0.529</w:t>
            </w:r>
          </w:p>
        </w:tc>
        <w:tc>
          <w:tcPr>
            <w:tcW w:w="99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sidRPr="007A0318">
              <w:rPr>
                <w:rFonts w:eastAsia="Times New Roman" w:cs="Times New Roman"/>
                <w:color w:val="000000" w:themeColor="text1"/>
                <w:sz w:val="20"/>
                <w:szCs w:val="20"/>
              </w:rPr>
              <w:t>2</w:t>
            </w:r>
          </w:p>
        </w:tc>
        <w:tc>
          <w:tcPr>
            <w:tcW w:w="1080" w:type="dxa"/>
            <w:tcBorders>
              <w:left w:val="nil"/>
              <w:right w:val="nil"/>
            </w:tcBorders>
            <w:shd w:val="clear" w:color="auto" w:fill="auto"/>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.7674</w:t>
            </w:r>
          </w:p>
        </w:tc>
        <w:tc>
          <w:tcPr>
            <w:tcW w:w="270" w:type="dxa"/>
            <w:tcBorders>
              <w:left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p>
        </w:tc>
        <w:tc>
          <w:tcPr>
            <w:tcW w:w="1800" w:type="dxa"/>
            <w:tcBorders>
              <w:top w:val="nil"/>
              <w:left w:val="nil"/>
              <w:bottom w:val="nil"/>
              <w:right w:val="nil"/>
            </w:tcBorders>
            <w:shd w:val="clear" w:color="auto" w:fill="auto"/>
            <w:noWrap/>
            <w:vAlign w:val="bottom"/>
          </w:tcPr>
          <w:p w:rsidR="00A55FE5" w:rsidRPr="007A0318" w:rsidRDefault="00A55FE5" w:rsidP="00A55FE5">
            <w:pPr>
              <w:rPr>
                <w:rFonts w:cs="Times New Roman"/>
                <w:color w:val="000000" w:themeColor="text1"/>
                <w:sz w:val="20"/>
                <w:szCs w:val="20"/>
              </w:rPr>
            </w:pPr>
            <w:r w:rsidRPr="007A0318">
              <w:rPr>
                <w:rFonts w:cs="Times New Roman"/>
                <w:color w:val="000000" w:themeColor="text1"/>
                <w:sz w:val="20"/>
                <w:szCs w:val="20"/>
              </w:rPr>
              <w:t>Model 3 to 6</w:t>
            </w:r>
          </w:p>
        </w:tc>
        <w:tc>
          <w:tcPr>
            <w:tcW w:w="1080" w:type="dxa"/>
            <w:tcBorders>
              <w:left w:val="nil"/>
              <w:right w:val="nil"/>
            </w:tcBorders>
            <w:shd w:val="clear" w:color="auto" w:fill="auto"/>
            <w:noWrap/>
            <w:vAlign w:val="bottom"/>
          </w:tcPr>
          <w:p w:rsidR="00A55FE5" w:rsidRPr="007A0318" w:rsidRDefault="00A55FE5" w:rsidP="00EB5C05">
            <w:pPr>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2.251</w:t>
            </w:r>
          </w:p>
        </w:tc>
        <w:tc>
          <w:tcPr>
            <w:tcW w:w="900" w:type="dxa"/>
            <w:tcBorders>
              <w:left w:val="nil"/>
              <w:right w:val="nil"/>
            </w:tcBorders>
            <w:shd w:val="clear" w:color="auto" w:fill="auto"/>
            <w:vAlign w:val="bottom"/>
          </w:tcPr>
          <w:p w:rsidR="00A55FE5" w:rsidRPr="007A0318" w:rsidRDefault="00A55FE5" w:rsidP="00EB5C05">
            <w:pPr>
              <w:jc w:val="center"/>
              <w:rPr>
                <w:rFonts w:cs="Times New Roman"/>
                <w:color w:val="000000" w:themeColor="text1"/>
                <w:sz w:val="20"/>
                <w:szCs w:val="20"/>
              </w:rPr>
            </w:pPr>
            <w:r w:rsidRPr="007A0318">
              <w:rPr>
                <w:rFonts w:cs="Times New Roman"/>
                <w:color w:val="000000" w:themeColor="text1"/>
                <w:sz w:val="20"/>
                <w:szCs w:val="20"/>
              </w:rPr>
              <w:t>2</w:t>
            </w:r>
          </w:p>
        </w:tc>
        <w:tc>
          <w:tcPr>
            <w:tcW w:w="900" w:type="dxa"/>
            <w:tcBorders>
              <w:top w:val="nil"/>
              <w:left w:val="nil"/>
              <w:bottom w:val="nil"/>
              <w:right w:val="nil"/>
            </w:tcBorders>
            <w:shd w:val="clear" w:color="auto" w:fill="auto"/>
            <w:noWrap/>
            <w:vAlign w:val="bottom"/>
          </w:tcPr>
          <w:p w:rsidR="00A55FE5" w:rsidRPr="007A0318" w:rsidRDefault="00A55FE5" w:rsidP="00EB5C05">
            <w:pPr>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.3246</w:t>
            </w:r>
          </w:p>
        </w:tc>
      </w:tr>
      <w:tr w:rsidR="00A55FE5" w:rsidRPr="007A0318" w:rsidTr="001169A8">
        <w:trPr>
          <w:trHeight w:val="20"/>
        </w:trPr>
        <w:tc>
          <w:tcPr>
            <w:tcW w:w="1527" w:type="dxa"/>
            <w:tcBorders>
              <w:top w:val="nil"/>
              <w:left w:val="nil"/>
              <w:bottom w:val="single" w:sz="4" w:space="0" w:color="auto"/>
              <w:right w:val="nil"/>
            </w:tcBorders>
            <w:shd w:val="clear" w:color="auto" w:fill="auto"/>
            <w:noWrap/>
            <w:vAlign w:val="bottom"/>
          </w:tcPr>
          <w:p w:rsidR="00A55FE5" w:rsidRPr="007A0318" w:rsidRDefault="00A55FE5" w:rsidP="001169A8">
            <w:pPr>
              <w:spacing w:after="60"/>
              <w:rPr>
                <w:rFonts w:cs="Times New Roman"/>
                <w:color w:val="000000" w:themeColor="text1"/>
                <w:sz w:val="20"/>
                <w:szCs w:val="20"/>
              </w:rPr>
            </w:pPr>
            <w:r w:rsidRPr="007A0318">
              <w:rPr>
                <w:rFonts w:cs="Times New Roman"/>
                <w:color w:val="000000" w:themeColor="text1"/>
                <w:sz w:val="20"/>
                <w:szCs w:val="20"/>
              </w:rPr>
              <w:t>Model 2 to 7</w:t>
            </w:r>
          </w:p>
        </w:tc>
        <w:tc>
          <w:tcPr>
            <w:tcW w:w="720" w:type="dxa"/>
            <w:tcBorders>
              <w:top w:val="nil"/>
              <w:left w:val="nil"/>
              <w:bottom w:val="single" w:sz="4" w:space="0" w:color="auto"/>
              <w:right w:val="nil"/>
            </w:tcBorders>
            <w:shd w:val="clear" w:color="auto" w:fill="auto"/>
            <w:noWrap/>
            <w:vAlign w:val="bottom"/>
          </w:tcPr>
          <w:p w:rsidR="00A55FE5" w:rsidRPr="007A0318" w:rsidRDefault="00A55FE5" w:rsidP="00F538AC">
            <w:pPr>
              <w:spacing w:after="60"/>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4.781</w:t>
            </w:r>
          </w:p>
        </w:tc>
        <w:tc>
          <w:tcPr>
            <w:tcW w:w="990" w:type="dxa"/>
            <w:tcBorders>
              <w:left w:val="nil"/>
              <w:bottom w:val="single" w:sz="4" w:space="0" w:color="auto"/>
              <w:right w:val="nil"/>
            </w:tcBorders>
            <w:shd w:val="clear" w:color="auto" w:fill="auto"/>
            <w:noWrap/>
            <w:vAlign w:val="bottom"/>
          </w:tcPr>
          <w:p w:rsidR="00A55FE5" w:rsidRPr="007A0318" w:rsidRDefault="00A55FE5" w:rsidP="00F538AC">
            <w:pPr>
              <w:spacing w:after="60"/>
              <w:jc w:val="center"/>
              <w:rPr>
                <w:rFonts w:eastAsia="Times New Roman" w:cs="Times New Roman"/>
                <w:color w:val="000000" w:themeColor="text1"/>
                <w:sz w:val="20"/>
                <w:szCs w:val="20"/>
              </w:rPr>
            </w:pPr>
            <w:r w:rsidRPr="007A0318">
              <w:rPr>
                <w:rFonts w:eastAsia="Times New Roman" w:cs="Times New Roman"/>
                <w:color w:val="000000" w:themeColor="text1"/>
                <w:sz w:val="20"/>
                <w:szCs w:val="20"/>
              </w:rPr>
              <w:t>2</w:t>
            </w:r>
          </w:p>
        </w:tc>
        <w:tc>
          <w:tcPr>
            <w:tcW w:w="1080" w:type="dxa"/>
            <w:tcBorders>
              <w:left w:val="nil"/>
              <w:bottom w:val="single" w:sz="4" w:space="0" w:color="auto"/>
              <w:right w:val="nil"/>
            </w:tcBorders>
            <w:shd w:val="clear" w:color="auto" w:fill="auto"/>
            <w:vAlign w:val="bottom"/>
          </w:tcPr>
          <w:p w:rsidR="00A55FE5" w:rsidRPr="007A0318" w:rsidRDefault="00A55FE5" w:rsidP="00F538AC">
            <w:pPr>
              <w:spacing w:after="60"/>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.0916</w:t>
            </w:r>
          </w:p>
        </w:tc>
        <w:tc>
          <w:tcPr>
            <w:tcW w:w="270" w:type="dxa"/>
            <w:tcBorders>
              <w:left w:val="nil"/>
              <w:bottom w:val="single" w:sz="4" w:space="0" w:color="auto"/>
              <w:right w:val="nil"/>
            </w:tcBorders>
            <w:shd w:val="clear" w:color="auto" w:fill="auto"/>
            <w:noWrap/>
            <w:vAlign w:val="bottom"/>
          </w:tcPr>
          <w:p w:rsidR="00A55FE5" w:rsidRPr="007A0318" w:rsidRDefault="00A55FE5" w:rsidP="00F538AC">
            <w:pPr>
              <w:spacing w:after="60"/>
              <w:jc w:val="center"/>
              <w:rPr>
                <w:rFonts w:eastAsia="Times New Roman" w:cs="Times New Roman"/>
                <w:color w:val="000000" w:themeColor="text1"/>
                <w:sz w:val="20"/>
                <w:szCs w:val="20"/>
              </w:rPr>
            </w:pPr>
          </w:p>
        </w:tc>
        <w:tc>
          <w:tcPr>
            <w:tcW w:w="1800" w:type="dxa"/>
            <w:tcBorders>
              <w:top w:val="nil"/>
              <w:left w:val="nil"/>
              <w:bottom w:val="single" w:sz="4" w:space="0" w:color="auto"/>
              <w:right w:val="nil"/>
            </w:tcBorders>
            <w:shd w:val="clear" w:color="auto" w:fill="auto"/>
            <w:noWrap/>
            <w:vAlign w:val="bottom"/>
          </w:tcPr>
          <w:p w:rsidR="00A55FE5" w:rsidRPr="007A0318" w:rsidRDefault="00A55FE5" w:rsidP="00A55FE5">
            <w:pPr>
              <w:spacing w:after="60"/>
              <w:rPr>
                <w:rFonts w:cs="Times New Roman"/>
                <w:color w:val="000000" w:themeColor="text1"/>
                <w:sz w:val="20"/>
                <w:szCs w:val="20"/>
              </w:rPr>
            </w:pPr>
            <w:r w:rsidRPr="007A0318">
              <w:rPr>
                <w:rFonts w:cs="Times New Roman"/>
                <w:color w:val="000000" w:themeColor="text1"/>
                <w:sz w:val="20"/>
                <w:szCs w:val="20"/>
              </w:rPr>
              <w:t>Model 3 to 7</w:t>
            </w:r>
          </w:p>
        </w:tc>
        <w:tc>
          <w:tcPr>
            <w:tcW w:w="1080" w:type="dxa"/>
            <w:tcBorders>
              <w:left w:val="nil"/>
              <w:bottom w:val="single" w:sz="4" w:space="0" w:color="auto"/>
              <w:right w:val="nil"/>
            </w:tcBorders>
            <w:shd w:val="clear" w:color="auto" w:fill="auto"/>
            <w:noWrap/>
            <w:vAlign w:val="bottom"/>
          </w:tcPr>
          <w:p w:rsidR="00A55FE5" w:rsidRPr="007A0318" w:rsidRDefault="00A55FE5" w:rsidP="00F538AC">
            <w:pPr>
              <w:spacing w:after="60"/>
              <w:jc w:val="center"/>
              <w:rPr>
                <w:rFonts w:cs="Times New Roman"/>
                <w:color w:val="000000" w:themeColor="text1"/>
                <w:sz w:val="20"/>
                <w:szCs w:val="20"/>
              </w:rPr>
            </w:pPr>
            <w:r>
              <w:rPr>
                <w:rFonts w:cs="Times New Roman"/>
                <w:color w:val="000000" w:themeColor="text1"/>
                <w:sz w:val="20"/>
                <w:szCs w:val="20"/>
              </w:rPr>
              <w:t xml:space="preserve">  </w:t>
            </w:r>
            <w:r w:rsidRPr="007A0318">
              <w:rPr>
                <w:rFonts w:cs="Times New Roman"/>
                <w:color w:val="000000" w:themeColor="text1"/>
                <w:sz w:val="20"/>
                <w:szCs w:val="20"/>
              </w:rPr>
              <w:t>4.688</w:t>
            </w:r>
          </w:p>
        </w:tc>
        <w:tc>
          <w:tcPr>
            <w:tcW w:w="900" w:type="dxa"/>
            <w:tcBorders>
              <w:left w:val="nil"/>
              <w:bottom w:val="single" w:sz="4" w:space="0" w:color="auto"/>
              <w:right w:val="nil"/>
            </w:tcBorders>
            <w:shd w:val="clear" w:color="auto" w:fill="auto"/>
            <w:vAlign w:val="bottom"/>
          </w:tcPr>
          <w:p w:rsidR="00A55FE5" w:rsidRPr="007A0318" w:rsidRDefault="00A55FE5" w:rsidP="00F538AC">
            <w:pPr>
              <w:spacing w:after="60"/>
              <w:jc w:val="center"/>
              <w:rPr>
                <w:rFonts w:cs="Times New Roman"/>
                <w:color w:val="000000" w:themeColor="text1"/>
                <w:sz w:val="20"/>
                <w:szCs w:val="20"/>
              </w:rPr>
            </w:pPr>
            <w:r w:rsidRPr="007A0318">
              <w:rPr>
                <w:rFonts w:cs="Times New Roman"/>
                <w:color w:val="000000" w:themeColor="text1"/>
                <w:sz w:val="20"/>
                <w:szCs w:val="20"/>
              </w:rPr>
              <w:t>2</w:t>
            </w:r>
          </w:p>
        </w:tc>
        <w:tc>
          <w:tcPr>
            <w:tcW w:w="900" w:type="dxa"/>
            <w:tcBorders>
              <w:top w:val="nil"/>
              <w:left w:val="nil"/>
              <w:bottom w:val="single" w:sz="4" w:space="0" w:color="auto"/>
              <w:right w:val="nil"/>
            </w:tcBorders>
            <w:shd w:val="clear" w:color="auto" w:fill="auto"/>
            <w:noWrap/>
            <w:vAlign w:val="bottom"/>
          </w:tcPr>
          <w:p w:rsidR="00A55FE5" w:rsidRPr="007A0318" w:rsidRDefault="00A55FE5" w:rsidP="00F538AC">
            <w:pPr>
              <w:spacing w:after="60"/>
              <w:jc w:val="center"/>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sidRPr="007A0318">
              <w:rPr>
                <w:rFonts w:eastAsia="Times New Roman" w:cs="Times New Roman"/>
                <w:color w:val="000000" w:themeColor="text1"/>
                <w:sz w:val="20"/>
                <w:szCs w:val="20"/>
              </w:rPr>
              <w:t>.0960</w:t>
            </w:r>
          </w:p>
        </w:tc>
      </w:tr>
    </w:tbl>
    <w:p w:rsidR="00925219" w:rsidRDefault="00EE4ECD" w:rsidP="00A55FE5">
      <w:pPr>
        <w:spacing w:before="120"/>
      </w:pPr>
      <w:r w:rsidRPr="001D4452">
        <w:rPr>
          <w:rFonts w:cs="Times New Roman"/>
          <w:i/>
          <w:sz w:val="20"/>
          <w:szCs w:val="20"/>
        </w:rPr>
        <w:t>Note</w:t>
      </w:r>
      <w:r>
        <w:rPr>
          <w:rFonts w:cs="Times New Roman"/>
          <w:sz w:val="20"/>
          <w:szCs w:val="20"/>
        </w:rPr>
        <w:t xml:space="preserve">. LR test = Likelihood ratio test. CW = current welfare. PW = prior welfare. </w:t>
      </w:r>
      <w:proofErr w:type="spellStart"/>
      <w:proofErr w:type="gramStart"/>
      <w:r>
        <w:rPr>
          <w:rFonts w:cs="Times New Roman"/>
          <w:sz w:val="20"/>
          <w:szCs w:val="20"/>
        </w:rPr>
        <w:t>df</w:t>
      </w:r>
      <w:proofErr w:type="spellEnd"/>
      <w:proofErr w:type="gramEnd"/>
      <w:r>
        <w:rPr>
          <w:rFonts w:cs="Times New Roman"/>
          <w:sz w:val="20"/>
          <w:szCs w:val="20"/>
        </w:rPr>
        <w:t xml:space="preserve"> = degrees of freedom. </w:t>
      </w:r>
      <w:r w:rsidR="00BC15D5">
        <w:rPr>
          <w:rFonts w:cs="Times New Roman"/>
          <w:sz w:val="20"/>
          <w:szCs w:val="20"/>
        </w:rPr>
        <w:t>Significant LR tests and final models are in boldface.</w:t>
      </w:r>
      <w:r w:rsidR="00925219">
        <w:br w:type="page"/>
      </w:r>
    </w:p>
    <w:p w:rsidR="00EE4ECD" w:rsidRPr="00925219" w:rsidRDefault="00601241" w:rsidP="00925219">
      <w:pPr>
        <w:jc w:val="center"/>
        <w:rPr>
          <w:b/>
        </w:rPr>
      </w:pPr>
      <w:r>
        <w:rPr>
          <w:b/>
        </w:rPr>
        <w:lastRenderedPageBreak/>
        <w:t xml:space="preserve">Appendix </w:t>
      </w:r>
      <w:r w:rsidR="001E0842">
        <w:rPr>
          <w:b/>
        </w:rPr>
        <w:t>C</w:t>
      </w:r>
    </w:p>
    <w:p w:rsidR="00925219" w:rsidRDefault="00925219" w:rsidP="00EE4ECD"/>
    <w:p w:rsidR="00925219" w:rsidRPr="00925219" w:rsidRDefault="00925219" w:rsidP="00925219">
      <w:pPr>
        <w:rPr>
          <w:rFonts w:eastAsia="BatangChe"/>
          <w:b/>
          <w:szCs w:val="24"/>
        </w:rPr>
      </w:pPr>
      <w:r w:rsidRPr="00925219">
        <w:rPr>
          <w:rFonts w:eastAsia="BatangChe"/>
          <w:b/>
          <w:szCs w:val="24"/>
        </w:rPr>
        <w:t xml:space="preserve">Child Age </w:t>
      </w:r>
      <w:r w:rsidRPr="00925219">
        <w:rPr>
          <w:rFonts w:ascii="Cambria Math" w:eastAsia="BatangChe" w:hAnsi="Cambria Math"/>
          <w:b/>
          <w:szCs w:val="24"/>
        </w:rPr>
        <w:t>×</w:t>
      </w:r>
      <w:r w:rsidRPr="00925219">
        <w:rPr>
          <w:rFonts w:eastAsia="BatangChe"/>
          <w:b/>
          <w:szCs w:val="24"/>
        </w:rPr>
        <w:t xml:space="preserve"> Current Welfare Interaction in the AFDC Sample</w:t>
      </w:r>
    </w:p>
    <w:p w:rsidR="00B86811" w:rsidRDefault="00B86811" w:rsidP="00390197">
      <w:pPr>
        <w:rPr>
          <w:rFonts w:eastAsia="BatangChe"/>
          <w:szCs w:val="24"/>
        </w:rPr>
      </w:pPr>
    </w:p>
    <w:p w:rsidR="00390197" w:rsidRPr="00F215DC" w:rsidRDefault="006E309F" w:rsidP="00390197">
      <w:pPr>
        <w:rPr>
          <w:rFonts w:eastAsia="BatangChe"/>
          <w:szCs w:val="24"/>
        </w:rPr>
      </w:pPr>
      <w:r>
        <w:rPr>
          <w:rFonts w:eastAsia="BatangChe"/>
          <w:szCs w:val="24"/>
        </w:rPr>
        <w:tab/>
      </w:r>
      <w:r w:rsidR="00390197">
        <w:rPr>
          <w:rFonts w:eastAsia="BatangChe"/>
          <w:szCs w:val="24"/>
        </w:rPr>
        <w:t>The odds ratio (</w:t>
      </w:r>
      <w:r w:rsidR="00390197" w:rsidRPr="00390197">
        <w:rPr>
          <w:rFonts w:eastAsia="BatangChe"/>
          <w:i/>
          <w:szCs w:val="24"/>
        </w:rPr>
        <w:t>OR</w:t>
      </w:r>
      <w:r w:rsidR="00390197">
        <w:rPr>
          <w:rFonts w:eastAsia="BatangChe"/>
          <w:szCs w:val="24"/>
        </w:rPr>
        <w:t>) and its confidence interval (</w:t>
      </w:r>
      <w:r w:rsidR="00390197" w:rsidRPr="00390197">
        <w:rPr>
          <w:rFonts w:eastAsia="BatangChe"/>
          <w:i/>
          <w:szCs w:val="24"/>
        </w:rPr>
        <w:t>CI</w:t>
      </w:r>
      <w:r w:rsidR="00390197">
        <w:rPr>
          <w:rFonts w:eastAsia="BatangChe"/>
          <w:szCs w:val="24"/>
        </w:rPr>
        <w:t xml:space="preserve">) of child age by current welfare (i.e., on welfare vs. not on welfare) </w:t>
      </w:r>
      <w:proofErr w:type="gramStart"/>
      <w:r w:rsidR="00390197">
        <w:rPr>
          <w:rFonts w:eastAsia="BatangChe"/>
          <w:szCs w:val="24"/>
        </w:rPr>
        <w:t>can be calculated</w:t>
      </w:r>
      <w:proofErr w:type="gramEnd"/>
      <w:r w:rsidR="00390197">
        <w:rPr>
          <w:rFonts w:eastAsia="BatangChe"/>
          <w:szCs w:val="24"/>
        </w:rPr>
        <w:t xml:space="preserve"> based on the coefficients (</w:t>
      </w:r>
      <w:r w:rsidR="00390197" w:rsidRPr="00390197">
        <w:rPr>
          <w:rFonts w:eastAsia="BatangChe"/>
          <w:i/>
          <w:szCs w:val="24"/>
        </w:rPr>
        <w:t>r</w:t>
      </w:r>
      <w:r w:rsidR="00390197">
        <w:rPr>
          <w:rFonts w:eastAsia="BatangChe"/>
          <w:szCs w:val="24"/>
        </w:rPr>
        <w:t>) and standard errors (</w:t>
      </w:r>
      <w:r w:rsidR="00390197" w:rsidRPr="00390197">
        <w:rPr>
          <w:rFonts w:eastAsia="BatangChe"/>
          <w:i/>
          <w:szCs w:val="24"/>
        </w:rPr>
        <w:t>SE</w:t>
      </w:r>
      <w:r w:rsidR="00390197">
        <w:rPr>
          <w:rFonts w:eastAsia="BatangChe"/>
          <w:szCs w:val="24"/>
        </w:rPr>
        <w:t>) of the main and interaction terms:</w:t>
      </w:r>
    </w:p>
    <w:p w:rsidR="00925219" w:rsidRPr="00F215DC" w:rsidRDefault="00925219" w:rsidP="00925219">
      <w:pPr>
        <w:rPr>
          <w:rFonts w:eastAsia="BatangChe"/>
          <w:szCs w:val="24"/>
        </w:rPr>
      </w:pPr>
    </w:p>
    <w:p w:rsidR="00925219" w:rsidRPr="006A38F9" w:rsidRDefault="00925219" w:rsidP="006F0C21">
      <w:pPr>
        <w:pStyle w:val="ListParagraph"/>
        <w:numPr>
          <w:ilvl w:val="0"/>
          <w:numId w:val="26"/>
        </w:numPr>
        <w:spacing w:line="276" w:lineRule="auto"/>
        <w:rPr>
          <w:rFonts w:ascii="Cambria Math" w:eastAsia="BatangChe" w:hAnsi="Cambria Math"/>
          <w:sz w:val="20"/>
          <w:szCs w:val="20"/>
        </w:rPr>
      </w:pPr>
      <w:r w:rsidRPr="006A38F9">
        <w:rPr>
          <w:rFonts w:ascii="Cambria Math" w:eastAsia="BatangChe" w:hAnsi="Cambria Math"/>
          <w:sz w:val="20"/>
          <w:szCs w:val="20"/>
        </w:rPr>
        <w:t xml:space="preserve">The main term of </w:t>
      </w:r>
      <w:r w:rsidR="006F0C21" w:rsidRPr="006A38F9">
        <w:rPr>
          <w:rFonts w:ascii="Cambria Math" w:eastAsia="BatangChe" w:hAnsi="Cambria Math"/>
          <w:sz w:val="20"/>
          <w:szCs w:val="20"/>
        </w:rPr>
        <w:t>child age</w:t>
      </w:r>
      <w:r w:rsidRPr="006A38F9">
        <w:rPr>
          <w:rFonts w:ascii="Cambria Math" w:eastAsia="BatangChe" w:hAnsi="Cambria Math"/>
          <w:sz w:val="20"/>
          <w:szCs w:val="20"/>
        </w:rPr>
        <w:t xml:space="preserve">: r = </w:t>
      </w:r>
      <w:r w:rsidR="006A38F9">
        <w:rPr>
          <w:rFonts w:ascii="Cambria Math" w:eastAsia="BatangChe" w:hAnsi="Cambria Math"/>
          <w:sz w:val="20"/>
          <w:szCs w:val="20"/>
        </w:rPr>
        <w:t>−</w:t>
      </w:r>
      <w:r w:rsidR="006F0C21" w:rsidRPr="006A38F9">
        <w:rPr>
          <w:rFonts w:ascii="Cambria Math" w:eastAsia="BatangChe" w:hAnsi="Cambria Math"/>
          <w:sz w:val="20"/>
          <w:szCs w:val="20"/>
        </w:rPr>
        <w:t>0.0125</w:t>
      </w:r>
      <w:r w:rsidRPr="006A38F9">
        <w:rPr>
          <w:rFonts w:ascii="Cambria Math" w:eastAsia="BatangChe" w:hAnsi="Cambria Math"/>
          <w:sz w:val="20"/>
          <w:szCs w:val="20"/>
        </w:rPr>
        <w:t xml:space="preserve">, SE = </w:t>
      </w:r>
      <w:r w:rsidR="006F0C21" w:rsidRPr="006A38F9">
        <w:rPr>
          <w:rFonts w:ascii="Cambria Math" w:eastAsia="BatangChe" w:hAnsi="Cambria Math"/>
          <w:sz w:val="20"/>
          <w:szCs w:val="20"/>
        </w:rPr>
        <w:t>0.0147</w:t>
      </w:r>
      <w:r w:rsidRPr="006A38F9">
        <w:rPr>
          <w:rFonts w:ascii="Cambria Math" w:eastAsia="BatangChe" w:hAnsi="Cambria Math"/>
          <w:sz w:val="20"/>
          <w:szCs w:val="20"/>
        </w:rPr>
        <w:t xml:space="preserve">, OR = </w:t>
      </w:r>
      <w:r w:rsidR="006F0C21" w:rsidRPr="006A38F9">
        <w:rPr>
          <w:rFonts w:ascii="Cambria Math" w:eastAsia="BatangChe" w:hAnsi="Cambria Math"/>
          <w:sz w:val="20"/>
          <w:szCs w:val="20"/>
        </w:rPr>
        <w:t>0.99</w:t>
      </w:r>
      <w:r w:rsidRPr="006A38F9">
        <w:rPr>
          <w:rFonts w:ascii="Cambria Math" w:eastAsia="BatangChe" w:hAnsi="Cambria Math"/>
          <w:sz w:val="20"/>
          <w:szCs w:val="20"/>
        </w:rPr>
        <w:t xml:space="preserve"> (95% CI = </w:t>
      </w:r>
      <w:r w:rsidR="006F0C21" w:rsidRPr="006A38F9">
        <w:rPr>
          <w:rFonts w:ascii="Cambria Math" w:eastAsia="BatangChe" w:hAnsi="Cambria Math"/>
          <w:sz w:val="20"/>
          <w:szCs w:val="20"/>
        </w:rPr>
        <w:t>0.96</w:t>
      </w:r>
      <w:r w:rsidRPr="006A38F9">
        <w:rPr>
          <w:rFonts w:ascii="Cambria Math" w:eastAsia="BatangChe" w:hAnsi="Cambria Math"/>
          <w:sz w:val="20"/>
          <w:szCs w:val="20"/>
        </w:rPr>
        <w:t>-</w:t>
      </w:r>
      <w:r w:rsidR="006F0C21" w:rsidRPr="006A38F9">
        <w:rPr>
          <w:rFonts w:ascii="Cambria Math" w:eastAsia="BatangChe" w:hAnsi="Cambria Math"/>
          <w:sz w:val="20"/>
          <w:szCs w:val="20"/>
        </w:rPr>
        <w:t>1.02</w:t>
      </w:r>
      <w:r w:rsidRPr="006A38F9">
        <w:rPr>
          <w:rFonts w:ascii="Cambria Math" w:eastAsia="BatangChe" w:hAnsi="Cambria Math"/>
          <w:sz w:val="20"/>
          <w:szCs w:val="20"/>
        </w:rPr>
        <w:t>)</w:t>
      </w:r>
    </w:p>
    <w:p w:rsidR="00925219" w:rsidRPr="006A38F9" w:rsidRDefault="00925219" w:rsidP="006F0C21">
      <w:pPr>
        <w:pStyle w:val="ListParagraph"/>
        <w:numPr>
          <w:ilvl w:val="0"/>
          <w:numId w:val="26"/>
        </w:numPr>
        <w:spacing w:line="276" w:lineRule="auto"/>
        <w:rPr>
          <w:rFonts w:ascii="Cambria Math" w:eastAsia="BatangChe" w:hAnsi="Cambria Math"/>
          <w:sz w:val="20"/>
          <w:szCs w:val="20"/>
        </w:rPr>
      </w:pPr>
      <w:r w:rsidRPr="006A38F9">
        <w:rPr>
          <w:rFonts w:ascii="Cambria Math" w:eastAsia="BatangChe" w:hAnsi="Cambria Math"/>
          <w:sz w:val="20"/>
          <w:szCs w:val="20"/>
        </w:rPr>
        <w:t>The “</w:t>
      </w:r>
      <w:r w:rsidR="006F0C21" w:rsidRPr="006A38F9">
        <w:rPr>
          <w:rFonts w:ascii="Cambria Math" w:eastAsia="BatangChe" w:hAnsi="Cambria Math"/>
          <w:sz w:val="20"/>
          <w:szCs w:val="20"/>
        </w:rPr>
        <w:t>child age</w:t>
      </w:r>
      <w:r w:rsidRPr="006A38F9">
        <w:rPr>
          <w:rFonts w:ascii="Cambria Math" w:eastAsia="BatangChe" w:hAnsi="Cambria Math"/>
          <w:sz w:val="20"/>
          <w:szCs w:val="20"/>
        </w:rPr>
        <w:t xml:space="preserve"> × </w:t>
      </w:r>
      <w:r w:rsidR="006F0C21" w:rsidRPr="006A38F9">
        <w:rPr>
          <w:rFonts w:ascii="Cambria Math" w:eastAsia="BatangChe" w:hAnsi="Cambria Math"/>
          <w:sz w:val="20"/>
          <w:szCs w:val="20"/>
        </w:rPr>
        <w:t>current welfare</w:t>
      </w:r>
      <w:r w:rsidRPr="006A38F9">
        <w:rPr>
          <w:rFonts w:ascii="Cambria Math" w:eastAsia="BatangChe" w:hAnsi="Cambria Math"/>
          <w:sz w:val="20"/>
          <w:szCs w:val="20"/>
        </w:rPr>
        <w:t xml:space="preserve">” term: r = </w:t>
      </w:r>
      <w:r w:rsidR="006A38F9">
        <w:rPr>
          <w:rFonts w:ascii="Cambria Math" w:eastAsia="BatangChe" w:hAnsi="Cambria Math"/>
          <w:sz w:val="20"/>
          <w:szCs w:val="20"/>
        </w:rPr>
        <w:t>−</w:t>
      </w:r>
      <w:r w:rsidR="006F0C21" w:rsidRPr="006A38F9">
        <w:rPr>
          <w:rFonts w:ascii="Cambria Math" w:eastAsia="BatangChe" w:hAnsi="Cambria Math"/>
          <w:sz w:val="20"/>
          <w:szCs w:val="20"/>
        </w:rPr>
        <w:t>0.0704</w:t>
      </w:r>
      <w:r w:rsidRPr="006A38F9">
        <w:rPr>
          <w:rFonts w:ascii="Cambria Math" w:eastAsia="BatangChe" w:hAnsi="Cambria Math"/>
          <w:sz w:val="20"/>
          <w:szCs w:val="20"/>
        </w:rPr>
        <w:t xml:space="preserve">, SE = </w:t>
      </w:r>
      <w:r w:rsidR="006F0C21" w:rsidRPr="006A38F9">
        <w:rPr>
          <w:rFonts w:ascii="Cambria Math" w:eastAsia="BatangChe" w:hAnsi="Cambria Math"/>
          <w:sz w:val="20"/>
          <w:szCs w:val="20"/>
        </w:rPr>
        <w:t>0.0183</w:t>
      </w:r>
      <w:r w:rsidRPr="006A38F9">
        <w:rPr>
          <w:rFonts w:ascii="Cambria Math" w:eastAsia="BatangChe" w:hAnsi="Cambria Math"/>
          <w:sz w:val="20"/>
          <w:szCs w:val="20"/>
        </w:rPr>
        <w:t>, OR = 0.</w:t>
      </w:r>
      <w:r w:rsidR="006F0C21" w:rsidRPr="006A38F9">
        <w:rPr>
          <w:rFonts w:ascii="Cambria Math" w:eastAsia="BatangChe" w:hAnsi="Cambria Math"/>
          <w:sz w:val="20"/>
          <w:szCs w:val="20"/>
        </w:rPr>
        <w:t>93</w:t>
      </w:r>
      <w:r w:rsidRPr="006A38F9">
        <w:rPr>
          <w:rFonts w:ascii="Cambria Math" w:eastAsia="BatangChe" w:hAnsi="Cambria Math"/>
          <w:sz w:val="20"/>
          <w:szCs w:val="20"/>
        </w:rPr>
        <w:t xml:space="preserve"> (95% CI = 0.</w:t>
      </w:r>
      <w:r w:rsidR="006F0C21" w:rsidRPr="006A38F9">
        <w:rPr>
          <w:rFonts w:ascii="Cambria Math" w:eastAsia="BatangChe" w:hAnsi="Cambria Math"/>
          <w:sz w:val="20"/>
          <w:szCs w:val="20"/>
        </w:rPr>
        <w:t>90</w:t>
      </w:r>
      <w:r w:rsidRPr="006A38F9">
        <w:rPr>
          <w:rFonts w:ascii="Cambria Math" w:eastAsia="BatangChe" w:hAnsi="Cambria Math"/>
          <w:sz w:val="20"/>
          <w:szCs w:val="20"/>
        </w:rPr>
        <w:t>-0.97)</w:t>
      </w:r>
    </w:p>
    <w:p w:rsidR="00925219" w:rsidRPr="00F215DC" w:rsidRDefault="00925219" w:rsidP="00925219">
      <w:pPr>
        <w:rPr>
          <w:rFonts w:eastAsia="BatangChe"/>
          <w:szCs w:val="24"/>
        </w:rPr>
      </w:pPr>
    </w:p>
    <w:p w:rsidR="00925219" w:rsidRPr="00F215DC" w:rsidRDefault="00925219" w:rsidP="00925219">
      <w:pPr>
        <w:rPr>
          <w:rFonts w:eastAsia="BatangChe"/>
          <w:szCs w:val="24"/>
        </w:rPr>
      </w:pPr>
      <w:r w:rsidRPr="00F215DC">
        <w:rPr>
          <w:rFonts w:eastAsia="BatangChe"/>
          <w:szCs w:val="24"/>
        </w:rPr>
        <w:t>Since “</w:t>
      </w:r>
      <w:r w:rsidR="006F0C21">
        <w:rPr>
          <w:rFonts w:eastAsia="BatangChe"/>
          <w:szCs w:val="24"/>
        </w:rPr>
        <w:t>not on welfare</w:t>
      </w:r>
      <w:r w:rsidRPr="00F215DC">
        <w:rPr>
          <w:rFonts w:eastAsia="BatangChe"/>
          <w:szCs w:val="24"/>
        </w:rPr>
        <w:t xml:space="preserve">” is the reference category of </w:t>
      </w:r>
      <w:r w:rsidR="006F0C21">
        <w:rPr>
          <w:rFonts w:eastAsia="BatangChe"/>
          <w:szCs w:val="24"/>
        </w:rPr>
        <w:t>current welfare</w:t>
      </w:r>
      <w:r w:rsidRPr="00F215DC">
        <w:rPr>
          <w:rFonts w:eastAsia="BatangChe"/>
          <w:szCs w:val="24"/>
        </w:rPr>
        <w:t xml:space="preserve">, the main term of </w:t>
      </w:r>
      <w:r w:rsidR="006F0C21">
        <w:rPr>
          <w:rFonts w:eastAsia="BatangChe"/>
          <w:szCs w:val="24"/>
        </w:rPr>
        <w:t>child age</w:t>
      </w:r>
      <w:r w:rsidRPr="00F215DC">
        <w:rPr>
          <w:rFonts w:eastAsia="BatangChe"/>
          <w:szCs w:val="24"/>
        </w:rPr>
        <w:t xml:space="preserve"> indicates </w:t>
      </w:r>
      <w:r w:rsidR="006A38F9">
        <w:rPr>
          <w:rFonts w:eastAsia="BatangChe"/>
          <w:szCs w:val="24"/>
        </w:rPr>
        <w:t xml:space="preserve">the </w:t>
      </w:r>
      <w:r w:rsidR="00B86811">
        <w:rPr>
          <w:rFonts w:eastAsia="BatangChe"/>
          <w:szCs w:val="24"/>
        </w:rPr>
        <w:t>estimates</w:t>
      </w:r>
      <w:r w:rsidR="006A38F9">
        <w:rPr>
          <w:rFonts w:eastAsia="BatangChe"/>
          <w:szCs w:val="24"/>
        </w:rPr>
        <w:t xml:space="preserve"> while currently not on welfare. </w:t>
      </w:r>
      <w:r w:rsidR="00B86811">
        <w:rPr>
          <w:rFonts w:eastAsia="BatangChe"/>
          <w:szCs w:val="24"/>
        </w:rPr>
        <w:t>The estimates</w:t>
      </w:r>
      <w:r w:rsidR="006A38F9">
        <w:rPr>
          <w:rFonts w:eastAsia="BatangChe"/>
          <w:szCs w:val="24"/>
        </w:rPr>
        <w:t xml:space="preserve"> while currently on welfare is</w:t>
      </w:r>
      <w:r w:rsidRPr="00F215DC">
        <w:rPr>
          <w:rFonts w:eastAsia="BatangChe"/>
          <w:szCs w:val="24"/>
        </w:rPr>
        <w:t xml:space="preserve"> calculated based on the sum of the main and interaction terms. Formulas for the sum of two coefficients and it</w:t>
      </w:r>
      <w:r w:rsidR="006A38F9">
        <w:rPr>
          <w:rFonts w:eastAsia="BatangChe"/>
          <w:szCs w:val="24"/>
        </w:rPr>
        <w:t>s</w:t>
      </w:r>
      <w:r w:rsidRPr="00F215DC">
        <w:rPr>
          <w:rFonts w:eastAsia="BatangChe"/>
          <w:szCs w:val="24"/>
        </w:rPr>
        <w:t xml:space="preserve"> standard error </w:t>
      </w:r>
      <w:proofErr w:type="gramStart"/>
      <w:r w:rsidRPr="00F215DC">
        <w:rPr>
          <w:rFonts w:eastAsia="BatangChe"/>
          <w:szCs w:val="24"/>
        </w:rPr>
        <w:t>can be used</w:t>
      </w:r>
      <w:proofErr w:type="gramEnd"/>
      <w:r w:rsidRPr="00F215DC">
        <w:rPr>
          <w:rFonts w:eastAsia="BatangChe"/>
          <w:szCs w:val="24"/>
        </w:rPr>
        <w:t xml:space="preserve"> for this calculation:</w:t>
      </w:r>
    </w:p>
    <w:p w:rsidR="00925219" w:rsidRPr="00F215DC" w:rsidRDefault="00925219" w:rsidP="00925219">
      <w:pPr>
        <w:rPr>
          <w:szCs w:val="24"/>
        </w:rPr>
      </w:pPr>
    </w:p>
    <w:p w:rsidR="00925219" w:rsidRPr="006A38F9" w:rsidRDefault="00925219" w:rsidP="00925219">
      <w:pPr>
        <w:pStyle w:val="ListParagraph"/>
        <w:numPr>
          <w:ilvl w:val="0"/>
          <w:numId w:val="27"/>
        </w:numPr>
        <w:spacing w:line="276" w:lineRule="auto"/>
        <w:rPr>
          <w:rFonts w:ascii="Cambria Math" w:hAnsi="Cambria Math"/>
          <w:sz w:val="20"/>
          <w:szCs w:val="20"/>
        </w:rPr>
      </w:pPr>
      <w:r w:rsidRPr="006A38F9">
        <w:rPr>
          <w:rFonts w:ascii="Cambria Math" w:hAnsi="Cambria Math"/>
          <w:sz w:val="20"/>
          <w:szCs w:val="20"/>
        </w:rPr>
        <w:t xml:space="preserve">Coefficient: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oMath>
    </w:p>
    <w:p w:rsidR="00925219" w:rsidRPr="006A38F9" w:rsidRDefault="00925219" w:rsidP="00925219">
      <w:pPr>
        <w:pStyle w:val="ListParagraph"/>
        <w:numPr>
          <w:ilvl w:val="0"/>
          <w:numId w:val="27"/>
        </w:numPr>
        <w:spacing w:line="276" w:lineRule="auto"/>
        <w:rPr>
          <w:rFonts w:ascii="Cambria Math" w:hAnsi="Cambria Math"/>
          <w:sz w:val="20"/>
          <w:szCs w:val="20"/>
        </w:rPr>
      </w:pPr>
      <w:r w:rsidRPr="006A38F9">
        <w:rPr>
          <w:rFonts w:ascii="Cambria Math" w:hAnsi="Cambria Math"/>
          <w:sz w:val="20"/>
          <w:szCs w:val="20"/>
        </w:rPr>
        <w:t xml:space="preserve">SE: </w:t>
      </w:r>
      <m:oMath>
        <m:r>
          <w:rPr>
            <w:rFonts w:ascii="Cambria Math" w:hAnsi="Cambria Math"/>
            <w:sz w:val="20"/>
            <w:szCs w:val="20"/>
          </w:rPr>
          <m:t>SE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e>
        </m:d>
        <m:r>
          <w:rPr>
            <w:rFonts w:ascii="Cambria Math" w:hAnsi="Cambria Math"/>
            <w:sz w:val="20"/>
            <w:szCs w:val="20"/>
          </w:rPr>
          <m:t>=</m:t>
        </m:r>
        <m:rad>
          <m:radPr>
            <m:degHide m:val="1"/>
            <m:ctrlPr>
              <w:rPr>
                <w:rFonts w:ascii="Cambria Math" w:hAnsi="Cambria Math"/>
                <w:i/>
                <w:sz w:val="20"/>
                <w:szCs w:val="20"/>
              </w:rPr>
            </m:ctrlPr>
          </m:radPr>
          <m:deg/>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SE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e>
                    </m:d>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SE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e>
                    </m:d>
                  </m:e>
                </m:d>
              </m:e>
              <m:sup>
                <m:r>
                  <w:rPr>
                    <w:rFonts w:ascii="Cambria Math" w:hAnsi="Cambria Math"/>
                    <w:sz w:val="20"/>
                    <w:szCs w:val="20"/>
                  </w:rPr>
                  <m:t>2</m:t>
                </m:r>
              </m:sup>
            </m:sSup>
            <m:r>
              <w:rPr>
                <w:rFonts w:ascii="Cambria Math" w:hAnsi="Cambria Math"/>
                <w:sz w:val="20"/>
                <w:szCs w:val="20"/>
              </w:rPr>
              <m:t>+2×cov</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e>
            </m:d>
          </m:e>
        </m:rad>
      </m:oMath>
    </w:p>
    <w:p w:rsidR="00925219" w:rsidRPr="006A38F9" w:rsidRDefault="00925219" w:rsidP="00925219">
      <w:pPr>
        <w:rPr>
          <w:rFonts w:ascii="Cambria Math" w:hAnsi="Cambria Math"/>
          <w:sz w:val="20"/>
          <w:szCs w:val="20"/>
        </w:rPr>
      </w:pPr>
      <w:r w:rsidRPr="006A38F9">
        <w:rPr>
          <w:rFonts w:ascii="Cambria Math" w:hAnsi="Cambria Math"/>
          <w:sz w:val="20"/>
          <w:szCs w:val="20"/>
        </w:rPr>
        <w:tab/>
      </w:r>
      <w:proofErr w:type="gramStart"/>
      <w:r w:rsidRPr="006A38F9">
        <w:rPr>
          <w:rFonts w:ascii="Cambria Math" w:hAnsi="Cambria Math"/>
          <w:sz w:val="20"/>
          <w:szCs w:val="20"/>
        </w:rPr>
        <w:t>where</w:t>
      </w:r>
      <w:proofErr w:type="gramEnd"/>
      <w:r w:rsidRPr="006A38F9">
        <w:rPr>
          <w:rFonts w:ascii="Cambria Math" w:hAnsi="Cambria Math"/>
          <w:sz w:val="20"/>
          <w:szCs w:val="20"/>
        </w:rPr>
        <w:t xml:space="preserve"> </w:t>
      </w:r>
      <m:oMath>
        <m:r>
          <w:rPr>
            <w:rFonts w:ascii="Cambria Math" w:hAnsi="Cambria Math"/>
            <w:sz w:val="20"/>
            <w:szCs w:val="20"/>
          </w:rPr>
          <m:t>cov</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e>
        </m:d>
      </m:oMath>
      <w:r w:rsidRPr="006A38F9">
        <w:rPr>
          <w:rFonts w:ascii="Cambria Math" w:hAnsi="Cambria Math"/>
          <w:sz w:val="20"/>
          <w:szCs w:val="20"/>
        </w:rPr>
        <w:t xml:space="preserve"> is the covariance between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oMath>
      <w:r w:rsidRPr="006A38F9">
        <w:rPr>
          <w:rFonts w:ascii="Cambria Math" w:hAnsi="Cambria Math"/>
          <w:sz w:val="20"/>
          <w:szCs w:val="20"/>
        </w:rPr>
        <w:t xml:space="preserve"> and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oMath>
    </w:p>
    <w:p w:rsidR="00925219" w:rsidRPr="00F215DC" w:rsidRDefault="00925219" w:rsidP="00925219">
      <w:pPr>
        <w:rPr>
          <w:szCs w:val="24"/>
        </w:rPr>
      </w:pPr>
    </w:p>
    <w:p w:rsidR="00925219" w:rsidRPr="00F215DC" w:rsidRDefault="00925219" w:rsidP="00925219">
      <w:pPr>
        <w:rPr>
          <w:szCs w:val="24"/>
        </w:rPr>
      </w:pPr>
      <w:r w:rsidRPr="00F215DC">
        <w:rPr>
          <w:szCs w:val="24"/>
        </w:rPr>
        <w:t xml:space="preserve">Corresponding OR and 95% CI </w:t>
      </w:r>
      <w:proofErr w:type="gramStart"/>
      <w:r w:rsidRPr="00F215DC">
        <w:rPr>
          <w:szCs w:val="24"/>
        </w:rPr>
        <w:t>can be calculated</w:t>
      </w:r>
      <w:proofErr w:type="gramEnd"/>
      <w:r w:rsidRPr="00F215DC">
        <w:rPr>
          <w:szCs w:val="24"/>
        </w:rPr>
        <w:t xml:space="preserve"> as follows:</w:t>
      </w:r>
    </w:p>
    <w:p w:rsidR="00925219" w:rsidRPr="00F215DC" w:rsidRDefault="00925219" w:rsidP="00925219">
      <w:pPr>
        <w:rPr>
          <w:szCs w:val="24"/>
        </w:rPr>
      </w:pPr>
    </w:p>
    <w:p w:rsidR="00925219" w:rsidRPr="006A38F9" w:rsidRDefault="00925219" w:rsidP="00925219">
      <w:pPr>
        <w:pStyle w:val="ListParagraph"/>
        <w:numPr>
          <w:ilvl w:val="0"/>
          <w:numId w:val="28"/>
        </w:numPr>
        <w:spacing w:line="276" w:lineRule="auto"/>
        <w:rPr>
          <w:rFonts w:ascii="Cambria Math" w:hAnsi="Cambria Math"/>
          <w:sz w:val="20"/>
          <w:szCs w:val="20"/>
        </w:rPr>
      </w:pPr>
      <w:r w:rsidRPr="006A38F9">
        <w:rPr>
          <w:rFonts w:ascii="Cambria Math" w:hAnsi="Cambria Math"/>
          <w:sz w:val="20"/>
          <w:szCs w:val="20"/>
        </w:rPr>
        <w:t xml:space="preserve">OR: </w:t>
      </w:r>
      <m:oMath>
        <m:func>
          <m:funcPr>
            <m:ctrlPr>
              <w:rPr>
                <w:rFonts w:ascii="Cambria Math" w:hAnsi="Cambria Math"/>
                <w:sz w:val="20"/>
                <w:szCs w:val="20"/>
              </w:rPr>
            </m:ctrlPr>
          </m:funcPr>
          <m:fName>
            <m:r>
              <m:rPr>
                <m:sty m:val="p"/>
              </m:rPr>
              <w:rPr>
                <w:rFonts w:ascii="Cambria Math" w:hAnsi="Cambria Math"/>
                <w:sz w:val="20"/>
                <w:szCs w:val="20"/>
              </w:rPr>
              <m:t>exp</m:t>
            </m: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e>
            </m:d>
          </m:e>
        </m:func>
      </m:oMath>
    </w:p>
    <w:p w:rsidR="00925219" w:rsidRPr="006A38F9" w:rsidRDefault="00925219" w:rsidP="00925219">
      <w:pPr>
        <w:pStyle w:val="ListParagraph"/>
        <w:numPr>
          <w:ilvl w:val="0"/>
          <w:numId w:val="28"/>
        </w:numPr>
        <w:spacing w:line="276" w:lineRule="auto"/>
        <w:rPr>
          <w:rFonts w:ascii="Cambria Math" w:hAnsi="Cambria Math"/>
          <w:sz w:val="20"/>
          <w:szCs w:val="20"/>
        </w:rPr>
      </w:pPr>
      <w:r w:rsidRPr="006A38F9">
        <w:rPr>
          <w:rFonts w:ascii="Cambria Math" w:hAnsi="Cambria Math"/>
          <w:sz w:val="20"/>
          <w:szCs w:val="20"/>
        </w:rPr>
        <w:t xml:space="preserve">95% CI: </w:t>
      </w:r>
      <m:oMath>
        <m:func>
          <m:funcPr>
            <m:ctrlPr>
              <w:rPr>
                <w:rFonts w:ascii="Cambria Math" w:hAnsi="Cambria Math"/>
                <w:sz w:val="20"/>
                <w:szCs w:val="20"/>
              </w:rPr>
            </m:ctrlPr>
          </m:funcPr>
          <m:fName>
            <m:r>
              <m:rPr>
                <m:sty m:val="p"/>
              </m:rPr>
              <w:rPr>
                <w:rFonts w:ascii="Cambria Math" w:hAnsi="Cambria Math"/>
                <w:sz w:val="20"/>
                <w:szCs w:val="20"/>
              </w:rPr>
              <m:t>exp</m:t>
            </m: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r>
                  <w:rPr>
                    <w:rFonts w:ascii="Cambria Math" w:hAnsi="Cambria Math"/>
                    <w:sz w:val="20"/>
                    <w:szCs w:val="20"/>
                  </w:rPr>
                  <m:t>±1.96×SE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e>
                </m:d>
              </m:e>
            </m:d>
          </m:e>
        </m:func>
      </m:oMath>
    </w:p>
    <w:p w:rsidR="00925219" w:rsidRPr="00F215DC" w:rsidRDefault="00925219" w:rsidP="00925219">
      <w:pPr>
        <w:rPr>
          <w:rFonts w:eastAsia="BatangChe"/>
          <w:szCs w:val="24"/>
        </w:rPr>
      </w:pPr>
    </w:p>
    <w:p w:rsidR="00925219" w:rsidRPr="00F215DC" w:rsidRDefault="006A38F9" w:rsidP="00925219">
      <w:pPr>
        <w:rPr>
          <w:rFonts w:eastAsia="BatangChe"/>
          <w:szCs w:val="24"/>
        </w:rPr>
      </w:pPr>
      <w:r>
        <w:rPr>
          <w:rFonts w:eastAsia="BatangChe"/>
          <w:szCs w:val="24"/>
        </w:rPr>
        <w:t xml:space="preserve">The coefficient, SE, OR and 95% CI </w:t>
      </w:r>
      <w:r w:rsidR="00EB5C05">
        <w:rPr>
          <w:rFonts w:eastAsia="BatangChe"/>
          <w:szCs w:val="24"/>
        </w:rPr>
        <w:t xml:space="preserve">of child age </w:t>
      </w:r>
      <w:r>
        <w:rPr>
          <w:rFonts w:eastAsia="BatangChe"/>
          <w:szCs w:val="24"/>
        </w:rPr>
        <w:t xml:space="preserve">while currently on welfare are </w:t>
      </w:r>
      <w:r w:rsidR="00925219" w:rsidRPr="00F215DC">
        <w:rPr>
          <w:rFonts w:eastAsia="BatangChe"/>
          <w:szCs w:val="24"/>
        </w:rPr>
        <w:t>therefore:</w:t>
      </w:r>
    </w:p>
    <w:p w:rsidR="00925219" w:rsidRPr="00F215DC" w:rsidRDefault="00925219" w:rsidP="00925219">
      <w:pPr>
        <w:rPr>
          <w:rFonts w:eastAsia="BatangChe"/>
          <w:szCs w:val="24"/>
        </w:rPr>
      </w:pPr>
    </w:p>
    <w:p w:rsidR="00925219" w:rsidRPr="006A38F9" w:rsidRDefault="00925219" w:rsidP="006A38F9">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r=</m:t>
        </m:r>
        <m:r>
          <m:rPr>
            <m:sty m:val="p"/>
          </m:rPr>
          <w:rPr>
            <w:rFonts w:ascii="Cambria Math" w:eastAsia="BatangChe" w:hAnsi="Cambria Math"/>
            <w:sz w:val="20"/>
            <w:szCs w:val="20"/>
          </w:rPr>
          <m:t>-0.0125</m:t>
        </m:r>
        <m:r>
          <w:rPr>
            <w:rFonts w:ascii="Cambria Math" w:eastAsia="BatangChe" w:hAnsi="Cambria Math"/>
            <w:sz w:val="20"/>
            <w:szCs w:val="20"/>
          </w:rPr>
          <m:t xml:space="preserve"> - </m:t>
        </m:r>
        <m:r>
          <m:rPr>
            <m:sty m:val="p"/>
          </m:rPr>
          <w:rPr>
            <w:rFonts w:ascii="Cambria Math" w:eastAsia="BatangChe" w:hAnsi="Cambria Math"/>
            <w:sz w:val="20"/>
            <w:szCs w:val="20"/>
          </w:rPr>
          <m:t>0.0704</m:t>
        </m:r>
        <m:r>
          <w:rPr>
            <w:rFonts w:ascii="Cambria Math" w:eastAsia="BatangChe" w:hAnsi="Cambria Math"/>
            <w:sz w:val="20"/>
            <w:szCs w:val="20"/>
          </w:rPr>
          <m:t xml:space="preserve"> = -0.0828</m:t>
        </m:r>
      </m:oMath>
    </w:p>
    <w:p w:rsidR="00925219" w:rsidRPr="006A38F9" w:rsidRDefault="00925219" w:rsidP="00B86811">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SE=</m:t>
        </m:r>
        <m:rad>
          <m:radPr>
            <m:degHide m:val="1"/>
            <m:ctrlPr>
              <w:rPr>
                <w:rFonts w:ascii="Cambria Math" w:eastAsia="BatangChe" w:hAnsi="Cambria Math"/>
                <w:i/>
                <w:sz w:val="20"/>
                <w:szCs w:val="20"/>
              </w:rPr>
            </m:ctrlPr>
          </m:radPr>
          <m:deg/>
          <m:e>
            <m:sSup>
              <m:sSupPr>
                <m:ctrlPr>
                  <w:rPr>
                    <w:rFonts w:ascii="Cambria Math" w:eastAsia="BatangChe" w:hAnsi="Cambria Math"/>
                    <w:i/>
                    <w:sz w:val="20"/>
                    <w:szCs w:val="20"/>
                  </w:rPr>
                </m:ctrlPr>
              </m:sSupPr>
              <m:e>
                <m:r>
                  <m:rPr>
                    <m:sty m:val="p"/>
                  </m:rPr>
                  <w:rPr>
                    <w:rFonts w:ascii="Cambria Math" w:eastAsia="BatangChe" w:hAnsi="Cambria Math"/>
                    <w:sz w:val="20"/>
                    <w:szCs w:val="20"/>
                  </w:rPr>
                  <m:t>0.0147</m:t>
                </m:r>
              </m:e>
              <m:sup>
                <m:r>
                  <w:rPr>
                    <w:rFonts w:ascii="Cambria Math" w:eastAsia="BatangChe" w:hAnsi="Cambria Math"/>
                    <w:sz w:val="20"/>
                    <w:szCs w:val="20"/>
                  </w:rPr>
                  <m:t>2</m:t>
                </m:r>
              </m:sup>
            </m:sSup>
            <m:r>
              <w:rPr>
                <w:rFonts w:ascii="Cambria Math" w:eastAsia="BatangChe" w:hAnsi="Cambria Math"/>
                <w:sz w:val="20"/>
                <w:szCs w:val="20"/>
              </w:rPr>
              <m:t>+</m:t>
            </m:r>
            <m:sSup>
              <m:sSupPr>
                <m:ctrlPr>
                  <w:rPr>
                    <w:rFonts w:ascii="Cambria Math" w:eastAsia="BatangChe" w:hAnsi="Cambria Math"/>
                    <w:i/>
                    <w:sz w:val="20"/>
                    <w:szCs w:val="20"/>
                  </w:rPr>
                </m:ctrlPr>
              </m:sSupPr>
              <m:e>
                <m:r>
                  <m:rPr>
                    <m:sty m:val="p"/>
                  </m:rPr>
                  <w:rPr>
                    <w:rFonts w:ascii="Cambria Math" w:eastAsia="BatangChe" w:hAnsi="Cambria Math"/>
                    <w:sz w:val="20"/>
                    <w:szCs w:val="20"/>
                  </w:rPr>
                  <m:t>0.0183</m:t>
                </m:r>
              </m:e>
              <m:sup>
                <m:r>
                  <w:rPr>
                    <w:rFonts w:ascii="Cambria Math" w:eastAsia="BatangChe" w:hAnsi="Cambria Math"/>
                    <w:sz w:val="20"/>
                    <w:szCs w:val="20"/>
                  </w:rPr>
                  <m:t>2</m:t>
                </m:r>
              </m:sup>
            </m:sSup>
            <m:r>
              <w:rPr>
                <w:rFonts w:ascii="Cambria Math" w:eastAsia="BatangChe" w:hAnsi="Cambria Math"/>
                <w:sz w:val="20"/>
                <w:szCs w:val="20"/>
              </w:rPr>
              <m:t>+2×(-0.000137)</m:t>
            </m:r>
          </m:e>
        </m:rad>
        <m:r>
          <w:rPr>
            <w:rFonts w:ascii="Cambria Math" w:eastAsia="BatangChe" w:hAnsi="Cambria Math"/>
            <w:sz w:val="20"/>
            <w:szCs w:val="20"/>
          </w:rPr>
          <m:t>=0.0166</m:t>
        </m:r>
      </m:oMath>
    </w:p>
    <w:p w:rsidR="00925219" w:rsidRPr="006A38F9" w:rsidRDefault="00925219" w:rsidP="00925219">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OR=</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-0.0828</m:t>
                </m:r>
              </m:e>
            </m:d>
          </m:e>
        </m:func>
        <m:r>
          <w:rPr>
            <w:rFonts w:ascii="Cambria Math" w:eastAsia="BatangChe" w:hAnsi="Cambria Math"/>
            <w:sz w:val="20"/>
            <w:szCs w:val="20"/>
          </w:rPr>
          <m:t>=0.92</m:t>
        </m:r>
      </m:oMath>
    </w:p>
    <w:p w:rsidR="00925219" w:rsidRPr="006A38F9" w:rsidRDefault="00925219" w:rsidP="00925219">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95% CI=</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-0.0828±1.96×0.0166</m:t>
                </m:r>
              </m:e>
            </m:d>
          </m:e>
        </m:func>
        <m:r>
          <w:rPr>
            <w:rFonts w:ascii="Cambria Math" w:eastAsia="BatangChe" w:hAnsi="Cambria Math"/>
            <w:sz w:val="20"/>
            <w:szCs w:val="20"/>
          </w:rPr>
          <m:t>=[0.89, 0.95]</m:t>
        </m:r>
      </m:oMath>
    </w:p>
    <w:p w:rsidR="00925219" w:rsidRDefault="00925219" w:rsidP="00925219">
      <w:pPr>
        <w:rPr>
          <w:rFonts w:eastAsia="BatangChe"/>
          <w:szCs w:val="24"/>
        </w:rPr>
      </w:pPr>
    </w:p>
    <w:p w:rsidR="00B86811" w:rsidRDefault="00B86811" w:rsidP="00B86811">
      <w:pPr>
        <w:rPr>
          <w:rFonts w:eastAsia="BatangChe"/>
          <w:b/>
          <w:szCs w:val="24"/>
        </w:rPr>
      </w:pPr>
      <w:r>
        <w:rPr>
          <w:rFonts w:eastAsia="BatangChe"/>
          <w:b/>
          <w:szCs w:val="24"/>
        </w:rPr>
        <w:t>Current Welfare</w:t>
      </w:r>
      <w:r w:rsidRPr="00925219">
        <w:rPr>
          <w:rFonts w:eastAsia="BatangChe"/>
          <w:b/>
          <w:szCs w:val="24"/>
        </w:rPr>
        <w:t xml:space="preserve"> </w:t>
      </w:r>
      <w:r w:rsidRPr="00925219">
        <w:rPr>
          <w:rFonts w:ascii="Cambria Math" w:eastAsia="BatangChe" w:hAnsi="Cambria Math"/>
          <w:b/>
          <w:szCs w:val="24"/>
        </w:rPr>
        <w:t>×</w:t>
      </w:r>
      <w:r w:rsidRPr="00925219">
        <w:rPr>
          <w:rFonts w:eastAsia="BatangChe"/>
          <w:b/>
          <w:szCs w:val="24"/>
        </w:rPr>
        <w:t xml:space="preserve"> </w:t>
      </w:r>
      <w:r>
        <w:rPr>
          <w:rFonts w:eastAsia="BatangChe"/>
          <w:b/>
          <w:szCs w:val="24"/>
        </w:rPr>
        <w:t>Prior Welfare</w:t>
      </w:r>
      <w:r w:rsidRPr="00925219">
        <w:rPr>
          <w:rFonts w:eastAsia="BatangChe"/>
          <w:b/>
          <w:szCs w:val="24"/>
        </w:rPr>
        <w:t xml:space="preserve"> Interaction in the </w:t>
      </w:r>
      <w:r>
        <w:rPr>
          <w:rFonts w:eastAsia="BatangChe"/>
          <w:b/>
          <w:szCs w:val="24"/>
        </w:rPr>
        <w:t>CAN</w:t>
      </w:r>
      <w:r w:rsidRPr="00925219">
        <w:rPr>
          <w:rFonts w:eastAsia="BatangChe"/>
          <w:b/>
          <w:szCs w:val="24"/>
        </w:rPr>
        <w:t xml:space="preserve"> Sample</w:t>
      </w:r>
    </w:p>
    <w:p w:rsidR="00B86811" w:rsidRPr="00925219" w:rsidRDefault="00B86811" w:rsidP="00B86811">
      <w:pPr>
        <w:rPr>
          <w:rFonts w:eastAsia="BatangChe"/>
          <w:b/>
          <w:szCs w:val="24"/>
        </w:rPr>
      </w:pPr>
    </w:p>
    <w:p w:rsidR="006A38F9" w:rsidRDefault="00EB5C05" w:rsidP="00925219">
      <w:pPr>
        <w:rPr>
          <w:rFonts w:eastAsia="BatangChe"/>
          <w:szCs w:val="24"/>
        </w:rPr>
      </w:pPr>
      <w:r>
        <w:rPr>
          <w:rFonts w:eastAsia="BatangChe"/>
          <w:szCs w:val="24"/>
        </w:rPr>
        <w:tab/>
        <w:t xml:space="preserve">The main term of prior </w:t>
      </w:r>
      <w:proofErr w:type="gramStart"/>
      <w:r>
        <w:rPr>
          <w:rFonts w:eastAsia="BatangChe"/>
          <w:szCs w:val="24"/>
        </w:rPr>
        <w:t>welfare</w:t>
      </w:r>
      <w:proofErr w:type="gramEnd"/>
      <w:r>
        <w:rPr>
          <w:rFonts w:eastAsia="BatangChe"/>
          <w:szCs w:val="24"/>
        </w:rPr>
        <w:t xml:space="preserve"> indicate the estimates while currently not on welfare:</w:t>
      </w:r>
    </w:p>
    <w:p w:rsidR="00EB5C05" w:rsidRDefault="00EB5C05" w:rsidP="00925219">
      <w:pPr>
        <w:rPr>
          <w:rFonts w:eastAsia="BatangChe"/>
          <w:szCs w:val="24"/>
        </w:rPr>
      </w:pPr>
    </w:p>
    <w:p w:rsidR="00EB5C05" w:rsidRPr="006A38F9" w:rsidRDefault="00EB5C05" w:rsidP="00EB5C05">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r=</m:t>
        </m:r>
        <m:r>
          <m:rPr>
            <m:sty m:val="p"/>
          </m:rPr>
          <w:rPr>
            <w:rFonts w:ascii="Cambria Math" w:eastAsia="BatangChe" w:hAnsi="Cambria Math"/>
            <w:sz w:val="20"/>
            <w:szCs w:val="20"/>
          </w:rPr>
          <m:t>0.0768</m:t>
        </m:r>
      </m:oMath>
    </w:p>
    <w:p w:rsidR="00EB5C05" w:rsidRPr="006A38F9" w:rsidRDefault="00EB5C05" w:rsidP="00EB5C05">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SE=0.0130</m:t>
        </m:r>
      </m:oMath>
    </w:p>
    <w:p w:rsidR="00EB5C05" w:rsidRPr="006A38F9" w:rsidRDefault="00EB5C05" w:rsidP="00EB5C05">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OR=</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0.0768</m:t>
                </m:r>
              </m:e>
            </m:d>
          </m:e>
        </m:func>
        <m:r>
          <w:rPr>
            <w:rFonts w:ascii="Cambria Math" w:eastAsia="BatangChe" w:hAnsi="Cambria Math"/>
            <w:sz w:val="20"/>
            <w:szCs w:val="20"/>
          </w:rPr>
          <m:t>=1.08</m:t>
        </m:r>
      </m:oMath>
    </w:p>
    <w:p w:rsidR="00EB5C05" w:rsidRPr="006A38F9" w:rsidRDefault="00EB5C05" w:rsidP="00EB5C05">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95% CI=</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0.0768±1.96×0.0130</m:t>
                </m:r>
              </m:e>
            </m:d>
          </m:e>
        </m:func>
        <m:r>
          <w:rPr>
            <w:rFonts w:ascii="Cambria Math" w:eastAsia="BatangChe" w:hAnsi="Cambria Math"/>
            <w:sz w:val="20"/>
            <w:szCs w:val="20"/>
          </w:rPr>
          <m:t>=[1.05, 1.11]</m:t>
        </m:r>
      </m:oMath>
    </w:p>
    <w:p w:rsidR="00EB5C05" w:rsidRDefault="00EB5C05" w:rsidP="00EB5C05">
      <w:pPr>
        <w:rPr>
          <w:rFonts w:eastAsia="BatangChe"/>
          <w:szCs w:val="24"/>
        </w:rPr>
      </w:pPr>
    </w:p>
    <w:p w:rsidR="00EB5C05" w:rsidRDefault="00EB5C05" w:rsidP="00EB5C05">
      <w:pPr>
        <w:rPr>
          <w:rFonts w:eastAsia="BatangChe"/>
          <w:szCs w:val="24"/>
        </w:rPr>
      </w:pPr>
      <w:r>
        <w:rPr>
          <w:rFonts w:eastAsia="BatangChe"/>
          <w:szCs w:val="24"/>
        </w:rPr>
        <w:tab/>
        <w:t xml:space="preserve">The coefficient, SE, OR, and 95% CI of prior welfare while currently on welfare </w:t>
      </w:r>
      <w:r w:rsidR="00E33D47">
        <w:rPr>
          <w:rFonts w:eastAsia="BatangChe"/>
          <w:szCs w:val="24"/>
        </w:rPr>
        <w:t>are (as calculated by the above formulas)</w:t>
      </w:r>
      <w:r>
        <w:rPr>
          <w:rFonts w:eastAsia="BatangChe"/>
          <w:szCs w:val="24"/>
        </w:rPr>
        <w:t>:</w:t>
      </w:r>
    </w:p>
    <w:p w:rsidR="00E33D47" w:rsidRDefault="00E33D47" w:rsidP="00EB5C05">
      <w:pPr>
        <w:rPr>
          <w:rFonts w:eastAsia="BatangChe"/>
          <w:szCs w:val="24"/>
        </w:rPr>
      </w:pPr>
    </w:p>
    <w:p w:rsidR="00E33D47" w:rsidRPr="006A38F9" w:rsidRDefault="00E33D47" w:rsidP="00E33D47">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r=</m:t>
        </m:r>
        <m:r>
          <m:rPr>
            <m:sty m:val="p"/>
          </m:rPr>
          <w:rPr>
            <w:rFonts w:ascii="Cambria Math" w:eastAsia="BatangChe" w:hAnsi="Cambria Math"/>
            <w:sz w:val="20"/>
            <w:szCs w:val="20"/>
          </w:rPr>
          <m:t>0.0768</m:t>
        </m:r>
        <m:r>
          <w:rPr>
            <w:rFonts w:ascii="Cambria Math" w:eastAsia="BatangChe" w:hAnsi="Cambria Math"/>
            <w:sz w:val="20"/>
            <w:szCs w:val="20"/>
          </w:rPr>
          <m:t xml:space="preserve"> - </m:t>
        </m:r>
        <m:r>
          <m:rPr>
            <m:sty m:val="p"/>
          </m:rPr>
          <w:rPr>
            <w:rFonts w:ascii="Cambria Math" w:eastAsia="BatangChe" w:hAnsi="Cambria Math"/>
            <w:sz w:val="20"/>
            <w:szCs w:val="20"/>
          </w:rPr>
          <m:t>0.0782</m:t>
        </m:r>
        <m:r>
          <w:rPr>
            <w:rFonts w:ascii="Cambria Math" w:eastAsia="BatangChe" w:hAnsi="Cambria Math"/>
            <w:sz w:val="20"/>
            <w:szCs w:val="20"/>
          </w:rPr>
          <m:t xml:space="preserve"> = -0.0014</m:t>
        </m:r>
      </m:oMath>
    </w:p>
    <w:p w:rsidR="00E33D47" w:rsidRPr="006A38F9" w:rsidRDefault="00E33D47" w:rsidP="00CE4ABC">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w:lastRenderedPageBreak/>
          <m:t>SE=</m:t>
        </m:r>
        <m:rad>
          <m:radPr>
            <m:degHide m:val="1"/>
            <m:ctrlPr>
              <w:rPr>
                <w:rFonts w:ascii="Cambria Math" w:eastAsia="BatangChe" w:hAnsi="Cambria Math"/>
                <w:i/>
                <w:sz w:val="20"/>
                <w:szCs w:val="20"/>
              </w:rPr>
            </m:ctrlPr>
          </m:radPr>
          <m:deg/>
          <m:e>
            <m:sSup>
              <m:sSupPr>
                <m:ctrlPr>
                  <w:rPr>
                    <w:rFonts w:ascii="Cambria Math" w:eastAsia="BatangChe" w:hAnsi="Cambria Math"/>
                    <w:i/>
                    <w:sz w:val="20"/>
                    <w:szCs w:val="20"/>
                  </w:rPr>
                </m:ctrlPr>
              </m:sSupPr>
              <m:e>
                <m:r>
                  <m:rPr>
                    <m:sty m:val="p"/>
                  </m:rPr>
                  <w:rPr>
                    <w:rFonts w:ascii="Cambria Math" w:eastAsia="BatangChe" w:hAnsi="Cambria Math"/>
                    <w:sz w:val="20"/>
                    <w:szCs w:val="20"/>
                  </w:rPr>
                  <m:t>0.0130</m:t>
                </m:r>
              </m:e>
              <m:sup>
                <m:r>
                  <w:rPr>
                    <w:rFonts w:ascii="Cambria Math" w:eastAsia="BatangChe" w:hAnsi="Cambria Math"/>
                    <w:sz w:val="20"/>
                    <w:szCs w:val="20"/>
                  </w:rPr>
                  <m:t>2</m:t>
                </m:r>
              </m:sup>
            </m:sSup>
            <m:r>
              <w:rPr>
                <w:rFonts w:ascii="Cambria Math" w:eastAsia="BatangChe" w:hAnsi="Cambria Math"/>
                <w:sz w:val="20"/>
                <w:szCs w:val="20"/>
              </w:rPr>
              <m:t>+</m:t>
            </m:r>
            <m:sSup>
              <m:sSupPr>
                <m:ctrlPr>
                  <w:rPr>
                    <w:rFonts w:ascii="Cambria Math" w:eastAsia="BatangChe" w:hAnsi="Cambria Math"/>
                    <w:i/>
                    <w:sz w:val="20"/>
                    <w:szCs w:val="20"/>
                  </w:rPr>
                </m:ctrlPr>
              </m:sSupPr>
              <m:e>
                <m:r>
                  <m:rPr>
                    <m:sty m:val="p"/>
                  </m:rPr>
                  <w:rPr>
                    <w:rFonts w:ascii="Cambria Math" w:eastAsia="BatangChe" w:hAnsi="Cambria Math"/>
                    <w:sz w:val="20"/>
                    <w:szCs w:val="20"/>
                  </w:rPr>
                  <m:t>0.0187</m:t>
                </m:r>
              </m:e>
              <m:sup>
                <m:r>
                  <w:rPr>
                    <w:rFonts w:ascii="Cambria Math" w:eastAsia="BatangChe" w:hAnsi="Cambria Math"/>
                    <w:sz w:val="20"/>
                    <w:szCs w:val="20"/>
                  </w:rPr>
                  <m:t>2</m:t>
                </m:r>
              </m:sup>
            </m:sSup>
            <m:r>
              <w:rPr>
                <w:rFonts w:ascii="Cambria Math" w:eastAsia="BatangChe" w:hAnsi="Cambria Math"/>
                <w:sz w:val="20"/>
                <w:szCs w:val="20"/>
              </w:rPr>
              <m:t>+2×(-0.000148)</m:t>
            </m:r>
          </m:e>
        </m:rad>
        <m:r>
          <w:rPr>
            <w:rFonts w:ascii="Cambria Math" w:eastAsia="BatangChe" w:hAnsi="Cambria Math"/>
            <w:sz w:val="20"/>
            <w:szCs w:val="20"/>
          </w:rPr>
          <m:t>=0.0149</m:t>
        </m:r>
      </m:oMath>
    </w:p>
    <w:p w:rsidR="00E33D47" w:rsidRPr="006A38F9" w:rsidRDefault="00E33D47" w:rsidP="00CE4ABC">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OR=</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-0.0014</m:t>
                </m:r>
              </m:e>
            </m:d>
          </m:e>
        </m:func>
        <m:r>
          <w:rPr>
            <w:rFonts w:ascii="Cambria Math" w:eastAsia="BatangChe" w:hAnsi="Cambria Math"/>
            <w:sz w:val="20"/>
            <w:szCs w:val="20"/>
          </w:rPr>
          <m:t>=1.00</m:t>
        </m:r>
      </m:oMath>
    </w:p>
    <w:p w:rsidR="00E33D47" w:rsidRPr="006A38F9" w:rsidRDefault="00E33D47" w:rsidP="00E33D47">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95% CI=</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-0.0014±1.96×0.0149</m:t>
                </m:r>
              </m:e>
            </m:d>
          </m:e>
        </m:func>
        <m:r>
          <w:rPr>
            <w:rFonts w:ascii="Cambria Math" w:eastAsia="BatangChe" w:hAnsi="Cambria Math"/>
            <w:sz w:val="20"/>
            <w:szCs w:val="20"/>
          </w:rPr>
          <m:t>=[0.97, 1.03]</m:t>
        </m:r>
      </m:oMath>
    </w:p>
    <w:p w:rsidR="00E33D47" w:rsidRDefault="00E33D47" w:rsidP="00E33D47">
      <w:pPr>
        <w:rPr>
          <w:rFonts w:eastAsia="BatangChe"/>
          <w:szCs w:val="24"/>
        </w:rPr>
      </w:pPr>
    </w:p>
    <w:p w:rsidR="00CD0B5F" w:rsidRDefault="00CD0B5F" w:rsidP="00CD0B5F">
      <w:pPr>
        <w:rPr>
          <w:rFonts w:eastAsia="BatangChe"/>
          <w:b/>
          <w:szCs w:val="24"/>
        </w:rPr>
      </w:pPr>
      <w:r>
        <w:rPr>
          <w:rFonts w:eastAsia="BatangChe"/>
          <w:b/>
          <w:szCs w:val="24"/>
        </w:rPr>
        <w:t>Current Welfare</w:t>
      </w:r>
      <w:r w:rsidRPr="00925219">
        <w:rPr>
          <w:rFonts w:eastAsia="BatangChe"/>
          <w:b/>
          <w:szCs w:val="24"/>
        </w:rPr>
        <w:t xml:space="preserve"> </w:t>
      </w:r>
      <w:r w:rsidRPr="00925219">
        <w:rPr>
          <w:rFonts w:ascii="Cambria Math" w:eastAsia="BatangChe" w:hAnsi="Cambria Math"/>
          <w:b/>
          <w:szCs w:val="24"/>
        </w:rPr>
        <w:t>×</w:t>
      </w:r>
      <w:r w:rsidRPr="00925219">
        <w:rPr>
          <w:rFonts w:eastAsia="BatangChe"/>
          <w:b/>
          <w:szCs w:val="24"/>
        </w:rPr>
        <w:t xml:space="preserve"> </w:t>
      </w:r>
      <w:r>
        <w:rPr>
          <w:rFonts w:eastAsia="BatangChe"/>
          <w:b/>
          <w:szCs w:val="24"/>
        </w:rPr>
        <w:t>Prior Welfare</w:t>
      </w:r>
      <w:r w:rsidRPr="00925219">
        <w:rPr>
          <w:rFonts w:eastAsia="BatangChe"/>
          <w:b/>
          <w:szCs w:val="24"/>
        </w:rPr>
        <w:t xml:space="preserve"> Interaction in the </w:t>
      </w:r>
      <w:r>
        <w:rPr>
          <w:rFonts w:eastAsia="BatangChe"/>
          <w:b/>
          <w:szCs w:val="24"/>
        </w:rPr>
        <w:t>AFDC</w:t>
      </w:r>
      <w:r w:rsidRPr="00925219">
        <w:rPr>
          <w:rFonts w:eastAsia="BatangChe"/>
          <w:b/>
          <w:szCs w:val="24"/>
        </w:rPr>
        <w:t xml:space="preserve"> Sample</w:t>
      </w:r>
    </w:p>
    <w:p w:rsidR="00CD0B5F" w:rsidRPr="00925219" w:rsidRDefault="00CD0B5F" w:rsidP="00CD0B5F">
      <w:pPr>
        <w:rPr>
          <w:rFonts w:eastAsia="BatangChe"/>
          <w:b/>
          <w:szCs w:val="24"/>
        </w:rPr>
      </w:pPr>
    </w:p>
    <w:p w:rsidR="00CD0B5F" w:rsidRDefault="00CD0B5F" w:rsidP="00CD0B5F">
      <w:pPr>
        <w:rPr>
          <w:rFonts w:eastAsia="BatangChe"/>
          <w:szCs w:val="24"/>
        </w:rPr>
      </w:pPr>
      <w:r>
        <w:rPr>
          <w:rFonts w:eastAsia="BatangChe"/>
          <w:szCs w:val="24"/>
        </w:rPr>
        <w:tab/>
        <w:t xml:space="preserve">The main term of prior </w:t>
      </w:r>
      <w:proofErr w:type="gramStart"/>
      <w:r>
        <w:rPr>
          <w:rFonts w:eastAsia="BatangChe"/>
          <w:szCs w:val="24"/>
        </w:rPr>
        <w:t>welfare</w:t>
      </w:r>
      <w:proofErr w:type="gramEnd"/>
      <w:r>
        <w:rPr>
          <w:rFonts w:eastAsia="BatangChe"/>
          <w:szCs w:val="24"/>
        </w:rPr>
        <w:t xml:space="preserve"> indicate the estimates while currently not on welfare:</w:t>
      </w:r>
    </w:p>
    <w:p w:rsidR="00CD0B5F" w:rsidRDefault="00CD0B5F" w:rsidP="00CD0B5F">
      <w:pPr>
        <w:rPr>
          <w:rFonts w:eastAsia="BatangChe"/>
          <w:szCs w:val="24"/>
        </w:rPr>
      </w:pPr>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r=</m:t>
        </m:r>
        <m:r>
          <m:rPr>
            <m:sty m:val="p"/>
          </m:rPr>
          <w:rPr>
            <w:rFonts w:ascii="Cambria Math" w:eastAsia="BatangChe" w:hAnsi="Cambria Math"/>
            <w:sz w:val="20"/>
            <w:szCs w:val="20"/>
          </w:rPr>
          <m:t>0.1174</m:t>
        </m:r>
      </m:oMath>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SE=0.0192</m:t>
        </m:r>
      </m:oMath>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OR=</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0.1174</m:t>
                </m:r>
              </m:e>
            </m:d>
          </m:e>
        </m:func>
        <m:r>
          <w:rPr>
            <w:rFonts w:ascii="Cambria Math" w:eastAsia="BatangChe" w:hAnsi="Cambria Math"/>
            <w:sz w:val="20"/>
            <w:szCs w:val="20"/>
          </w:rPr>
          <m:t>=1.12</m:t>
        </m:r>
      </m:oMath>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95% CI=</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0.1174±1.96×0.0192</m:t>
                </m:r>
              </m:e>
            </m:d>
          </m:e>
        </m:func>
        <m:r>
          <w:rPr>
            <w:rFonts w:ascii="Cambria Math" w:eastAsia="BatangChe" w:hAnsi="Cambria Math"/>
            <w:sz w:val="20"/>
            <w:szCs w:val="20"/>
          </w:rPr>
          <m:t>=[1.08, 1.17]</m:t>
        </m:r>
      </m:oMath>
    </w:p>
    <w:p w:rsidR="00CD0B5F" w:rsidRDefault="00CD0B5F" w:rsidP="00CD0B5F">
      <w:pPr>
        <w:rPr>
          <w:rFonts w:eastAsia="BatangChe"/>
          <w:szCs w:val="24"/>
        </w:rPr>
      </w:pPr>
    </w:p>
    <w:p w:rsidR="00CD0B5F" w:rsidRDefault="00CD0B5F" w:rsidP="00CD0B5F">
      <w:pPr>
        <w:rPr>
          <w:rFonts w:eastAsia="BatangChe"/>
          <w:szCs w:val="24"/>
        </w:rPr>
      </w:pPr>
      <w:r>
        <w:rPr>
          <w:rFonts w:eastAsia="BatangChe"/>
          <w:szCs w:val="24"/>
        </w:rPr>
        <w:tab/>
        <w:t>The coefficient, SE, OR, and 95% CI of prior welfare while currently on welfare are (as calculated by the above formulas):</w:t>
      </w:r>
    </w:p>
    <w:p w:rsidR="00CD0B5F" w:rsidRDefault="00CD0B5F" w:rsidP="00CD0B5F">
      <w:pPr>
        <w:rPr>
          <w:rFonts w:eastAsia="BatangChe"/>
          <w:szCs w:val="24"/>
        </w:rPr>
      </w:pPr>
    </w:p>
    <w:p w:rsidR="00CD0B5F" w:rsidRPr="006A38F9" w:rsidRDefault="00CD0B5F" w:rsidP="0058241B">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r=</m:t>
        </m:r>
        <m:r>
          <m:rPr>
            <m:sty m:val="p"/>
          </m:rPr>
          <w:rPr>
            <w:rFonts w:ascii="Cambria Math" w:eastAsia="BatangChe" w:hAnsi="Cambria Math"/>
            <w:sz w:val="20"/>
            <w:szCs w:val="20"/>
          </w:rPr>
          <m:t>0.1174</m:t>
        </m:r>
        <m:r>
          <w:rPr>
            <w:rFonts w:ascii="Cambria Math" w:eastAsia="BatangChe" w:hAnsi="Cambria Math"/>
            <w:sz w:val="20"/>
            <w:szCs w:val="20"/>
          </w:rPr>
          <m:t xml:space="preserve"> - </m:t>
        </m:r>
        <m:r>
          <m:rPr>
            <m:sty m:val="p"/>
          </m:rPr>
          <w:rPr>
            <w:rFonts w:ascii="Cambria Math" w:eastAsia="BatangChe" w:hAnsi="Cambria Math"/>
            <w:sz w:val="20"/>
            <w:szCs w:val="20"/>
          </w:rPr>
          <m:t>0.1457</m:t>
        </m:r>
        <m:r>
          <w:rPr>
            <w:rFonts w:ascii="Cambria Math" w:eastAsia="BatangChe" w:hAnsi="Cambria Math"/>
            <w:sz w:val="20"/>
            <w:szCs w:val="20"/>
          </w:rPr>
          <m:t xml:space="preserve"> = -0.0283</m:t>
        </m:r>
      </m:oMath>
    </w:p>
    <w:p w:rsidR="00CD0B5F" w:rsidRPr="006A38F9" w:rsidRDefault="00CD0B5F" w:rsidP="00A34F7E">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SE=</m:t>
        </m:r>
        <m:rad>
          <m:radPr>
            <m:degHide m:val="1"/>
            <m:ctrlPr>
              <w:rPr>
                <w:rFonts w:ascii="Cambria Math" w:eastAsia="BatangChe" w:hAnsi="Cambria Math"/>
                <w:i/>
                <w:sz w:val="20"/>
                <w:szCs w:val="20"/>
              </w:rPr>
            </m:ctrlPr>
          </m:radPr>
          <m:deg/>
          <m:e>
            <m:sSup>
              <m:sSupPr>
                <m:ctrlPr>
                  <w:rPr>
                    <w:rFonts w:ascii="Cambria Math" w:eastAsia="BatangChe" w:hAnsi="Cambria Math"/>
                    <w:i/>
                    <w:sz w:val="20"/>
                    <w:szCs w:val="20"/>
                  </w:rPr>
                </m:ctrlPr>
              </m:sSupPr>
              <m:e>
                <m:r>
                  <m:rPr>
                    <m:sty m:val="p"/>
                  </m:rPr>
                  <w:rPr>
                    <w:rFonts w:ascii="Cambria Math" w:eastAsia="BatangChe" w:hAnsi="Cambria Math"/>
                    <w:sz w:val="20"/>
                    <w:szCs w:val="20"/>
                  </w:rPr>
                  <m:t>0.0192</m:t>
                </m:r>
              </m:e>
              <m:sup>
                <m:r>
                  <w:rPr>
                    <w:rFonts w:ascii="Cambria Math" w:eastAsia="BatangChe" w:hAnsi="Cambria Math"/>
                    <w:sz w:val="20"/>
                    <w:szCs w:val="20"/>
                  </w:rPr>
                  <m:t>2</m:t>
                </m:r>
              </m:sup>
            </m:sSup>
            <m:r>
              <w:rPr>
                <w:rFonts w:ascii="Cambria Math" w:eastAsia="BatangChe" w:hAnsi="Cambria Math"/>
                <w:sz w:val="20"/>
                <w:szCs w:val="20"/>
              </w:rPr>
              <m:t>+</m:t>
            </m:r>
            <m:sSup>
              <m:sSupPr>
                <m:ctrlPr>
                  <w:rPr>
                    <w:rFonts w:ascii="Cambria Math" w:eastAsia="BatangChe" w:hAnsi="Cambria Math"/>
                    <w:i/>
                    <w:sz w:val="20"/>
                    <w:szCs w:val="20"/>
                  </w:rPr>
                </m:ctrlPr>
              </m:sSupPr>
              <m:e>
                <m:r>
                  <m:rPr>
                    <m:sty m:val="p"/>
                  </m:rPr>
                  <w:rPr>
                    <w:rFonts w:ascii="Cambria Math" w:eastAsia="BatangChe" w:hAnsi="Cambria Math"/>
                    <w:sz w:val="20"/>
                    <w:szCs w:val="20"/>
                  </w:rPr>
                  <m:t>0.0288</m:t>
                </m:r>
              </m:e>
              <m:sup>
                <m:r>
                  <w:rPr>
                    <w:rFonts w:ascii="Cambria Math" w:eastAsia="BatangChe" w:hAnsi="Cambria Math"/>
                    <w:sz w:val="20"/>
                    <w:szCs w:val="20"/>
                  </w:rPr>
                  <m:t>2</m:t>
                </m:r>
              </m:sup>
            </m:sSup>
            <m:r>
              <w:rPr>
                <w:rFonts w:ascii="Cambria Math" w:eastAsia="BatangChe" w:hAnsi="Cambria Math"/>
                <w:sz w:val="20"/>
                <w:szCs w:val="20"/>
              </w:rPr>
              <m:t>+2×(-0.000333)</m:t>
            </m:r>
          </m:e>
        </m:rad>
        <m:r>
          <w:rPr>
            <w:rFonts w:ascii="Cambria Math" w:eastAsia="BatangChe" w:hAnsi="Cambria Math"/>
            <w:sz w:val="20"/>
            <w:szCs w:val="20"/>
          </w:rPr>
          <m:t>=0.0230</m:t>
        </m:r>
      </m:oMath>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OR=</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-0.0283</m:t>
                </m:r>
              </m:e>
            </m:d>
          </m:e>
        </m:func>
        <m:r>
          <w:rPr>
            <w:rFonts w:ascii="Cambria Math" w:eastAsia="BatangChe" w:hAnsi="Cambria Math"/>
            <w:sz w:val="20"/>
            <w:szCs w:val="20"/>
          </w:rPr>
          <m:t>=0.97</m:t>
        </m:r>
      </m:oMath>
    </w:p>
    <w:p w:rsidR="00CD0B5F" w:rsidRPr="006A38F9" w:rsidRDefault="00CD0B5F" w:rsidP="00CD0B5F">
      <w:pPr>
        <w:pStyle w:val="ListParagraph"/>
        <w:numPr>
          <w:ilvl w:val="0"/>
          <w:numId w:val="29"/>
        </w:numPr>
        <w:spacing w:line="276" w:lineRule="auto"/>
        <w:rPr>
          <w:rFonts w:ascii="Cambria Math" w:eastAsia="BatangChe" w:hAnsi="Cambria Math"/>
          <w:sz w:val="20"/>
          <w:szCs w:val="20"/>
        </w:rPr>
      </w:pPr>
      <m:oMath>
        <m:r>
          <w:rPr>
            <w:rFonts w:ascii="Cambria Math" w:eastAsia="BatangChe" w:hAnsi="Cambria Math"/>
            <w:sz w:val="20"/>
            <w:szCs w:val="20"/>
          </w:rPr>
          <m:t>95% CI=</m:t>
        </m:r>
        <m:func>
          <m:funcPr>
            <m:ctrlPr>
              <w:rPr>
                <w:rFonts w:ascii="Cambria Math" w:eastAsia="BatangChe" w:hAnsi="Cambria Math"/>
                <w:sz w:val="20"/>
                <w:szCs w:val="20"/>
              </w:rPr>
            </m:ctrlPr>
          </m:funcPr>
          <m:fName>
            <m:r>
              <m:rPr>
                <m:sty m:val="p"/>
              </m:rPr>
              <w:rPr>
                <w:rFonts w:ascii="Cambria Math" w:eastAsia="BatangChe" w:hAnsi="Cambria Math"/>
                <w:sz w:val="20"/>
                <w:szCs w:val="20"/>
              </w:rPr>
              <m:t>exp</m:t>
            </m:r>
          </m:fName>
          <m:e>
            <m:d>
              <m:dPr>
                <m:ctrlPr>
                  <w:rPr>
                    <w:rFonts w:ascii="Cambria Math" w:eastAsia="BatangChe" w:hAnsi="Cambria Math"/>
                    <w:i/>
                    <w:sz w:val="20"/>
                    <w:szCs w:val="20"/>
                  </w:rPr>
                </m:ctrlPr>
              </m:dPr>
              <m:e>
                <m:r>
                  <w:rPr>
                    <w:rFonts w:ascii="Cambria Math" w:eastAsia="BatangChe" w:hAnsi="Cambria Math"/>
                    <w:sz w:val="20"/>
                    <w:szCs w:val="20"/>
                  </w:rPr>
                  <m:t>-0.0283±1.96×0.0230</m:t>
                </m:r>
              </m:e>
            </m:d>
          </m:e>
        </m:func>
        <m:r>
          <w:rPr>
            <w:rFonts w:ascii="Cambria Math" w:eastAsia="BatangChe" w:hAnsi="Cambria Math"/>
            <w:sz w:val="20"/>
            <w:szCs w:val="20"/>
          </w:rPr>
          <m:t>=[0.93, 1.02]</m:t>
        </m:r>
      </m:oMath>
    </w:p>
    <w:p w:rsidR="0004596B" w:rsidRPr="0004596B" w:rsidRDefault="0004596B" w:rsidP="0004596B">
      <w:pPr>
        <w:jc w:val="center"/>
        <w:rPr>
          <w:rFonts w:eastAsia="BatangChe"/>
          <w:b/>
          <w:szCs w:val="24"/>
        </w:rPr>
      </w:pPr>
      <w:r>
        <w:rPr>
          <w:rFonts w:eastAsia="BatangChe"/>
          <w:szCs w:val="24"/>
        </w:rPr>
        <w:br w:type="page"/>
      </w:r>
      <w:r w:rsidRPr="0004596B">
        <w:rPr>
          <w:rFonts w:eastAsia="BatangChe"/>
          <w:b/>
          <w:szCs w:val="24"/>
        </w:rPr>
        <w:lastRenderedPageBreak/>
        <w:t>References</w:t>
      </w:r>
    </w:p>
    <w:p w:rsidR="0004596B" w:rsidRPr="0004596B" w:rsidRDefault="0004596B" w:rsidP="0004596B">
      <w:pPr>
        <w:widowControl w:val="0"/>
        <w:autoSpaceDE w:val="0"/>
        <w:autoSpaceDN w:val="0"/>
        <w:adjustRightInd w:val="0"/>
        <w:ind w:left="480" w:hanging="480"/>
        <w:rPr>
          <w:rFonts w:cs="Times New Roman"/>
          <w:noProof/>
          <w:szCs w:val="24"/>
        </w:rPr>
      </w:pPr>
      <w:r>
        <w:rPr>
          <w:rFonts w:eastAsia="BatangChe"/>
          <w:szCs w:val="24"/>
        </w:rPr>
        <w:fldChar w:fldCharType="begin" w:fldLock="1"/>
      </w:r>
      <w:r>
        <w:rPr>
          <w:rFonts w:eastAsia="BatangChe"/>
          <w:szCs w:val="24"/>
        </w:rPr>
        <w:instrText xml:space="preserve">ADDIN Mendeley Bibliography CSL_BIBLIOGRAPHY </w:instrText>
      </w:r>
      <w:r>
        <w:rPr>
          <w:rFonts w:eastAsia="BatangChe"/>
          <w:szCs w:val="24"/>
        </w:rPr>
        <w:fldChar w:fldCharType="separate"/>
      </w:r>
      <w:r w:rsidRPr="0004596B">
        <w:rPr>
          <w:rFonts w:cs="Times New Roman"/>
          <w:noProof/>
          <w:szCs w:val="24"/>
        </w:rPr>
        <w:t xml:space="preserve">Halfon, N., Newacheck, P. W., Wood, D. L., &amp; St Peter, R. F. (1996). Routine emergency department use for sick care by children in the United States. </w:t>
      </w:r>
      <w:r w:rsidRPr="0004596B">
        <w:rPr>
          <w:rFonts w:cs="Times New Roman"/>
          <w:i/>
          <w:iCs/>
          <w:noProof/>
          <w:szCs w:val="24"/>
        </w:rPr>
        <w:t>Pediatrics</w:t>
      </w:r>
      <w:r w:rsidRPr="0004596B">
        <w:rPr>
          <w:rFonts w:cs="Times New Roman"/>
          <w:noProof/>
          <w:szCs w:val="24"/>
        </w:rPr>
        <w:t xml:space="preserve">, </w:t>
      </w:r>
      <w:r w:rsidRPr="0004596B">
        <w:rPr>
          <w:rFonts w:cs="Times New Roman"/>
          <w:i/>
          <w:iCs/>
          <w:noProof/>
          <w:szCs w:val="24"/>
        </w:rPr>
        <w:t>98</w:t>
      </w:r>
      <w:r w:rsidRPr="0004596B">
        <w:rPr>
          <w:rFonts w:cs="Times New Roman"/>
          <w:noProof/>
          <w:szCs w:val="24"/>
        </w:rPr>
        <w:t>(1), 28–34. Retrieved from http://pediatrics.aappublications.org/content/98/1/28.short</w:t>
      </w:r>
    </w:p>
    <w:p w:rsidR="0004596B" w:rsidRPr="0004596B" w:rsidRDefault="0004596B" w:rsidP="0004596B">
      <w:pPr>
        <w:widowControl w:val="0"/>
        <w:autoSpaceDE w:val="0"/>
        <w:autoSpaceDN w:val="0"/>
        <w:adjustRightInd w:val="0"/>
        <w:ind w:left="480" w:hanging="480"/>
        <w:rPr>
          <w:rFonts w:cs="Times New Roman"/>
          <w:noProof/>
          <w:szCs w:val="24"/>
        </w:rPr>
      </w:pPr>
      <w:r w:rsidRPr="0004596B">
        <w:rPr>
          <w:rFonts w:cs="Times New Roman"/>
          <w:noProof/>
          <w:szCs w:val="24"/>
        </w:rPr>
        <w:t xml:space="preserve">Missouri Department of Social Services. (2015). </w:t>
      </w:r>
      <w:r w:rsidRPr="0004596B">
        <w:rPr>
          <w:rFonts w:cs="Times New Roman"/>
          <w:i/>
          <w:iCs/>
          <w:noProof/>
          <w:szCs w:val="24"/>
        </w:rPr>
        <w:t>Overview of Temporary Assistance for Needy Families</w:t>
      </w:r>
      <w:r w:rsidRPr="0004596B">
        <w:rPr>
          <w:rFonts w:cs="Times New Roman"/>
          <w:noProof/>
          <w:szCs w:val="24"/>
        </w:rPr>
        <w:t>. Retrieved from https://dss.mo.gov/fsd/pdf/temporary-assistance-overview.pdf</w:t>
      </w:r>
    </w:p>
    <w:p w:rsidR="0004596B" w:rsidRPr="0004596B" w:rsidRDefault="0004596B" w:rsidP="0004596B">
      <w:pPr>
        <w:widowControl w:val="0"/>
        <w:autoSpaceDE w:val="0"/>
        <w:autoSpaceDN w:val="0"/>
        <w:adjustRightInd w:val="0"/>
        <w:ind w:left="480" w:hanging="480"/>
        <w:rPr>
          <w:rFonts w:cs="Times New Roman"/>
          <w:noProof/>
          <w:szCs w:val="24"/>
        </w:rPr>
      </w:pPr>
      <w:r w:rsidRPr="0004596B">
        <w:rPr>
          <w:rFonts w:cs="Times New Roman"/>
          <w:noProof/>
          <w:szCs w:val="24"/>
        </w:rPr>
        <w:t xml:space="preserve">Orr, S. T., Charney, E., Straus, J., &amp; Bloom, B. (1991). Emergency room use by low income children with a regular source of health care. </w:t>
      </w:r>
      <w:r w:rsidRPr="0004596B">
        <w:rPr>
          <w:rFonts w:cs="Times New Roman"/>
          <w:i/>
          <w:iCs/>
          <w:noProof/>
          <w:szCs w:val="24"/>
        </w:rPr>
        <w:t>Medical Care</w:t>
      </w:r>
      <w:r w:rsidRPr="0004596B">
        <w:rPr>
          <w:rFonts w:cs="Times New Roman"/>
          <w:noProof/>
          <w:szCs w:val="24"/>
        </w:rPr>
        <w:t xml:space="preserve">, </w:t>
      </w:r>
      <w:r w:rsidRPr="0004596B">
        <w:rPr>
          <w:rFonts w:cs="Times New Roman"/>
          <w:i/>
          <w:iCs/>
          <w:noProof/>
          <w:szCs w:val="24"/>
        </w:rPr>
        <w:t>29</w:t>
      </w:r>
      <w:r w:rsidRPr="0004596B">
        <w:rPr>
          <w:rFonts w:cs="Times New Roman"/>
          <w:noProof/>
          <w:szCs w:val="24"/>
        </w:rPr>
        <w:t>(3), 283–286. Retrieved from http://www.jstor.org/stable/3766015</w:t>
      </w:r>
    </w:p>
    <w:p w:rsidR="0004596B" w:rsidRPr="0004596B" w:rsidRDefault="0004596B" w:rsidP="0004596B">
      <w:pPr>
        <w:widowControl w:val="0"/>
        <w:autoSpaceDE w:val="0"/>
        <w:autoSpaceDN w:val="0"/>
        <w:adjustRightInd w:val="0"/>
        <w:ind w:left="480" w:hanging="480"/>
        <w:rPr>
          <w:rFonts w:cs="Times New Roman"/>
          <w:noProof/>
        </w:rPr>
      </w:pPr>
      <w:r w:rsidRPr="0004596B">
        <w:rPr>
          <w:rFonts w:cs="Times New Roman"/>
          <w:noProof/>
          <w:szCs w:val="24"/>
        </w:rPr>
        <w:t xml:space="preserve">U.S. Department of Health and Human Services. (1998). </w:t>
      </w:r>
      <w:r w:rsidRPr="0004596B">
        <w:rPr>
          <w:rFonts w:cs="Times New Roman"/>
          <w:i/>
          <w:iCs/>
          <w:noProof/>
          <w:szCs w:val="24"/>
        </w:rPr>
        <w:t>Aid to Families with Dependent Children: The baseline</w:t>
      </w:r>
      <w:r w:rsidRPr="0004596B">
        <w:rPr>
          <w:rFonts w:cs="Times New Roman"/>
          <w:noProof/>
          <w:szCs w:val="24"/>
        </w:rPr>
        <w:t>. Retrieved from https://aspe.hhs.gov/basic-report/aid-families-dependent-children-baseline</w:t>
      </w:r>
    </w:p>
    <w:p w:rsidR="0004596B" w:rsidRDefault="0004596B" w:rsidP="0004596B">
      <w:pPr>
        <w:rPr>
          <w:rFonts w:eastAsia="BatangChe"/>
          <w:szCs w:val="24"/>
        </w:rPr>
      </w:pPr>
      <w:r>
        <w:rPr>
          <w:rFonts w:eastAsia="BatangChe"/>
          <w:szCs w:val="24"/>
        </w:rPr>
        <w:fldChar w:fldCharType="end"/>
      </w:r>
    </w:p>
    <w:sectPr w:rsidR="0004596B" w:rsidSect="001A52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D2" w:rsidRDefault="00A859D2" w:rsidP="009F1FFE">
      <w:r>
        <w:separator/>
      </w:r>
    </w:p>
  </w:endnote>
  <w:endnote w:type="continuationSeparator" w:id="0">
    <w:p w:rsidR="00A859D2" w:rsidRDefault="00A859D2" w:rsidP="009F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D2" w:rsidRDefault="00A859D2" w:rsidP="009F1FFE">
      <w:r>
        <w:separator/>
      </w:r>
    </w:p>
  </w:footnote>
  <w:footnote w:type="continuationSeparator" w:id="0">
    <w:p w:rsidR="00A859D2" w:rsidRDefault="00A859D2" w:rsidP="009F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00826"/>
      <w:docPartObj>
        <w:docPartGallery w:val="Page Numbers (Top of Page)"/>
        <w:docPartUnique/>
      </w:docPartObj>
    </w:sdtPr>
    <w:sdtEndPr>
      <w:rPr>
        <w:noProof/>
      </w:rPr>
    </w:sdtEndPr>
    <w:sdtContent>
      <w:p w:rsidR="009F1FFE" w:rsidRDefault="009F1FFE">
        <w:pPr>
          <w:pStyle w:val="Header"/>
          <w:jc w:val="right"/>
        </w:pPr>
        <w:r>
          <w:fldChar w:fldCharType="begin"/>
        </w:r>
        <w:r>
          <w:instrText xml:space="preserve"> PAGE   \* MERGEFORMAT </w:instrText>
        </w:r>
        <w:r>
          <w:fldChar w:fldCharType="separate"/>
        </w:r>
        <w:r w:rsidR="001F6F13">
          <w:rPr>
            <w:noProof/>
          </w:rPr>
          <w:t>9</w:t>
        </w:r>
        <w:r>
          <w:rPr>
            <w:noProof/>
          </w:rPr>
          <w:fldChar w:fldCharType="end"/>
        </w:r>
      </w:p>
    </w:sdtContent>
  </w:sdt>
  <w:p w:rsidR="009F1FFE" w:rsidRDefault="009F1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83C"/>
    <w:multiLevelType w:val="hybridMultilevel"/>
    <w:tmpl w:val="427E6C44"/>
    <w:lvl w:ilvl="0" w:tplc="ECA050D4">
      <w:start w:val="1"/>
      <w:numFmt w:val="bullet"/>
      <w:lvlText w:val=""/>
      <w:lvlJc w:val="left"/>
      <w:pPr>
        <w:ind w:left="480" w:hanging="360"/>
      </w:pPr>
      <w:rPr>
        <w:rFonts w:ascii="Wingdings" w:eastAsia="Wingdings" w:hAnsi="Wingdings" w:hint="default"/>
        <w:sz w:val="24"/>
        <w:szCs w:val="24"/>
      </w:rPr>
    </w:lvl>
    <w:lvl w:ilvl="1" w:tplc="3E84B8FA">
      <w:start w:val="1"/>
      <w:numFmt w:val="bullet"/>
      <w:lvlText w:val="•"/>
      <w:lvlJc w:val="left"/>
      <w:pPr>
        <w:ind w:left="1462" w:hanging="360"/>
      </w:pPr>
      <w:rPr>
        <w:rFonts w:hint="default"/>
      </w:rPr>
    </w:lvl>
    <w:lvl w:ilvl="2" w:tplc="D93C780C">
      <w:start w:val="1"/>
      <w:numFmt w:val="bullet"/>
      <w:lvlText w:val="•"/>
      <w:lvlJc w:val="left"/>
      <w:pPr>
        <w:ind w:left="2444" w:hanging="360"/>
      </w:pPr>
      <w:rPr>
        <w:rFonts w:hint="default"/>
      </w:rPr>
    </w:lvl>
    <w:lvl w:ilvl="3" w:tplc="E11CA4DC">
      <w:start w:val="1"/>
      <w:numFmt w:val="bullet"/>
      <w:lvlText w:val="•"/>
      <w:lvlJc w:val="left"/>
      <w:pPr>
        <w:ind w:left="3426" w:hanging="360"/>
      </w:pPr>
      <w:rPr>
        <w:rFonts w:hint="default"/>
      </w:rPr>
    </w:lvl>
    <w:lvl w:ilvl="4" w:tplc="13E22E5C">
      <w:start w:val="1"/>
      <w:numFmt w:val="bullet"/>
      <w:lvlText w:val="•"/>
      <w:lvlJc w:val="left"/>
      <w:pPr>
        <w:ind w:left="4408" w:hanging="360"/>
      </w:pPr>
      <w:rPr>
        <w:rFonts w:hint="default"/>
      </w:rPr>
    </w:lvl>
    <w:lvl w:ilvl="5" w:tplc="EDC2CD64">
      <w:start w:val="1"/>
      <w:numFmt w:val="bullet"/>
      <w:lvlText w:val="•"/>
      <w:lvlJc w:val="left"/>
      <w:pPr>
        <w:ind w:left="5390" w:hanging="360"/>
      </w:pPr>
      <w:rPr>
        <w:rFonts w:hint="default"/>
      </w:rPr>
    </w:lvl>
    <w:lvl w:ilvl="6" w:tplc="1C72C12A">
      <w:start w:val="1"/>
      <w:numFmt w:val="bullet"/>
      <w:lvlText w:val="•"/>
      <w:lvlJc w:val="left"/>
      <w:pPr>
        <w:ind w:left="6372" w:hanging="360"/>
      </w:pPr>
      <w:rPr>
        <w:rFonts w:hint="default"/>
      </w:rPr>
    </w:lvl>
    <w:lvl w:ilvl="7" w:tplc="0E32F1B4">
      <w:start w:val="1"/>
      <w:numFmt w:val="bullet"/>
      <w:lvlText w:val="•"/>
      <w:lvlJc w:val="left"/>
      <w:pPr>
        <w:ind w:left="7354" w:hanging="360"/>
      </w:pPr>
      <w:rPr>
        <w:rFonts w:hint="default"/>
      </w:rPr>
    </w:lvl>
    <w:lvl w:ilvl="8" w:tplc="377051D6">
      <w:start w:val="1"/>
      <w:numFmt w:val="bullet"/>
      <w:lvlText w:val="•"/>
      <w:lvlJc w:val="left"/>
      <w:pPr>
        <w:ind w:left="8336" w:hanging="360"/>
      </w:pPr>
      <w:rPr>
        <w:rFonts w:hint="default"/>
      </w:rPr>
    </w:lvl>
  </w:abstractNum>
  <w:abstractNum w:abstractNumId="1" w15:restartNumberingAfterBreak="0">
    <w:nsid w:val="079A4308"/>
    <w:multiLevelType w:val="hybridMultilevel"/>
    <w:tmpl w:val="A4E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EB4"/>
    <w:multiLevelType w:val="hybridMultilevel"/>
    <w:tmpl w:val="2E18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128DF"/>
    <w:multiLevelType w:val="hybridMultilevel"/>
    <w:tmpl w:val="4FCE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5080"/>
    <w:multiLevelType w:val="hybridMultilevel"/>
    <w:tmpl w:val="F49EDA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36D4"/>
    <w:multiLevelType w:val="hybridMultilevel"/>
    <w:tmpl w:val="637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F2742"/>
    <w:multiLevelType w:val="hybridMultilevel"/>
    <w:tmpl w:val="AB2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0CCD"/>
    <w:multiLevelType w:val="multilevel"/>
    <w:tmpl w:val="923ECAA8"/>
    <w:lvl w:ilvl="0">
      <w:numFmt w:val="decimal"/>
      <w:lvlText w:val="%1"/>
      <w:lvlJc w:val="left"/>
      <w:pPr>
        <w:ind w:left="444" w:hanging="444"/>
      </w:pPr>
      <w:rPr>
        <w:rFonts w:hint="default"/>
      </w:rPr>
    </w:lvl>
    <w:lvl w:ilvl="1">
      <w:start w:val="1"/>
      <w:numFmt w:val="decimalZero"/>
      <w:lvlText w:val="%1.%2"/>
      <w:lvlJc w:val="left"/>
      <w:pPr>
        <w:ind w:left="552" w:hanging="444"/>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 w15:restartNumberingAfterBreak="0">
    <w:nsid w:val="27DF51EA"/>
    <w:multiLevelType w:val="hybridMultilevel"/>
    <w:tmpl w:val="8C7C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515B"/>
    <w:multiLevelType w:val="hybridMultilevel"/>
    <w:tmpl w:val="57BAD18A"/>
    <w:lvl w:ilvl="0" w:tplc="F8A692F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D57DE"/>
    <w:multiLevelType w:val="hybridMultilevel"/>
    <w:tmpl w:val="48A09E46"/>
    <w:lvl w:ilvl="0" w:tplc="290AE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11DC"/>
    <w:multiLevelType w:val="hybridMultilevel"/>
    <w:tmpl w:val="139A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32F2"/>
    <w:multiLevelType w:val="hybridMultilevel"/>
    <w:tmpl w:val="E392D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64D81"/>
    <w:multiLevelType w:val="hybridMultilevel"/>
    <w:tmpl w:val="069493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508EC"/>
    <w:multiLevelType w:val="multilevel"/>
    <w:tmpl w:val="CA780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DF169C"/>
    <w:multiLevelType w:val="hybridMultilevel"/>
    <w:tmpl w:val="06E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D1C7E"/>
    <w:multiLevelType w:val="hybridMultilevel"/>
    <w:tmpl w:val="A80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14C"/>
    <w:multiLevelType w:val="hybridMultilevel"/>
    <w:tmpl w:val="4F0E25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3353A"/>
    <w:multiLevelType w:val="hybridMultilevel"/>
    <w:tmpl w:val="7CB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05838"/>
    <w:multiLevelType w:val="hybridMultilevel"/>
    <w:tmpl w:val="6D96ABCA"/>
    <w:lvl w:ilvl="0" w:tplc="FA5C5B4C">
      <w:start w:val="1"/>
      <w:numFmt w:val="decimal"/>
      <w:lvlText w:val="%1."/>
      <w:lvlJc w:val="left"/>
      <w:pPr>
        <w:ind w:left="480" w:hanging="360"/>
      </w:pPr>
      <w:rPr>
        <w:rFonts w:ascii="Times New Roman" w:eastAsia="Times New Roman" w:hAnsi="Times New Roman" w:hint="default"/>
        <w:sz w:val="24"/>
        <w:szCs w:val="24"/>
      </w:rPr>
    </w:lvl>
    <w:lvl w:ilvl="1" w:tplc="D6A8A970">
      <w:start w:val="1"/>
      <w:numFmt w:val="bullet"/>
      <w:lvlText w:val="o"/>
      <w:lvlJc w:val="left"/>
      <w:pPr>
        <w:ind w:left="1200" w:hanging="360"/>
      </w:pPr>
      <w:rPr>
        <w:rFonts w:ascii="Courier New" w:eastAsia="Courier New" w:hAnsi="Courier New" w:hint="default"/>
        <w:sz w:val="24"/>
        <w:szCs w:val="24"/>
      </w:rPr>
    </w:lvl>
    <w:lvl w:ilvl="2" w:tplc="C13C996C">
      <w:start w:val="1"/>
      <w:numFmt w:val="bullet"/>
      <w:lvlText w:val="•"/>
      <w:lvlJc w:val="left"/>
      <w:pPr>
        <w:ind w:left="2211" w:hanging="360"/>
      </w:pPr>
      <w:rPr>
        <w:rFonts w:hint="default"/>
      </w:rPr>
    </w:lvl>
    <w:lvl w:ilvl="3" w:tplc="62024282">
      <w:start w:val="1"/>
      <w:numFmt w:val="bullet"/>
      <w:lvlText w:val="•"/>
      <w:lvlJc w:val="left"/>
      <w:pPr>
        <w:ind w:left="3222" w:hanging="360"/>
      </w:pPr>
      <w:rPr>
        <w:rFonts w:hint="default"/>
      </w:rPr>
    </w:lvl>
    <w:lvl w:ilvl="4" w:tplc="D6146A54">
      <w:start w:val="1"/>
      <w:numFmt w:val="bullet"/>
      <w:lvlText w:val="•"/>
      <w:lvlJc w:val="left"/>
      <w:pPr>
        <w:ind w:left="4233" w:hanging="360"/>
      </w:pPr>
      <w:rPr>
        <w:rFonts w:hint="default"/>
      </w:rPr>
    </w:lvl>
    <w:lvl w:ilvl="5" w:tplc="8B407DB0">
      <w:start w:val="1"/>
      <w:numFmt w:val="bullet"/>
      <w:lvlText w:val="•"/>
      <w:lvlJc w:val="left"/>
      <w:pPr>
        <w:ind w:left="5244" w:hanging="360"/>
      </w:pPr>
      <w:rPr>
        <w:rFonts w:hint="default"/>
      </w:rPr>
    </w:lvl>
    <w:lvl w:ilvl="6" w:tplc="63063FA4">
      <w:start w:val="1"/>
      <w:numFmt w:val="bullet"/>
      <w:lvlText w:val="•"/>
      <w:lvlJc w:val="left"/>
      <w:pPr>
        <w:ind w:left="6255" w:hanging="360"/>
      </w:pPr>
      <w:rPr>
        <w:rFonts w:hint="default"/>
      </w:rPr>
    </w:lvl>
    <w:lvl w:ilvl="7" w:tplc="C5C0FDCE">
      <w:start w:val="1"/>
      <w:numFmt w:val="bullet"/>
      <w:lvlText w:val="•"/>
      <w:lvlJc w:val="left"/>
      <w:pPr>
        <w:ind w:left="7266" w:hanging="360"/>
      </w:pPr>
      <w:rPr>
        <w:rFonts w:hint="default"/>
      </w:rPr>
    </w:lvl>
    <w:lvl w:ilvl="8" w:tplc="528C2C62">
      <w:start w:val="1"/>
      <w:numFmt w:val="bullet"/>
      <w:lvlText w:val="•"/>
      <w:lvlJc w:val="left"/>
      <w:pPr>
        <w:ind w:left="8277" w:hanging="360"/>
      </w:pPr>
      <w:rPr>
        <w:rFonts w:hint="default"/>
      </w:rPr>
    </w:lvl>
  </w:abstractNum>
  <w:abstractNum w:abstractNumId="20" w15:restartNumberingAfterBreak="0">
    <w:nsid w:val="5DBD725E"/>
    <w:multiLevelType w:val="hybridMultilevel"/>
    <w:tmpl w:val="870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51137"/>
    <w:multiLevelType w:val="hybridMultilevel"/>
    <w:tmpl w:val="64E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52C3D"/>
    <w:multiLevelType w:val="hybridMultilevel"/>
    <w:tmpl w:val="C0DC287C"/>
    <w:lvl w:ilvl="0" w:tplc="975E96E2">
      <w:start w:val="1"/>
      <w:numFmt w:val="decimal"/>
      <w:lvlText w:val="%1."/>
      <w:lvlJc w:val="left"/>
      <w:pPr>
        <w:ind w:left="480" w:hanging="360"/>
      </w:pPr>
      <w:rPr>
        <w:rFonts w:ascii="Times New Roman" w:eastAsia="Times New Roman" w:hAnsi="Times New Roman" w:hint="default"/>
        <w:sz w:val="24"/>
        <w:szCs w:val="24"/>
      </w:rPr>
    </w:lvl>
    <w:lvl w:ilvl="1" w:tplc="F8A692FE">
      <w:start w:val="1"/>
      <w:numFmt w:val="bullet"/>
      <w:lvlText w:val="o"/>
      <w:lvlJc w:val="left"/>
      <w:pPr>
        <w:ind w:left="1200" w:hanging="360"/>
      </w:pPr>
      <w:rPr>
        <w:rFonts w:ascii="Courier New" w:eastAsia="Courier New" w:hAnsi="Courier New" w:hint="default"/>
        <w:sz w:val="24"/>
        <w:szCs w:val="24"/>
      </w:rPr>
    </w:lvl>
    <w:lvl w:ilvl="2" w:tplc="89CCBDAA">
      <w:start w:val="1"/>
      <w:numFmt w:val="bullet"/>
      <w:lvlText w:val="•"/>
      <w:lvlJc w:val="left"/>
      <w:pPr>
        <w:ind w:left="2211" w:hanging="360"/>
      </w:pPr>
      <w:rPr>
        <w:rFonts w:hint="default"/>
      </w:rPr>
    </w:lvl>
    <w:lvl w:ilvl="3" w:tplc="C8A612CE">
      <w:start w:val="1"/>
      <w:numFmt w:val="bullet"/>
      <w:lvlText w:val="•"/>
      <w:lvlJc w:val="left"/>
      <w:pPr>
        <w:ind w:left="3222" w:hanging="360"/>
      </w:pPr>
      <w:rPr>
        <w:rFonts w:hint="default"/>
      </w:rPr>
    </w:lvl>
    <w:lvl w:ilvl="4" w:tplc="AE1255E0">
      <w:start w:val="1"/>
      <w:numFmt w:val="bullet"/>
      <w:lvlText w:val="•"/>
      <w:lvlJc w:val="left"/>
      <w:pPr>
        <w:ind w:left="4233" w:hanging="360"/>
      </w:pPr>
      <w:rPr>
        <w:rFonts w:hint="default"/>
      </w:rPr>
    </w:lvl>
    <w:lvl w:ilvl="5" w:tplc="D7D6A6C6">
      <w:start w:val="1"/>
      <w:numFmt w:val="bullet"/>
      <w:lvlText w:val="•"/>
      <w:lvlJc w:val="left"/>
      <w:pPr>
        <w:ind w:left="5244" w:hanging="360"/>
      </w:pPr>
      <w:rPr>
        <w:rFonts w:hint="default"/>
      </w:rPr>
    </w:lvl>
    <w:lvl w:ilvl="6" w:tplc="97AE5468">
      <w:start w:val="1"/>
      <w:numFmt w:val="bullet"/>
      <w:lvlText w:val="•"/>
      <w:lvlJc w:val="left"/>
      <w:pPr>
        <w:ind w:left="6255" w:hanging="360"/>
      </w:pPr>
      <w:rPr>
        <w:rFonts w:hint="default"/>
      </w:rPr>
    </w:lvl>
    <w:lvl w:ilvl="7" w:tplc="8980606A">
      <w:start w:val="1"/>
      <w:numFmt w:val="bullet"/>
      <w:lvlText w:val="•"/>
      <w:lvlJc w:val="left"/>
      <w:pPr>
        <w:ind w:left="7266" w:hanging="360"/>
      </w:pPr>
      <w:rPr>
        <w:rFonts w:hint="default"/>
      </w:rPr>
    </w:lvl>
    <w:lvl w:ilvl="8" w:tplc="3EC0C146">
      <w:start w:val="1"/>
      <w:numFmt w:val="bullet"/>
      <w:lvlText w:val="•"/>
      <w:lvlJc w:val="left"/>
      <w:pPr>
        <w:ind w:left="8277" w:hanging="360"/>
      </w:pPr>
      <w:rPr>
        <w:rFonts w:hint="default"/>
      </w:rPr>
    </w:lvl>
  </w:abstractNum>
  <w:abstractNum w:abstractNumId="23" w15:restartNumberingAfterBreak="0">
    <w:nsid w:val="6ED6616A"/>
    <w:multiLevelType w:val="multilevel"/>
    <w:tmpl w:val="362E0C3C"/>
    <w:styleLink w:val="Style1"/>
    <w:lvl w:ilvl="0">
      <w:start w:val="1"/>
      <w:numFmt w:val="none"/>
      <w:lvlText w:val="Level 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15:restartNumberingAfterBreak="0">
    <w:nsid w:val="700D010A"/>
    <w:multiLevelType w:val="hybridMultilevel"/>
    <w:tmpl w:val="07521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0C97"/>
    <w:multiLevelType w:val="hybridMultilevel"/>
    <w:tmpl w:val="63E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3017"/>
    <w:multiLevelType w:val="hybridMultilevel"/>
    <w:tmpl w:val="35E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20001"/>
    <w:multiLevelType w:val="hybridMultilevel"/>
    <w:tmpl w:val="C47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72EA4"/>
    <w:multiLevelType w:val="hybridMultilevel"/>
    <w:tmpl w:val="133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0DBF"/>
    <w:multiLevelType w:val="hybridMultilevel"/>
    <w:tmpl w:val="306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9463F"/>
    <w:multiLevelType w:val="hybridMultilevel"/>
    <w:tmpl w:val="2F9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2"/>
  </w:num>
  <w:num w:numId="4">
    <w:abstractNumId w:val="16"/>
  </w:num>
  <w:num w:numId="5">
    <w:abstractNumId w:val="18"/>
  </w:num>
  <w:num w:numId="6">
    <w:abstractNumId w:val="29"/>
  </w:num>
  <w:num w:numId="7">
    <w:abstractNumId w:val="15"/>
  </w:num>
  <w:num w:numId="8">
    <w:abstractNumId w:val="5"/>
  </w:num>
  <w:num w:numId="9">
    <w:abstractNumId w:val="17"/>
  </w:num>
  <w:num w:numId="10">
    <w:abstractNumId w:val="24"/>
  </w:num>
  <w:num w:numId="11">
    <w:abstractNumId w:val="13"/>
  </w:num>
  <w:num w:numId="12">
    <w:abstractNumId w:val="19"/>
  </w:num>
  <w:num w:numId="13">
    <w:abstractNumId w:val="0"/>
  </w:num>
  <w:num w:numId="14">
    <w:abstractNumId w:val="22"/>
  </w:num>
  <w:num w:numId="15">
    <w:abstractNumId w:val="9"/>
  </w:num>
  <w:num w:numId="16">
    <w:abstractNumId w:val="2"/>
  </w:num>
  <w:num w:numId="17">
    <w:abstractNumId w:val="1"/>
  </w:num>
  <w:num w:numId="18">
    <w:abstractNumId w:val="26"/>
  </w:num>
  <w:num w:numId="19">
    <w:abstractNumId w:val="23"/>
  </w:num>
  <w:num w:numId="20">
    <w:abstractNumId w:val="10"/>
  </w:num>
  <w:num w:numId="21">
    <w:abstractNumId w:val="21"/>
  </w:num>
  <w:num w:numId="22">
    <w:abstractNumId w:val="4"/>
  </w:num>
  <w:num w:numId="23">
    <w:abstractNumId w:val="7"/>
  </w:num>
  <w:num w:numId="24">
    <w:abstractNumId w:val="8"/>
  </w:num>
  <w:num w:numId="25">
    <w:abstractNumId w:val="25"/>
  </w:num>
  <w:num w:numId="26">
    <w:abstractNumId w:val="11"/>
  </w:num>
  <w:num w:numId="27">
    <w:abstractNumId w:val="28"/>
  </w:num>
  <w:num w:numId="28">
    <w:abstractNumId w:val="3"/>
  </w:num>
  <w:num w:numId="29">
    <w:abstractNumId w:val="6"/>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0MDc2BlLGlpYmlko6SsGpxcWZ+XkgBYa1AOD/scQsAAAA"/>
  </w:docVars>
  <w:rsids>
    <w:rsidRoot w:val="007D296F"/>
    <w:rsid w:val="0004596B"/>
    <w:rsid w:val="0008526E"/>
    <w:rsid w:val="001169A8"/>
    <w:rsid w:val="0012321F"/>
    <w:rsid w:val="00165694"/>
    <w:rsid w:val="001A52E2"/>
    <w:rsid w:val="001D4AA9"/>
    <w:rsid w:val="001E0842"/>
    <w:rsid w:val="001F6F13"/>
    <w:rsid w:val="00203ADB"/>
    <w:rsid w:val="003518F7"/>
    <w:rsid w:val="00390197"/>
    <w:rsid w:val="003C2F1A"/>
    <w:rsid w:val="003F7F17"/>
    <w:rsid w:val="00483E20"/>
    <w:rsid w:val="004B22EE"/>
    <w:rsid w:val="0051110D"/>
    <w:rsid w:val="0052656D"/>
    <w:rsid w:val="0058241B"/>
    <w:rsid w:val="00601241"/>
    <w:rsid w:val="00676D5E"/>
    <w:rsid w:val="00696826"/>
    <w:rsid w:val="006A38F9"/>
    <w:rsid w:val="006E309F"/>
    <w:rsid w:val="006F0C21"/>
    <w:rsid w:val="006F524F"/>
    <w:rsid w:val="007241F9"/>
    <w:rsid w:val="007D296F"/>
    <w:rsid w:val="0083094D"/>
    <w:rsid w:val="008B71B9"/>
    <w:rsid w:val="008C6B7D"/>
    <w:rsid w:val="00923778"/>
    <w:rsid w:val="00925219"/>
    <w:rsid w:val="0097035B"/>
    <w:rsid w:val="00971EAF"/>
    <w:rsid w:val="009C0A51"/>
    <w:rsid w:val="009F1FFE"/>
    <w:rsid w:val="00A21FAC"/>
    <w:rsid w:val="00A34F7E"/>
    <w:rsid w:val="00A55FE5"/>
    <w:rsid w:val="00A859D2"/>
    <w:rsid w:val="00AC52D4"/>
    <w:rsid w:val="00B86811"/>
    <w:rsid w:val="00BC15D5"/>
    <w:rsid w:val="00BC56A2"/>
    <w:rsid w:val="00CD0B5F"/>
    <w:rsid w:val="00CE4ABC"/>
    <w:rsid w:val="00D52772"/>
    <w:rsid w:val="00D97C85"/>
    <w:rsid w:val="00DC125D"/>
    <w:rsid w:val="00E33D47"/>
    <w:rsid w:val="00E7321F"/>
    <w:rsid w:val="00EA4280"/>
    <w:rsid w:val="00EB5C05"/>
    <w:rsid w:val="00EE4ECD"/>
    <w:rsid w:val="00EE519C"/>
    <w:rsid w:val="00F538AC"/>
    <w:rsid w:val="00F65077"/>
    <w:rsid w:val="00F753F7"/>
    <w:rsid w:val="00F875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C88A"/>
  <w15:chartTrackingRefBased/>
  <w15:docId w15:val="{6F525249-C287-4393-AA37-E0D61897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8F7"/>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aliases w:val="Dissertation Heading 2"/>
    <w:basedOn w:val="Normal"/>
    <w:next w:val="Normal"/>
    <w:link w:val="Heading2Char"/>
    <w:uiPriority w:val="9"/>
    <w:unhideWhenUsed/>
    <w:qFormat/>
    <w:rsid w:val="003518F7"/>
    <w:pPr>
      <w:keepNext/>
      <w:keepLines/>
      <w:spacing w:before="200" w:line="276" w:lineRule="auto"/>
      <w:outlineLvl w:val="1"/>
    </w:pPr>
    <w:rPr>
      <w:rFonts w:eastAsia="Times New Roman" w:cs="Times New Roman"/>
      <w:b/>
      <w:bCs/>
      <w:sz w:val="36"/>
      <w:szCs w:val="26"/>
      <w:lang w:eastAsia="en-US"/>
    </w:rPr>
  </w:style>
  <w:style w:type="paragraph" w:styleId="Heading3">
    <w:name w:val="heading 3"/>
    <w:basedOn w:val="Normal"/>
    <w:next w:val="Normal"/>
    <w:link w:val="Heading3Char"/>
    <w:uiPriority w:val="9"/>
    <w:unhideWhenUsed/>
    <w:qFormat/>
    <w:rsid w:val="003518F7"/>
    <w:pPr>
      <w:keepNext/>
      <w:keepLines/>
      <w:spacing w:before="200" w:line="276" w:lineRule="auto"/>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uiPriority w:val="9"/>
    <w:unhideWhenUsed/>
    <w:qFormat/>
    <w:rsid w:val="003518F7"/>
    <w:pPr>
      <w:keepNext/>
      <w:spacing w:before="240" w:after="60" w:line="276" w:lineRule="auto"/>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unhideWhenUsed/>
    <w:qFormat/>
    <w:rsid w:val="003518F7"/>
    <w:pPr>
      <w:keepNext/>
      <w:keepLines/>
      <w:spacing w:before="40"/>
      <w:outlineLvl w:val="4"/>
    </w:pPr>
    <w:rPr>
      <w:rFonts w:ascii="Calibri Light" w:eastAsia="Malgun Gothic"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F6"/>
    <w:pPr>
      <w:ind w:left="720"/>
      <w:contextualSpacing/>
    </w:pPr>
  </w:style>
  <w:style w:type="table" w:customStyle="1" w:styleId="TableGrid1">
    <w:name w:val="Table Grid1"/>
    <w:basedOn w:val="TableNormal"/>
    <w:next w:val="TableGrid"/>
    <w:uiPriority w:val="39"/>
    <w:rsid w:val="00F875F6"/>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75F6"/>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8F7"/>
    <w:rPr>
      <w:rFonts w:ascii="Cambria" w:eastAsia="Times New Roman" w:hAnsi="Cambria" w:cs="Times New Roman"/>
      <w:b/>
      <w:bCs/>
      <w:color w:val="365F91"/>
      <w:sz w:val="28"/>
      <w:szCs w:val="28"/>
      <w:lang w:eastAsia="en-US"/>
    </w:rPr>
  </w:style>
  <w:style w:type="character" w:customStyle="1" w:styleId="Heading2Char">
    <w:name w:val="Heading 2 Char"/>
    <w:aliases w:val="Dissertation Heading 2 Char"/>
    <w:basedOn w:val="DefaultParagraphFont"/>
    <w:link w:val="Heading2"/>
    <w:uiPriority w:val="9"/>
    <w:rsid w:val="003518F7"/>
    <w:rPr>
      <w:rFonts w:eastAsia="Times New Roman" w:cs="Times New Roman"/>
      <w:b/>
      <w:bCs/>
      <w:sz w:val="36"/>
      <w:szCs w:val="26"/>
      <w:lang w:eastAsia="en-US"/>
    </w:rPr>
  </w:style>
  <w:style w:type="character" w:customStyle="1" w:styleId="Heading3Char">
    <w:name w:val="Heading 3 Char"/>
    <w:basedOn w:val="DefaultParagraphFont"/>
    <w:link w:val="Heading3"/>
    <w:uiPriority w:val="9"/>
    <w:rsid w:val="003518F7"/>
    <w:rPr>
      <w:rFonts w:ascii="Cambria" w:eastAsia="Times New Roman" w:hAnsi="Cambria" w:cs="Times New Roman"/>
      <w:b/>
      <w:bCs/>
      <w:color w:val="4F81BD"/>
      <w:lang w:eastAsia="en-US"/>
    </w:rPr>
  </w:style>
  <w:style w:type="character" w:customStyle="1" w:styleId="Heading4Char">
    <w:name w:val="Heading 4 Char"/>
    <w:basedOn w:val="DefaultParagraphFont"/>
    <w:link w:val="Heading4"/>
    <w:uiPriority w:val="9"/>
    <w:rsid w:val="003518F7"/>
    <w:rPr>
      <w:rFonts w:asciiTheme="minorHAnsi" w:hAnsiTheme="minorHAnsi"/>
      <w:b/>
      <w:bCs/>
      <w:sz w:val="28"/>
      <w:szCs w:val="28"/>
      <w:lang w:eastAsia="en-US"/>
    </w:rPr>
  </w:style>
  <w:style w:type="character" w:customStyle="1" w:styleId="Heading5Char">
    <w:name w:val="Heading 5 Char"/>
    <w:basedOn w:val="DefaultParagraphFont"/>
    <w:link w:val="Heading5"/>
    <w:uiPriority w:val="9"/>
    <w:rsid w:val="003518F7"/>
    <w:rPr>
      <w:rFonts w:ascii="Calibri Light" w:eastAsia="Malgun Gothic" w:hAnsi="Calibri Light" w:cs="Times New Roman"/>
      <w:color w:val="2E74B5"/>
    </w:rPr>
  </w:style>
  <w:style w:type="character" w:styleId="Hyperlink">
    <w:name w:val="Hyperlink"/>
    <w:basedOn w:val="DefaultParagraphFont"/>
    <w:uiPriority w:val="99"/>
    <w:unhideWhenUsed/>
    <w:rsid w:val="003518F7"/>
    <w:rPr>
      <w:color w:val="0563C1" w:themeColor="hyperlink"/>
      <w:u w:val="single"/>
    </w:rPr>
  </w:style>
  <w:style w:type="paragraph" w:customStyle="1" w:styleId="NormalJustifiedLinespacingsingle">
    <w:name w:val="Normal + Justified Line spacing:  single"/>
    <w:basedOn w:val="Normal"/>
    <w:semiHidden/>
    <w:rsid w:val="003518F7"/>
    <w:pPr>
      <w:spacing w:before="240" w:after="120" w:line="480" w:lineRule="auto"/>
      <w:jc w:val="both"/>
      <w:outlineLvl w:val="0"/>
    </w:pPr>
    <w:rPr>
      <w:rFonts w:eastAsia="Times New Roman" w:cs="Times New Roman"/>
      <w:bCs/>
      <w:kern w:val="24"/>
      <w:szCs w:val="20"/>
      <w:lang w:eastAsia="en-US"/>
    </w:rPr>
  </w:style>
  <w:style w:type="paragraph" w:customStyle="1" w:styleId="DissertationHeading1">
    <w:name w:val="Dissertation Heading 1"/>
    <w:basedOn w:val="Heading1"/>
    <w:next w:val="Normal"/>
    <w:link w:val="DissertationHeading1Char"/>
    <w:qFormat/>
    <w:rsid w:val="003518F7"/>
    <w:pPr>
      <w:jc w:val="center"/>
    </w:pPr>
    <w:rPr>
      <w:rFonts w:ascii="Times New Roman" w:hAnsi="Times New Roman"/>
      <w:color w:val="auto"/>
      <w:sz w:val="48"/>
      <w:szCs w:val="48"/>
      <w:u w:val="single"/>
    </w:rPr>
  </w:style>
  <w:style w:type="paragraph" w:customStyle="1" w:styleId="StyleStyleJustifiedLinespacing15linesGaramondBold">
    <w:name w:val="Style Style Justified Line spacing:  1.5 lines + Garamond Bold"/>
    <w:basedOn w:val="Normal"/>
    <w:link w:val="StyleStyleJustifiedLinespacing15linesGaramondBoldChar"/>
    <w:rsid w:val="003518F7"/>
    <w:pPr>
      <w:jc w:val="both"/>
    </w:pPr>
    <w:rPr>
      <w:rFonts w:ascii="Garamond" w:eastAsia="Times New Roman" w:hAnsi="Garamond" w:cs="Times New Roman"/>
      <w:b/>
      <w:bCs/>
      <w:szCs w:val="20"/>
      <w:lang w:eastAsia="en-US"/>
    </w:rPr>
  </w:style>
  <w:style w:type="character" w:customStyle="1" w:styleId="DissertationHeading1Char">
    <w:name w:val="Dissertation Heading 1 Char"/>
    <w:link w:val="DissertationHeading1"/>
    <w:rsid w:val="003518F7"/>
    <w:rPr>
      <w:rFonts w:eastAsia="Times New Roman" w:cs="Times New Roman"/>
      <w:b/>
      <w:bCs/>
      <w:sz w:val="48"/>
      <w:szCs w:val="48"/>
      <w:u w:val="single"/>
      <w:lang w:eastAsia="en-US"/>
    </w:rPr>
  </w:style>
  <w:style w:type="character" w:customStyle="1" w:styleId="StyleStyleJustifiedLinespacing15linesGaramondBoldChar">
    <w:name w:val="Style Style Justified Line spacing:  1.5 lines + Garamond Bold Char"/>
    <w:link w:val="StyleStyleJustifiedLinespacing15linesGaramondBold"/>
    <w:rsid w:val="003518F7"/>
    <w:rPr>
      <w:rFonts w:ascii="Garamond" w:eastAsia="Times New Roman" w:hAnsi="Garamond" w:cs="Times New Roman"/>
      <w:b/>
      <w:bCs/>
      <w:szCs w:val="20"/>
      <w:lang w:eastAsia="en-US"/>
    </w:rPr>
  </w:style>
  <w:style w:type="paragraph" w:styleId="BodyText">
    <w:name w:val="Body Text"/>
    <w:basedOn w:val="Normal"/>
    <w:link w:val="BodyTextChar"/>
    <w:rsid w:val="003518F7"/>
    <w:pPr>
      <w:widowControl w:val="0"/>
      <w:tabs>
        <w:tab w:val="center" w:pos="4680"/>
      </w:tabs>
      <w:suppressAutoHyphens/>
    </w:pPr>
    <w:rPr>
      <w:rFonts w:eastAsia="Times New Roman" w:cs="Times New Roman"/>
      <w:snapToGrid w:val="0"/>
      <w:szCs w:val="20"/>
      <w:lang w:eastAsia="en-US"/>
    </w:rPr>
  </w:style>
  <w:style w:type="character" w:customStyle="1" w:styleId="BodyTextChar">
    <w:name w:val="Body Text Char"/>
    <w:basedOn w:val="DefaultParagraphFont"/>
    <w:link w:val="BodyText"/>
    <w:rsid w:val="003518F7"/>
    <w:rPr>
      <w:rFonts w:eastAsia="Times New Roman" w:cs="Times New Roman"/>
      <w:snapToGrid w:val="0"/>
      <w:szCs w:val="20"/>
      <w:lang w:eastAsia="en-US"/>
    </w:rPr>
  </w:style>
  <w:style w:type="paragraph" w:customStyle="1" w:styleId="DissertationHeading3">
    <w:name w:val="Dissertation Heading 3"/>
    <w:basedOn w:val="Heading2"/>
    <w:link w:val="DissertationHeading3Char"/>
    <w:qFormat/>
    <w:rsid w:val="003518F7"/>
    <w:rPr>
      <w:sz w:val="28"/>
      <w:szCs w:val="28"/>
    </w:rPr>
  </w:style>
  <w:style w:type="paragraph" w:customStyle="1" w:styleId="Heading3DissertationHeading3">
    <w:name w:val="Heading 3 Dissertation Heading 3"/>
    <w:basedOn w:val="DissertationHeading3"/>
    <w:next w:val="Normal"/>
    <w:link w:val="Heading3DissertationHeading3Char"/>
    <w:qFormat/>
    <w:rsid w:val="003518F7"/>
  </w:style>
  <w:style w:type="character" w:customStyle="1" w:styleId="DissertationHeading3Char">
    <w:name w:val="Dissertation Heading 3 Char"/>
    <w:link w:val="DissertationHeading3"/>
    <w:rsid w:val="003518F7"/>
    <w:rPr>
      <w:rFonts w:eastAsia="Times New Roman" w:cs="Times New Roman"/>
      <w:b/>
      <w:bCs/>
      <w:sz w:val="28"/>
      <w:szCs w:val="28"/>
      <w:lang w:eastAsia="en-US"/>
    </w:rPr>
  </w:style>
  <w:style w:type="character" w:customStyle="1" w:styleId="Heading3DissertationHeading3Char">
    <w:name w:val="Heading 3 Dissertation Heading 3 Char"/>
    <w:link w:val="Heading3DissertationHeading3"/>
    <w:rsid w:val="003518F7"/>
    <w:rPr>
      <w:rFonts w:eastAsia="Times New Roman" w:cs="Times New Roman"/>
      <w:b/>
      <w:bCs/>
      <w:sz w:val="28"/>
      <w:szCs w:val="28"/>
      <w:lang w:eastAsia="en-US"/>
    </w:rPr>
  </w:style>
  <w:style w:type="paragraph" w:styleId="BalloonText">
    <w:name w:val="Balloon Text"/>
    <w:basedOn w:val="Normal"/>
    <w:link w:val="BalloonTextChar"/>
    <w:uiPriority w:val="99"/>
    <w:semiHidden/>
    <w:unhideWhenUsed/>
    <w:rsid w:val="003518F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3518F7"/>
    <w:rPr>
      <w:rFonts w:ascii="Tahoma" w:eastAsia="Calibri" w:hAnsi="Tahoma" w:cs="Tahoma"/>
      <w:sz w:val="16"/>
      <w:szCs w:val="16"/>
      <w:lang w:eastAsia="en-US"/>
    </w:rPr>
  </w:style>
  <w:style w:type="paragraph" w:styleId="TOCHeading">
    <w:name w:val="TOC Heading"/>
    <w:basedOn w:val="Heading1"/>
    <w:next w:val="Normal"/>
    <w:uiPriority w:val="39"/>
    <w:unhideWhenUsed/>
    <w:qFormat/>
    <w:rsid w:val="003518F7"/>
    <w:pPr>
      <w:outlineLvl w:val="9"/>
    </w:pPr>
    <w:rPr>
      <w:lang w:eastAsia="ja-JP"/>
    </w:rPr>
  </w:style>
  <w:style w:type="paragraph" w:styleId="TOC2">
    <w:name w:val="toc 2"/>
    <w:basedOn w:val="Normal"/>
    <w:next w:val="Normal"/>
    <w:autoRedefine/>
    <w:uiPriority w:val="39"/>
    <w:unhideWhenUsed/>
    <w:qFormat/>
    <w:rsid w:val="003518F7"/>
    <w:pPr>
      <w:spacing w:after="100" w:line="276" w:lineRule="auto"/>
      <w:ind w:left="220"/>
    </w:pPr>
    <w:rPr>
      <w:rFonts w:eastAsia="Times New Roman" w:cs="Times New Roman"/>
      <w:lang w:eastAsia="ja-JP"/>
    </w:rPr>
  </w:style>
  <w:style w:type="paragraph" w:styleId="TOC1">
    <w:name w:val="toc 1"/>
    <w:aliases w:val="Guide TOC"/>
    <w:basedOn w:val="Normal"/>
    <w:next w:val="Normal"/>
    <w:autoRedefine/>
    <w:uiPriority w:val="39"/>
    <w:unhideWhenUsed/>
    <w:qFormat/>
    <w:rsid w:val="003518F7"/>
    <w:pPr>
      <w:tabs>
        <w:tab w:val="right" w:leader="dot" w:pos="9350"/>
      </w:tabs>
      <w:spacing w:after="100" w:line="276" w:lineRule="auto"/>
    </w:pPr>
    <w:rPr>
      <w:rFonts w:eastAsia="Times New Roman" w:cs="Times New Roman"/>
      <w:lang w:eastAsia="ja-JP"/>
    </w:rPr>
  </w:style>
  <w:style w:type="paragraph" w:styleId="TOC3">
    <w:name w:val="toc 3"/>
    <w:basedOn w:val="Normal"/>
    <w:next w:val="Normal"/>
    <w:autoRedefine/>
    <w:uiPriority w:val="39"/>
    <w:unhideWhenUsed/>
    <w:qFormat/>
    <w:rsid w:val="003518F7"/>
    <w:pPr>
      <w:spacing w:after="100" w:line="276" w:lineRule="auto"/>
      <w:ind w:left="440"/>
    </w:pPr>
    <w:rPr>
      <w:rFonts w:eastAsia="Times New Roman" w:cs="Times New Roman"/>
      <w:sz w:val="22"/>
      <w:lang w:eastAsia="ja-JP"/>
    </w:rPr>
  </w:style>
  <w:style w:type="paragraph" w:customStyle="1" w:styleId="TableParagraph">
    <w:name w:val="Table Paragraph"/>
    <w:basedOn w:val="Normal"/>
    <w:uiPriority w:val="1"/>
    <w:qFormat/>
    <w:rsid w:val="003518F7"/>
    <w:pPr>
      <w:widowControl w:val="0"/>
    </w:pPr>
    <w:rPr>
      <w:rFonts w:ascii="Calibri" w:eastAsia="Calibri" w:hAnsi="Calibri" w:cs="Times New Roman"/>
      <w:sz w:val="22"/>
      <w:lang w:eastAsia="en-US"/>
    </w:rPr>
  </w:style>
  <w:style w:type="paragraph" w:styleId="FootnoteText">
    <w:name w:val="footnote text"/>
    <w:basedOn w:val="Normal"/>
    <w:link w:val="FootnoteTextChar"/>
    <w:uiPriority w:val="99"/>
    <w:semiHidden/>
    <w:unhideWhenUsed/>
    <w:rsid w:val="003518F7"/>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3518F7"/>
    <w:rPr>
      <w:rFonts w:eastAsia="Calibri" w:cs="Times New Roman"/>
      <w:sz w:val="20"/>
      <w:szCs w:val="20"/>
      <w:lang w:eastAsia="en-US"/>
    </w:rPr>
  </w:style>
  <w:style w:type="character" w:styleId="FootnoteReference">
    <w:name w:val="footnote reference"/>
    <w:uiPriority w:val="99"/>
    <w:semiHidden/>
    <w:unhideWhenUsed/>
    <w:rsid w:val="003518F7"/>
    <w:rPr>
      <w:vertAlign w:val="superscript"/>
    </w:rPr>
  </w:style>
  <w:style w:type="paragraph" w:styleId="Header">
    <w:name w:val="header"/>
    <w:basedOn w:val="Normal"/>
    <w:link w:val="HeaderChar"/>
    <w:uiPriority w:val="99"/>
    <w:unhideWhenUsed/>
    <w:rsid w:val="003518F7"/>
    <w:pPr>
      <w:tabs>
        <w:tab w:val="center" w:pos="4680"/>
        <w:tab w:val="right" w:pos="9360"/>
      </w:tabs>
    </w:pPr>
    <w:rPr>
      <w:rFonts w:eastAsia="Calibri" w:cs="Times New Roman"/>
      <w:lang w:eastAsia="en-US"/>
    </w:rPr>
  </w:style>
  <w:style w:type="character" w:customStyle="1" w:styleId="HeaderChar">
    <w:name w:val="Header Char"/>
    <w:basedOn w:val="DefaultParagraphFont"/>
    <w:link w:val="Header"/>
    <w:uiPriority w:val="99"/>
    <w:rsid w:val="003518F7"/>
    <w:rPr>
      <w:rFonts w:eastAsia="Calibri" w:cs="Times New Roman"/>
      <w:lang w:eastAsia="en-US"/>
    </w:rPr>
  </w:style>
  <w:style w:type="paragraph" w:styleId="Footer">
    <w:name w:val="footer"/>
    <w:basedOn w:val="Normal"/>
    <w:link w:val="FooterChar"/>
    <w:uiPriority w:val="99"/>
    <w:unhideWhenUsed/>
    <w:rsid w:val="003518F7"/>
    <w:pPr>
      <w:tabs>
        <w:tab w:val="center" w:pos="4680"/>
        <w:tab w:val="right" w:pos="9360"/>
      </w:tabs>
    </w:pPr>
    <w:rPr>
      <w:rFonts w:eastAsia="Calibri" w:cs="Times New Roman"/>
      <w:lang w:eastAsia="en-US"/>
    </w:rPr>
  </w:style>
  <w:style w:type="character" w:customStyle="1" w:styleId="FooterChar">
    <w:name w:val="Footer Char"/>
    <w:basedOn w:val="DefaultParagraphFont"/>
    <w:link w:val="Footer"/>
    <w:uiPriority w:val="99"/>
    <w:rsid w:val="003518F7"/>
    <w:rPr>
      <w:rFonts w:eastAsia="Calibri" w:cs="Times New Roman"/>
      <w:lang w:eastAsia="en-US"/>
    </w:rPr>
  </w:style>
  <w:style w:type="paragraph" w:styleId="TOC9">
    <w:name w:val="toc 9"/>
    <w:basedOn w:val="Normal"/>
    <w:next w:val="Normal"/>
    <w:autoRedefine/>
    <w:uiPriority w:val="39"/>
    <w:semiHidden/>
    <w:unhideWhenUsed/>
    <w:rsid w:val="003518F7"/>
    <w:pPr>
      <w:spacing w:after="100" w:line="276" w:lineRule="auto"/>
      <w:ind w:left="1920"/>
    </w:pPr>
    <w:rPr>
      <w:rFonts w:eastAsia="Calibri" w:cs="Times New Roman"/>
      <w:lang w:eastAsia="en-US"/>
    </w:rPr>
  </w:style>
  <w:style w:type="paragraph" w:styleId="Title">
    <w:name w:val="Title"/>
    <w:basedOn w:val="Normal"/>
    <w:next w:val="Normal"/>
    <w:link w:val="TitleChar"/>
    <w:uiPriority w:val="10"/>
    <w:qFormat/>
    <w:rsid w:val="003518F7"/>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3518F7"/>
    <w:rPr>
      <w:rFonts w:ascii="Cambria" w:eastAsia="Times New Roman" w:hAnsi="Cambria" w:cs="Times New Roman"/>
      <w:color w:val="17365D"/>
      <w:spacing w:val="5"/>
      <w:kern w:val="28"/>
      <w:sz w:val="52"/>
      <w:szCs w:val="52"/>
      <w:lang w:eastAsia="en-US"/>
    </w:rPr>
  </w:style>
  <w:style w:type="paragraph" w:customStyle="1" w:styleId="DissTOCHeading">
    <w:name w:val="Diss. TOC Heading"/>
    <w:basedOn w:val="DissertationHeading1"/>
    <w:link w:val="DissTOCHeadingChar"/>
    <w:qFormat/>
    <w:rsid w:val="003518F7"/>
  </w:style>
  <w:style w:type="character" w:customStyle="1" w:styleId="DissTOCHeadingChar">
    <w:name w:val="Diss. TOC Heading Char"/>
    <w:link w:val="DissTOCHeading"/>
    <w:rsid w:val="003518F7"/>
    <w:rPr>
      <w:rFonts w:eastAsia="Times New Roman" w:cs="Times New Roman"/>
      <w:b/>
      <w:bCs/>
      <w:sz w:val="48"/>
      <w:szCs w:val="48"/>
      <w:u w:val="single"/>
      <w:lang w:eastAsia="en-US"/>
    </w:rPr>
  </w:style>
  <w:style w:type="paragraph" w:customStyle="1" w:styleId="Default">
    <w:name w:val="Default"/>
    <w:rsid w:val="003518F7"/>
    <w:pPr>
      <w:autoSpaceDE w:val="0"/>
      <w:autoSpaceDN w:val="0"/>
      <w:adjustRightInd w:val="0"/>
    </w:pPr>
    <w:rPr>
      <w:rFonts w:eastAsia="Calibri" w:cs="Times New Roman"/>
      <w:color w:val="000000"/>
      <w:szCs w:val="24"/>
      <w:lang w:eastAsia="en-US"/>
    </w:rPr>
  </w:style>
  <w:style w:type="paragraph" w:styleId="NoSpacing">
    <w:name w:val="No Spacing"/>
    <w:uiPriority w:val="1"/>
    <w:qFormat/>
    <w:rsid w:val="003518F7"/>
    <w:rPr>
      <w:rFonts w:eastAsia="Calibri" w:cs="Times New Roman"/>
      <w:lang w:eastAsia="en-US"/>
    </w:rPr>
  </w:style>
  <w:style w:type="character" w:styleId="FollowedHyperlink">
    <w:name w:val="FollowedHyperlink"/>
    <w:uiPriority w:val="99"/>
    <w:semiHidden/>
    <w:unhideWhenUsed/>
    <w:rsid w:val="003518F7"/>
    <w:rPr>
      <w:color w:val="800080"/>
      <w:u w:val="single"/>
    </w:rPr>
  </w:style>
  <w:style w:type="character" w:styleId="CommentReference">
    <w:name w:val="annotation reference"/>
    <w:uiPriority w:val="99"/>
    <w:semiHidden/>
    <w:unhideWhenUsed/>
    <w:rsid w:val="003518F7"/>
    <w:rPr>
      <w:sz w:val="16"/>
      <w:szCs w:val="16"/>
    </w:rPr>
  </w:style>
  <w:style w:type="paragraph" w:styleId="CommentText">
    <w:name w:val="annotation text"/>
    <w:basedOn w:val="Normal"/>
    <w:link w:val="CommentTextChar"/>
    <w:uiPriority w:val="99"/>
    <w:unhideWhenUsed/>
    <w:rsid w:val="003518F7"/>
    <w:pPr>
      <w:spacing w:after="200"/>
    </w:pPr>
    <w:rPr>
      <w:rFonts w:eastAsia="Calibri" w:cs="Times New Roman"/>
      <w:sz w:val="20"/>
      <w:szCs w:val="20"/>
      <w:lang w:eastAsia="en-US"/>
    </w:rPr>
  </w:style>
  <w:style w:type="character" w:customStyle="1" w:styleId="CommentTextChar">
    <w:name w:val="Comment Text Char"/>
    <w:basedOn w:val="DefaultParagraphFont"/>
    <w:link w:val="CommentText"/>
    <w:uiPriority w:val="99"/>
    <w:rsid w:val="003518F7"/>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18F7"/>
    <w:rPr>
      <w:b/>
      <w:bCs/>
    </w:rPr>
  </w:style>
  <w:style w:type="character" w:customStyle="1" w:styleId="CommentSubjectChar">
    <w:name w:val="Comment Subject Char"/>
    <w:basedOn w:val="CommentTextChar"/>
    <w:link w:val="CommentSubject"/>
    <w:uiPriority w:val="99"/>
    <w:semiHidden/>
    <w:rsid w:val="003518F7"/>
    <w:rPr>
      <w:rFonts w:eastAsia="Calibri" w:cs="Times New Roman"/>
      <w:b/>
      <w:bCs/>
      <w:sz w:val="20"/>
      <w:szCs w:val="20"/>
      <w:lang w:eastAsia="en-US"/>
    </w:rPr>
  </w:style>
  <w:style w:type="paragraph" w:customStyle="1" w:styleId="xmsonormal">
    <w:name w:val="x_msonormal"/>
    <w:basedOn w:val="Normal"/>
    <w:rsid w:val="003518F7"/>
    <w:pPr>
      <w:spacing w:before="100" w:beforeAutospacing="1" w:after="100" w:afterAutospacing="1"/>
    </w:pPr>
    <w:rPr>
      <w:rFonts w:eastAsia="Times New Roman" w:cs="Times New Roman"/>
      <w:szCs w:val="24"/>
      <w:lang w:eastAsia="en-US"/>
    </w:rPr>
  </w:style>
  <w:style w:type="character" w:styleId="PlaceholderText">
    <w:name w:val="Placeholder Text"/>
    <w:uiPriority w:val="99"/>
    <w:semiHidden/>
    <w:rsid w:val="003518F7"/>
    <w:rPr>
      <w:color w:val="808080"/>
    </w:rPr>
  </w:style>
  <w:style w:type="numbering" w:customStyle="1" w:styleId="Style1">
    <w:name w:val="Style1"/>
    <w:uiPriority w:val="99"/>
    <w:rsid w:val="003518F7"/>
    <w:pPr>
      <w:numPr>
        <w:numId w:val="19"/>
      </w:numPr>
    </w:pPr>
  </w:style>
  <w:style w:type="paragraph" w:styleId="Revision">
    <w:name w:val="Revision"/>
    <w:hidden/>
    <w:uiPriority w:val="99"/>
    <w:semiHidden/>
    <w:rsid w:val="003518F7"/>
    <w:rPr>
      <w:rFonts w:eastAsia="BatangChe" w:cs="Times New Roman"/>
    </w:rPr>
  </w:style>
  <w:style w:type="character" w:styleId="EndnoteReference">
    <w:name w:val="endnote reference"/>
    <w:uiPriority w:val="99"/>
    <w:semiHidden/>
    <w:unhideWhenUsed/>
    <w:rsid w:val="003518F7"/>
    <w:rPr>
      <w:vertAlign w:val="superscript"/>
    </w:rPr>
  </w:style>
  <w:style w:type="table" w:customStyle="1" w:styleId="TableGrid3">
    <w:name w:val="Table Grid3"/>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18F7"/>
  </w:style>
  <w:style w:type="numbering" w:customStyle="1" w:styleId="Style11">
    <w:name w:val="Style11"/>
    <w:uiPriority w:val="99"/>
    <w:rsid w:val="003518F7"/>
  </w:style>
  <w:style w:type="table" w:customStyle="1" w:styleId="TableGrid4">
    <w:name w:val="Table Grid4"/>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518F7"/>
  </w:style>
  <w:style w:type="table" w:customStyle="1" w:styleId="TableGrid5">
    <w:name w:val="Table Grid5"/>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518F7"/>
  </w:style>
  <w:style w:type="numbering" w:customStyle="1" w:styleId="Style111">
    <w:name w:val="Style111"/>
    <w:uiPriority w:val="99"/>
    <w:rsid w:val="003518F7"/>
  </w:style>
  <w:style w:type="table" w:customStyle="1" w:styleId="TableGrid41">
    <w:name w:val="Table Grid41"/>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518F7"/>
    <w:rPr>
      <w:rFonts w:eastAsia="BatangCh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1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1479">
      <w:bodyDiv w:val="1"/>
      <w:marLeft w:val="0"/>
      <w:marRight w:val="0"/>
      <w:marTop w:val="0"/>
      <w:marBottom w:val="0"/>
      <w:divBdr>
        <w:top w:val="none" w:sz="0" w:space="0" w:color="auto"/>
        <w:left w:val="none" w:sz="0" w:space="0" w:color="auto"/>
        <w:bottom w:val="none" w:sz="0" w:space="0" w:color="auto"/>
        <w:right w:val="none" w:sz="0" w:space="0" w:color="auto"/>
      </w:divBdr>
    </w:div>
    <w:div w:id="19341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0397-0C24-4843-B1FC-A6D93860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3776</Words>
  <Characters>19640</Characters>
  <Application>Microsoft Office Word</Application>
  <DocSecurity>0</DocSecurity>
  <Lines>297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Hyunil</dc:creator>
  <cp:keywords/>
  <dc:description/>
  <cp:lastModifiedBy>Kim, Hyunil</cp:lastModifiedBy>
  <cp:revision>22</cp:revision>
  <cp:lastPrinted>2020-02-16T17:45:00Z</cp:lastPrinted>
  <dcterms:created xsi:type="dcterms:W3CDTF">2020-02-08T21:26:00Z</dcterms:created>
  <dcterms:modified xsi:type="dcterms:W3CDTF">2020-02-21T14:35:00Z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0f546759-a2a5-3b19-8650-7f42c13604cd</vt:lpwstr>
  </property>
  <property fmtid="{D5CDD505-2E9C-101B-9397-08002B2CF9AE}" pid="24" name="Mendeley Citation Style_1">
    <vt:lpwstr>http://www.zotero.org/styles/apa</vt:lpwstr>
  </property>
</Properties>
</file>