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7EC57E" w14:textId="77777777" w:rsidR="00281D33" w:rsidRPr="00B46DF4" w:rsidRDefault="00281D33" w:rsidP="00281D33">
      <w:pPr>
        <w:shd w:val="clear" w:color="auto" w:fill="FFFFFF"/>
        <w:spacing w:before="100" w:beforeAutospacing="1" w:after="135" w:line="480" w:lineRule="auto"/>
        <w:rPr>
          <w:rFonts w:ascii="Times New Roman" w:eastAsia="Times New Roman" w:hAnsi="Times New Roman" w:cs="Times New Roman"/>
          <w:color w:val="000000" w:themeColor="text1"/>
          <w:sz w:val="24"/>
          <w:szCs w:val="24"/>
        </w:rPr>
      </w:pPr>
      <w:r w:rsidRPr="00B46DF4">
        <w:rPr>
          <w:rFonts w:ascii="Times New Roman" w:hAnsi="Times New Roman" w:cs="Times New Roman"/>
          <w:b/>
          <w:color w:val="000000" w:themeColor="text1"/>
          <w:sz w:val="24"/>
          <w:szCs w:val="24"/>
        </w:rPr>
        <w:t>Table 1</w:t>
      </w:r>
      <w:r>
        <w:rPr>
          <w:rFonts w:ascii="Times New Roman" w:hAnsi="Times New Roman" w:cs="Times New Roman"/>
          <w:b/>
          <w:color w:val="000000" w:themeColor="text1"/>
          <w:sz w:val="24"/>
          <w:szCs w:val="24"/>
        </w:rPr>
        <w:t>S</w:t>
      </w:r>
      <w:r w:rsidRPr="00B46DF4">
        <w:rPr>
          <w:rFonts w:ascii="Times New Roman" w:hAnsi="Times New Roman" w:cs="Times New Roman"/>
          <w:b/>
          <w:color w:val="000000" w:themeColor="text1"/>
          <w:sz w:val="24"/>
          <w:szCs w:val="24"/>
        </w:rPr>
        <w:t xml:space="preserve">. </w:t>
      </w:r>
      <w:r w:rsidRPr="00B46DF4">
        <w:rPr>
          <w:rFonts w:ascii="Times New Roman" w:hAnsi="Times New Roman" w:cs="Times New Roman"/>
          <w:color w:val="000000" w:themeColor="text1"/>
          <w:sz w:val="24"/>
          <w:szCs w:val="24"/>
        </w:rPr>
        <w:t>Androgen binding receptors classification for the EPA/EDSP Tier 1 data set.</w:t>
      </w:r>
    </w:p>
    <w:tbl>
      <w:tblPr>
        <w:tblStyle w:val="GridTable1Light1"/>
        <w:tblW w:w="0" w:type="auto"/>
        <w:tblLook w:val="04A0" w:firstRow="1" w:lastRow="0" w:firstColumn="1" w:lastColumn="0" w:noHBand="0" w:noVBand="1"/>
      </w:tblPr>
      <w:tblGrid>
        <w:gridCol w:w="2050"/>
        <w:gridCol w:w="1250"/>
      </w:tblGrid>
      <w:tr w:rsidR="00281D33" w:rsidRPr="00B46DF4" w14:paraId="71EF0275" w14:textId="77777777" w:rsidTr="001A7B5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316B3469"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Chemical name</w:t>
            </w:r>
          </w:p>
        </w:tc>
        <w:tc>
          <w:tcPr>
            <w:tcW w:w="0" w:type="auto"/>
            <w:noWrap/>
            <w:hideMark/>
          </w:tcPr>
          <w:p w14:paraId="78C67E7A" w14:textId="77777777" w:rsidR="00281D33" w:rsidRPr="00B46DF4" w:rsidRDefault="00281D33" w:rsidP="001A7B5C">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AR Actual</w:t>
            </w:r>
          </w:p>
        </w:tc>
      </w:tr>
      <w:tr w:rsidR="00281D33" w:rsidRPr="00B46DF4" w14:paraId="5D34774C"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93E3152"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2,4 D</w:t>
            </w:r>
          </w:p>
        </w:tc>
        <w:tc>
          <w:tcPr>
            <w:tcW w:w="0" w:type="auto"/>
            <w:noWrap/>
            <w:hideMark/>
          </w:tcPr>
          <w:p w14:paraId="61F70981"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0E4327DA"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0D18BDB"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Abamectin</w:t>
            </w:r>
          </w:p>
        </w:tc>
        <w:tc>
          <w:tcPr>
            <w:tcW w:w="0" w:type="auto"/>
            <w:noWrap/>
            <w:hideMark/>
          </w:tcPr>
          <w:p w14:paraId="41EF23F4"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045C9C3E"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15C925D"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proofErr w:type="spellStart"/>
            <w:r w:rsidRPr="00B46DF4">
              <w:rPr>
                <w:rFonts w:ascii="Times New Roman" w:eastAsia="Times New Roman" w:hAnsi="Times New Roman" w:cs="Times New Roman"/>
                <w:b w:val="0"/>
                <w:bCs w:val="0"/>
                <w:color w:val="000000" w:themeColor="text1"/>
                <w:sz w:val="24"/>
                <w:szCs w:val="24"/>
              </w:rPr>
              <w:t>Acephate</w:t>
            </w:r>
            <w:proofErr w:type="spellEnd"/>
          </w:p>
        </w:tc>
        <w:tc>
          <w:tcPr>
            <w:tcW w:w="0" w:type="auto"/>
            <w:noWrap/>
            <w:hideMark/>
          </w:tcPr>
          <w:p w14:paraId="1767CE28"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2600A76"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FE2A37A"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Acetone</w:t>
            </w:r>
          </w:p>
        </w:tc>
        <w:tc>
          <w:tcPr>
            <w:tcW w:w="0" w:type="auto"/>
            <w:noWrap/>
            <w:hideMark/>
          </w:tcPr>
          <w:p w14:paraId="64A67EEC"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5B96EA58"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197E2BD5"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Atrazine</w:t>
            </w:r>
          </w:p>
        </w:tc>
        <w:tc>
          <w:tcPr>
            <w:tcW w:w="0" w:type="auto"/>
            <w:noWrap/>
            <w:hideMark/>
          </w:tcPr>
          <w:p w14:paraId="1864517D"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588A562B"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7A92C2D"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proofErr w:type="spellStart"/>
            <w:r w:rsidRPr="00B46DF4">
              <w:rPr>
                <w:rFonts w:ascii="Times New Roman" w:eastAsia="Times New Roman" w:hAnsi="Times New Roman" w:cs="Times New Roman"/>
                <w:b w:val="0"/>
                <w:bCs w:val="0"/>
                <w:color w:val="000000" w:themeColor="text1"/>
                <w:sz w:val="24"/>
                <w:szCs w:val="24"/>
              </w:rPr>
              <w:t>Benfluralin</w:t>
            </w:r>
            <w:proofErr w:type="spellEnd"/>
          </w:p>
        </w:tc>
        <w:tc>
          <w:tcPr>
            <w:tcW w:w="0" w:type="auto"/>
            <w:noWrap/>
            <w:hideMark/>
          </w:tcPr>
          <w:p w14:paraId="40109E01"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1BCACF3A"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18863D"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 xml:space="preserve">Bifenthrin </w:t>
            </w:r>
          </w:p>
        </w:tc>
        <w:tc>
          <w:tcPr>
            <w:tcW w:w="0" w:type="auto"/>
            <w:noWrap/>
            <w:hideMark/>
          </w:tcPr>
          <w:p w14:paraId="1DE2AB1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A0CA24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7CA22F"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proofErr w:type="spellStart"/>
            <w:r w:rsidRPr="00B46DF4">
              <w:rPr>
                <w:rFonts w:ascii="Times New Roman" w:eastAsia="Times New Roman" w:hAnsi="Times New Roman" w:cs="Times New Roman"/>
                <w:b w:val="0"/>
                <w:bCs w:val="0"/>
                <w:color w:val="000000" w:themeColor="text1"/>
                <w:sz w:val="24"/>
                <w:szCs w:val="24"/>
              </w:rPr>
              <w:t>Captan</w:t>
            </w:r>
            <w:proofErr w:type="spellEnd"/>
          </w:p>
        </w:tc>
        <w:tc>
          <w:tcPr>
            <w:tcW w:w="0" w:type="auto"/>
            <w:noWrap/>
            <w:hideMark/>
          </w:tcPr>
          <w:p w14:paraId="1E66D52B"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3BE02E5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1BA0E22"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Carbaryl</w:t>
            </w:r>
          </w:p>
        </w:tc>
        <w:tc>
          <w:tcPr>
            <w:tcW w:w="0" w:type="auto"/>
            <w:noWrap/>
            <w:hideMark/>
          </w:tcPr>
          <w:p w14:paraId="59BCD264"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4FE8A73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25E41DB"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Carbofuran</w:t>
            </w:r>
          </w:p>
        </w:tc>
        <w:tc>
          <w:tcPr>
            <w:tcW w:w="0" w:type="auto"/>
            <w:noWrap/>
            <w:hideMark/>
          </w:tcPr>
          <w:p w14:paraId="15113345"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4A2435EA"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B630DCB"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Chlorothalonil</w:t>
            </w:r>
          </w:p>
        </w:tc>
        <w:tc>
          <w:tcPr>
            <w:tcW w:w="0" w:type="auto"/>
            <w:noWrap/>
            <w:hideMark/>
          </w:tcPr>
          <w:p w14:paraId="1214FC6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436E1B7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A352FD1"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Chlorpyrifos</w:t>
            </w:r>
          </w:p>
        </w:tc>
        <w:tc>
          <w:tcPr>
            <w:tcW w:w="0" w:type="auto"/>
            <w:noWrap/>
            <w:hideMark/>
          </w:tcPr>
          <w:p w14:paraId="15784EA7"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2072C2F1"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2203995"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Cyfluthrin</w:t>
            </w:r>
          </w:p>
        </w:tc>
        <w:tc>
          <w:tcPr>
            <w:tcW w:w="0" w:type="auto"/>
            <w:noWrap/>
            <w:hideMark/>
          </w:tcPr>
          <w:p w14:paraId="594E006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2727034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DAD689F"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Cypermethrin</w:t>
            </w:r>
          </w:p>
        </w:tc>
        <w:tc>
          <w:tcPr>
            <w:tcW w:w="0" w:type="auto"/>
            <w:noWrap/>
            <w:hideMark/>
          </w:tcPr>
          <w:p w14:paraId="30938A22"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28BB1ABC"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1EB4CAB4"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DCPA</w:t>
            </w:r>
          </w:p>
        </w:tc>
        <w:tc>
          <w:tcPr>
            <w:tcW w:w="0" w:type="auto"/>
            <w:noWrap/>
            <w:hideMark/>
          </w:tcPr>
          <w:p w14:paraId="18D1190F"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u</w:t>
            </w:r>
          </w:p>
        </w:tc>
      </w:tr>
      <w:tr w:rsidR="00281D33" w:rsidRPr="00B46DF4" w14:paraId="202F2E2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CFD604F"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Diazinon</w:t>
            </w:r>
          </w:p>
        </w:tc>
        <w:tc>
          <w:tcPr>
            <w:tcW w:w="0" w:type="auto"/>
            <w:noWrap/>
            <w:hideMark/>
          </w:tcPr>
          <w:p w14:paraId="0F649184"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4400C529"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D094BCE"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Diclobenil</w:t>
            </w:r>
          </w:p>
        </w:tc>
        <w:tc>
          <w:tcPr>
            <w:tcW w:w="0" w:type="auto"/>
            <w:noWrap/>
            <w:hideMark/>
          </w:tcPr>
          <w:p w14:paraId="78ADF0EE"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549666E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C98828B"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Dimethoate</w:t>
            </w:r>
          </w:p>
        </w:tc>
        <w:tc>
          <w:tcPr>
            <w:tcW w:w="0" w:type="auto"/>
            <w:noWrap/>
            <w:hideMark/>
          </w:tcPr>
          <w:p w14:paraId="31D507BB"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1E39B6ED"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8F58654"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EPTC</w:t>
            </w:r>
          </w:p>
        </w:tc>
        <w:tc>
          <w:tcPr>
            <w:tcW w:w="0" w:type="auto"/>
            <w:noWrap/>
            <w:hideMark/>
          </w:tcPr>
          <w:p w14:paraId="6E2F0E05"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65EB4D8C"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72B6529"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Esfenvalerate</w:t>
            </w:r>
          </w:p>
        </w:tc>
        <w:tc>
          <w:tcPr>
            <w:tcW w:w="0" w:type="auto"/>
            <w:noWrap/>
            <w:hideMark/>
          </w:tcPr>
          <w:p w14:paraId="46D49F2D"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43527EA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F0AE9A6"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Ethoprop</w:t>
            </w:r>
          </w:p>
        </w:tc>
        <w:tc>
          <w:tcPr>
            <w:tcW w:w="0" w:type="auto"/>
            <w:noWrap/>
            <w:hideMark/>
          </w:tcPr>
          <w:p w14:paraId="30B24D76"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791553D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D0F3BA"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Fenbutatin oxide</w:t>
            </w:r>
          </w:p>
        </w:tc>
        <w:tc>
          <w:tcPr>
            <w:tcW w:w="0" w:type="auto"/>
            <w:noWrap/>
            <w:hideMark/>
          </w:tcPr>
          <w:p w14:paraId="41230F78"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3100BC5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23D8857"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Flutolanil</w:t>
            </w:r>
          </w:p>
        </w:tc>
        <w:tc>
          <w:tcPr>
            <w:tcW w:w="0" w:type="auto"/>
            <w:noWrap/>
            <w:hideMark/>
          </w:tcPr>
          <w:p w14:paraId="4DA43E8E"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0100114E"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445CE31"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lastRenderedPageBreak/>
              <w:t>Folpet</w:t>
            </w:r>
          </w:p>
        </w:tc>
        <w:tc>
          <w:tcPr>
            <w:tcW w:w="0" w:type="auto"/>
            <w:noWrap/>
            <w:hideMark/>
          </w:tcPr>
          <w:p w14:paraId="0503E1F4"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782A6898"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AA491A2"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Glyphosate</w:t>
            </w:r>
          </w:p>
        </w:tc>
        <w:tc>
          <w:tcPr>
            <w:tcW w:w="0" w:type="auto"/>
            <w:noWrap/>
            <w:hideMark/>
          </w:tcPr>
          <w:p w14:paraId="1673EBD1"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1B0DF4B6"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DFB8DDA"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Imidacloprid</w:t>
            </w:r>
          </w:p>
        </w:tc>
        <w:tc>
          <w:tcPr>
            <w:tcW w:w="0" w:type="auto"/>
            <w:noWrap/>
            <w:hideMark/>
          </w:tcPr>
          <w:p w14:paraId="067D96C7"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10D93DB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171A83D"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Iprodione</w:t>
            </w:r>
          </w:p>
        </w:tc>
        <w:tc>
          <w:tcPr>
            <w:tcW w:w="0" w:type="auto"/>
            <w:noWrap/>
            <w:hideMark/>
          </w:tcPr>
          <w:p w14:paraId="004FCF88"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1D844862"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92097DC"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Isophorone</w:t>
            </w:r>
          </w:p>
        </w:tc>
        <w:tc>
          <w:tcPr>
            <w:tcW w:w="0" w:type="auto"/>
            <w:noWrap/>
            <w:hideMark/>
          </w:tcPr>
          <w:p w14:paraId="726EBE37"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4CBC3DEA"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6D98993"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Linuron</w:t>
            </w:r>
          </w:p>
        </w:tc>
        <w:tc>
          <w:tcPr>
            <w:tcW w:w="0" w:type="auto"/>
            <w:noWrap/>
            <w:hideMark/>
          </w:tcPr>
          <w:p w14:paraId="127FD287"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2117CCE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CA00EAD"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Malathion</w:t>
            </w:r>
          </w:p>
        </w:tc>
        <w:tc>
          <w:tcPr>
            <w:tcW w:w="0" w:type="auto"/>
            <w:noWrap/>
            <w:hideMark/>
          </w:tcPr>
          <w:p w14:paraId="535FE66D"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125BF89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91B68B8"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Metalaxyl</w:t>
            </w:r>
          </w:p>
        </w:tc>
        <w:tc>
          <w:tcPr>
            <w:tcW w:w="0" w:type="auto"/>
            <w:noWrap/>
            <w:hideMark/>
          </w:tcPr>
          <w:p w14:paraId="1B8D2F4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6F2280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D5B5525"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Methomyl</w:t>
            </w:r>
          </w:p>
        </w:tc>
        <w:tc>
          <w:tcPr>
            <w:tcW w:w="0" w:type="auto"/>
            <w:noWrap/>
            <w:hideMark/>
          </w:tcPr>
          <w:p w14:paraId="63DE6C6B"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71DEDE5F"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2F56DC0"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Metolachlor</w:t>
            </w:r>
          </w:p>
        </w:tc>
        <w:tc>
          <w:tcPr>
            <w:tcW w:w="0" w:type="auto"/>
            <w:noWrap/>
            <w:hideMark/>
          </w:tcPr>
          <w:p w14:paraId="4C805237"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10534B61"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E05CCEA"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Metribuzin</w:t>
            </w:r>
          </w:p>
        </w:tc>
        <w:tc>
          <w:tcPr>
            <w:tcW w:w="0" w:type="auto"/>
            <w:noWrap/>
            <w:hideMark/>
          </w:tcPr>
          <w:p w14:paraId="0F92DDC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E712EA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67F762B"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MGK 264</w:t>
            </w:r>
          </w:p>
        </w:tc>
        <w:tc>
          <w:tcPr>
            <w:tcW w:w="0" w:type="auto"/>
            <w:noWrap/>
            <w:hideMark/>
          </w:tcPr>
          <w:p w14:paraId="42E536B9"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00144A17"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7176F2C"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Myclobutanil</w:t>
            </w:r>
          </w:p>
        </w:tc>
        <w:tc>
          <w:tcPr>
            <w:tcW w:w="0" w:type="auto"/>
            <w:noWrap/>
            <w:hideMark/>
          </w:tcPr>
          <w:p w14:paraId="2910AEF2"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22A049DA"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56B1578"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Norflurazon</w:t>
            </w:r>
          </w:p>
        </w:tc>
        <w:tc>
          <w:tcPr>
            <w:tcW w:w="0" w:type="auto"/>
            <w:noWrap/>
            <w:hideMark/>
          </w:tcPr>
          <w:p w14:paraId="18237085"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53ED372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DF820"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o-Phenylphenol</w:t>
            </w:r>
          </w:p>
        </w:tc>
        <w:tc>
          <w:tcPr>
            <w:tcW w:w="0" w:type="auto"/>
            <w:noWrap/>
            <w:hideMark/>
          </w:tcPr>
          <w:p w14:paraId="3664CBDA"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1F1BB4E7"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E69752F"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oxamyl</w:t>
            </w:r>
          </w:p>
        </w:tc>
        <w:tc>
          <w:tcPr>
            <w:tcW w:w="0" w:type="auto"/>
            <w:noWrap/>
            <w:hideMark/>
          </w:tcPr>
          <w:p w14:paraId="3EC177BF"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7801E28E"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7C595"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PCNB</w:t>
            </w:r>
          </w:p>
        </w:tc>
        <w:tc>
          <w:tcPr>
            <w:tcW w:w="0" w:type="auto"/>
            <w:noWrap/>
            <w:hideMark/>
          </w:tcPr>
          <w:p w14:paraId="3063996E"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5D3835F"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B5D5A5E"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Permethrin</w:t>
            </w:r>
          </w:p>
        </w:tc>
        <w:tc>
          <w:tcPr>
            <w:tcW w:w="0" w:type="auto"/>
            <w:noWrap/>
            <w:hideMark/>
          </w:tcPr>
          <w:p w14:paraId="4760C0DC"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6BAC458D"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E63D057"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Phthalophos</w:t>
            </w:r>
          </w:p>
        </w:tc>
        <w:tc>
          <w:tcPr>
            <w:tcW w:w="0" w:type="auto"/>
            <w:noWrap/>
            <w:hideMark/>
          </w:tcPr>
          <w:p w14:paraId="563C8AF9"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55F5E6D6"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AF51CEC"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Piperonyl butoxide</w:t>
            </w:r>
          </w:p>
        </w:tc>
        <w:tc>
          <w:tcPr>
            <w:tcW w:w="0" w:type="auto"/>
            <w:noWrap/>
            <w:hideMark/>
          </w:tcPr>
          <w:p w14:paraId="38635663"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1BD4ADC5"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55A57589"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Propargite</w:t>
            </w:r>
          </w:p>
        </w:tc>
        <w:tc>
          <w:tcPr>
            <w:tcW w:w="0" w:type="auto"/>
            <w:noWrap/>
            <w:hideMark/>
          </w:tcPr>
          <w:p w14:paraId="479AE1C9"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5F8AD2FF"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91B1890"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Propiconazole</w:t>
            </w:r>
          </w:p>
        </w:tc>
        <w:tc>
          <w:tcPr>
            <w:tcW w:w="0" w:type="auto"/>
            <w:noWrap/>
            <w:hideMark/>
          </w:tcPr>
          <w:p w14:paraId="2F8A166B"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15E67A34"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6BCD6F74"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Propyzamide</w:t>
            </w:r>
          </w:p>
        </w:tc>
        <w:tc>
          <w:tcPr>
            <w:tcW w:w="0" w:type="auto"/>
            <w:noWrap/>
            <w:hideMark/>
          </w:tcPr>
          <w:p w14:paraId="4339A7C8"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28481E29"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45EAC880"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Pyriproxyfen</w:t>
            </w:r>
          </w:p>
        </w:tc>
        <w:tc>
          <w:tcPr>
            <w:tcW w:w="0" w:type="auto"/>
            <w:noWrap/>
            <w:hideMark/>
          </w:tcPr>
          <w:p w14:paraId="5B1AA566"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54B67300"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9D825"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Simazine</w:t>
            </w:r>
          </w:p>
        </w:tc>
        <w:tc>
          <w:tcPr>
            <w:tcW w:w="0" w:type="auto"/>
            <w:noWrap/>
            <w:hideMark/>
          </w:tcPr>
          <w:p w14:paraId="01A5E7B3"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636B4B89"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7666B0F2"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lastRenderedPageBreak/>
              <w:t>Tebuconazole</w:t>
            </w:r>
          </w:p>
        </w:tc>
        <w:tc>
          <w:tcPr>
            <w:tcW w:w="0" w:type="auto"/>
            <w:noWrap/>
            <w:hideMark/>
          </w:tcPr>
          <w:p w14:paraId="5C9F396F"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p</w:t>
            </w:r>
          </w:p>
        </w:tc>
      </w:tr>
      <w:tr w:rsidR="00281D33" w:rsidRPr="00B46DF4" w14:paraId="0C3A48CC"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263DBC69"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Tetrachlorvinphos</w:t>
            </w:r>
          </w:p>
        </w:tc>
        <w:tc>
          <w:tcPr>
            <w:tcW w:w="0" w:type="auto"/>
            <w:noWrap/>
            <w:hideMark/>
          </w:tcPr>
          <w:p w14:paraId="2971C25E"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e</w:t>
            </w:r>
          </w:p>
        </w:tc>
      </w:tr>
      <w:tr w:rsidR="00281D33" w:rsidRPr="00B46DF4" w14:paraId="38972BB8"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330779E0"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Triadimefon</w:t>
            </w:r>
          </w:p>
        </w:tc>
        <w:tc>
          <w:tcPr>
            <w:tcW w:w="0" w:type="auto"/>
            <w:noWrap/>
            <w:hideMark/>
          </w:tcPr>
          <w:p w14:paraId="40DB4FF4"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r w:rsidR="00281D33" w:rsidRPr="00B46DF4" w14:paraId="032D6D88" w14:textId="77777777" w:rsidTr="001A7B5C">
        <w:trPr>
          <w:trHeight w:val="144"/>
        </w:trPr>
        <w:tc>
          <w:tcPr>
            <w:cnfStyle w:val="001000000000" w:firstRow="0" w:lastRow="0" w:firstColumn="1" w:lastColumn="0" w:oddVBand="0" w:evenVBand="0" w:oddHBand="0" w:evenHBand="0" w:firstRowFirstColumn="0" w:firstRowLastColumn="0" w:lastRowFirstColumn="0" w:lastRowLastColumn="0"/>
            <w:tcW w:w="0" w:type="auto"/>
            <w:noWrap/>
            <w:hideMark/>
          </w:tcPr>
          <w:p w14:paraId="1A74F0C9" w14:textId="77777777" w:rsidR="00281D33" w:rsidRPr="00B46DF4" w:rsidRDefault="00281D33" w:rsidP="001A7B5C">
            <w:pPr>
              <w:spacing w:after="200" w:line="276" w:lineRule="auto"/>
              <w:rPr>
                <w:rFonts w:ascii="Times New Roman" w:eastAsia="Times New Roman" w:hAnsi="Times New Roman" w:cs="Times New Roman"/>
                <w:b w:val="0"/>
                <w:bCs w:val="0"/>
                <w:color w:val="000000" w:themeColor="text1"/>
                <w:sz w:val="24"/>
                <w:szCs w:val="24"/>
              </w:rPr>
            </w:pPr>
            <w:r w:rsidRPr="00B46DF4">
              <w:rPr>
                <w:rFonts w:ascii="Times New Roman" w:eastAsia="Times New Roman" w:hAnsi="Times New Roman" w:cs="Times New Roman"/>
                <w:b w:val="0"/>
                <w:bCs w:val="0"/>
                <w:color w:val="000000" w:themeColor="text1"/>
                <w:sz w:val="24"/>
                <w:szCs w:val="24"/>
              </w:rPr>
              <w:t>Trifluralin</w:t>
            </w:r>
          </w:p>
        </w:tc>
        <w:tc>
          <w:tcPr>
            <w:tcW w:w="0" w:type="auto"/>
            <w:noWrap/>
            <w:hideMark/>
          </w:tcPr>
          <w:p w14:paraId="134618AD" w14:textId="77777777" w:rsidR="00281D33" w:rsidRPr="00B46DF4" w:rsidRDefault="00281D33" w:rsidP="001A7B5C">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B46DF4">
              <w:rPr>
                <w:rFonts w:ascii="Times New Roman" w:eastAsia="Times New Roman" w:hAnsi="Times New Roman" w:cs="Times New Roman"/>
                <w:color w:val="000000" w:themeColor="text1"/>
                <w:sz w:val="24"/>
                <w:szCs w:val="24"/>
              </w:rPr>
              <w:t>n</w:t>
            </w:r>
          </w:p>
        </w:tc>
      </w:tr>
    </w:tbl>
    <w:p w14:paraId="00CFB53B" w14:textId="77777777" w:rsidR="00281D33" w:rsidRPr="00B46DF4" w:rsidRDefault="00281D33" w:rsidP="00281D33">
      <w:pPr>
        <w:spacing w:line="240" w:lineRule="exact"/>
        <w:contextualSpacing/>
        <w:rPr>
          <w:rFonts w:ascii="Times New Roman" w:hAnsi="Times New Roman" w:cs="Times New Roman"/>
          <w:b/>
          <w:color w:val="000000" w:themeColor="text1"/>
          <w:sz w:val="24"/>
          <w:szCs w:val="24"/>
        </w:rPr>
      </w:pPr>
      <w:r w:rsidRPr="00B46DF4">
        <w:rPr>
          <w:rFonts w:ascii="Times New Roman" w:hAnsi="Times New Roman" w:cs="Times New Roman"/>
          <w:b/>
          <w:color w:val="000000" w:themeColor="text1"/>
          <w:sz w:val="24"/>
          <w:szCs w:val="24"/>
        </w:rPr>
        <w:t xml:space="preserve">Abbreviations: </w:t>
      </w:r>
      <w:r w:rsidRPr="00B46DF4">
        <w:rPr>
          <w:rFonts w:ascii="Times New Roman" w:hAnsi="Times New Roman" w:cs="Times New Roman"/>
          <w:color w:val="000000" w:themeColor="text1"/>
          <w:sz w:val="24"/>
          <w:szCs w:val="24"/>
        </w:rPr>
        <w:t xml:space="preserve">AR = </w:t>
      </w:r>
      <w:r w:rsidRPr="00B46DF4">
        <w:rPr>
          <w:rFonts w:ascii="Times New Roman" w:eastAsia="Times New Roman" w:hAnsi="Times New Roman" w:cs="Times New Roman"/>
          <w:color w:val="000000" w:themeColor="text1"/>
          <w:sz w:val="24"/>
          <w:szCs w:val="24"/>
        </w:rPr>
        <w:t>androgen receptor</w:t>
      </w:r>
      <w:r w:rsidRPr="00B46DF4">
        <w:rPr>
          <w:rFonts w:ascii="Times New Roman" w:hAnsi="Times New Roman" w:cs="Times New Roman"/>
          <w:color w:val="000000" w:themeColor="text1"/>
          <w:sz w:val="24"/>
          <w:szCs w:val="24"/>
        </w:rPr>
        <w:t>, n = negative, p = positive, e = equivocal, u = untested, i = insoluble</w:t>
      </w:r>
    </w:p>
    <w:p w14:paraId="3B683C1A" w14:textId="77777777" w:rsidR="00281D33" w:rsidRPr="00B46DF4" w:rsidRDefault="00281D33" w:rsidP="00281D33">
      <w:pPr>
        <w:spacing w:line="480" w:lineRule="auto"/>
        <w:rPr>
          <w:rFonts w:ascii="Times New Roman" w:hAnsi="Times New Roman" w:cs="Times New Roman"/>
          <w:color w:val="000000" w:themeColor="text1"/>
          <w:sz w:val="24"/>
          <w:szCs w:val="24"/>
        </w:rPr>
      </w:pPr>
    </w:p>
    <w:p w14:paraId="28D68D9A" w14:textId="77777777" w:rsidR="00281D33" w:rsidRPr="00B46DF4" w:rsidRDefault="00281D33" w:rsidP="00281D33">
      <w:pPr>
        <w:spacing w:line="480" w:lineRule="auto"/>
        <w:rPr>
          <w:rFonts w:ascii="Times New Roman" w:hAnsi="Times New Roman" w:cs="Times New Roman"/>
          <w:color w:val="000000" w:themeColor="text1"/>
          <w:sz w:val="24"/>
          <w:szCs w:val="24"/>
        </w:rPr>
      </w:pPr>
    </w:p>
    <w:p w14:paraId="4A0323B6" w14:textId="77777777" w:rsidR="00281D33" w:rsidRDefault="00281D33" w:rsidP="00281D33">
      <w:pPr>
        <w:spacing w:line="480" w:lineRule="auto"/>
        <w:rPr>
          <w:rFonts w:ascii="Times New Roman" w:hAnsi="Times New Roman" w:cs="Times New Roman"/>
          <w:color w:val="000000" w:themeColor="text1"/>
          <w:sz w:val="24"/>
          <w:szCs w:val="24"/>
        </w:rPr>
      </w:pPr>
    </w:p>
    <w:p w14:paraId="757DE3FE" w14:textId="77777777" w:rsidR="00281D33" w:rsidRDefault="00281D33" w:rsidP="00281D33">
      <w:pPr>
        <w:spacing w:line="480" w:lineRule="auto"/>
        <w:rPr>
          <w:rFonts w:ascii="Times New Roman" w:hAnsi="Times New Roman" w:cs="Times New Roman"/>
          <w:color w:val="000000" w:themeColor="text1"/>
          <w:sz w:val="24"/>
          <w:szCs w:val="24"/>
        </w:rPr>
      </w:pPr>
    </w:p>
    <w:p w14:paraId="79A0702B" w14:textId="77777777" w:rsidR="00281D33" w:rsidRDefault="00281D33" w:rsidP="00281D33">
      <w:pPr>
        <w:spacing w:line="480" w:lineRule="auto"/>
        <w:rPr>
          <w:rFonts w:ascii="Times New Roman" w:hAnsi="Times New Roman" w:cs="Times New Roman"/>
          <w:color w:val="000000" w:themeColor="text1"/>
          <w:sz w:val="24"/>
          <w:szCs w:val="24"/>
        </w:rPr>
      </w:pPr>
    </w:p>
    <w:p w14:paraId="1AFC2D37" w14:textId="77777777" w:rsidR="00281D33" w:rsidRDefault="00281D33" w:rsidP="00281D33">
      <w:pPr>
        <w:spacing w:line="480" w:lineRule="auto"/>
        <w:rPr>
          <w:rFonts w:ascii="Times New Roman" w:hAnsi="Times New Roman" w:cs="Times New Roman"/>
          <w:color w:val="000000" w:themeColor="text1"/>
          <w:sz w:val="24"/>
          <w:szCs w:val="24"/>
        </w:rPr>
      </w:pPr>
    </w:p>
    <w:p w14:paraId="575F59BE" w14:textId="77777777" w:rsidR="00281D33" w:rsidRDefault="00281D33" w:rsidP="00281D33">
      <w:pPr>
        <w:spacing w:line="480" w:lineRule="auto"/>
        <w:rPr>
          <w:rFonts w:ascii="Times New Roman" w:hAnsi="Times New Roman" w:cs="Times New Roman"/>
          <w:color w:val="000000" w:themeColor="text1"/>
          <w:sz w:val="24"/>
          <w:szCs w:val="24"/>
        </w:rPr>
      </w:pPr>
    </w:p>
    <w:p w14:paraId="0002A1CC" w14:textId="77777777" w:rsidR="00281D33" w:rsidRDefault="00281D33" w:rsidP="00281D33">
      <w:pPr>
        <w:spacing w:line="480" w:lineRule="auto"/>
        <w:rPr>
          <w:rFonts w:ascii="Times New Roman" w:hAnsi="Times New Roman" w:cs="Times New Roman"/>
          <w:color w:val="000000" w:themeColor="text1"/>
          <w:sz w:val="24"/>
          <w:szCs w:val="24"/>
        </w:rPr>
      </w:pPr>
    </w:p>
    <w:p w14:paraId="0005C570" w14:textId="77777777" w:rsidR="00281D33" w:rsidRDefault="00281D33" w:rsidP="00281D33">
      <w:pPr>
        <w:spacing w:line="480" w:lineRule="auto"/>
        <w:rPr>
          <w:rFonts w:ascii="Times New Roman" w:hAnsi="Times New Roman" w:cs="Times New Roman"/>
          <w:color w:val="000000" w:themeColor="text1"/>
          <w:sz w:val="24"/>
          <w:szCs w:val="24"/>
        </w:rPr>
      </w:pPr>
    </w:p>
    <w:p w14:paraId="7874013F" w14:textId="77777777" w:rsidR="00281D33" w:rsidRDefault="00281D33" w:rsidP="00281D33">
      <w:pPr>
        <w:spacing w:line="480" w:lineRule="auto"/>
        <w:rPr>
          <w:rFonts w:ascii="Times New Roman" w:hAnsi="Times New Roman" w:cs="Times New Roman"/>
          <w:color w:val="000000" w:themeColor="text1"/>
          <w:sz w:val="24"/>
          <w:szCs w:val="24"/>
        </w:rPr>
      </w:pPr>
    </w:p>
    <w:p w14:paraId="1560D855" w14:textId="77777777" w:rsidR="00281D33" w:rsidRDefault="00281D33" w:rsidP="00281D33">
      <w:pPr>
        <w:spacing w:line="480" w:lineRule="auto"/>
        <w:rPr>
          <w:rFonts w:ascii="Times New Roman" w:hAnsi="Times New Roman" w:cs="Times New Roman"/>
          <w:color w:val="000000" w:themeColor="text1"/>
          <w:sz w:val="24"/>
          <w:szCs w:val="24"/>
        </w:rPr>
      </w:pPr>
    </w:p>
    <w:p w14:paraId="3F57E103" w14:textId="77777777" w:rsidR="00281D33" w:rsidRDefault="00281D33" w:rsidP="00281D33">
      <w:pPr>
        <w:spacing w:line="480" w:lineRule="auto"/>
        <w:rPr>
          <w:rFonts w:ascii="Times New Roman" w:hAnsi="Times New Roman" w:cs="Times New Roman"/>
          <w:color w:val="000000" w:themeColor="text1"/>
          <w:sz w:val="24"/>
          <w:szCs w:val="24"/>
        </w:rPr>
      </w:pPr>
    </w:p>
    <w:p w14:paraId="29600968" w14:textId="77777777" w:rsidR="00281D33" w:rsidRDefault="00281D33" w:rsidP="00281D33">
      <w:pPr>
        <w:spacing w:line="480" w:lineRule="auto"/>
        <w:rPr>
          <w:rFonts w:ascii="Times New Roman" w:hAnsi="Times New Roman" w:cs="Times New Roman"/>
          <w:color w:val="000000" w:themeColor="text1"/>
          <w:sz w:val="24"/>
          <w:szCs w:val="24"/>
        </w:rPr>
      </w:pPr>
    </w:p>
    <w:p w14:paraId="6455A209" w14:textId="77777777" w:rsidR="00281D33" w:rsidRDefault="00281D33" w:rsidP="00281D33">
      <w:pPr>
        <w:spacing w:line="480" w:lineRule="auto"/>
        <w:rPr>
          <w:rFonts w:ascii="Times New Roman" w:hAnsi="Times New Roman" w:cs="Times New Roman"/>
          <w:color w:val="000000" w:themeColor="text1"/>
          <w:sz w:val="24"/>
          <w:szCs w:val="24"/>
        </w:rPr>
      </w:pPr>
    </w:p>
    <w:p w14:paraId="44362982" w14:textId="77777777" w:rsidR="00281D33" w:rsidRDefault="00281D33" w:rsidP="00281D33">
      <w:pPr>
        <w:spacing w:line="480" w:lineRule="auto"/>
        <w:rPr>
          <w:rFonts w:ascii="Times New Roman" w:hAnsi="Times New Roman" w:cs="Times New Roman"/>
          <w:color w:val="000000" w:themeColor="text1"/>
          <w:sz w:val="24"/>
          <w:szCs w:val="24"/>
        </w:rPr>
      </w:pPr>
    </w:p>
    <w:p w14:paraId="6CE32BD4" w14:textId="77777777" w:rsidR="00281D33" w:rsidRPr="00B46DF4"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color w:val="000000" w:themeColor="text1"/>
          <w:sz w:val="24"/>
          <w:szCs w:val="24"/>
        </w:rPr>
        <w:lastRenderedPageBreak/>
        <w:t xml:space="preserve">Table </w:t>
      </w:r>
      <w:r>
        <w:rPr>
          <w:rFonts w:ascii="Times New Roman" w:hAnsi="Times New Roman" w:cs="Times New Roman"/>
          <w:color w:val="000000" w:themeColor="text1"/>
          <w:sz w:val="24"/>
          <w:szCs w:val="24"/>
        </w:rPr>
        <w:t>2S</w:t>
      </w:r>
      <w:r w:rsidRPr="00B46DF4">
        <w:rPr>
          <w:rFonts w:ascii="Times New Roman" w:hAnsi="Times New Roman" w:cs="Times New Roman"/>
          <w:color w:val="000000" w:themeColor="text1"/>
          <w:sz w:val="24"/>
          <w:szCs w:val="24"/>
        </w:rPr>
        <w:t>. Major metabolites of Carbaryl predicted by MetaDrug™ software.</w:t>
      </w:r>
    </w:p>
    <w:tbl>
      <w:tblPr>
        <w:tblStyle w:val="TableGrid1"/>
        <w:tblW w:w="0" w:type="auto"/>
        <w:tblLayout w:type="fixed"/>
        <w:tblLook w:val="04A0" w:firstRow="1" w:lastRow="0" w:firstColumn="1" w:lastColumn="0" w:noHBand="0" w:noVBand="1"/>
      </w:tblPr>
      <w:tblGrid>
        <w:gridCol w:w="2785"/>
        <w:gridCol w:w="4685"/>
        <w:gridCol w:w="2250"/>
      </w:tblGrid>
      <w:tr w:rsidR="00281D33" w:rsidRPr="00B46DF4" w14:paraId="6973B577" w14:textId="77777777" w:rsidTr="001A7B5C">
        <w:trPr>
          <w:trHeight w:val="413"/>
        </w:trPr>
        <w:tc>
          <w:tcPr>
            <w:tcW w:w="2785" w:type="dxa"/>
            <w:shd w:val="clear" w:color="auto" w:fill="FFFFFF" w:themeFill="background1"/>
            <w:noWrap/>
            <w:hideMark/>
          </w:tcPr>
          <w:p w14:paraId="6215486B" w14:textId="77777777" w:rsidR="00281D33" w:rsidRPr="00B46DF4" w:rsidRDefault="00281D33" w:rsidP="001A7B5C">
            <w:pPr>
              <w:spacing w:after="200" w:line="276" w:lineRule="auto"/>
              <w:rPr>
                <w:rFonts w:ascii="Times New Roman" w:hAnsi="Times New Roman" w:cs="Times New Roman"/>
                <w:b/>
                <w:sz w:val="24"/>
                <w:szCs w:val="24"/>
              </w:rPr>
            </w:pPr>
            <w:r w:rsidRPr="00B46DF4">
              <w:rPr>
                <w:rFonts w:ascii="Times New Roman" w:hAnsi="Times New Roman" w:cs="Times New Roman"/>
                <w:b/>
                <w:sz w:val="24"/>
                <w:szCs w:val="24"/>
              </w:rPr>
              <w:t>Name</w:t>
            </w:r>
          </w:p>
        </w:tc>
        <w:tc>
          <w:tcPr>
            <w:tcW w:w="4685" w:type="dxa"/>
            <w:shd w:val="clear" w:color="auto" w:fill="FFFFFF" w:themeFill="background1"/>
            <w:noWrap/>
            <w:hideMark/>
          </w:tcPr>
          <w:p w14:paraId="658819FE" w14:textId="77777777" w:rsidR="00281D33" w:rsidRPr="00B46DF4" w:rsidRDefault="00281D33" w:rsidP="001A7B5C">
            <w:pPr>
              <w:spacing w:after="200" w:line="276" w:lineRule="auto"/>
              <w:jc w:val="center"/>
              <w:rPr>
                <w:rFonts w:ascii="Times New Roman" w:hAnsi="Times New Roman" w:cs="Times New Roman"/>
                <w:b/>
                <w:sz w:val="24"/>
                <w:szCs w:val="24"/>
              </w:rPr>
            </w:pPr>
            <w:r w:rsidRPr="00B46DF4">
              <w:rPr>
                <w:rFonts w:ascii="Times New Roman" w:hAnsi="Times New Roman" w:cs="Times New Roman"/>
                <w:b/>
                <w:sz w:val="24"/>
                <w:szCs w:val="24"/>
              </w:rPr>
              <w:t>Structure</w:t>
            </w:r>
          </w:p>
        </w:tc>
        <w:tc>
          <w:tcPr>
            <w:tcW w:w="2250" w:type="dxa"/>
            <w:shd w:val="clear" w:color="auto" w:fill="FFFFFF" w:themeFill="background1"/>
          </w:tcPr>
          <w:p w14:paraId="315A1F68" w14:textId="77777777" w:rsidR="00281D33" w:rsidRPr="00B46DF4" w:rsidRDefault="00281D33" w:rsidP="001A7B5C">
            <w:pPr>
              <w:spacing w:after="200" w:line="276" w:lineRule="auto"/>
              <w:jc w:val="center"/>
              <w:rPr>
                <w:rFonts w:ascii="Times New Roman" w:hAnsi="Times New Roman" w:cs="Times New Roman"/>
                <w:b/>
                <w:sz w:val="24"/>
                <w:szCs w:val="24"/>
              </w:rPr>
            </w:pPr>
            <w:r w:rsidRPr="00B46DF4">
              <w:rPr>
                <w:rFonts w:ascii="Times New Roman" w:hAnsi="Times New Roman" w:cs="Times New Roman"/>
                <w:b/>
                <w:sz w:val="24"/>
                <w:szCs w:val="24"/>
              </w:rPr>
              <w:t>LogOC</w:t>
            </w:r>
          </w:p>
        </w:tc>
      </w:tr>
      <w:tr w:rsidR="00281D33" w:rsidRPr="00B46DF4" w14:paraId="4BE71387" w14:textId="77777777" w:rsidTr="001A7B5C">
        <w:trPr>
          <w:trHeight w:val="1988"/>
        </w:trPr>
        <w:tc>
          <w:tcPr>
            <w:tcW w:w="2785" w:type="dxa"/>
            <w:shd w:val="clear" w:color="auto" w:fill="FFFFFF" w:themeFill="background1"/>
            <w:hideMark/>
          </w:tcPr>
          <w:p w14:paraId="17058A86"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Carbaryl</w:t>
            </w:r>
          </w:p>
        </w:tc>
        <w:tc>
          <w:tcPr>
            <w:tcW w:w="4685" w:type="dxa"/>
            <w:shd w:val="clear" w:color="auto" w:fill="FFFFFF" w:themeFill="background1"/>
            <w:noWrap/>
            <w:hideMark/>
          </w:tcPr>
          <w:p w14:paraId="4A9FE68F"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noProof/>
                <w:sz w:val="24"/>
                <w:szCs w:val="24"/>
              </w:rPr>
              <w:drawing>
                <wp:anchor distT="0" distB="0" distL="114300" distR="114300" simplePos="0" relativeHeight="251659264" behindDoc="0" locked="0" layoutInCell="1" allowOverlap="1" wp14:anchorId="2E72889E" wp14:editId="7AEFF108">
                  <wp:simplePos x="0" y="0"/>
                  <wp:positionH relativeFrom="column">
                    <wp:posOffset>55245</wp:posOffset>
                  </wp:positionH>
                  <wp:positionV relativeFrom="paragraph">
                    <wp:posOffset>59055</wp:posOffset>
                  </wp:positionV>
                  <wp:extent cx="2686050" cy="1171575"/>
                  <wp:effectExtent l="0" t="0" r="0" b="9525"/>
                  <wp:wrapNone/>
                  <wp:docPr id="9" name="Picture 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6050" cy="1171575"/>
                          </a:xfrm>
                          <a:prstGeom prst="rect">
                            <a:avLst/>
                          </a:prstGeom>
                          <a:noFill/>
                        </pic:spPr>
                      </pic:pic>
                    </a:graphicData>
                  </a:graphic>
                  <wp14:sizeRelH relativeFrom="page">
                    <wp14:pctWidth>0</wp14:pctWidth>
                  </wp14:sizeRelH>
                  <wp14:sizeRelV relativeFrom="page">
                    <wp14:pctHeight>0</wp14:pctHeight>
                  </wp14:sizeRelV>
                </wp:anchor>
              </w:drawing>
            </w:r>
          </w:p>
        </w:tc>
        <w:tc>
          <w:tcPr>
            <w:tcW w:w="2250" w:type="dxa"/>
            <w:shd w:val="clear" w:color="auto" w:fill="FFFFFF" w:themeFill="background1"/>
          </w:tcPr>
          <w:p w14:paraId="735CD868" w14:textId="77777777" w:rsidR="00281D33" w:rsidRPr="00B46DF4" w:rsidRDefault="00281D33" w:rsidP="001A7B5C">
            <w:pPr>
              <w:spacing w:after="200" w:line="276" w:lineRule="auto"/>
              <w:rPr>
                <w:rFonts w:ascii="Times New Roman" w:hAnsi="Times New Roman" w:cs="Times New Roman"/>
                <w:sz w:val="24"/>
                <w:szCs w:val="24"/>
              </w:rPr>
            </w:pPr>
          </w:p>
        </w:tc>
      </w:tr>
      <w:tr w:rsidR="00281D33" w:rsidRPr="00B46DF4" w14:paraId="54AD49DF" w14:textId="77777777" w:rsidTr="001A7B5C">
        <w:trPr>
          <w:trHeight w:val="2393"/>
        </w:trPr>
        <w:tc>
          <w:tcPr>
            <w:tcW w:w="2785" w:type="dxa"/>
            <w:shd w:val="clear" w:color="auto" w:fill="FFFFFF" w:themeFill="background1"/>
            <w:hideMark/>
          </w:tcPr>
          <w:p w14:paraId="7AE504B8" w14:textId="77777777" w:rsidR="00281D33" w:rsidRPr="00B46DF4" w:rsidRDefault="00281D33" w:rsidP="001A7B5C">
            <w:pPr>
              <w:spacing w:after="200" w:line="276" w:lineRule="auto"/>
              <w:rPr>
                <w:rFonts w:ascii="Times New Roman" w:hAnsi="Times New Roman" w:cs="Times New Roman"/>
                <w:sz w:val="24"/>
                <w:szCs w:val="24"/>
              </w:rPr>
            </w:pPr>
          </w:p>
          <w:p w14:paraId="3EF30F83" w14:textId="77777777" w:rsidR="00281D33" w:rsidRPr="00B46DF4" w:rsidRDefault="00281D33" w:rsidP="001A7B5C">
            <w:pPr>
              <w:spacing w:after="200" w:line="276" w:lineRule="auto"/>
              <w:rPr>
                <w:rFonts w:ascii="Times New Roman" w:hAnsi="Times New Roman" w:cs="Times New Roman"/>
                <w:sz w:val="24"/>
                <w:szCs w:val="24"/>
              </w:rPr>
            </w:pPr>
          </w:p>
          <w:p w14:paraId="0DA6FA6C"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Carbaryl Aromatic_hydroxylation1</w:t>
            </w:r>
          </w:p>
        </w:tc>
        <w:tc>
          <w:tcPr>
            <w:tcW w:w="4685" w:type="dxa"/>
            <w:shd w:val="clear" w:color="auto" w:fill="FFFFFF" w:themeFill="background1"/>
            <w:noWrap/>
            <w:hideMark/>
          </w:tcPr>
          <w:p w14:paraId="59E1AEF0"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noProof/>
                <w:sz w:val="24"/>
                <w:szCs w:val="24"/>
              </w:rPr>
              <w:drawing>
                <wp:anchor distT="0" distB="0" distL="114300" distR="114300" simplePos="0" relativeHeight="251660288" behindDoc="0" locked="0" layoutInCell="1" allowOverlap="1" wp14:anchorId="61FEC5BA" wp14:editId="05F45A4C">
                  <wp:simplePos x="0" y="0"/>
                  <wp:positionH relativeFrom="column">
                    <wp:posOffset>9525</wp:posOffset>
                  </wp:positionH>
                  <wp:positionV relativeFrom="paragraph">
                    <wp:posOffset>47625</wp:posOffset>
                  </wp:positionV>
                  <wp:extent cx="2886075" cy="1438275"/>
                  <wp:effectExtent l="0" t="0" r="9525" b="9525"/>
                  <wp:wrapNone/>
                  <wp:docPr id="13" name="Picture 1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250" w:type="dxa"/>
            <w:shd w:val="clear" w:color="auto" w:fill="FFFFFF" w:themeFill="background1"/>
          </w:tcPr>
          <w:p w14:paraId="420125BF" w14:textId="77777777" w:rsidR="00281D33" w:rsidRPr="00B46DF4" w:rsidRDefault="00281D33" w:rsidP="001A7B5C">
            <w:pPr>
              <w:spacing w:after="200" w:line="276" w:lineRule="auto"/>
              <w:jc w:val="center"/>
              <w:rPr>
                <w:rFonts w:ascii="Times New Roman" w:hAnsi="Times New Roman" w:cs="Times New Roman"/>
                <w:sz w:val="24"/>
                <w:szCs w:val="24"/>
              </w:rPr>
            </w:pPr>
          </w:p>
          <w:p w14:paraId="4111F431" w14:textId="77777777" w:rsidR="00281D33" w:rsidRPr="00B46DF4" w:rsidRDefault="00281D33" w:rsidP="001A7B5C">
            <w:pPr>
              <w:spacing w:after="200" w:line="276" w:lineRule="auto"/>
              <w:jc w:val="center"/>
              <w:rPr>
                <w:rFonts w:ascii="Times New Roman" w:hAnsi="Times New Roman" w:cs="Times New Roman"/>
                <w:sz w:val="24"/>
                <w:szCs w:val="24"/>
              </w:rPr>
            </w:pPr>
          </w:p>
          <w:p w14:paraId="68D1D38A" w14:textId="77777777" w:rsidR="00281D33" w:rsidRPr="00B46DF4" w:rsidRDefault="00281D33" w:rsidP="001A7B5C">
            <w:pPr>
              <w:spacing w:after="200" w:line="276" w:lineRule="auto"/>
              <w:jc w:val="center"/>
              <w:rPr>
                <w:rFonts w:ascii="Times New Roman" w:hAnsi="Times New Roman" w:cs="Times New Roman"/>
                <w:sz w:val="24"/>
                <w:szCs w:val="24"/>
              </w:rPr>
            </w:pPr>
            <w:r w:rsidRPr="00B46DF4">
              <w:rPr>
                <w:rFonts w:ascii="Times New Roman" w:hAnsi="Times New Roman" w:cs="Times New Roman"/>
                <w:sz w:val="24"/>
                <w:szCs w:val="24"/>
              </w:rPr>
              <w:t>-1.08</w:t>
            </w:r>
          </w:p>
        </w:tc>
      </w:tr>
      <w:tr w:rsidR="00281D33" w:rsidRPr="00B46DF4" w14:paraId="578D2B22" w14:textId="77777777" w:rsidTr="001A7B5C">
        <w:trPr>
          <w:trHeight w:val="2420"/>
        </w:trPr>
        <w:tc>
          <w:tcPr>
            <w:tcW w:w="2785" w:type="dxa"/>
            <w:shd w:val="clear" w:color="auto" w:fill="FFFFFF" w:themeFill="background1"/>
            <w:hideMark/>
          </w:tcPr>
          <w:p w14:paraId="16F7C9B4" w14:textId="77777777" w:rsidR="00281D33" w:rsidRPr="00B46DF4" w:rsidRDefault="00281D33" w:rsidP="001A7B5C">
            <w:pPr>
              <w:spacing w:after="200" w:line="276" w:lineRule="auto"/>
              <w:rPr>
                <w:rFonts w:ascii="Times New Roman" w:hAnsi="Times New Roman" w:cs="Times New Roman"/>
                <w:sz w:val="24"/>
                <w:szCs w:val="24"/>
              </w:rPr>
            </w:pPr>
          </w:p>
          <w:p w14:paraId="3B01C220" w14:textId="77777777" w:rsidR="00281D33" w:rsidRPr="00B46DF4" w:rsidRDefault="00281D33" w:rsidP="001A7B5C">
            <w:pPr>
              <w:spacing w:after="200" w:line="276" w:lineRule="auto"/>
              <w:rPr>
                <w:rFonts w:ascii="Times New Roman" w:hAnsi="Times New Roman" w:cs="Times New Roman"/>
                <w:sz w:val="24"/>
                <w:szCs w:val="24"/>
              </w:rPr>
            </w:pPr>
          </w:p>
          <w:p w14:paraId="4D812742"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Carbaryl</w:t>
            </w:r>
          </w:p>
          <w:p w14:paraId="6ECBDC73"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Aromatic_hydroxylation3</w:t>
            </w:r>
          </w:p>
        </w:tc>
        <w:tc>
          <w:tcPr>
            <w:tcW w:w="4685" w:type="dxa"/>
            <w:shd w:val="clear" w:color="auto" w:fill="FFFFFF" w:themeFill="background1"/>
            <w:noWrap/>
            <w:hideMark/>
          </w:tcPr>
          <w:p w14:paraId="1DD520F0"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noProof/>
                <w:sz w:val="24"/>
                <w:szCs w:val="24"/>
              </w:rPr>
              <w:drawing>
                <wp:anchor distT="0" distB="0" distL="114300" distR="114300" simplePos="0" relativeHeight="251661312" behindDoc="0" locked="0" layoutInCell="1" allowOverlap="1" wp14:anchorId="0A38D467" wp14:editId="41392F23">
                  <wp:simplePos x="0" y="0"/>
                  <wp:positionH relativeFrom="column">
                    <wp:posOffset>-28575</wp:posOffset>
                  </wp:positionH>
                  <wp:positionV relativeFrom="paragraph">
                    <wp:posOffset>47625</wp:posOffset>
                  </wp:positionV>
                  <wp:extent cx="2886075" cy="1438275"/>
                  <wp:effectExtent l="0" t="0" r="9525" b="9525"/>
                  <wp:wrapNone/>
                  <wp:docPr id="14" name="Picture 1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250" w:type="dxa"/>
            <w:shd w:val="clear" w:color="auto" w:fill="FFFFFF" w:themeFill="background1"/>
          </w:tcPr>
          <w:p w14:paraId="145D6617" w14:textId="77777777" w:rsidR="00281D33" w:rsidRPr="00B46DF4" w:rsidRDefault="00281D33" w:rsidP="001A7B5C">
            <w:pPr>
              <w:spacing w:after="200" w:line="276" w:lineRule="auto"/>
              <w:jc w:val="center"/>
              <w:rPr>
                <w:rFonts w:ascii="Times New Roman" w:hAnsi="Times New Roman" w:cs="Times New Roman"/>
                <w:sz w:val="24"/>
                <w:szCs w:val="24"/>
              </w:rPr>
            </w:pPr>
          </w:p>
          <w:p w14:paraId="5E223E18" w14:textId="77777777" w:rsidR="00281D33" w:rsidRPr="00B46DF4" w:rsidRDefault="00281D33" w:rsidP="001A7B5C">
            <w:pPr>
              <w:spacing w:after="200" w:line="276" w:lineRule="auto"/>
              <w:jc w:val="center"/>
              <w:rPr>
                <w:rFonts w:ascii="Times New Roman" w:hAnsi="Times New Roman" w:cs="Times New Roman"/>
                <w:sz w:val="24"/>
                <w:szCs w:val="24"/>
              </w:rPr>
            </w:pPr>
          </w:p>
          <w:p w14:paraId="62B51255" w14:textId="77777777" w:rsidR="00281D33" w:rsidRPr="00B46DF4" w:rsidRDefault="00281D33" w:rsidP="001A7B5C">
            <w:pPr>
              <w:spacing w:after="200" w:line="276" w:lineRule="auto"/>
              <w:jc w:val="center"/>
              <w:rPr>
                <w:rFonts w:ascii="Times New Roman" w:hAnsi="Times New Roman" w:cs="Times New Roman"/>
                <w:sz w:val="24"/>
                <w:szCs w:val="24"/>
              </w:rPr>
            </w:pPr>
            <w:r w:rsidRPr="00B46DF4">
              <w:rPr>
                <w:rFonts w:ascii="Times New Roman" w:hAnsi="Times New Roman" w:cs="Times New Roman"/>
                <w:sz w:val="24"/>
                <w:szCs w:val="24"/>
              </w:rPr>
              <w:t>-1.08</w:t>
            </w:r>
          </w:p>
        </w:tc>
      </w:tr>
      <w:tr w:rsidR="00281D33" w:rsidRPr="00B46DF4" w14:paraId="73D05E0A" w14:textId="77777777" w:rsidTr="001A7B5C">
        <w:trPr>
          <w:trHeight w:val="2600"/>
        </w:trPr>
        <w:tc>
          <w:tcPr>
            <w:tcW w:w="2785" w:type="dxa"/>
            <w:shd w:val="clear" w:color="auto" w:fill="FFFFFF" w:themeFill="background1"/>
            <w:hideMark/>
          </w:tcPr>
          <w:p w14:paraId="5DBC928A" w14:textId="77777777" w:rsidR="00281D33" w:rsidRPr="00B46DF4" w:rsidRDefault="00281D33" w:rsidP="001A7B5C">
            <w:pPr>
              <w:spacing w:after="200" w:line="276" w:lineRule="auto"/>
              <w:rPr>
                <w:rFonts w:ascii="Times New Roman" w:hAnsi="Times New Roman" w:cs="Times New Roman"/>
                <w:sz w:val="24"/>
                <w:szCs w:val="24"/>
              </w:rPr>
            </w:pPr>
          </w:p>
          <w:p w14:paraId="264E9426"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Carbaryl</w:t>
            </w:r>
          </w:p>
          <w:p w14:paraId="2F962B61"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Aromatic_hydroxylation5</w:t>
            </w:r>
          </w:p>
        </w:tc>
        <w:tc>
          <w:tcPr>
            <w:tcW w:w="4685" w:type="dxa"/>
            <w:shd w:val="clear" w:color="auto" w:fill="FFFFFF" w:themeFill="background1"/>
            <w:noWrap/>
            <w:hideMark/>
          </w:tcPr>
          <w:p w14:paraId="2F0AFD35"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noProof/>
                <w:sz w:val="24"/>
                <w:szCs w:val="24"/>
              </w:rPr>
              <w:drawing>
                <wp:anchor distT="0" distB="0" distL="114300" distR="114300" simplePos="0" relativeHeight="251662336" behindDoc="0" locked="0" layoutInCell="1" allowOverlap="1" wp14:anchorId="49D222A3" wp14:editId="1D87A7A6">
                  <wp:simplePos x="0" y="0"/>
                  <wp:positionH relativeFrom="column">
                    <wp:posOffset>9525</wp:posOffset>
                  </wp:positionH>
                  <wp:positionV relativeFrom="paragraph">
                    <wp:posOffset>85725</wp:posOffset>
                  </wp:positionV>
                  <wp:extent cx="2886075" cy="143827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250" w:type="dxa"/>
            <w:shd w:val="clear" w:color="auto" w:fill="FFFFFF" w:themeFill="background1"/>
          </w:tcPr>
          <w:p w14:paraId="53A0B358" w14:textId="77777777" w:rsidR="00281D33" w:rsidRPr="00B46DF4" w:rsidRDefault="00281D33" w:rsidP="001A7B5C">
            <w:pPr>
              <w:spacing w:after="200" w:line="276" w:lineRule="auto"/>
              <w:jc w:val="center"/>
              <w:rPr>
                <w:rFonts w:ascii="Times New Roman" w:hAnsi="Times New Roman" w:cs="Times New Roman"/>
                <w:sz w:val="24"/>
                <w:szCs w:val="24"/>
              </w:rPr>
            </w:pPr>
          </w:p>
          <w:p w14:paraId="570D0FAF" w14:textId="77777777" w:rsidR="00281D33" w:rsidRPr="00B46DF4" w:rsidRDefault="00281D33" w:rsidP="001A7B5C">
            <w:pPr>
              <w:spacing w:after="200" w:line="276" w:lineRule="auto"/>
              <w:jc w:val="center"/>
              <w:rPr>
                <w:rFonts w:ascii="Times New Roman" w:hAnsi="Times New Roman" w:cs="Times New Roman"/>
                <w:sz w:val="24"/>
                <w:szCs w:val="24"/>
              </w:rPr>
            </w:pPr>
          </w:p>
          <w:p w14:paraId="2B1F88D0" w14:textId="77777777" w:rsidR="00281D33" w:rsidRPr="00B46DF4" w:rsidRDefault="00281D33" w:rsidP="001A7B5C">
            <w:pPr>
              <w:spacing w:after="200" w:line="276" w:lineRule="auto"/>
              <w:jc w:val="center"/>
              <w:rPr>
                <w:rFonts w:ascii="Times New Roman" w:hAnsi="Times New Roman" w:cs="Times New Roman"/>
                <w:sz w:val="24"/>
                <w:szCs w:val="24"/>
              </w:rPr>
            </w:pPr>
            <w:r w:rsidRPr="00B46DF4">
              <w:rPr>
                <w:rFonts w:ascii="Times New Roman" w:hAnsi="Times New Roman" w:cs="Times New Roman"/>
                <w:sz w:val="24"/>
                <w:szCs w:val="24"/>
              </w:rPr>
              <w:t>-1.08</w:t>
            </w:r>
          </w:p>
        </w:tc>
      </w:tr>
      <w:tr w:rsidR="00281D33" w:rsidRPr="00B46DF4" w14:paraId="1AEE35CE" w14:textId="77777777" w:rsidTr="001A7B5C">
        <w:trPr>
          <w:trHeight w:val="2537"/>
        </w:trPr>
        <w:tc>
          <w:tcPr>
            <w:tcW w:w="2785" w:type="dxa"/>
            <w:shd w:val="clear" w:color="auto" w:fill="FFFFFF" w:themeFill="background1"/>
            <w:hideMark/>
          </w:tcPr>
          <w:p w14:paraId="1BB4949B" w14:textId="77777777" w:rsidR="00281D33" w:rsidRPr="00B46DF4" w:rsidRDefault="00281D33" w:rsidP="001A7B5C">
            <w:pPr>
              <w:spacing w:after="200" w:line="276" w:lineRule="auto"/>
              <w:rPr>
                <w:rFonts w:ascii="Times New Roman" w:hAnsi="Times New Roman" w:cs="Times New Roman"/>
                <w:sz w:val="24"/>
                <w:szCs w:val="24"/>
              </w:rPr>
            </w:pPr>
          </w:p>
          <w:p w14:paraId="79B5B23B"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Carbaryl</w:t>
            </w:r>
          </w:p>
          <w:p w14:paraId="4A837CEA"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sz w:val="24"/>
                <w:szCs w:val="24"/>
              </w:rPr>
              <w:t>N-dealkylation1A</w:t>
            </w:r>
          </w:p>
        </w:tc>
        <w:tc>
          <w:tcPr>
            <w:tcW w:w="4685" w:type="dxa"/>
            <w:shd w:val="clear" w:color="auto" w:fill="FFFFFF" w:themeFill="background1"/>
            <w:noWrap/>
            <w:hideMark/>
          </w:tcPr>
          <w:p w14:paraId="315C0409" w14:textId="77777777" w:rsidR="00281D33" w:rsidRPr="00B46DF4" w:rsidRDefault="00281D33" w:rsidP="001A7B5C">
            <w:pPr>
              <w:spacing w:after="200" w:line="276" w:lineRule="auto"/>
              <w:rPr>
                <w:rFonts w:ascii="Times New Roman" w:hAnsi="Times New Roman" w:cs="Times New Roman"/>
                <w:sz w:val="24"/>
                <w:szCs w:val="24"/>
              </w:rPr>
            </w:pPr>
            <w:r w:rsidRPr="00B46DF4">
              <w:rPr>
                <w:rFonts w:ascii="Times New Roman" w:hAnsi="Times New Roman" w:cs="Times New Roman"/>
                <w:noProof/>
                <w:sz w:val="24"/>
                <w:szCs w:val="24"/>
              </w:rPr>
              <w:drawing>
                <wp:anchor distT="0" distB="0" distL="114300" distR="114300" simplePos="0" relativeHeight="251663360" behindDoc="0" locked="0" layoutInCell="1" allowOverlap="1" wp14:anchorId="78375C60" wp14:editId="7EDFBD3E">
                  <wp:simplePos x="0" y="0"/>
                  <wp:positionH relativeFrom="column">
                    <wp:posOffset>-19050</wp:posOffset>
                  </wp:positionH>
                  <wp:positionV relativeFrom="paragraph">
                    <wp:posOffset>85725</wp:posOffset>
                  </wp:positionV>
                  <wp:extent cx="2886075" cy="1438275"/>
                  <wp:effectExtent l="0" t="0" r="9525" b="9525"/>
                  <wp:wrapNone/>
                  <wp:docPr id="17" name="Picture 17"/>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14382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2250" w:type="dxa"/>
            <w:shd w:val="clear" w:color="auto" w:fill="FFFFFF" w:themeFill="background1"/>
          </w:tcPr>
          <w:p w14:paraId="32139DBE" w14:textId="77777777" w:rsidR="00281D33" w:rsidRPr="00B46DF4" w:rsidRDefault="00281D33" w:rsidP="001A7B5C">
            <w:pPr>
              <w:spacing w:after="200" w:line="276" w:lineRule="auto"/>
              <w:jc w:val="center"/>
              <w:rPr>
                <w:rFonts w:ascii="Times New Roman" w:hAnsi="Times New Roman" w:cs="Times New Roman"/>
                <w:sz w:val="24"/>
                <w:szCs w:val="24"/>
              </w:rPr>
            </w:pPr>
          </w:p>
          <w:p w14:paraId="35975F03" w14:textId="77777777" w:rsidR="00281D33" w:rsidRPr="00B46DF4" w:rsidRDefault="00281D33" w:rsidP="001A7B5C">
            <w:pPr>
              <w:spacing w:after="200" w:line="276" w:lineRule="auto"/>
              <w:jc w:val="center"/>
              <w:rPr>
                <w:rFonts w:ascii="Times New Roman" w:hAnsi="Times New Roman" w:cs="Times New Roman"/>
                <w:sz w:val="24"/>
                <w:szCs w:val="24"/>
              </w:rPr>
            </w:pPr>
          </w:p>
          <w:p w14:paraId="0B24B987" w14:textId="77777777" w:rsidR="00281D33" w:rsidRPr="00B46DF4" w:rsidRDefault="00281D33" w:rsidP="001A7B5C">
            <w:pPr>
              <w:spacing w:after="200" w:line="276" w:lineRule="auto"/>
              <w:jc w:val="center"/>
              <w:rPr>
                <w:rFonts w:ascii="Times New Roman" w:hAnsi="Times New Roman" w:cs="Times New Roman"/>
                <w:sz w:val="24"/>
                <w:szCs w:val="24"/>
              </w:rPr>
            </w:pPr>
            <w:r w:rsidRPr="00B46DF4">
              <w:rPr>
                <w:rFonts w:ascii="Times New Roman" w:hAnsi="Times New Roman" w:cs="Times New Roman"/>
                <w:sz w:val="24"/>
                <w:szCs w:val="24"/>
              </w:rPr>
              <w:t>-1.21</w:t>
            </w:r>
          </w:p>
        </w:tc>
      </w:tr>
    </w:tbl>
    <w:p w14:paraId="3F92D76F" w14:textId="77777777" w:rsidR="00281D33" w:rsidRPr="00B46DF4"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color w:val="000000" w:themeColor="text1"/>
          <w:sz w:val="24"/>
          <w:szCs w:val="24"/>
        </w:rPr>
        <w:lastRenderedPageBreak/>
        <w:t xml:space="preserve">Figure </w:t>
      </w:r>
      <w:r>
        <w:rPr>
          <w:rFonts w:ascii="Times New Roman" w:hAnsi="Times New Roman" w:cs="Times New Roman"/>
          <w:color w:val="000000" w:themeColor="text1"/>
          <w:sz w:val="24"/>
          <w:szCs w:val="24"/>
        </w:rPr>
        <w:t>1S</w:t>
      </w:r>
      <w:r w:rsidRPr="00B46DF4">
        <w:rPr>
          <w:rFonts w:ascii="Times New Roman" w:hAnsi="Times New Roman" w:cs="Times New Roman"/>
          <w:color w:val="000000" w:themeColor="text1"/>
          <w:sz w:val="24"/>
          <w:szCs w:val="24"/>
        </w:rPr>
        <w:t>. Ontological categories representation of predicted targets of Carbaryl, ordered by –log (p-value) of the hypergeometric distribution. Top graphic shows biological processes, and down graphic the toxicity networks.</w:t>
      </w:r>
    </w:p>
    <w:p w14:paraId="7F5F8E9E" w14:textId="77777777" w:rsidR="00281D33" w:rsidRPr="00B46DF4"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noProof/>
          <w:color w:val="000000" w:themeColor="text1"/>
          <w:sz w:val="24"/>
          <w:szCs w:val="24"/>
        </w:rPr>
        <w:drawing>
          <wp:inline distT="0" distB="0" distL="0" distR="0" wp14:anchorId="686BE2CA" wp14:editId="0DE8558C">
            <wp:extent cx="425196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 process Carbari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1960" cy="2743200"/>
                    </a:xfrm>
                    <a:prstGeom prst="rect">
                      <a:avLst/>
                    </a:prstGeom>
                  </pic:spPr>
                </pic:pic>
              </a:graphicData>
            </a:graphic>
          </wp:inline>
        </w:drawing>
      </w:r>
    </w:p>
    <w:p w14:paraId="0FEF46AD" w14:textId="77777777" w:rsidR="00281D33" w:rsidRPr="00B46DF4"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noProof/>
          <w:color w:val="000000" w:themeColor="text1"/>
          <w:sz w:val="24"/>
          <w:szCs w:val="24"/>
        </w:rPr>
        <w:drawing>
          <wp:inline distT="0" distB="0" distL="0" distR="0" wp14:anchorId="2526A07F" wp14:editId="55E7EA4C">
            <wp:extent cx="4407408"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xicity Networks Carbari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7408" cy="2743200"/>
                    </a:xfrm>
                    <a:prstGeom prst="rect">
                      <a:avLst/>
                    </a:prstGeom>
                  </pic:spPr>
                </pic:pic>
              </a:graphicData>
            </a:graphic>
          </wp:inline>
        </w:drawing>
      </w:r>
    </w:p>
    <w:p w14:paraId="69771750" w14:textId="77777777" w:rsidR="00281D33" w:rsidRDefault="00281D33" w:rsidP="00281D33">
      <w:pPr>
        <w:spacing w:line="480" w:lineRule="auto"/>
        <w:rPr>
          <w:rFonts w:ascii="Times New Roman" w:hAnsi="Times New Roman" w:cs="Times New Roman"/>
          <w:color w:val="000000" w:themeColor="text1"/>
          <w:sz w:val="24"/>
          <w:szCs w:val="24"/>
        </w:rPr>
      </w:pPr>
    </w:p>
    <w:p w14:paraId="18C6484F" w14:textId="77777777" w:rsidR="00281D33" w:rsidRPr="00B46DF4"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2S</w:t>
      </w:r>
      <w:r w:rsidRPr="00B46DF4">
        <w:rPr>
          <w:rFonts w:ascii="Times New Roman" w:hAnsi="Times New Roman" w:cs="Times New Roman"/>
          <w:color w:val="000000" w:themeColor="text1"/>
          <w:sz w:val="24"/>
          <w:szCs w:val="24"/>
        </w:rPr>
        <w:t>. Visualization of the Androgen Receptor and transcriptional targets that are related to the GO process “reproductive structure development”. All transcription regulation targets are based off of manually curated information coming from peer reviewed articles.</w:t>
      </w:r>
    </w:p>
    <w:p w14:paraId="09D0B5ED" w14:textId="77777777" w:rsidR="00281D33" w:rsidRDefault="00281D33" w:rsidP="00281D33">
      <w:pPr>
        <w:spacing w:line="480" w:lineRule="auto"/>
        <w:rPr>
          <w:rFonts w:ascii="Times New Roman" w:hAnsi="Times New Roman" w:cs="Times New Roman"/>
          <w:color w:val="000000" w:themeColor="text1"/>
          <w:sz w:val="24"/>
          <w:szCs w:val="24"/>
        </w:rPr>
      </w:pPr>
      <w:r w:rsidRPr="00B46DF4">
        <w:rPr>
          <w:rFonts w:ascii="Times New Roman" w:hAnsi="Times New Roman" w:cs="Times New Roman"/>
          <w:noProof/>
          <w:color w:val="000000" w:themeColor="text1"/>
          <w:sz w:val="24"/>
          <w:szCs w:val="24"/>
        </w:rPr>
        <w:lastRenderedPageBreak/>
        <w:drawing>
          <wp:inline distT="0" distB="0" distL="0" distR="0" wp14:anchorId="3D144E5C" wp14:editId="4F0EF6B6">
            <wp:extent cx="6400800" cy="62839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twork AR advanced sear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6283960"/>
                    </a:xfrm>
                    <a:prstGeom prst="rect">
                      <a:avLst/>
                    </a:prstGeom>
                  </pic:spPr>
                </pic:pic>
              </a:graphicData>
            </a:graphic>
          </wp:inline>
        </w:drawing>
      </w:r>
    </w:p>
    <w:p w14:paraId="26DFF38E" w14:textId="77777777" w:rsidR="00281D33" w:rsidRDefault="00281D33" w:rsidP="00281D33">
      <w:pPr>
        <w:spacing w:line="480" w:lineRule="auto"/>
        <w:rPr>
          <w:rFonts w:ascii="Times New Roman" w:hAnsi="Times New Roman" w:cs="Times New Roman"/>
          <w:color w:val="000000" w:themeColor="text1"/>
          <w:sz w:val="24"/>
          <w:szCs w:val="24"/>
        </w:rPr>
      </w:pPr>
    </w:p>
    <w:p w14:paraId="788F59BC" w14:textId="77777777" w:rsidR="00DC57CC" w:rsidRDefault="00DC57CC"/>
    <w:sectPr w:rsidR="00DC57CC" w:rsidSect="006C6578">
      <w:headerReference w:type="even" r:id="rId15"/>
      <w:headerReference w:type="default" r:id="rId16"/>
      <w:footerReference w:type="even" r:id="rId17"/>
      <w:footerReference w:type="default" r:id="rId18"/>
      <w:headerReference w:type="first" r:id="rId19"/>
      <w:footerReference w:type="first" r:id="rId2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3B0936" w14:textId="77777777" w:rsidR="00281D33" w:rsidRDefault="00281D33" w:rsidP="008B5D54">
      <w:pPr>
        <w:spacing w:after="0" w:line="240" w:lineRule="auto"/>
      </w:pPr>
      <w:r>
        <w:separator/>
      </w:r>
    </w:p>
  </w:endnote>
  <w:endnote w:type="continuationSeparator" w:id="0">
    <w:p w14:paraId="59815584" w14:textId="77777777" w:rsidR="00281D33" w:rsidRDefault="00281D33"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33149" w14:textId="77777777" w:rsidR="008B5D54" w:rsidRDefault="008B5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94A95" w14:textId="77777777" w:rsidR="008B5D54" w:rsidRDefault="008B5D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5A1F2" w14:textId="77777777" w:rsidR="008B5D54" w:rsidRDefault="008B5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B956A" w14:textId="77777777" w:rsidR="00281D33" w:rsidRDefault="00281D33" w:rsidP="008B5D54">
      <w:pPr>
        <w:spacing w:after="0" w:line="240" w:lineRule="auto"/>
      </w:pPr>
      <w:r>
        <w:separator/>
      </w:r>
    </w:p>
  </w:footnote>
  <w:footnote w:type="continuationSeparator" w:id="0">
    <w:p w14:paraId="3A4ACB04" w14:textId="77777777" w:rsidR="00281D33" w:rsidRDefault="00281D33" w:rsidP="008B5D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DAA39" w14:textId="77777777" w:rsidR="008B5D54" w:rsidRDefault="008B5D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5652" w14:textId="77777777" w:rsidR="008B5D54" w:rsidRDefault="008B5D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CD265" w14:textId="77777777" w:rsidR="008B5D54" w:rsidRDefault="008B5D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revisionView w:inkAnnotation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D33"/>
    <w:rsid w:val="00024528"/>
    <w:rsid w:val="00281D33"/>
    <w:rsid w:val="003D0AE3"/>
    <w:rsid w:val="006C6578"/>
    <w:rsid w:val="008B5D54"/>
    <w:rsid w:val="00B55735"/>
    <w:rsid w:val="00B608AC"/>
    <w:rsid w:val="00DC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79C81"/>
  <w15:chartTrackingRefBased/>
  <w15:docId w15:val="{BA577EE8-59E9-4A1B-B76A-9308E884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customStyle="1" w:styleId="GridTable1Light1">
    <w:name w:val="Grid Table 1 Light1"/>
    <w:basedOn w:val="TableNormal"/>
    <w:uiPriority w:val="46"/>
    <w:rsid w:val="00281D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28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8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E5AFD-DACA-4A5E-A6EF-844BE1AC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Ruiz, Patricia (ATSDR/DTHHS/OD)</dc:creator>
  <cp:keywords/>
  <dc:description/>
  <cp:lastModifiedBy>Dyken, Jill J. (ATSDR/OAD/OD)</cp:lastModifiedBy>
  <cp:revision>2</cp:revision>
  <dcterms:created xsi:type="dcterms:W3CDTF">2021-06-11T20:10:00Z</dcterms:created>
  <dcterms:modified xsi:type="dcterms:W3CDTF">2021-06-11T20:10:00Z</dcterms:modified>
</cp:coreProperties>
</file>