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2FB" w:rsidRPr="00A15574" w:rsidRDefault="005542FB" w:rsidP="009403DF">
      <w:pPr>
        <w:spacing w:after="0" w:line="240" w:lineRule="auto"/>
        <w:rPr>
          <w:rFonts w:ascii="Times New Roman" w:hAnsi="Times New Roman" w:cs="Times New Roman"/>
          <w:color w:val="000000" w:themeColor="text1"/>
        </w:rPr>
      </w:pPr>
      <w:r w:rsidRPr="00A15574">
        <w:rPr>
          <w:rFonts w:ascii="Times New Roman" w:hAnsi="Times New Roman" w:cs="Times New Roman"/>
          <w:color w:val="000000" w:themeColor="text1"/>
        </w:rPr>
        <w:t>Biomechanical factors during common agricultural activities: results of on-farm exposure assessments using direct measurement methods</w:t>
      </w:r>
    </w:p>
    <w:p w:rsidR="005542FB" w:rsidRPr="00A15574" w:rsidRDefault="005542FB" w:rsidP="009403DF">
      <w:pPr>
        <w:spacing w:after="0" w:line="240" w:lineRule="auto"/>
        <w:rPr>
          <w:rFonts w:ascii="Times New Roman" w:hAnsi="Times New Roman" w:cs="Times New Roman"/>
          <w:b/>
          <w:color w:val="000000" w:themeColor="text1"/>
        </w:rPr>
      </w:pPr>
    </w:p>
    <w:p w:rsidR="005542FB" w:rsidRPr="00A15574" w:rsidRDefault="005542FB" w:rsidP="009403DF">
      <w:pPr>
        <w:spacing w:after="0" w:line="240" w:lineRule="auto"/>
        <w:rPr>
          <w:rFonts w:ascii="Times New Roman" w:hAnsi="Times New Roman" w:cs="Times New Roman"/>
          <w:color w:val="000000" w:themeColor="text1"/>
        </w:rPr>
      </w:pPr>
      <w:r w:rsidRPr="00A15574">
        <w:rPr>
          <w:rFonts w:ascii="Times New Roman" w:hAnsi="Times New Roman" w:cs="Times New Roman"/>
          <w:color w:val="000000" w:themeColor="text1"/>
        </w:rPr>
        <w:t>Keywords: Agriculture, ergonomics, surface electromyography, kinematics</w:t>
      </w:r>
    </w:p>
    <w:p w:rsidR="005542FB" w:rsidRPr="00A15574" w:rsidRDefault="005542FB" w:rsidP="009403DF">
      <w:pPr>
        <w:spacing w:after="0" w:line="240" w:lineRule="auto"/>
        <w:rPr>
          <w:rFonts w:ascii="Times New Roman" w:hAnsi="Times New Roman" w:cs="Times New Roman"/>
          <w:color w:val="000000" w:themeColor="text1"/>
        </w:rPr>
      </w:pPr>
    </w:p>
    <w:p w:rsidR="005542FB" w:rsidRPr="00A15574" w:rsidRDefault="005542FB" w:rsidP="009403DF">
      <w:pPr>
        <w:spacing w:after="0" w:line="240" w:lineRule="auto"/>
        <w:rPr>
          <w:rFonts w:ascii="Times New Roman" w:hAnsi="Times New Roman" w:cs="Times New Roman"/>
          <w:color w:val="000000" w:themeColor="text1"/>
        </w:rPr>
      </w:pPr>
      <w:r w:rsidRPr="00A15574">
        <w:rPr>
          <w:rFonts w:ascii="Times New Roman" w:hAnsi="Times New Roman" w:cs="Times New Roman"/>
          <w:color w:val="000000" w:themeColor="text1"/>
        </w:rPr>
        <w:t>Word count (exposition only): 4,43</w:t>
      </w:r>
      <w:r w:rsidR="00D045F1">
        <w:rPr>
          <w:rFonts w:ascii="Times New Roman" w:hAnsi="Times New Roman" w:cs="Times New Roman"/>
          <w:color w:val="000000" w:themeColor="text1"/>
        </w:rPr>
        <w:t>2</w:t>
      </w:r>
      <w:bookmarkStart w:id="0" w:name="_GoBack"/>
      <w:bookmarkEnd w:id="0"/>
    </w:p>
    <w:p w:rsidR="005542FB" w:rsidRPr="00A15574" w:rsidRDefault="005542FB">
      <w:pPr>
        <w:rPr>
          <w:rFonts w:ascii="Times New Roman" w:hAnsi="Times New Roman" w:cs="Times New Roman"/>
          <w:b/>
          <w:color w:val="000000" w:themeColor="text1"/>
        </w:rPr>
      </w:pPr>
      <w:r w:rsidRPr="00A15574">
        <w:rPr>
          <w:rFonts w:ascii="Times New Roman" w:hAnsi="Times New Roman" w:cs="Times New Roman"/>
          <w:b/>
          <w:color w:val="000000" w:themeColor="text1"/>
        </w:rPr>
        <w:br w:type="page"/>
      </w:r>
    </w:p>
    <w:p w:rsidR="005542FB" w:rsidRPr="00A15574" w:rsidRDefault="005542FB" w:rsidP="00BA72BB">
      <w:pPr>
        <w:spacing w:after="0" w:line="480" w:lineRule="auto"/>
        <w:rPr>
          <w:rFonts w:ascii="Times New Roman" w:hAnsi="Times New Roman" w:cs="Times New Roman"/>
          <w:b/>
          <w:color w:val="000000" w:themeColor="text1"/>
          <w:sz w:val="32"/>
          <w:szCs w:val="32"/>
        </w:rPr>
      </w:pPr>
      <w:r w:rsidRPr="00A15574">
        <w:rPr>
          <w:rFonts w:ascii="Times New Roman" w:hAnsi="Times New Roman" w:cs="Times New Roman"/>
          <w:b/>
          <w:color w:val="000000" w:themeColor="text1"/>
          <w:sz w:val="32"/>
          <w:szCs w:val="32"/>
        </w:rPr>
        <w:lastRenderedPageBreak/>
        <w:t>ABSTRACT</w:t>
      </w:r>
    </w:p>
    <w:p w:rsidR="005542FB" w:rsidRPr="00A15574" w:rsidRDefault="005542FB" w:rsidP="00031410">
      <w:pPr>
        <w:spacing w:after="0" w:line="480" w:lineRule="auto"/>
        <w:rPr>
          <w:rFonts w:ascii="Times New Roman" w:hAnsi="Times New Roman" w:cs="Times New Roman"/>
          <w:color w:val="000000" w:themeColor="text1"/>
          <w:sz w:val="24"/>
          <w:szCs w:val="24"/>
        </w:rPr>
      </w:pPr>
      <w:r w:rsidRPr="00A15574">
        <w:rPr>
          <w:rFonts w:ascii="Times New Roman" w:hAnsi="Times New Roman" w:cs="Times New Roman"/>
          <w:color w:val="000000" w:themeColor="text1"/>
          <w:sz w:val="24"/>
          <w:szCs w:val="24"/>
        </w:rPr>
        <w:tab/>
        <w:t xml:space="preserve">Agricultural work is associated with increased risk of adverse musculoskeletal health outcomes. The purpose of this study was to quantify exposure to biomechanical factors among a sample (n=55) of farmers in the Midwest region of the US while they performed a variety of routine agricultural activities, and to compare exposure levels between these activities. Surface electromyography was used to estimate activity levels of the erector </w:t>
      </w:r>
      <w:proofErr w:type="spellStart"/>
      <w:r w:rsidRPr="00A15574">
        <w:rPr>
          <w:rFonts w:ascii="Times New Roman" w:hAnsi="Times New Roman" w:cs="Times New Roman"/>
          <w:color w:val="000000" w:themeColor="text1"/>
          <w:sz w:val="24"/>
          <w:szCs w:val="24"/>
        </w:rPr>
        <w:t>spinae</w:t>
      </w:r>
      <w:proofErr w:type="spellEnd"/>
      <w:r w:rsidRPr="00A15574">
        <w:rPr>
          <w:rFonts w:ascii="Times New Roman" w:hAnsi="Times New Roman" w:cs="Times New Roman"/>
          <w:color w:val="000000" w:themeColor="text1"/>
          <w:sz w:val="24"/>
          <w:szCs w:val="24"/>
        </w:rPr>
        <w:t xml:space="preserve">, upper trapezius, forearm flexor, and forearm extensor muscle groups. Simultaneously, inertial sensors were used to measure kinematics of the trunk, upper arm, and wrist. In general, lower muscle activity levels, less extreme postures, and slower movement speeds were observed during activities that involved primarily the use of agricultural machinery in comparison to manual activities, suggesting a potential advantage of mechanization relative to musculoskeletal health. Median wrist movement speeds exceeding recently proposed exposure thresholds were also observed during many manual activities, such as milking animals and repairing equipment. Upper arm postures and movement speeds did not appear to confer excessive risk for shoulder-related outcomes (on the whole), but interpretation of the results is limited by a sampling approach that may not have captured the full extent of exposure variation. Not surprisingly, substantial variation in exposure levels were observed within each agricultural activity, which is related to substantial variation in the equipment, tools, and work practices used by participants. Ultimately, the results of this study contribute to an emerging literature in which the physical demands of routine agricultural work have been described on the basis of sensor-based measurements rather than more common self-report or observation-based approaches.   </w:t>
      </w:r>
    </w:p>
    <w:p w:rsidR="005542FB" w:rsidRPr="00A15574" w:rsidRDefault="005542FB" w:rsidP="00031410">
      <w:pPr>
        <w:spacing w:after="0" w:line="480" w:lineRule="auto"/>
        <w:rPr>
          <w:rFonts w:ascii="Times New Roman" w:hAnsi="Times New Roman" w:cs="Times New Roman"/>
          <w:b/>
          <w:color w:val="000000" w:themeColor="text1"/>
        </w:rPr>
      </w:pPr>
    </w:p>
    <w:p w:rsidR="005542FB" w:rsidRPr="00A15574" w:rsidRDefault="005542FB">
      <w:pPr>
        <w:rPr>
          <w:rFonts w:ascii="Times New Roman" w:hAnsi="Times New Roman" w:cs="Times New Roman"/>
          <w:b/>
          <w:caps/>
          <w:color w:val="000000" w:themeColor="text1"/>
          <w:sz w:val="32"/>
          <w:szCs w:val="32"/>
        </w:rPr>
      </w:pPr>
      <w:r w:rsidRPr="00A15574">
        <w:rPr>
          <w:rFonts w:ascii="Times New Roman" w:hAnsi="Times New Roman" w:cs="Times New Roman"/>
          <w:b/>
          <w:caps/>
          <w:color w:val="000000" w:themeColor="text1"/>
          <w:sz w:val="32"/>
          <w:szCs w:val="32"/>
        </w:rPr>
        <w:br w:type="page"/>
      </w:r>
    </w:p>
    <w:p w:rsidR="005542FB" w:rsidRPr="00A15574" w:rsidRDefault="005542FB" w:rsidP="0051031A">
      <w:pPr>
        <w:spacing w:after="0" w:line="480" w:lineRule="auto"/>
        <w:rPr>
          <w:rFonts w:ascii="Times New Roman" w:hAnsi="Times New Roman" w:cs="Times New Roman"/>
          <w:b/>
          <w:caps/>
          <w:color w:val="000000" w:themeColor="text1"/>
          <w:sz w:val="32"/>
          <w:szCs w:val="32"/>
        </w:rPr>
      </w:pPr>
      <w:r w:rsidRPr="00A15574">
        <w:rPr>
          <w:rFonts w:ascii="Times New Roman" w:hAnsi="Times New Roman" w:cs="Times New Roman"/>
          <w:b/>
          <w:caps/>
          <w:color w:val="000000" w:themeColor="text1"/>
          <w:sz w:val="32"/>
          <w:szCs w:val="32"/>
        </w:rPr>
        <w:lastRenderedPageBreak/>
        <w:t>Introduction</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An increased risk of musculoskeletal health problems has been observed among agricultural workers in comparison to those in many other industries </w:t>
      </w:r>
      <w:r w:rsidRPr="00A15574">
        <w:rPr>
          <w:rFonts w:ascii="Times New Roman" w:hAnsi="Times New Roman" w:cs="Times New Roman"/>
          <w:noProof/>
          <w:color w:val="000000" w:themeColor="text1"/>
          <w:sz w:val="24"/>
        </w:rPr>
        <w:t>(Leigh and Sheetz 1989; Walker‐Bone and Palmer 2002; Morse et al. 2007)</w:t>
      </w:r>
      <w:r w:rsidRPr="00A15574">
        <w:rPr>
          <w:rFonts w:ascii="Times New Roman" w:hAnsi="Times New Roman" w:cs="Times New Roman"/>
          <w:color w:val="000000" w:themeColor="text1"/>
          <w:sz w:val="24"/>
        </w:rPr>
        <w:t xml:space="preserve">. Back pain is common among agricultural workers </w:t>
      </w:r>
      <w:r w:rsidRPr="00A15574">
        <w:rPr>
          <w:rFonts w:ascii="Times New Roman" w:hAnsi="Times New Roman" w:cs="Times New Roman"/>
          <w:noProof/>
          <w:color w:val="000000" w:themeColor="text1"/>
          <w:sz w:val="24"/>
        </w:rPr>
        <w:t>(Osborne et al. 2012a)</w:t>
      </w:r>
      <w:r w:rsidRPr="00A15574">
        <w:rPr>
          <w:rFonts w:ascii="Times New Roman" w:hAnsi="Times New Roman" w:cs="Times New Roman"/>
          <w:color w:val="000000" w:themeColor="text1"/>
          <w:sz w:val="24"/>
        </w:rPr>
        <w:t xml:space="preserve">, with indications of increased risk (~50%) compared to non-farming rural workers </w:t>
      </w:r>
      <w:r w:rsidRPr="00A15574">
        <w:rPr>
          <w:rFonts w:ascii="Times New Roman" w:hAnsi="Times New Roman" w:cs="Times New Roman"/>
          <w:noProof/>
          <w:color w:val="000000" w:themeColor="text1"/>
          <w:sz w:val="24"/>
        </w:rPr>
        <w:t>(Holmberg et al. 2002)</w:t>
      </w:r>
      <w:r w:rsidRPr="00A15574">
        <w:rPr>
          <w:rFonts w:ascii="Times New Roman" w:hAnsi="Times New Roman" w:cs="Times New Roman"/>
          <w:color w:val="000000" w:themeColor="text1"/>
          <w:sz w:val="24"/>
        </w:rPr>
        <w:t xml:space="preserve">. In addition, the prevalence of any shoulder, elbow, or wrist/hand pain has been observed to be significantly greater (~20%) among those in agriculture compared to those in other industries </w:t>
      </w:r>
      <w:r w:rsidRPr="00A15574">
        <w:rPr>
          <w:rFonts w:ascii="Times New Roman" w:hAnsi="Times New Roman" w:cs="Times New Roman"/>
          <w:noProof/>
          <w:color w:val="000000" w:themeColor="text1"/>
          <w:sz w:val="24"/>
        </w:rPr>
        <w:t>(Lee et al. 2014)</w:t>
      </w:r>
      <w:r w:rsidRPr="00A15574">
        <w:rPr>
          <w:rFonts w:ascii="Times New Roman" w:hAnsi="Times New Roman" w:cs="Times New Roman"/>
          <w:color w:val="000000" w:themeColor="text1"/>
          <w:sz w:val="24"/>
        </w:rPr>
        <w:t xml:space="preserve">. Risk factors for musculoskeletal outcomes in the agricultural setting are fundamentally similar to those among other occupational groups and have been categorized broadly as relating to personal characteristics (e.g., age, body mass, and gender), characteristics of the farm operation (e.g., commodities produced and size of the operation), psychosocial characteristics (e.g., stress and depression), and the physical demands of the work </w:t>
      </w:r>
      <w:r w:rsidRPr="00A15574">
        <w:rPr>
          <w:rFonts w:ascii="Times New Roman" w:hAnsi="Times New Roman" w:cs="Times New Roman"/>
          <w:noProof/>
          <w:color w:val="000000" w:themeColor="text1"/>
          <w:sz w:val="24"/>
        </w:rPr>
        <w:t>(Davis and Kotowski 2007; Osborne et al. 2012b; Douphrate et al. 2016b)</w:t>
      </w:r>
      <w:r w:rsidRPr="00A15574">
        <w:rPr>
          <w:rFonts w:ascii="Times New Roman" w:hAnsi="Times New Roman" w:cs="Times New Roman"/>
          <w:color w:val="000000" w:themeColor="text1"/>
          <w:sz w:val="24"/>
        </w:rPr>
        <w:t xml:space="preserve">. With respect specifically to the physical demands of work, agricultural activities commonly expose workers to the full complement of established biomechanical risk factors for musculoskeletal outcomes (i.e., high muscle forces, non-neutral working postures, and high movement speeds) </w:t>
      </w:r>
      <w:r w:rsidRPr="00A15574">
        <w:rPr>
          <w:rFonts w:ascii="Times New Roman" w:hAnsi="Times New Roman" w:cs="Times New Roman"/>
          <w:noProof/>
          <w:color w:val="000000" w:themeColor="text1"/>
          <w:sz w:val="24"/>
        </w:rPr>
        <w:t>(Walker‐Bone and Palmer 2002; Davis and Kotowski 2007)</w:t>
      </w:r>
      <w:r w:rsidRPr="00A15574">
        <w:rPr>
          <w:rFonts w:ascii="Times New Roman" w:hAnsi="Times New Roman" w:cs="Times New Roman"/>
          <w:color w:val="000000" w:themeColor="text1"/>
          <w:sz w:val="24"/>
        </w:rPr>
        <w:t xml:space="preserve">. Understanding patterns of exposure to these biomechanical factors, across a range of body regions and agricultural activities, is an important component of building an empirical basis for prevention activities.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Unfortunately, the use of relatively crude self-report and observation-based exposure assessment methods dominates the practice of measuring biomechanical factors among agricultural workers </w:t>
      </w:r>
      <w:r w:rsidRPr="00A15574">
        <w:rPr>
          <w:rFonts w:ascii="Times New Roman" w:hAnsi="Times New Roman" w:cs="Times New Roman"/>
          <w:noProof/>
          <w:color w:val="000000" w:themeColor="text1"/>
          <w:sz w:val="24"/>
        </w:rPr>
        <w:t>(Khan et al. 2019a)</w:t>
      </w:r>
      <w:r w:rsidRPr="00A15574">
        <w:rPr>
          <w:rFonts w:ascii="Times New Roman" w:hAnsi="Times New Roman" w:cs="Times New Roman"/>
          <w:color w:val="000000" w:themeColor="text1"/>
          <w:sz w:val="24"/>
        </w:rPr>
        <w:t xml:space="preserve">. Notable exceptions include studies of select activities in </w:t>
      </w:r>
      <w:r w:rsidRPr="00A15574">
        <w:rPr>
          <w:rFonts w:ascii="Times New Roman" w:hAnsi="Times New Roman" w:cs="Times New Roman"/>
          <w:color w:val="000000" w:themeColor="text1"/>
          <w:sz w:val="24"/>
        </w:rPr>
        <w:lastRenderedPageBreak/>
        <w:t xml:space="preserve">a few specialized subsectors in which direct measures of muscle activity and/or postures and movement speeds were obtained, such as during apple harvesting </w:t>
      </w:r>
      <w:r w:rsidRPr="00A15574">
        <w:rPr>
          <w:rFonts w:ascii="Times New Roman" w:hAnsi="Times New Roman" w:cs="Times New Roman"/>
          <w:noProof/>
          <w:color w:val="000000" w:themeColor="text1"/>
          <w:sz w:val="24"/>
        </w:rPr>
        <w:t>(Earle-Richardson et al. 2008; Thamsuwan et al. 2019)</w:t>
      </w:r>
      <w:r w:rsidRPr="00A15574">
        <w:rPr>
          <w:rFonts w:ascii="Times New Roman" w:hAnsi="Times New Roman" w:cs="Times New Roman"/>
          <w:color w:val="000000" w:themeColor="text1"/>
          <w:sz w:val="24"/>
        </w:rPr>
        <w:t xml:space="preserve">, grapevine pruning </w:t>
      </w:r>
      <w:r w:rsidRPr="00A15574">
        <w:rPr>
          <w:rFonts w:ascii="Times New Roman" w:hAnsi="Times New Roman" w:cs="Times New Roman"/>
          <w:noProof/>
          <w:color w:val="000000" w:themeColor="text1"/>
          <w:sz w:val="24"/>
        </w:rPr>
        <w:t>(Roquelaure et al. 2002; Kato et al. 2006; Balaguier et al. 2017)</w:t>
      </w:r>
      <w:r w:rsidRPr="00A15574">
        <w:rPr>
          <w:rFonts w:ascii="Times New Roman" w:hAnsi="Times New Roman" w:cs="Times New Roman"/>
          <w:color w:val="000000" w:themeColor="text1"/>
          <w:sz w:val="24"/>
        </w:rPr>
        <w:t xml:space="preserve">, and milking parlor work on dairy farms </w:t>
      </w:r>
      <w:r w:rsidRPr="00A15574">
        <w:rPr>
          <w:rFonts w:ascii="Times New Roman" w:hAnsi="Times New Roman" w:cs="Times New Roman"/>
          <w:noProof/>
          <w:color w:val="000000" w:themeColor="text1"/>
          <w:sz w:val="24"/>
        </w:rPr>
        <w:t>(Stål et al. 1999; Stål et al. 2000; Pinzke et al. 2001; Nonnenmann et al. 2010; Douphrate et al. 2012; Mixco et al. 2016; Douphrate et al. 2017)</w:t>
      </w:r>
      <w:r w:rsidRPr="00A15574">
        <w:rPr>
          <w:rFonts w:ascii="Times New Roman" w:hAnsi="Times New Roman" w:cs="Times New Roman"/>
          <w:color w:val="000000" w:themeColor="text1"/>
          <w:sz w:val="24"/>
        </w:rPr>
        <w:t xml:space="preserve">. Direct measures have also been used to examine the effects of both administrative and engineering controls to reduce biomechanical loads resulting from stooped working postures common to a number of non-mechanized agricultural activities </w:t>
      </w:r>
      <w:r w:rsidRPr="00A15574">
        <w:rPr>
          <w:rFonts w:ascii="Times New Roman" w:hAnsi="Times New Roman" w:cs="Times New Roman"/>
          <w:noProof/>
          <w:color w:val="000000" w:themeColor="text1"/>
          <w:sz w:val="24"/>
        </w:rPr>
        <w:t>(Meyer and Radwin 2007; Ulrey and Fathallah 2012; Hudson et al. 2014)</w:t>
      </w:r>
      <w:r w:rsidRPr="00A15574">
        <w:rPr>
          <w:rFonts w:ascii="Times New Roman" w:hAnsi="Times New Roman" w:cs="Times New Roman"/>
          <w:color w:val="000000" w:themeColor="text1"/>
          <w:sz w:val="24"/>
        </w:rPr>
        <w:t>.</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While the studies noted above provide useful information, many workers on farm operations in the US Midwest routinely perform a variety of work activities </w:t>
      </w:r>
      <w:r w:rsidRPr="00A15574">
        <w:rPr>
          <w:rFonts w:ascii="Times New Roman" w:hAnsi="Times New Roman" w:cs="Times New Roman"/>
          <w:noProof/>
          <w:color w:val="000000" w:themeColor="text1"/>
          <w:sz w:val="24"/>
        </w:rPr>
        <w:t>(Fethke et al. 2015a)</w:t>
      </w:r>
      <w:r w:rsidRPr="00A15574">
        <w:rPr>
          <w:rFonts w:ascii="Times New Roman" w:hAnsi="Times New Roman" w:cs="Times New Roman"/>
          <w:color w:val="000000" w:themeColor="text1"/>
          <w:sz w:val="24"/>
        </w:rPr>
        <w:t xml:space="preserve"> and, therefore, likely experience a broader range of biomechanical loading patterns than workers in specialized agricultural subsectors. Recently, </w:t>
      </w:r>
      <w:r w:rsidRPr="00A15574">
        <w:rPr>
          <w:rFonts w:ascii="Times New Roman" w:hAnsi="Times New Roman" w:cs="Times New Roman"/>
          <w:noProof/>
          <w:color w:val="000000" w:themeColor="text1"/>
          <w:sz w:val="24"/>
        </w:rPr>
        <w:t>Khan et al. (2019b)</w:t>
      </w:r>
      <w:r w:rsidRPr="00A15574">
        <w:rPr>
          <w:rFonts w:ascii="Times New Roman" w:hAnsi="Times New Roman" w:cs="Times New Roman"/>
          <w:color w:val="000000" w:themeColor="text1"/>
          <w:sz w:val="24"/>
        </w:rPr>
        <w:t xml:space="preserve"> reported directly measured trunk postures and movement speeds among a relatively large sample (n=49) of agricultural workers in the Canadian prairie (i.e., Saskatchewan), a region with agricultural activity similar in many respects to the US Midwest. In their study, exposures varied substantially between working days categorized as involving predominantly machinery operation, manual tasks, or a mix of the two. In general, postures and movement speeds were less extreme during days with the majority of work time spent operating machinery.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Similar to </w:t>
      </w:r>
      <w:r w:rsidRPr="00A15574">
        <w:rPr>
          <w:rFonts w:ascii="Times New Roman" w:hAnsi="Times New Roman" w:cs="Times New Roman"/>
          <w:noProof/>
          <w:color w:val="000000" w:themeColor="text1"/>
          <w:sz w:val="24"/>
        </w:rPr>
        <w:t>Khan et al. (2019b)</w:t>
      </w:r>
      <w:r w:rsidRPr="00A15574">
        <w:rPr>
          <w:rFonts w:ascii="Times New Roman" w:hAnsi="Times New Roman" w:cs="Times New Roman"/>
          <w:color w:val="000000" w:themeColor="text1"/>
          <w:sz w:val="24"/>
        </w:rPr>
        <w:t xml:space="preserve">, the objective of this study was to characterize the biomechanical loading patterns among a sample of farmers from nine states within the US Midwest as they performed routine agricultural activities. Specifically, we sought to quantify and compare muscular loading and kinematics (i.e., postures and movement speeds) of the trunk, </w:t>
      </w:r>
      <w:r w:rsidRPr="00A15574">
        <w:rPr>
          <w:rFonts w:ascii="Times New Roman" w:hAnsi="Times New Roman" w:cs="Times New Roman"/>
          <w:color w:val="000000" w:themeColor="text1"/>
          <w:sz w:val="24"/>
        </w:rPr>
        <w:lastRenderedPageBreak/>
        <w:t xml:space="preserve">neck/shoulder, and distal upper extremity (i.e., wrist) for agricultural activities consistent with the production agriculture activity categories included in the second decade National Institute for Occupational Safety and Health (NIOSH) National Occupational Research Agenda for Agriculture, Forestry and Fishing </w:t>
      </w:r>
      <w:r w:rsidRPr="00A15574">
        <w:rPr>
          <w:rFonts w:ascii="Times New Roman" w:hAnsi="Times New Roman" w:cs="Times New Roman"/>
          <w:noProof/>
          <w:color w:val="000000" w:themeColor="text1"/>
          <w:sz w:val="24"/>
        </w:rPr>
        <w:t>(NIOSH 2008)</w:t>
      </w:r>
      <w:r w:rsidRPr="00A15574">
        <w:rPr>
          <w:rFonts w:ascii="Times New Roman" w:hAnsi="Times New Roman" w:cs="Times New Roman"/>
          <w:color w:val="000000" w:themeColor="text1"/>
          <w:sz w:val="24"/>
        </w:rPr>
        <w:t>.</w:t>
      </w:r>
    </w:p>
    <w:p w:rsidR="005542FB" w:rsidRPr="00A15574" w:rsidRDefault="005542FB" w:rsidP="00031410">
      <w:pPr>
        <w:spacing w:after="0" w:line="480" w:lineRule="auto"/>
        <w:rPr>
          <w:rFonts w:ascii="Times New Roman" w:hAnsi="Times New Roman" w:cs="Times New Roman"/>
          <w:color w:val="000000" w:themeColor="text1"/>
          <w:sz w:val="24"/>
        </w:rPr>
      </w:pPr>
    </w:p>
    <w:p w:rsidR="005542FB" w:rsidRPr="00A15574" w:rsidRDefault="005542FB" w:rsidP="0051031A">
      <w:pPr>
        <w:spacing w:after="0" w:line="480" w:lineRule="auto"/>
        <w:rPr>
          <w:rFonts w:ascii="Times New Roman" w:hAnsi="Times New Roman" w:cs="Times New Roman"/>
          <w:b/>
          <w:caps/>
          <w:color w:val="000000" w:themeColor="text1"/>
          <w:sz w:val="32"/>
        </w:rPr>
      </w:pPr>
      <w:r w:rsidRPr="00A15574">
        <w:rPr>
          <w:rFonts w:ascii="Times New Roman" w:hAnsi="Times New Roman" w:cs="Times New Roman"/>
          <w:b/>
          <w:caps/>
          <w:color w:val="000000" w:themeColor="text1"/>
          <w:sz w:val="32"/>
        </w:rPr>
        <w:t>Methods</w:t>
      </w:r>
    </w:p>
    <w:p w:rsidR="005542FB" w:rsidRPr="00A15574" w:rsidRDefault="005542FB" w:rsidP="0051031A">
      <w:pPr>
        <w:spacing w:after="0" w:line="480" w:lineRule="auto"/>
        <w:rPr>
          <w:rFonts w:ascii="Times New Roman" w:hAnsi="Times New Roman" w:cs="Times New Roman"/>
          <w:b/>
          <w:color w:val="000000" w:themeColor="text1"/>
          <w:sz w:val="28"/>
        </w:rPr>
      </w:pPr>
      <w:r w:rsidRPr="00A15574">
        <w:rPr>
          <w:rFonts w:ascii="Times New Roman" w:hAnsi="Times New Roman" w:cs="Times New Roman"/>
          <w:b/>
          <w:color w:val="000000" w:themeColor="text1"/>
          <w:sz w:val="28"/>
        </w:rPr>
        <w:t>Study Participants</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Participants included in the current analyses were a subset (n=55) of agricultural workers (n=518) enrolled in a longitudinal study of musculoskeletal symptoms in nine states within the US Midwest. The procedures used to recruit participants into the longitudinal study have been reported previously </w:t>
      </w:r>
      <w:r w:rsidRPr="00A15574">
        <w:rPr>
          <w:rFonts w:ascii="Times New Roman" w:hAnsi="Times New Roman" w:cs="Times New Roman"/>
          <w:noProof/>
          <w:color w:val="000000" w:themeColor="text1"/>
          <w:sz w:val="24"/>
        </w:rPr>
        <w:t>(Fethke et al. 2015a)</w:t>
      </w:r>
      <w:r w:rsidRPr="00A15574">
        <w:rPr>
          <w:rFonts w:ascii="Times New Roman" w:hAnsi="Times New Roman" w:cs="Times New Roman"/>
          <w:color w:val="000000" w:themeColor="text1"/>
          <w:sz w:val="24"/>
        </w:rPr>
        <w:t>. Concurrent with enrollment, all participants were asked to consider participating in the on-farm exposure assessment component of the study. Our goal was to recruit at least 10% of the full cohort for on-farm exposure assessment. The University of Iowa Institutional Review Board approved all on-farm exposure assessment procedures, and these 55 participants provided written informed consent.</w:t>
      </w:r>
    </w:p>
    <w:p w:rsidR="005542FB" w:rsidRPr="00A15574" w:rsidRDefault="005542FB" w:rsidP="0051031A">
      <w:pPr>
        <w:spacing w:after="0" w:line="480" w:lineRule="auto"/>
        <w:rPr>
          <w:rFonts w:ascii="Times New Roman" w:hAnsi="Times New Roman" w:cs="Times New Roman"/>
          <w:b/>
          <w:color w:val="000000" w:themeColor="text1"/>
          <w:sz w:val="28"/>
          <w:szCs w:val="28"/>
        </w:rPr>
      </w:pPr>
      <w:r w:rsidRPr="00A15574">
        <w:rPr>
          <w:rFonts w:ascii="Times New Roman" w:hAnsi="Times New Roman" w:cs="Times New Roman"/>
          <w:b/>
          <w:color w:val="000000" w:themeColor="text1"/>
          <w:sz w:val="28"/>
          <w:szCs w:val="28"/>
        </w:rPr>
        <w:t>On-Farm Data Collection</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The approach to data collection is best described as “naturalistic.” When scheduling a data collection visit, the study coordinator discussed the agricultural activity or activities to be performed on the day of the visit. Activities (Table 1) were classified based on </w:t>
      </w:r>
      <w:r w:rsidRPr="00A15574">
        <w:rPr>
          <w:rFonts w:ascii="Times New Roman" w:hAnsi="Times New Roman" w:cs="Times New Roman"/>
          <w:noProof/>
          <w:color w:val="000000" w:themeColor="text1"/>
          <w:sz w:val="24"/>
        </w:rPr>
        <w:t>NIOSH (2008)</w:t>
      </w:r>
      <w:r w:rsidRPr="00A15574">
        <w:rPr>
          <w:rFonts w:ascii="Times New Roman" w:hAnsi="Times New Roman" w:cs="Times New Roman"/>
          <w:color w:val="000000" w:themeColor="text1"/>
          <w:sz w:val="24"/>
        </w:rPr>
        <w:t xml:space="preserve"> and as reported previously in </w:t>
      </w:r>
      <w:r w:rsidRPr="00A15574">
        <w:rPr>
          <w:rFonts w:ascii="Times New Roman" w:hAnsi="Times New Roman" w:cs="Times New Roman"/>
          <w:noProof/>
          <w:color w:val="000000" w:themeColor="text1"/>
          <w:sz w:val="24"/>
        </w:rPr>
        <w:t>Fethke et al. (2015a)</w:t>
      </w:r>
      <w:r w:rsidRPr="00A15574">
        <w:rPr>
          <w:rFonts w:ascii="Times New Roman" w:hAnsi="Times New Roman" w:cs="Times New Roman"/>
          <w:color w:val="000000" w:themeColor="text1"/>
          <w:sz w:val="24"/>
        </w:rPr>
        <w:t xml:space="preserve">. After the instrumentation systems were attached and calibrated (details in the following sections), research staff shadowed the participant, making notes regarding each activity performed and collecting video when feasible. Our objective was to collect exposure information for the full duration of each activity on the day </w:t>
      </w:r>
      <w:r w:rsidRPr="00A15574">
        <w:rPr>
          <w:rFonts w:ascii="Times New Roman" w:hAnsi="Times New Roman" w:cs="Times New Roman"/>
          <w:color w:val="000000" w:themeColor="text1"/>
          <w:sz w:val="24"/>
        </w:rPr>
        <w:lastRenderedPageBreak/>
        <w:t>of measurement or a maximum of four hours (whichever came first). On average, research staff spent approximately five hours on-farm per visit. The seasonal nature of production agriculture often required multiple visits to obtain measurements for as many activities applicable to the operation as possible. Three visits were made to 8 farms, two visits to 26 farms, and one visit to 21 farms. The total number of activities recorded per participant (across all visits) ranged from one to 10, with a median of four.</w:t>
      </w:r>
    </w:p>
    <w:p w:rsidR="005542FB" w:rsidRPr="00A15574" w:rsidRDefault="005542FB" w:rsidP="0051031A">
      <w:pPr>
        <w:spacing w:after="0" w:line="480" w:lineRule="auto"/>
        <w:rPr>
          <w:rFonts w:ascii="Times New Roman" w:hAnsi="Times New Roman" w:cs="Times New Roman"/>
          <w:b/>
          <w:color w:val="000000" w:themeColor="text1"/>
          <w:sz w:val="28"/>
          <w:szCs w:val="28"/>
        </w:rPr>
      </w:pPr>
      <w:r w:rsidRPr="00A15574">
        <w:rPr>
          <w:rFonts w:ascii="Times New Roman" w:hAnsi="Times New Roman" w:cs="Times New Roman"/>
          <w:b/>
          <w:color w:val="000000" w:themeColor="text1"/>
          <w:sz w:val="28"/>
          <w:szCs w:val="28"/>
        </w:rPr>
        <w:t>Instrumentation and Data Processing: Muscular Loading</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Muscular loads of the distal upper extremity, neck/shoulder, and trunk were estimated using surface electromyography (EMG). Specifically, EMG signals were recorded from the dominant side forearm flexors, forearm extensors, and upper trapezius, as well as bilaterally from the erector </w:t>
      </w:r>
      <w:proofErr w:type="spellStart"/>
      <w:r w:rsidRPr="00A15574">
        <w:rPr>
          <w:rFonts w:ascii="Times New Roman" w:hAnsi="Times New Roman" w:cs="Times New Roman"/>
          <w:color w:val="000000" w:themeColor="text1"/>
          <w:sz w:val="24"/>
        </w:rPr>
        <w:t>spinae</w:t>
      </w:r>
      <w:proofErr w:type="spellEnd"/>
      <w:r w:rsidRPr="00A15574">
        <w:rPr>
          <w:rFonts w:ascii="Times New Roman" w:hAnsi="Times New Roman" w:cs="Times New Roman"/>
          <w:color w:val="000000" w:themeColor="text1"/>
          <w:sz w:val="24"/>
        </w:rPr>
        <w:t xml:space="preserve"> (T9 level). The T9 level was selected as the erector </w:t>
      </w:r>
      <w:proofErr w:type="spellStart"/>
      <w:r w:rsidRPr="00A15574">
        <w:rPr>
          <w:rFonts w:ascii="Times New Roman" w:hAnsi="Times New Roman" w:cs="Times New Roman"/>
          <w:color w:val="000000" w:themeColor="text1"/>
          <w:sz w:val="24"/>
        </w:rPr>
        <w:t>spinae</w:t>
      </w:r>
      <w:proofErr w:type="spellEnd"/>
      <w:r w:rsidRPr="00A15574">
        <w:rPr>
          <w:rFonts w:ascii="Times New Roman" w:hAnsi="Times New Roman" w:cs="Times New Roman"/>
          <w:color w:val="000000" w:themeColor="text1"/>
          <w:sz w:val="24"/>
        </w:rPr>
        <w:t xml:space="preserve"> recording site (vs. the lumbar region) to minimize errors in interpretation as a result of the flexion-relaxation phenomenon </w:t>
      </w:r>
      <w:r w:rsidRPr="00A15574">
        <w:rPr>
          <w:rFonts w:ascii="Times New Roman" w:hAnsi="Times New Roman" w:cs="Times New Roman"/>
          <w:noProof/>
          <w:color w:val="000000" w:themeColor="text1"/>
          <w:sz w:val="24"/>
        </w:rPr>
        <w:t>(Solomonow et al. 2003; Fethke et al. 2011)</w:t>
      </w:r>
      <w:r w:rsidRPr="00A15574">
        <w:rPr>
          <w:rFonts w:ascii="Times New Roman" w:hAnsi="Times New Roman" w:cs="Times New Roman"/>
          <w:color w:val="000000" w:themeColor="text1"/>
          <w:sz w:val="24"/>
        </w:rPr>
        <w:t xml:space="preserve">. A reference electrode was placed over the non-dominant clavicle. Two EMG data logger systems were used during the study: the </w:t>
      </w:r>
      <w:proofErr w:type="spellStart"/>
      <w:r w:rsidRPr="00A15574">
        <w:rPr>
          <w:rFonts w:ascii="Times New Roman" w:hAnsi="Times New Roman" w:cs="Times New Roman"/>
          <w:color w:val="000000" w:themeColor="text1"/>
          <w:sz w:val="24"/>
        </w:rPr>
        <w:t>Myomonitor</w:t>
      </w:r>
      <w:proofErr w:type="spellEnd"/>
      <w:r w:rsidRPr="00A15574">
        <w:rPr>
          <w:rFonts w:ascii="Times New Roman" w:hAnsi="Times New Roman" w:cs="Times New Roman"/>
          <w:color w:val="000000" w:themeColor="text1"/>
          <w:sz w:val="24"/>
        </w:rPr>
        <w:t xml:space="preserve"> IV® with DE2.3 bipolar electrodes (</w:t>
      </w:r>
      <w:proofErr w:type="spellStart"/>
      <w:r w:rsidRPr="00A15574">
        <w:rPr>
          <w:rFonts w:ascii="Times New Roman" w:hAnsi="Times New Roman" w:cs="Times New Roman"/>
          <w:color w:val="000000" w:themeColor="text1"/>
          <w:sz w:val="24"/>
        </w:rPr>
        <w:t>Delsys</w:t>
      </w:r>
      <w:proofErr w:type="spellEnd"/>
      <w:r w:rsidRPr="00A15574">
        <w:rPr>
          <w:rFonts w:ascii="Times New Roman" w:hAnsi="Times New Roman" w:cs="Times New Roman"/>
          <w:color w:val="000000" w:themeColor="text1"/>
          <w:sz w:val="24"/>
        </w:rPr>
        <w:t xml:space="preserve"> Inc., Boston, MA) and the </w:t>
      </w:r>
      <w:proofErr w:type="spellStart"/>
      <w:r w:rsidRPr="00A15574">
        <w:rPr>
          <w:rFonts w:ascii="Times New Roman" w:hAnsi="Times New Roman" w:cs="Times New Roman"/>
          <w:color w:val="000000" w:themeColor="text1"/>
          <w:sz w:val="24"/>
        </w:rPr>
        <w:t>Datalog</w:t>
      </w:r>
      <w:proofErr w:type="spellEnd"/>
      <w:r w:rsidRPr="00A15574">
        <w:rPr>
          <w:rFonts w:ascii="Times New Roman" w:hAnsi="Times New Roman" w:cs="Times New Roman"/>
          <w:color w:val="000000" w:themeColor="text1"/>
          <w:sz w:val="24"/>
        </w:rPr>
        <w:t xml:space="preserve"> MWX8 with SX230 bipolar electrodes (Biometrics Ltd., UK). All EMG signals were digitized at 1000 Hz and recorded to flash memory for processing in the laboratory.</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All EMG recordings were processed with custom LabVIEW (National Instruments, Austin, TX) and MATLAB (</w:t>
      </w:r>
      <w:proofErr w:type="spellStart"/>
      <w:r w:rsidRPr="00A15574">
        <w:rPr>
          <w:rFonts w:ascii="Times New Roman" w:hAnsi="Times New Roman" w:cs="Times New Roman"/>
          <w:color w:val="000000" w:themeColor="text1"/>
          <w:sz w:val="24"/>
        </w:rPr>
        <w:t>MathWorks</w:t>
      </w:r>
      <w:proofErr w:type="spellEnd"/>
      <w:r w:rsidRPr="00A15574">
        <w:rPr>
          <w:rFonts w:ascii="Times New Roman" w:hAnsi="Times New Roman" w:cs="Times New Roman"/>
          <w:color w:val="000000" w:themeColor="text1"/>
          <w:sz w:val="24"/>
        </w:rPr>
        <w:t xml:space="preserve">, Natick, MA) programs. Visual inspection in both the time and frequency domains was used to assess EMG signal quality, with corrective actions applied as needed using procedures described previously </w:t>
      </w:r>
      <w:r w:rsidRPr="00A15574">
        <w:rPr>
          <w:rFonts w:ascii="Times New Roman" w:hAnsi="Times New Roman" w:cs="Times New Roman"/>
          <w:noProof/>
          <w:color w:val="000000" w:themeColor="text1"/>
          <w:sz w:val="24"/>
        </w:rPr>
        <w:t>(Fethke et al. 2011; Fethke et al. 2015b; Douphrate et al. 2016a; Fethke et al. 2016)</w:t>
      </w:r>
      <w:r w:rsidRPr="00A15574">
        <w:rPr>
          <w:rFonts w:ascii="Times New Roman" w:hAnsi="Times New Roman" w:cs="Times New Roman"/>
          <w:color w:val="000000" w:themeColor="text1"/>
          <w:sz w:val="24"/>
        </w:rPr>
        <w:t xml:space="preserve">. The EMG recordings were then converted to running </w:t>
      </w:r>
      <w:r w:rsidRPr="00A15574">
        <w:rPr>
          <w:rFonts w:ascii="Times New Roman" w:hAnsi="Times New Roman" w:cs="Times New Roman"/>
          <w:color w:val="000000" w:themeColor="text1"/>
          <w:sz w:val="24"/>
        </w:rPr>
        <w:lastRenderedPageBreak/>
        <w:t xml:space="preserve">root-mean-square (RMS) amplitude using a 100-sample window with a 50-sample overlap </w:t>
      </w:r>
      <w:r w:rsidRPr="00A15574">
        <w:rPr>
          <w:rFonts w:ascii="Times New Roman" w:hAnsi="Times New Roman" w:cs="Times New Roman"/>
          <w:noProof/>
          <w:color w:val="000000" w:themeColor="text1"/>
          <w:sz w:val="24"/>
        </w:rPr>
        <w:t>(Granzow et al. 2018)</w:t>
      </w:r>
      <w:r w:rsidRPr="00A15574">
        <w:rPr>
          <w:rFonts w:ascii="Times New Roman" w:hAnsi="Times New Roman" w:cs="Times New Roman"/>
          <w:color w:val="000000" w:themeColor="text1"/>
          <w:sz w:val="24"/>
        </w:rPr>
        <w:t>.</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Muscle activity during agricultural activities was expressed as a proportion of that observed during submaximal, isometric reference voluntary exertions (%RVE). For the upper trapezius, the participant held a load (2 kg) in the hand with the arm abducted to 90° in 20° horizontal adduction, elbow fully extended and forearm pronated </w:t>
      </w:r>
      <w:r w:rsidRPr="00A15574">
        <w:rPr>
          <w:rFonts w:ascii="Times New Roman" w:hAnsi="Times New Roman" w:cs="Times New Roman"/>
          <w:noProof/>
          <w:color w:val="000000" w:themeColor="text1"/>
          <w:sz w:val="24"/>
        </w:rPr>
        <w:t>(Mathiassen et al. 1995; Anton et al. 2007; Fethke et al. 2015b)</w:t>
      </w:r>
      <w:r w:rsidRPr="00A15574">
        <w:rPr>
          <w:rFonts w:ascii="Times New Roman" w:hAnsi="Times New Roman" w:cs="Times New Roman"/>
          <w:color w:val="000000" w:themeColor="text1"/>
          <w:sz w:val="24"/>
        </w:rPr>
        <w:t xml:space="preserve">. For the erector </w:t>
      </w:r>
      <w:proofErr w:type="spellStart"/>
      <w:r w:rsidRPr="00A15574">
        <w:rPr>
          <w:rFonts w:ascii="Times New Roman" w:hAnsi="Times New Roman" w:cs="Times New Roman"/>
          <w:color w:val="000000" w:themeColor="text1"/>
          <w:sz w:val="24"/>
        </w:rPr>
        <w:t>spinae</w:t>
      </w:r>
      <w:proofErr w:type="spellEnd"/>
      <w:r w:rsidRPr="00A15574">
        <w:rPr>
          <w:rFonts w:ascii="Times New Roman" w:hAnsi="Times New Roman" w:cs="Times New Roman"/>
          <w:color w:val="000000" w:themeColor="text1"/>
          <w:sz w:val="24"/>
        </w:rPr>
        <w:t xml:space="preserve">, participants flexed forward to a trunk inclination angle of 30° from vertical and held a load (11.3 kg) with both hands and the arms hanging vertically </w:t>
      </w:r>
      <w:r w:rsidRPr="00A15574">
        <w:rPr>
          <w:rFonts w:ascii="Times New Roman" w:hAnsi="Times New Roman" w:cs="Times New Roman"/>
          <w:noProof/>
          <w:color w:val="000000" w:themeColor="text1"/>
          <w:sz w:val="24"/>
        </w:rPr>
        <w:t>(Fethke et al. 2011)</w:t>
      </w:r>
      <w:r w:rsidRPr="00A15574">
        <w:rPr>
          <w:rFonts w:ascii="Times New Roman" w:hAnsi="Times New Roman" w:cs="Times New Roman"/>
          <w:color w:val="000000" w:themeColor="text1"/>
          <w:sz w:val="24"/>
        </w:rPr>
        <w:t>. For the forearm flexors and extensors, participants performed hand grip exertions (89 N) using a calibrated hand dynamometer (</w:t>
      </w:r>
      <w:proofErr w:type="spellStart"/>
      <w:r w:rsidRPr="00A15574">
        <w:rPr>
          <w:rFonts w:ascii="Times New Roman" w:hAnsi="Times New Roman" w:cs="Times New Roman"/>
          <w:color w:val="000000" w:themeColor="text1"/>
          <w:sz w:val="24"/>
        </w:rPr>
        <w:t>GripTrack</w:t>
      </w:r>
      <w:proofErr w:type="spellEnd"/>
      <w:r w:rsidRPr="00A15574">
        <w:rPr>
          <w:rFonts w:ascii="Times New Roman" w:hAnsi="Times New Roman" w:cs="Times New Roman"/>
          <w:color w:val="000000" w:themeColor="text1"/>
          <w:sz w:val="24"/>
        </w:rPr>
        <w:t xml:space="preserve"> Commander, J-Tech Medical Industries, Heber City, UT) </w:t>
      </w:r>
      <w:r w:rsidRPr="00A15574">
        <w:rPr>
          <w:rFonts w:ascii="Times New Roman" w:hAnsi="Times New Roman" w:cs="Times New Roman"/>
          <w:noProof/>
          <w:color w:val="000000" w:themeColor="text1"/>
          <w:sz w:val="24"/>
        </w:rPr>
        <w:t>(Anton et al. 2007; Fethke et al. 2012)</w:t>
      </w:r>
      <w:r w:rsidRPr="00A15574">
        <w:rPr>
          <w:rFonts w:ascii="Times New Roman" w:hAnsi="Times New Roman" w:cs="Times New Roman"/>
          <w:color w:val="000000" w:themeColor="text1"/>
          <w:sz w:val="24"/>
        </w:rPr>
        <w:t xml:space="preserve">. Three repetitions of each reference exertion were performed, with a rest period of at least one minute between repeat exertions of a specific muscle group. Participants maintained each reference exertion for 20 s, and the mean RMS amplitude of the middle 10 s of each exertion was calculated. For each muscle, the average of the mean RMS EMG amplitudes from the three reference exertion was used as the RVE activation level. Baseline noise was identified for each EMG channel and </w:t>
      </w:r>
      <w:proofErr w:type="spellStart"/>
      <w:r w:rsidRPr="00A15574">
        <w:rPr>
          <w:rFonts w:ascii="Times New Roman" w:hAnsi="Times New Roman" w:cs="Times New Roman"/>
          <w:color w:val="000000" w:themeColor="text1"/>
          <w:sz w:val="24"/>
        </w:rPr>
        <w:t>quadratically</w:t>
      </w:r>
      <w:proofErr w:type="spellEnd"/>
      <w:r w:rsidRPr="00A15574">
        <w:rPr>
          <w:rFonts w:ascii="Times New Roman" w:hAnsi="Times New Roman" w:cs="Times New Roman"/>
          <w:color w:val="000000" w:themeColor="text1"/>
          <w:sz w:val="24"/>
        </w:rPr>
        <w:t xml:space="preserve"> subtracted from all RMS EMG amplitudes </w:t>
      </w:r>
      <w:r w:rsidRPr="00A15574">
        <w:rPr>
          <w:rFonts w:ascii="Times New Roman" w:hAnsi="Times New Roman" w:cs="Times New Roman"/>
          <w:noProof/>
          <w:color w:val="000000" w:themeColor="text1"/>
          <w:sz w:val="24"/>
        </w:rPr>
        <w:t>(Thorn et al. 2007)</w:t>
      </w:r>
      <w:r w:rsidRPr="00A15574">
        <w:rPr>
          <w:rFonts w:ascii="Times New Roman" w:hAnsi="Times New Roman" w:cs="Times New Roman"/>
          <w:color w:val="000000" w:themeColor="text1"/>
          <w:sz w:val="24"/>
        </w:rPr>
        <w:t>. The set of EMG summary metrics (for each muscle) included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percentiles of the normalized RMS EMG amplitudes, corresponding respectively to ‘static,’ ‘median,’ and ‘peak’ muscle activity levels </w:t>
      </w:r>
      <w:r w:rsidRPr="00A15574">
        <w:rPr>
          <w:rFonts w:ascii="Times New Roman" w:hAnsi="Times New Roman" w:cs="Times New Roman"/>
          <w:noProof/>
          <w:color w:val="000000" w:themeColor="text1"/>
          <w:sz w:val="24"/>
        </w:rPr>
        <w:t>(Jonsson 1988)</w:t>
      </w:r>
      <w:r w:rsidRPr="00A15574">
        <w:rPr>
          <w:rFonts w:ascii="Times New Roman" w:hAnsi="Times New Roman" w:cs="Times New Roman"/>
          <w:color w:val="000000" w:themeColor="text1"/>
          <w:sz w:val="24"/>
        </w:rPr>
        <w:t>.</w:t>
      </w:r>
    </w:p>
    <w:p w:rsidR="005542FB" w:rsidRPr="00A15574" w:rsidRDefault="005542FB" w:rsidP="0051031A">
      <w:pPr>
        <w:spacing w:after="0" w:line="480" w:lineRule="auto"/>
        <w:rPr>
          <w:rFonts w:ascii="Times New Roman" w:hAnsi="Times New Roman" w:cs="Times New Roman"/>
          <w:b/>
          <w:color w:val="000000" w:themeColor="text1"/>
          <w:sz w:val="28"/>
          <w:szCs w:val="28"/>
        </w:rPr>
      </w:pPr>
      <w:r w:rsidRPr="00A15574">
        <w:rPr>
          <w:rFonts w:ascii="Times New Roman" w:hAnsi="Times New Roman" w:cs="Times New Roman"/>
          <w:b/>
          <w:color w:val="000000" w:themeColor="text1"/>
          <w:sz w:val="28"/>
          <w:szCs w:val="28"/>
        </w:rPr>
        <w:t>Instrumentation and Data Processing: Posture and Movement</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Postures and movement speeds of the trunk, dominant upper arm, and dominant wrist were estimated using inertial measurement units (IMUs) (Series SXT, </w:t>
      </w:r>
      <w:proofErr w:type="spellStart"/>
      <w:r w:rsidRPr="00A15574">
        <w:rPr>
          <w:rFonts w:ascii="Times New Roman" w:hAnsi="Times New Roman" w:cs="Times New Roman"/>
          <w:color w:val="000000" w:themeColor="text1"/>
          <w:sz w:val="24"/>
        </w:rPr>
        <w:t>Nexgen</w:t>
      </w:r>
      <w:proofErr w:type="spellEnd"/>
      <w:r w:rsidRPr="00A15574">
        <w:rPr>
          <w:rFonts w:ascii="Times New Roman" w:hAnsi="Times New Roman" w:cs="Times New Roman"/>
          <w:color w:val="000000" w:themeColor="text1"/>
          <w:sz w:val="24"/>
        </w:rPr>
        <w:t xml:space="preserve"> Ergonomics Inc., </w:t>
      </w:r>
      <w:r w:rsidRPr="00A15574">
        <w:rPr>
          <w:rFonts w:ascii="Times New Roman" w:hAnsi="Times New Roman" w:cs="Times New Roman"/>
          <w:color w:val="000000" w:themeColor="text1"/>
          <w:sz w:val="24"/>
        </w:rPr>
        <w:lastRenderedPageBreak/>
        <w:t>Quebec, CA). Each IMU was a small (48.5 × 36 × 12 mm), wireless, battery powered unit that measured and stored raw acceleration (triaxial, ± 6 g), angular velocity (triaxial, ± 2000°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and magnetic field strength (triaxial, ± 600 </w:t>
      </w:r>
      <w:proofErr w:type="spellStart"/>
      <w:r w:rsidRPr="00A15574">
        <w:rPr>
          <w:rFonts w:ascii="Times New Roman" w:hAnsi="Times New Roman" w:cs="Times New Roman"/>
          <w:color w:val="000000" w:themeColor="text1"/>
          <w:sz w:val="24"/>
        </w:rPr>
        <w:t>μT</w:t>
      </w:r>
      <w:proofErr w:type="spellEnd"/>
      <w:r w:rsidRPr="00A15574">
        <w:rPr>
          <w:rFonts w:ascii="Times New Roman" w:hAnsi="Times New Roman" w:cs="Times New Roman"/>
          <w:color w:val="000000" w:themeColor="text1"/>
          <w:sz w:val="24"/>
        </w:rPr>
        <w:t xml:space="preserve">). Raw IMU data were sampled at 20 Hz. The IMUs were positioned at the (i) anterior thoracic region of the trunk (sternum), (ii) posterior lumbar region of the trunk (near L3), (iii) upper arm (lateral aspect midway between the </w:t>
      </w:r>
      <w:proofErr w:type="spellStart"/>
      <w:r w:rsidRPr="00A15574">
        <w:rPr>
          <w:rFonts w:ascii="Times New Roman" w:hAnsi="Times New Roman" w:cs="Times New Roman"/>
          <w:color w:val="000000" w:themeColor="text1"/>
          <w:sz w:val="24"/>
        </w:rPr>
        <w:t>glenohumeral</w:t>
      </w:r>
      <w:proofErr w:type="spellEnd"/>
      <w:r w:rsidRPr="00A15574">
        <w:rPr>
          <w:rFonts w:ascii="Times New Roman" w:hAnsi="Times New Roman" w:cs="Times New Roman"/>
          <w:color w:val="000000" w:themeColor="text1"/>
          <w:sz w:val="24"/>
        </w:rPr>
        <w:t xml:space="preserve"> and elbow joints), (iv) forearm (dorsal surface just </w:t>
      </w:r>
      <w:proofErr w:type="spellStart"/>
      <w:r w:rsidRPr="00A15574">
        <w:rPr>
          <w:rFonts w:ascii="Times New Roman" w:hAnsi="Times New Roman" w:cs="Times New Roman"/>
          <w:color w:val="000000" w:themeColor="text1"/>
          <w:sz w:val="24"/>
        </w:rPr>
        <w:t>promixal</w:t>
      </w:r>
      <w:proofErr w:type="spellEnd"/>
      <w:r w:rsidRPr="00A15574">
        <w:rPr>
          <w:rFonts w:ascii="Times New Roman" w:hAnsi="Times New Roman" w:cs="Times New Roman"/>
          <w:color w:val="000000" w:themeColor="text1"/>
          <w:sz w:val="24"/>
        </w:rPr>
        <w:t xml:space="preserve"> of the wrist joint), and (v) hand (dorsal surface). Participants assumed a standard reference anatomical position for IMU calibration, using manufacturer-supplied software and recommended procedures.</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All IMU data were processed using custom LabVIEW and MATLAB programs. We derived both posture and movement speed profiles for motions that could be calculated from combinations of accelerometer and gyroscope signals (Table 2; trunk flexion/extension, trunk lateral bending, and upper arm elevation) using previously reported algorithms </w:t>
      </w:r>
      <w:r w:rsidRPr="00A15574">
        <w:rPr>
          <w:rFonts w:ascii="Times New Roman" w:hAnsi="Times New Roman" w:cs="Times New Roman"/>
          <w:noProof/>
          <w:color w:val="000000" w:themeColor="text1"/>
          <w:sz w:val="24"/>
        </w:rPr>
        <w:t>(Schall Jr. et al. 2015; Schall Jr et al. 2016b; Chen et al. 2018)</w:t>
      </w:r>
      <w:r w:rsidRPr="00A15574">
        <w:rPr>
          <w:rFonts w:ascii="Times New Roman" w:hAnsi="Times New Roman" w:cs="Times New Roman"/>
          <w:color w:val="000000" w:themeColor="text1"/>
          <w:sz w:val="24"/>
        </w:rPr>
        <w:t>. Magnetometer data were not used. Wrist posture could not be calculated because, unlike the trunk and upper arm, the orientation of the wrist joint with respect to gravity cannot be assumed. Therefore, we used only the gyroscope signals to calculate wrist movement speed (i.e., the absolute value of velocity, in both the flexion/extension and radial/ulnar deviation movement planes). Similar to the normalized EMG data, the posture and movement speed profiles were summarized using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percentiles.</w:t>
      </w:r>
      <w:r w:rsidRPr="00A15574">
        <w:rPr>
          <w:rFonts w:ascii="Times New Roman" w:hAnsi="Times New Roman" w:cs="Times New Roman"/>
          <w:b/>
          <w:color w:val="000000" w:themeColor="text1"/>
          <w:sz w:val="24"/>
        </w:rPr>
        <w:t xml:space="preserve"> </w:t>
      </w:r>
      <w:r w:rsidRPr="00A15574">
        <w:rPr>
          <w:rFonts w:ascii="Times New Roman" w:hAnsi="Times New Roman" w:cs="Times New Roman"/>
          <w:color w:val="000000" w:themeColor="text1"/>
          <w:sz w:val="24"/>
        </w:rPr>
        <w:t>For the trunk and upper arm, we also calculated posture “range” as the difference between the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percentiles. </w:t>
      </w:r>
    </w:p>
    <w:p w:rsidR="005542FB" w:rsidRPr="00A15574" w:rsidRDefault="005542FB" w:rsidP="0051031A">
      <w:pPr>
        <w:spacing w:after="0" w:line="480" w:lineRule="auto"/>
        <w:rPr>
          <w:rFonts w:ascii="Times New Roman" w:hAnsi="Times New Roman" w:cs="Times New Roman"/>
          <w:b/>
          <w:color w:val="000000" w:themeColor="text1"/>
          <w:sz w:val="28"/>
          <w:szCs w:val="28"/>
        </w:rPr>
      </w:pPr>
      <w:r w:rsidRPr="00A15574">
        <w:rPr>
          <w:rFonts w:ascii="Times New Roman" w:hAnsi="Times New Roman" w:cs="Times New Roman"/>
          <w:b/>
          <w:color w:val="000000" w:themeColor="text1"/>
          <w:sz w:val="28"/>
          <w:szCs w:val="28"/>
        </w:rPr>
        <w:t>Statistical Analyses</w:t>
      </w:r>
    </w:p>
    <w:p w:rsidR="005542FB" w:rsidRPr="00A15574" w:rsidRDefault="005542FB" w:rsidP="0051031A">
      <w:pPr>
        <w:spacing w:after="0" w:line="480" w:lineRule="auto"/>
        <w:ind w:firstLine="720"/>
        <w:rPr>
          <w:rFonts w:ascii="Times New Roman" w:hAnsi="Times New Roman" w:cs="Times New Roman"/>
          <w:color w:val="000000" w:themeColor="text1"/>
        </w:rPr>
      </w:pPr>
      <w:r w:rsidRPr="00A15574">
        <w:rPr>
          <w:rFonts w:ascii="Times New Roman" w:hAnsi="Times New Roman" w:cs="Times New Roman"/>
          <w:color w:val="000000" w:themeColor="text1"/>
          <w:sz w:val="24"/>
        </w:rPr>
        <w:t xml:space="preserve">The distributions of all EMG, posture, and movement speed summary metrics were examined using standard descriptive statistics and reported using medians and interquartile </w:t>
      </w:r>
      <w:r w:rsidRPr="00A15574">
        <w:rPr>
          <w:rFonts w:ascii="Times New Roman" w:hAnsi="Times New Roman" w:cs="Times New Roman"/>
          <w:color w:val="000000" w:themeColor="text1"/>
          <w:sz w:val="24"/>
        </w:rPr>
        <w:lastRenderedPageBreak/>
        <w:t xml:space="preserve">ranges. Ultimately, small numbers of measurements (or no measurements) within certain combinations of agricultural activity and farm type restricted our analyses to comparisons between agricultural activities (i.e., collapsing across all farm type categories). Since not all participants were measured during all agricultural activities (because all activities did not apply to all farm operations), our analyses treated the measurements within each agricultural activity as independent from the measurements within every other agricultural activity (i.e., a repeated-measures analysis was not used). Due to violations of parametric assumptions, we used the </w:t>
      </w:r>
      <w:proofErr w:type="spellStart"/>
      <w:r w:rsidRPr="00A15574">
        <w:rPr>
          <w:rFonts w:ascii="Times New Roman" w:hAnsi="Times New Roman" w:cs="Times New Roman"/>
          <w:color w:val="000000" w:themeColor="text1"/>
          <w:sz w:val="24"/>
        </w:rPr>
        <w:t>Kruskal</w:t>
      </w:r>
      <w:proofErr w:type="spellEnd"/>
      <w:r w:rsidRPr="00A15574">
        <w:rPr>
          <w:rFonts w:ascii="Times New Roman" w:hAnsi="Times New Roman" w:cs="Times New Roman"/>
          <w:color w:val="000000" w:themeColor="text1"/>
          <w:sz w:val="24"/>
        </w:rPr>
        <w:t>-Wallis omnibus test and, if statistically significant (</w:t>
      </w:r>
      <w:r w:rsidRPr="00A15574">
        <w:rPr>
          <w:rFonts w:ascii="Times New Roman" w:hAnsi="Times New Roman" w:cs="Times New Roman"/>
          <w:i/>
          <w:color w:val="000000" w:themeColor="text1"/>
          <w:sz w:val="24"/>
        </w:rPr>
        <w:t>p</w:t>
      </w:r>
      <w:r w:rsidRPr="00A15574">
        <w:rPr>
          <w:rFonts w:ascii="Times New Roman" w:hAnsi="Times New Roman" w:cs="Times New Roman"/>
          <w:color w:val="000000" w:themeColor="text1"/>
          <w:sz w:val="24"/>
        </w:rPr>
        <w:t xml:space="preserve"> &lt; 0.05), used the </w:t>
      </w:r>
      <w:proofErr w:type="spellStart"/>
      <w:r w:rsidRPr="00A15574">
        <w:rPr>
          <w:rFonts w:ascii="Times New Roman" w:hAnsi="Times New Roman" w:cs="Times New Roman"/>
          <w:color w:val="000000" w:themeColor="text1"/>
          <w:sz w:val="24"/>
        </w:rPr>
        <w:t>Dwass</w:t>
      </w:r>
      <w:proofErr w:type="spellEnd"/>
      <w:r w:rsidRPr="00A15574">
        <w:rPr>
          <w:rFonts w:ascii="Times New Roman" w:hAnsi="Times New Roman" w:cs="Times New Roman"/>
          <w:color w:val="000000" w:themeColor="text1"/>
          <w:sz w:val="24"/>
        </w:rPr>
        <w:t xml:space="preserve">-Steel-Critchlow-Flinger method </w:t>
      </w:r>
      <w:r w:rsidRPr="00A15574">
        <w:rPr>
          <w:rFonts w:ascii="Times New Roman" w:hAnsi="Times New Roman" w:cs="Times New Roman"/>
          <w:noProof/>
          <w:color w:val="000000" w:themeColor="text1"/>
          <w:sz w:val="24"/>
        </w:rPr>
        <w:t>(Critchlow and Fligner 1991)</w:t>
      </w:r>
      <w:r w:rsidRPr="00A15574">
        <w:rPr>
          <w:rFonts w:ascii="Times New Roman" w:hAnsi="Times New Roman" w:cs="Times New Roman"/>
          <w:color w:val="000000" w:themeColor="text1"/>
          <w:sz w:val="24"/>
        </w:rPr>
        <w:t xml:space="preserve"> for post-hoc pairwise comparisons between agricultural activities. All statistical procedures were performed using SAS (version 9.4, the SAS Institute, Inc., Cary, NC). </w:t>
      </w:r>
    </w:p>
    <w:p w:rsidR="005542FB" w:rsidRPr="00A15574" w:rsidRDefault="005542FB" w:rsidP="00F8291B">
      <w:pPr>
        <w:spacing w:after="0" w:line="480" w:lineRule="auto"/>
        <w:rPr>
          <w:rFonts w:ascii="Times New Roman" w:hAnsi="Times New Roman" w:cs="Times New Roman"/>
          <w:b/>
          <w:color w:val="000000" w:themeColor="text1"/>
          <w:sz w:val="32"/>
          <w:szCs w:val="32"/>
        </w:rPr>
      </w:pPr>
      <w:r w:rsidRPr="00A15574">
        <w:rPr>
          <w:rFonts w:ascii="Times New Roman" w:hAnsi="Times New Roman" w:cs="Times New Roman"/>
          <w:b/>
          <w:color w:val="000000" w:themeColor="text1"/>
          <w:sz w:val="32"/>
          <w:szCs w:val="32"/>
        </w:rPr>
        <w:t>RESULTS</w:t>
      </w:r>
    </w:p>
    <w:p w:rsidR="005542FB" w:rsidRPr="00A15574" w:rsidRDefault="005542FB" w:rsidP="00F8291B">
      <w:pPr>
        <w:spacing w:after="0" w:line="480" w:lineRule="auto"/>
        <w:ind w:firstLine="720"/>
        <w:rPr>
          <w:rFonts w:ascii="Times New Roman" w:hAnsi="Times New Roman" w:cs="Times New Roman"/>
          <w:b/>
          <w:color w:val="000000" w:themeColor="text1"/>
          <w:sz w:val="32"/>
          <w:szCs w:val="32"/>
        </w:rPr>
      </w:pPr>
      <w:r w:rsidRPr="00A15574">
        <w:rPr>
          <w:rFonts w:ascii="Times New Roman" w:hAnsi="Times New Roman" w:cs="Times New Roman"/>
          <w:color w:val="000000" w:themeColor="text1"/>
          <w:sz w:val="24"/>
        </w:rPr>
        <w:t xml:space="preserve">For the 55 participants included in the current analysis, the mean age was 57.7 ± 9.7 years (vs. 61.1 ± 12.8 years for the full cohort </w:t>
      </w:r>
      <w:r w:rsidRPr="00A15574">
        <w:rPr>
          <w:rFonts w:ascii="Times New Roman" w:hAnsi="Times New Roman" w:cs="Times New Roman"/>
          <w:noProof/>
          <w:color w:val="000000" w:themeColor="text1"/>
          <w:sz w:val="24"/>
        </w:rPr>
        <w:t>(Fethke et al. 2015a)</w:t>
      </w:r>
      <w:r w:rsidRPr="00A15574">
        <w:rPr>
          <w:rFonts w:ascii="Times New Roman" w:hAnsi="Times New Roman" w:cs="Times New Roman"/>
          <w:color w:val="000000" w:themeColor="text1"/>
          <w:sz w:val="24"/>
        </w:rPr>
        <w:t>), the mean body mass index was 29.9 ± 5.6 kg m</w:t>
      </w:r>
      <w:r w:rsidRPr="00A15574">
        <w:rPr>
          <w:rFonts w:ascii="Times New Roman" w:hAnsi="Times New Roman" w:cs="Times New Roman"/>
          <w:color w:val="000000" w:themeColor="text1"/>
          <w:sz w:val="24"/>
          <w:vertAlign w:val="superscript"/>
        </w:rPr>
        <w:t>-2</w:t>
      </w:r>
      <w:r w:rsidRPr="00A15574">
        <w:rPr>
          <w:rFonts w:ascii="Times New Roman" w:hAnsi="Times New Roman" w:cs="Times New Roman"/>
          <w:color w:val="000000" w:themeColor="text1"/>
          <w:sz w:val="24"/>
        </w:rPr>
        <w:t xml:space="preserve"> (vs. 29.0 ± 4.9 kg m</w:t>
      </w:r>
      <w:r w:rsidRPr="00A15574">
        <w:rPr>
          <w:rFonts w:ascii="Times New Roman" w:hAnsi="Times New Roman" w:cs="Times New Roman"/>
          <w:color w:val="000000" w:themeColor="text1"/>
          <w:sz w:val="24"/>
          <w:vertAlign w:val="superscript"/>
        </w:rPr>
        <w:t>-2</w:t>
      </w:r>
      <w:r w:rsidRPr="00A15574">
        <w:rPr>
          <w:rFonts w:ascii="Times New Roman" w:hAnsi="Times New Roman" w:cs="Times New Roman"/>
          <w:color w:val="000000" w:themeColor="text1"/>
          <w:sz w:val="24"/>
        </w:rPr>
        <w:t>), 53 (96%) were male (vs. 94%), all were Caucasian (vs. 99.6%), 49 (89%) reported farming as his/her primary occupation (vs. 71%), and 45 (82%) self-identified as the farm owner/operator (vs. 80%). Participants’ operations were categorized by the types of commodities produced. Twenty-four operations (44%) produced two commodities (e.g., grain and beef), 15 (27%) produced grain only (e.g., corn and/or soybeans), 11 (20%) produced three or more commodities, four (7%) produced specialty commodities (e.g., fruits/vegetables), and one (2%) produced only beef.</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The numbers of on-farm measurements obtained by agricultural activity and also by farm type are provided in Table 3. In total, 224 task-based measurements of muscle activity and 232 </w:t>
      </w:r>
      <w:r w:rsidRPr="00A15574">
        <w:rPr>
          <w:rFonts w:ascii="Times New Roman" w:hAnsi="Times New Roman" w:cs="Times New Roman"/>
          <w:color w:val="000000" w:themeColor="text1"/>
          <w:sz w:val="24"/>
        </w:rPr>
        <w:lastRenderedPageBreak/>
        <w:t xml:space="preserve">task-based measurements of posture/movement were obtained. Instrumentation failures (e.g., loss of contact between the electrode and skin) led to the lower number of EMG measurements. Approximately half of all on-farm measurements involved the operation of agricultural machinery. Machine operation occurred in all or nearly all measurements of </w:t>
      </w:r>
      <w:r w:rsidRPr="00A15574">
        <w:rPr>
          <w:rFonts w:ascii="Times New Roman" w:hAnsi="Times New Roman" w:cs="Times New Roman"/>
          <w:i/>
          <w:color w:val="000000" w:themeColor="text1"/>
          <w:sz w:val="24"/>
        </w:rPr>
        <w:t>field work with a self-powered machine</w:t>
      </w:r>
      <w:r w:rsidRPr="00A15574">
        <w:rPr>
          <w:rFonts w:ascii="Times New Roman" w:hAnsi="Times New Roman" w:cs="Times New Roman"/>
          <w:color w:val="000000" w:themeColor="text1"/>
          <w:sz w:val="24"/>
        </w:rPr>
        <w:t xml:space="preserve"> and </w:t>
      </w:r>
      <w:r w:rsidRPr="00A15574">
        <w:rPr>
          <w:rFonts w:ascii="Times New Roman" w:hAnsi="Times New Roman" w:cs="Times New Roman"/>
          <w:i/>
          <w:color w:val="000000" w:themeColor="text1"/>
          <w:sz w:val="24"/>
        </w:rPr>
        <w:t>powered material handling</w:t>
      </w:r>
      <w:r w:rsidRPr="00A15574">
        <w:rPr>
          <w:rFonts w:ascii="Times New Roman" w:hAnsi="Times New Roman" w:cs="Times New Roman"/>
          <w:color w:val="000000" w:themeColor="text1"/>
          <w:sz w:val="24"/>
        </w:rPr>
        <w:t xml:space="preserve">, and in about 80% of measurements of </w:t>
      </w:r>
      <w:r w:rsidRPr="00A15574">
        <w:rPr>
          <w:rFonts w:ascii="Times New Roman" w:hAnsi="Times New Roman" w:cs="Times New Roman"/>
          <w:i/>
          <w:color w:val="000000" w:themeColor="text1"/>
          <w:sz w:val="24"/>
        </w:rPr>
        <w:t>handle/store harvested crops</w:t>
      </w:r>
      <w:r w:rsidRPr="00A15574">
        <w:rPr>
          <w:rFonts w:ascii="Times New Roman" w:hAnsi="Times New Roman" w:cs="Times New Roman"/>
          <w:color w:val="000000" w:themeColor="text1"/>
          <w:sz w:val="24"/>
        </w:rPr>
        <w:t>, but was much lower (or 0%) for other activities.</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In general, the exposure measurements were characterized by substantial variability across all activities (Table 4) and both between and within specific activities (supplemental Tables S1-S10). Across all muscle activity and posture/movement summary metrics, 96 of 119 (81%) statistically significant post-hoc pairwise comparisons included </w:t>
      </w:r>
      <w:r w:rsidRPr="00A15574">
        <w:rPr>
          <w:rFonts w:ascii="Times New Roman" w:hAnsi="Times New Roman" w:cs="Times New Roman"/>
          <w:i/>
          <w:color w:val="000000" w:themeColor="text1"/>
          <w:sz w:val="24"/>
        </w:rPr>
        <w:t xml:space="preserve">field work with a self-powered machine </w:t>
      </w:r>
      <w:r w:rsidRPr="00A15574">
        <w:rPr>
          <w:rFonts w:ascii="Times New Roman" w:hAnsi="Times New Roman" w:cs="Times New Roman"/>
          <w:color w:val="000000" w:themeColor="text1"/>
          <w:sz w:val="24"/>
        </w:rPr>
        <w:t xml:space="preserve">(supplemental Tables S1-S10). In the majority (92%) of these comparisons, the exposure level was lower during </w:t>
      </w:r>
      <w:r w:rsidRPr="00A15574">
        <w:rPr>
          <w:rFonts w:ascii="Times New Roman" w:hAnsi="Times New Roman" w:cs="Times New Roman"/>
          <w:i/>
          <w:color w:val="000000" w:themeColor="text1"/>
          <w:sz w:val="24"/>
        </w:rPr>
        <w:t>field work with a self-powered machine</w:t>
      </w:r>
      <w:r w:rsidRPr="00A15574">
        <w:rPr>
          <w:rFonts w:ascii="Times New Roman" w:hAnsi="Times New Roman" w:cs="Times New Roman"/>
          <w:color w:val="000000" w:themeColor="text1"/>
          <w:sz w:val="24"/>
        </w:rPr>
        <w:t xml:space="preserve"> than during the comparison activity. Exceptions involved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percentiles of trunk flexion/extension angle,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of trunk flexion/extension movement speed, and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of upper arm angle, for which exposure levels were greater during </w:t>
      </w:r>
      <w:r w:rsidRPr="00A15574">
        <w:rPr>
          <w:rFonts w:ascii="Times New Roman" w:hAnsi="Times New Roman" w:cs="Times New Roman"/>
          <w:i/>
          <w:color w:val="000000" w:themeColor="text1"/>
          <w:sz w:val="24"/>
        </w:rPr>
        <w:t xml:space="preserve">field work with a self-powered machine </w:t>
      </w:r>
      <w:r w:rsidRPr="00A15574">
        <w:rPr>
          <w:rFonts w:ascii="Times New Roman" w:hAnsi="Times New Roman" w:cs="Times New Roman"/>
          <w:color w:val="000000" w:themeColor="text1"/>
          <w:sz w:val="24"/>
        </w:rPr>
        <w:t>than during some other activities.</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Differences in exposure levels between agricultural activities are depicted in Figures 1-3. For brevity and clarity of presentation, each figure shows the median summary metric value across all activities (as reported in Table 4) and median summary metric values for (i) </w:t>
      </w:r>
      <w:r w:rsidRPr="00A15574">
        <w:rPr>
          <w:rFonts w:ascii="Times New Roman" w:hAnsi="Times New Roman" w:cs="Times New Roman"/>
          <w:i/>
          <w:color w:val="000000" w:themeColor="text1"/>
          <w:sz w:val="24"/>
        </w:rPr>
        <w:t>milk animals</w:t>
      </w:r>
      <w:r w:rsidRPr="00A15574">
        <w:rPr>
          <w:rFonts w:ascii="Times New Roman" w:hAnsi="Times New Roman" w:cs="Times New Roman"/>
          <w:color w:val="000000" w:themeColor="text1"/>
          <w:sz w:val="24"/>
        </w:rPr>
        <w:t xml:space="preserve">, (ii) </w:t>
      </w:r>
      <w:r w:rsidRPr="00A15574">
        <w:rPr>
          <w:rFonts w:ascii="Times New Roman" w:hAnsi="Times New Roman" w:cs="Times New Roman"/>
          <w:i/>
          <w:color w:val="000000" w:themeColor="text1"/>
          <w:sz w:val="24"/>
        </w:rPr>
        <w:t>repair/service equipment</w:t>
      </w:r>
      <w:r w:rsidRPr="00A15574">
        <w:rPr>
          <w:rFonts w:ascii="Times New Roman" w:hAnsi="Times New Roman" w:cs="Times New Roman"/>
          <w:color w:val="000000" w:themeColor="text1"/>
          <w:sz w:val="24"/>
        </w:rPr>
        <w:t xml:space="preserve">, (iii) </w:t>
      </w:r>
      <w:r w:rsidRPr="00A15574">
        <w:rPr>
          <w:rFonts w:ascii="Times New Roman" w:hAnsi="Times New Roman" w:cs="Times New Roman"/>
          <w:i/>
          <w:color w:val="000000" w:themeColor="text1"/>
          <w:sz w:val="24"/>
        </w:rPr>
        <w:t>manual material handling</w:t>
      </w:r>
      <w:r w:rsidRPr="00A15574">
        <w:rPr>
          <w:rFonts w:ascii="Times New Roman" w:hAnsi="Times New Roman" w:cs="Times New Roman"/>
          <w:color w:val="000000" w:themeColor="text1"/>
          <w:sz w:val="24"/>
        </w:rPr>
        <w:t xml:space="preserve">, and (iv) </w:t>
      </w:r>
      <w:r w:rsidRPr="00A15574">
        <w:rPr>
          <w:rFonts w:ascii="Times New Roman" w:hAnsi="Times New Roman" w:cs="Times New Roman"/>
          <w:i/>
          <w:color w:val="000000" w:themeColor="text1"/>
          <w:sz w:val="24"/>
        </w:rPr>
        <w:t xml:space="preserve">field work with a self-powered machine </w:t>
      </w:r>
      <w:r w:rsidRPr="00A15574">
        <w:rPr>
          <w:rFonts w:ascii="Times New Roman" w:hAnsi="Times New Roman" w:cs="Times New Roman"/>
          <w:color w:val="000000" w:themeColor="text1"/>
          <w:sz w:val="24"/>
        </w:rPr>
        <w:t xml:space="preserve">(as reported in supplemental Tables S1-S10).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With regard to muscle activity (Figure 1), </w:t>
      </w:r>
      <w:r w:rsidRPr="00A15574">
        <w:rPr>
          <w:rFonts w:ascii="Times New Roman" w:hAnsi="Times New Roman" w:cs="Times New Roman"/>
          <w:i/>
          <w:color w:val="000000" w:themeColor="text1"/>
          <w:sz w:val="24"/>
        </w:rPr>
        <w:t>field work with a self-powered machine</w:t>
      </w:r>
      <w:r w:rsidRPr="00A15574">
        <w:rPr>
          <w:rFonts w:ascii="Times New Roman" w:hAnsi="Times New Roman" w:cs="Times New Roman"/>
          <w:color w:val="000000" w:themeColor="text1"/>
          <w:sz w:val="24"/>
        </w:rPr>
        <w:t xml:space="preserve"> led to lower normalized EMG levels in comparison to most other activities. For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w:t>
      </w:r>
      <w:r w:rsidRPr="00A15574">
        <w:rPr>
          <w:rFonts w:ascii="Times New Roman" w:hAnsi="Times New Roman" w:cs="Times New Roman"/>
          <w:color w:val="000000" w:themeColor="text1"/>
          <w:sz w:val="24"/>
        </w:rPr>
        <w:lastRenderedPageBreak/>
        <w:t xml:space="preserve">percentile EMG summary metrics, the median levels during </w:t>
      </w:r>
      <w:r w:rsidRPr="00A15574">
        <w:rPr>
          <w:rFonts w:ascii="Times New Roman" w:hAnsi="Times New Roman" w:cs="Times New Roman"/>
          <w:i/>
          <w:color w:val="000000" w:themeColor="text1"/>
          <w:sz w:val="24"/>
        </w:rPr>
        <w:t>field work with a self-powered machine</w:t>
      </w:r>
      <w:r w:rsidRPr="00A15574">
        <w:rPr>
          <w:rFonts w:ascii="Times New Roman" w:hAnsi="Times New Roman" w:cs="Times New Roman"/>
          <w:color w:val="000000" w:themeColor="text1"/>
          <w:sz w:val="24"/>
        </w:rPr>
        <w:t xml:space="preserve"> were 23-37% less than the median levels across all activities combined. Several differences in EMG levels between </w:t>
      </w:r>
      <w:r w:rsidRPr="00A15574">
        <w:rPr>
          <w:rFonts w:ascii="Times New Roman" w:hAnsi="Times New Roman" w:cs="Times New Roman"/>
          <w:i/>
          <w:color w:val="000000" w:themeColor="text1"/>
          <w:sz w:val="24"/>
        </w:rPr>
        <w:t>field work with a self-powered machine</w:t>
      </w:r>
      <w:r w:rsidRPr="00A15574">
        <w:rPr>
          <w:rFonts w:ascii="Times New Roman" w:hAnsi="Times New Roman" w:cs="Times New Roman"/>
          <w:color w:val="000000" w:themeColor="text1"/>
          <w:sz w:val="24"/>
        </w:rPr>
        <w:t xml:space="preserve"> and other activities were statistically significant in post-hoc analyses, particularly for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EMG summary metrics (see supplemental Tables S6-S10). Other notable observations across all activities include (i) a somewhat greater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levels of both the left erector </w:t>
      </w:r>
      <w:proofErr w:type="spellStart"/>
      <w:r w:rsidRPr="00A15574">
        <w:rPr>
          <w:rFonts w:ascii="Times New Roman" w:hAnsi="Times New Roman" w:cs="Times New Roman"/>
          <w:color w:val="000000" w:themeColor="text1"/>
          <w:sz w:val="24"/>
        </w:rPr>
        <w:t>spinae</w:t>
      </w:r>
      <w:proofErr w:type="spellEnd"/>
      <w:r w:rsidRPr="00A15574">
        <w:rPr>
          <w:rFonts w:ascii="Times New Roman" w:hAnsi="Times New Roman" w:cs="Times New Roman"/>
          <w:color w:val="000000" w:themeColor="text1"/>
          <w:sz w:val="24"/>
        </w:rPr>
        <w:t xml:space="preserve"> (16.5 %RVE) and right erector </w:t>
      </w:r>
      <w:proofErr w:type="spellStart"/>
      <w:r w:rsidRPr="00A15574">
        <w:rPr>
          <w:rFonts w:ascii="Times New Roman" w:hAnsi="Times New Roman" w:cs="Times New Roman"/>
          <w:color w:val="000000" w:themeColor="text1"/>
          <w:sz w:val="24"/>
        </w:rPr>
        <w:t>spinae</w:t>
      </w:r>
      <w:proofErr w:type="spellEnd"/>
      <w:r w:rsidRPr="00A15574">
        <w:rPr>
          <w:rFonts w:ascii="Times New Roman" w:hAnsi="Times New Roman" w:cs="Times New Roman"/>
          <w:color w:val="000000" w:themeColor="text1"/>
          <w:sz w:val="24"/>
        </w:rPr>
        <w:t xml:space="preserve"> (19.0 %RVE) in comparison to the other muscles (3.4-5.7 %RVE) and (ii) a larger difference between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activity levels of the forearm flexors in comparison to the other muscles.</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Figure 2 shows the median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posture percentiles for trunk flexion/extension, trunk lateral bending, and upper arm elevation angles. As suggested above, both the median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percentiles of the trunk flexion/extension angle and the median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arm elevation angle were greater during </w:t>
      </w:r>
      <w:r w:rsidRPr="00A15574">
        <w:rPr>
          <w:rFonts w:ascii="Times New Roman" w:hAnsi="Times New Roman" w:cs="Times New Roman"/>
          <w:i/>
          <w:color w:val="000000" w:themeColor="text1"/>
          <w:sz w:val="24"/>
        </w:rPr>
        <w:t>field work with a self-powered machine</w:t>
      </w:r>
      <w:r w:rsidRPr="00A15574">
        <w:rPr>
          <w:rFonts w:ascii="Times New Roman" w:hAnsi="Times New Roman" w:cs="Times New Roman"/>
          <w:color w:val="000000" w:themeColor="text1"/>
          <w:sz w:val="24"/>
        </w:rPr>
        <w:t xml:space="preserve"> than during other activities. This pattern did not hold for the median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values, however, implying greater static but lower peak trunk and upper arm postures during </w:t>
      </w:r>
      <w:r w:rsidRPr="00A15574">
        <w:rPr>
          <w:rFonts w:ascii="Times New Roman" w:hAnsi="Times New Roman" w:cs="Times New Roman"/>
          <w:i/>
          <w:color w:val="000000" w:themeColor="text1"/>
          <w:sz w:val="24"/>
        </w:rPr>
        <w:t>field work</w:t>
      </w:r>
      <w:r w:rsidRPr="00A15574">
        <w:rPr>
          <w:rFonts w:ascii="Times New Roman" w:hAnsi="Times New Roman" w:cs="Times New Roman"/>
          <w:color w:val="000000" w:themeColor="text1"/>
          <w:sz w:val="24"/>
        </w:rPr>
        <w:t xml:space="preserve"> </w:t>
      </w:r>
      <w:r w:rsidRPr="00A15574">
        <w:rPr>
          <w:rFonts w:ascii="Times New Roman" w:hAnsi="Times New Roman" w:cs="Times New Roman"/>
          <w:i/>
          <w:color w:val="000000" w:themeColor="text1"/>
          <w:sz w:val="24"/>
        </w:rPr>
        <w:t xml:space="preserve">with a self-powered machine </w:t>
      </w:r>
      <w:r w:rsidRPr="00A15574">
        <w:rPr>
          <w:rFonts w:ascii="Times New Roman" w:hAnsi="Times New Roman" w:cs="Times New Roman"/>
          <w:color w:val="000000" w:themeColor="text1"/>
          <w:sz w:val="24"/>
        </w:rPr>
        <w:t xml:space="preserve">in comparison to most other activities.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As might be expected, observed movement speeds generally increased from the trunk, to the upper arm, to the wrist (Figure 3). As with EMG levels, the lowest 90</w:t>
      </w:r>
      <w:r w:rsidRPr="00A15574">
        <w:rPr>
          <w:rFonts w:ascii="Times New Roman" w:hAnsi="Times New Roman" w:cs="Times New Roman"/>
          <w:color w:val="000000" w:themeColor="text1"/>
          <w:sz w:val="24"/>
          <w:vertAlign w:val="superscript"/>
        </w:rPr>
        <w:t xml:space="preserve">th </w:t>
      </w:r>
      <w:r w:rsidRPr="00A15574">
        <w:rPr>
          <w:rFonts w:ascii="Times New Roman" w:hAnsi="Times New Roman" w:cs="Times New Roman"/>
          <w:color w:val="000000" w:themeColor="text1"/>
          <w:sz w:val="24"/>
        </w:rPr>
        <w:t xml:space="preserve">percentile movement speeds (all body areas) were observed during </w:t>
      </w:r>
      <w:r w:rsidRPr="00A15574">
        <w:rPr>
          <w:rFonts w:ascii="Times New Roman" w:hAnsi="Times New Roman" w:cs="Times New Roman"/>
          <w:i/>
          <w:color w:val="000000" w:themeColor="text1"/>
          <w:sz w:val="24"/>
        </w:rPr>
        <w:t>field work with a self-powered machine</w:t>
      </w:r>
      <w:r w:rsidRPr="00A15574">
        <w:rPr>
          <w:rFonts w:ascii="Times New Roman" w:hAnsi="Times New Roman" w:cs="Times New Roman"/>
          <w:color w:val="000000" w:themeColor="text1"/>
          <w:sz w:val="24"/>
        </w:rPr>
        <w:t>. The greatest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wrist speeds (in both flexion/extension and radial/ulnar deviation) were observed during </w:t>
      </w:r>
      <w:r w:rsidRPr="00A15574">
        <w:rPr>
          <w:rFonts w:ascii="Times New Roman" w:hAnsi="Times New Roman" w:cs="Times New Roman"/>
          <w:i/>
          <w:color w:val="000000" w:themeColor="text1"/>
          <w:sz w:val="24"/>
        </w:rPr>
        <w:t>milk animals</w:t>
      </w:r>
      <w:r w:rsidRPr="00A15574">
        <w:rPr>
          <w:rFonts w:ascii="Times New Roman" w:hAnsi="Times New Roman" w:cs="Times New Roman"/>
          <w:color w:val="000000" w:themeColor="text1"/>
          <w:sz w:val="24"/>
        </w:rPr>
        <w:t>.</w:t>
      </w:r>
    </w:p>
    <w:p w:rsidR="005542FB" w:rsidRPr="00A15574" w:rsidRDefault="005542FB" w:rsidP="0051031A">
      <w:pPr>
        <w:spacing w:after="0" w:line="480" w:lineRule="auto"/>
        <w:rPr>
          <w:rFonts w:ascii="Times New Roman" w:hAnsi="Times New Roman" w:cs="Times New Roman"/>
          <w:b/>
          <w:color w:val="000000" w:themeColor="text1"/>
          <w:sz w:val="32"/>
          <w:szCs w:val="32"/>
        </w:rPr>
      </w:pPr>
      <w:r w:rsidRPr="00A15574">
        <w:rPr>
          <w:rFonts w:ascii="Times New Roman" w:hAnsi="Times New Roman" w:cs="Times New Roman"/>
          <w:b/>
          <w:color w:val="000000" w:themeColor="text1"/>
          <w:sz w:val="32"/>
          <w:szCs w:val="32"/>
        </w:rPr>
        <w:t>DISCUSSION</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lastRenderedPageBreak/>
        <w:t xml:space="preserve">Direct measurement of muscle activity and kinematic information is common in field-based studies of physical workload (although rarely in agricultural settings), with the underlying assumption that differences in exposure levels between activities implies differences in the risk of musculoskeletal outcomes. However, results of analyses of associations between summary exposure metrics of direct measures and musculoskeletal symptoms (or disorders) are mixed. For example, </w:t>
      </w:r>
      <w:r w:rsidRPr="00A15574">
        <w:rPr>
          <w:rFonts w:ascii="Times New Roman" w:hAnsi="Times New Roman" w:cs="Times New Roman"/>
          <w:noProof/>
          <w:color w:val="000000" w:themeColor="text1"/>
          <w:sz w:val="24"/>
        </w:rPr>
        <w:t>Gerr et al. (2014)</w:t>
      </w:r>
      <w:r w:rsidRPr="00A15574">
        <w:rPr>
          <w:rFonts w:ascii="Times New Roman" w:hAnsi="Times New Roman" w:cs="Times New Roman"/>
          <w:color w:val="000000" w:themeColor="text1"/>
          <w:sz w:val="24"/>
        </w:rPr>
        <w:t xml:space="preserve"> did not observe associations between mean EMG levels (upper trapezius, forearm extensors, forearm flexors) and the incidence of either neck/shoulder or hand/arm outcomes in a prospective study of manufacturing workers. On the other hand, </w:t>
      </w:r>
      <w:r w:rsidRPr="00A15574">
        <w:rPr>
          <w:rFonts w:ascii="Times New Roman" w:hAnsi="Times New Roman" w:cs="Times New Roman"/>
          <w:noProof/>
          <w:color w:val="000000" w:themeColor="text1"/>
          <w:sz w:val="24"/>
        </w:rPr>
        <w:t>Nordander et al. (2013)</w:t>
      </w:r>
      <w:r w:rsidRPr="00A15574">
        <w:rPr>
          <w:rFonts w:ascii="Times New Roman" w:hAnsi="Times New Roman" w:cs="Times New Roman"/>
          <w:color w:val="000000" w:themeColor="text1"/>
          <w:sz w:val="24"/>
        </w:rPr>
        <w:t xml:space="preserve"> and </w:t>
      </w:r>
      <w:r w:rsidRPr="00A15574">
        <w:rPr>
          <w:rFonts w:ascii="Times New Roman" w:hAnsi="Times New Roman" w:cs="Times New Roman"/>
          <w:noProof/>
          <w:color w:val="000000" w:themeColor="text1"/>
          <w:sz w:val="24"/>
        </w:rPr>
        <w:t>Nordander et al. (2016)</w:t>
      </w:r>
      <w:r w:rsidRPr="00A15574">
        <w:rPr>
          <w:rFonts w:ascii="Times New Roman" w:hAnsi="Times New Roman" w:cs="Times New Roman"/>
          <w:color w:val="000000" w:themeColor="text1"/>
          <w:sz w:val="24"/>
        </w:rPr>
        <w:t xml:space="preserve"> synthesized exposure and outcome prevalence data from a large number of observational studies among a variety of occupational groups and reported several statistically significant associations. Summary metrics associated with distal upper extremity symptom prevalence included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forearm extensor EMG levels and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wrist flexion/extension speed </w:t>
      </w:r>
      <w:r w:rsidRPr="00A15574">
        <w:rPr>
          <w:rFonts w:ascii="Times New Roman" w:hAnsi="Times New Roman" w:cs="Times New Roman"/>
          <w:noProof/>
          <w:color w:val="000000" w:themeColor="text1"/>
          <w:sz w:val="24"/>
        </w:rPr>
        <w:t>(Nordander et al. 2013)</w:t>
      </w:r>
      <w:r w:rsidRPr="00A15574">
        <w:rPr>
          <w:rFonts w:ascii="Times New Roman" w:hAnsi="Times New Roman" w:cs="Times New Roman"/>
          <w:color w:val="000000" w:themeColor="text1"/>
          <w:sz w:val="24"/>
        </w:rPr>
        <w:t>. Summary metrics associated with shoulder symptom prevalence included the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trapezius EMG level and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arm movement speed </w:t>
      </w:r>
      <w:r w:rsidRPr="00A15574">
        <w:rPr>
          <w:rFonts w:ascii="Times New Roman" w:hAnsi="Times New Roman" w:cs="Times New Roman"/>
          <w:noProof/>
          <w:color w:val="000000" w:themeColor="text1"/>
          <w:sz w:val="24"/>
        </w:rPr>
        <w:t>(Nordander et al. 2016)</w:t>
      </w:r>
      <w:r w:rsidRPr="00A15574">
        <w:rPr>
          <w:rFonts w:ascii="Times New Roman" w:hAnsi="Times New Roman" w:cs="Times New Roman"/>
          <w:color w:val="000000" w:themeColor="text1"/>
          <w:sz w:val="24"/>
        </w:rPr>
        <w:t>.</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Expanding on the </w:t>
      </w:r>
      <w:proofErr w:type="spellStart"/>
      <w:r w:rsidRPr="00A15574">
        <w:rPr>
          <w:rFonts w:ascii="Times New Roman" w:hAnsi="Times New Roman" w:cs="Times New Roman"/>
          <w:color w:val="000000" w:themeColor="text1"/>
          <w:sz w:val="24"/>
        </w:rPr>
        <w:t>Nordander</w:t>
      </w:r>
      <w:proofErr w:type="spellEnd"/>
      <w:r w:rsidRPr="00A15574">
        <w:rPr>
          <w:rFonts w:ascii="Times New Roman" w:hAnsi="Times New Roman" w:cs="Times New Roman"/>
          <w:color w:val="000000" w:themeColor="text1"/>
          <w:sz w:val="24"/>
        </w:rPr>
        <w:t xml:space="preserve"> et al. studies, </w:t>
      </w:r>
      <w:r w:rsidRPr="00A15574">
        <w:rPr>
          <w:rFonts w:ascii="Times New Roman" w:hAnsi="Times New Roman" w:cs="Times New Roman"/>
          <w:noProof/>
          <w:color w:val="000000" w:themeColor="text1"/>
          <w:sz w:val="24"/>
        </w:rPr>
        <w:t>Balogh et al. (2019)</w:t>
      </w:r>
      <w:r w:rsidRPr="00A15574">
        <w:rPr>
          <w:rFonts w:ascii="Times New Roman" w:hAnsi="Times New Roman" w:cs="Times New Roman"/>
          <w:color w:val="000000" w:themeColor="text1"/>
          <w:sz w:val="24"/>
        </w:rPr>
        <w:t xml:space="preserve"> recently proposed exposure thresholds of 60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for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arm movement speed and 20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for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wrist flexion/extension movement speed (for an 8-hr shift). In the current study, the median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arm movement speed across all activities (14.3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IQR 10.4-19.8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was much lower than the proposed threshold. Likewise, the upper bounds of the IQRs around the activity-specific median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arm movement speed values were all less than 30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implying that (on the whole) the upper arm movement speeds measured in </w:t>
      </w:r>
      <w:r w:rsidRPr="00A15574">
        <w:rPr>
          <w:rFonts w:ascii="Times New Roman" w:hAnsi="Times New Roman" w:cs="Times New Roman"/>
          <w:color w:val="000000" w:themeColor="text1"/>
          <w:sz w:val="24"/>
        </w:rPr>
        <w:lastRenderedPageBreak/>
        <w:t>this study do not confer excessive risk for shoulder-related musculoskeletal outcomes. However, the median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arm movement speeds did exceed 60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for all but two activities (</w:t>
      </w:r>
      <w:r w:rsidRPr="00A15574">
        <w:rPr>
          <w:rFonts w:ascii="Times New Roman" w:hAnsi="Times New Roman" w:cs="Times New Roman"/>
          <w:i/>
          <w:color w:val="000000" w:themeColor="text1"/>
          <w:sz w:val="24"/>
        </w:rPr>
        <w:t xml:space="preserve">field work with a self-powered machine </w:t>
      </w:r>
      <w:r w:rsidRPr="00A15574">
        <w:rPr>
          <w:rFonts w:ascii="Times New Roman" w:hAnsi="Times New Roman" w:cs="Times New Roman"/>
          <w:color w:val="000000" w:themeColor="text1"/>
          <w:sz w:val="24"/>
        </w:rPr>
        <w:t xml:space="preserve">and </w:t>
      </w:r>
      <w:r w:rsidRPr="00A15574">
        <w:rPr>
          <w:rFonts w:ascii="Times New Roman" w:hAnsi="Times New Roman" w:cs="Times New Roman"/>
          <w:i/>
          <w:color w:val="000000" w:themeColor="text1"/>
          <w:sz w:val="24"/>
        </w:rPr>
        <w:t>handling/storing harvested crop</w:t>
      </w:r>
      <w:r w:rsidRPr="00A15574">
        <w:rPr>
          <w:rFonts w:ascii="Times New Roman" w:hAnsi="Times New Roman" w:cs="Times New Roman"/>
          <w:color w:val="000000" w:themeColor="text1"/>
          <w:sz w:val="24"/>
        </w:rPr>
        <w:t>). Consequently, longer sampling durations and/or sampling across multiple days may reveal median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upper arm movement speed levels closer to the proposed threshold.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In contrast to the upper arm, the median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wrist flexion/extension movement speed approached the proposed 20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threshold for </w:t>
      </w:r>
      <w:r w:rsidRPr="00A15574">
        <w:rPr>
          <w:rFonts w:ascii="Times New Roman" w:hAnsi="Times New Roman" w:cs="Times New Roman"/>
          <w:i/>
          <w:color w:val="000000" w:themeColor="text1"/>
          <w:sz w:val="24"/>
        </w:rPr>
        <w:t xml:space="preserve">milk animals </w:t>
      </w:r>
      <w:r w:rsidRPr="00A15574">
        <w:rPr>
          <w:rFonts w:ascii="Times New Roman" w:hAnsi="Times New Roman" w:cs="Times New Roman"/>
          <w:color w:val="000000" w:themeColor="text1"/>
          <w:sz w:val="24"/>
        </w:rPr>
        <w:t>(19.2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IQR = 15.5-30.9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and the upper bounds of the IQRs around the median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values exceeded 20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for more than half of the activities. While </w:t>
      </w:r>
      <w:r w:rsidRPr="00A15574">
        <w:rPr>
          <w:rFonts w:ascii="Times New Roman" w:hAnsi="Times New Roman" w:cs="Times New Roman"/>
          <w:noProof/>
          <w:color w:val="000000" w:themeColor="text1"/>
          <w:sz w:val="24"/>
        </w:rPr>
        <w:t>Balogh et al. (2019)</w:t>
      </w:r>
      <w:r w:rsidRPr="00A15574">
        <w:rPr>
          <w:rFonts w:ascii="Times New Roman" w:hAnsi="Times New Roman" w:cs="Times New Roman"/>
          <w:color w:val="000000" w:themeColor="text1"/>
          <w:sz w:val="24"/>
        </w:rPr>
        <w:t xml:space="preserve"> did not propose exposure thresholds for EMG-based metrics, increasing upper trapezius activity levels were associated with increased prevalence of neck/shoulder outcomes (e.g., rotator cuff tendonitis and tension neck syndrome), and increasing forearm extensor activity levels were associated with increased prevalence of distal upper extremity outcomes (e.g., carpal tunnel syndrome [CTS]).</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Additional epidemiological analyses support a relationship between wrist movement speed and distal upper extremity outcomes. Two recent studies are particularly relevant. </w:t>
      </w:r>
      <w:r w:rsidRPr="00A15574">
        <w:rPr>
          <w:rFonts w:ascii="Times New Roman" w:hAnsi="Times New Roman" w:cs="Times New Roman"/>
          <w:noProof/>
          <w:color w:val="000000" w:themeColor="text1"/>
          <w:sz w:val="24"/>
        </w:rPr>
        <w:t>Lund et al. (2019)</w:t>
      </w:r>
      <w:r w:rsidRPr="00A15574">
        <w:rPr>
          <w:rFonts w:ascii="Times New Roman" w:hAnsi="Times New Roman" w:cs="Times New Roman"/>
          <w:color w:val="000000" w:themeColor="text1"/>
          <w:sz w:val="24"/>
        </w:rPr>
        <w:t xml:space="preserve"> reported mean wrist movement speeds (in flexion/extension) for 30 occupational groups ranging from 3.6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(for office workers) to 37.6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(for “slaughterhouse” workers). Farmers were included among the occupational groups, with a mean wrist movement speed of 14.6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a value consistent with the measurements of the current study. Furthermore, the risk of CTS increased as wrist movement speed increased, with those exposed at levels above 11.1 °·s</w:t>
      </w:r>
      <w:r w:rsidRPr="00A15574">
        <w:rPr>
          <w:rFonts w:ascii="Times New Roman" w:hAnsi="Times New Roman" w:cs="Times New Roman"/>
          <w:color w:val="000000" w:themeColor="text1"/>
          <w:sz w:val="24"/>
          <w:vertAlign w:val="superscript"/>
        </w:rPr>
        <w:t xml:space="preserve">-1 </w:t>
      </w:r>
      <w:r w:rsidRPr="00A15574">
        <w:rPr>
          <w:rFonts w:ascii="Times New Roman" w:hAnsi="Times New Roman" w:cs="Times New Roman"/>
          <w:color w:val="000000" w:themeColor="text1"/>
          <w:sz w:val="24"/>
        </w:rPr>
        <w:t xml:space="preserve"> experiencing more than twice the incidence rate as those exposed at levels below 6.1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In addition, </w:t>
      </w:r>
      <w:r w:rsidRPr="00A15574">
        <w:rPr>
          <w:rFonts w:ascii="Times New Roman" w:hAnsi="Times New Roman" w:cs="Times New Roman"/>
          <w:noProof/>
          <w:color w:val="000000" w:themeColor="text1"/>
          <w:sz w:val="24"/>
        </w:rPr>
        <w:t>Heilskov-Hansen et al. (2016)</w:t>
      </w:r>
      <w:r w:rsidRPr="00A15574">
        <w:rPr>
          <w:rFonts w:ascii="Times New Roman" w:hAnsi="Times New Roman" w:cs="Times New Roman"/>
          <w:color w:val="000000" w:themeColor="text1"/>
          <w:sz w:val="24"/>
        </w:rPr>
        <w:t xml:space="preserve"> recently reported, among house painters, a 37% increase in the incidence rate of CTS diagnosis for every 1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increase of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wrist </w:t>
      </w:r>
      <w:r w:rsidRPr="00A15574">
        <w:rPr>
          <w:rFonts w:ascii="Times New Roman" w:hAnsi="Times New Roman" w:cs="Times New Roman"/>
          <w:color w:val="000000" w:themeColor="text1"/>
          <w:sz w:val="24"/>
        </w:rPr>
        <w:lastRenderedPageBreak/>
        <w:t>movement speed (in flexion/extension). In that study, the median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wrist movement speed in flexion/extension was 15.6 °·s</w:t>
      </w:r>
      <w:r w:rsidRPr="00A15574">
        <w:rPr>
          <w:rFonts w:ascii="Times New Roman" w:hAnsi="Times New Roman" w:cs="Times New Roman"/>
          <w:color w:val="000000" w:themeColor="text1"/>
          <w:sz w:val="24"/>
          <w:vertAlign w:val="superscript"/>
        </w:rPr>
        <w:t>-1</w:t>
      </w:r>
      <w:r w:rsidRPr="00A15574">
        <w:rPr>
          <w:rFonts w:ascii="Times New Roman" w:hAnsi="Times New Roman" w:cs="Times New Roman"/>
          <w:color w:val="000000" w:themeColor="text1"/>
          <w:sz w:val="24"/>
        </w:rPr>
        <w:t xml:space="preserve">, a value also consistent with the measurements of the current study.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Interestingly, neither the </w:t>
      </w:r>
      <w:proofErr w:type="spellStart"/>
      <w:r w:rsidRPr="00A15574">
        <w:rPr>
          <w:rFonts w:ascii="Times New Roman" w:hAnsi="Times New Roman" w:cs="Times New Roman"/>
          <w:color w:val="000000" w:themeColor="text1"/>
          <w:sz w:val="24"/>
        </w:rPr>
        <w:t>Nordander</w:t>
      </w:r>
      <w:proofErr w:type="spellEnd"/>
      <w:r w:rsidRPr="00A15574">
        <w:rPr>
          <w:rFonts w:ascii="Times New Roman" w:hAnsi="Times New Roman" w:cs="Times New Roman"/>
          <w:color w:val="000000" w:themeColor="text1"/>
          <w:sz w:val="24"/>
        </w:rPr>
        <w:t xml:space="preserve"> et al. studies (2013; 2016) nor </w:t>
      </w:r>
      <w:r w:rsidRPr="00A15574">
        <w:rPr>
          <w:rFonts w:ascii="Times New Roman" w:hAnsi="Times New Roman" w:cs="Times New Roman"/>
          <w:noProof/>
          <w:color w:val="000000" w:themeColor="text1"/>
          <w:sz w:val="24"/>
        </w:rPr>
        <w:t>Balogh et al. (2019)</w:t>
      </w:r>
      <w:r w:rsidRPr="00A15574">
        <w:rPr>
          <w:rFonts w:ascii="Times New Roman" w:hAnsi="Times New Roman" w:cs="Times New Roman"/>
          <w:color w:val="000000" w:themeColor="text1"/>
          <w:sz w:val="24"/>
        </w:rPr>
        <w:t xml:space="preserve"> supported an association between upper arm posture percentiles and the prevalence of shoulder symptoms. In contrast, multiple reviews </w:t>
      </w:r>
      <w:r w:rsidRPr="00A15574">
        <w:rPr>
          <w:rFonts w:ascii="Times New Roman" w:hAnsi="Times New Roman" w:cs="Times New Roman"/>
          <w:noProof/>
          <w:color w:val="000000" w:themeColor="text1"/>
          <w:sz w:val="24"/>
        </w:rPr>
        <w:t>(van Rijn et al. 2010; van der Molen et al. 2017)</w:t>
      </w:r>
      <w:r w:rsidRPr="00A15574">
        <w:rPr>
          <w:rFonts w:ascii="Times New Roman" w:hAnsi="Times New Roman" w:cs="Times New Roman"/>
          <w:color w:val="000000" w:themeColor="text1"/>
          <w:sz w:val="24"/>
        </w:rPr>
        <w:t xml:space="preserve"> and individual studies suggest a relationship between the percent time with “extreme” upper arm posture (typically defined as 60° or 90° of shoulder flexion or upper arm elevation) and shoulder outcomes.</w:t>
      </w:r>
      <w:r w:rsidRPr="00A15574" w:rsidDel="00825D71">
        <w:rPr>
          <w:rFonts w:ascii="Times New Roman" w:hAnsi="Times New Roman" w:cs="Times New Roman"/>
          <w:color w:val="000000" w:themeColor="text1"/>
          <w:sz w:val="24"/>
        </w:rPr>
        <w:t xml:space="preserve"> </w:t>
      </w:r>
      <w:r w:rsidRPr="00A15574">
        <w:rPr>
          <w:rFonts w:ascii="Times New Roman" w:hAnsi="Times New Roman" w:cs="Times New Roman"/>
          <w:color w:val="000000" w:themeColor="text1"/>
          <w:sz w:val="24"/>
        </w:rPr>
        <w:t xml:space="preserve">In </w:t>
      </w:r>
      <w:r w:rsidRPr="00A15574">
        <w:rPr>
          <w:rFonts w:ascii="Times New Roman" w:hAnsi="Times New Roman" w:cs="Times New Roman"/>
          <w:noProof/>
          <w:color w:val="000000" w:themeColor="text1"/>
          <w:sz w:val="24"/>
        </w:rPr>
        <w:t>Svendsen et al. (2004)</w:t>
      </w:r>
      <w:r w:rsidRPr="00A15574">
        <w:rPr>
          <w:rFonts w:ascii="Times New Roman" w:hAnsi="Times New Roman" w:cs="Times New Roman"/>
          <w:color w:val="000000" w:themeColor="text1"/>
          <w:sz w:val="24"/>
        </w:rPr>
        <w:t xml:space="preserve">, for example, the odds of disabling shoulder pain among machinists, mechanics, and painters (workers with non-routinized tasks, similar to agricultural workers) with 3-6% and 6-9% of work time spent with the dominant upper arm elevated &gt;90° were 2.1 and 3.5 times greater, respectively, compared to those with &lt;3% of work time spent with the dominant upper arm elevated &gt;90°. In the current study (data not shown), activities with &gt;3% of work time with the upper arm elevated &gt;90° included </w:t>
      </w:r>
      <w:r w:rsidRPr="00A15574">
        <w:rPr>
          <w:rFonts w:ascii="Times New Roman" w:hAnsi="Times New Roman" w:cs="Times New Roman"/>
          <w:i/>
          <w:color w:val="000000" w:themeColor="text1"/>
          <w:sz w:val="24"/>
        </w:rPr>
        <w:t>treat/tag animals</w:t>
      </w:r>
      <w:r w:rsidRPr="00A15574">
        <w:rPr>
          <w:rFonts w:ascii="Times New Roman" w:hAnsi="Times New Roman" w:cs="Times New Roman"/>
          <w:color w:val="000000" w:themeColor="text1"/>
          <w:sz w:val="24"/>
        </w:rPr>
        <w:t xml:space="preserve"> (median = 3.4%), </w:t>
      </w:r>
      <w:r w:rsidRPr="00A15574">
        <w:rPr>
          <w:rFonts w:ascii="Times New Roman" w:hAnsi="Times New Roman" w:cs="Times New Roman"/>
          <w:i/>
          <w:color w:val="000000" w:themeColor="text1"/>
          <w:sz w:val="24"/>
        </w:rPr>
        <w:t>manual material handling</w:t>
      </w:r>
      <w:r w:rsidRPr="00A15574">
        <w:rPr>
          <w:rFonts w:ascii="Times New Roman" w:hAnsi="Times New Roman" w:cs="Times New Roman"/>
          <w:color w:val="000000" w:themeColor="text1"/>
          <w:sz w:val="24"/>
        </w:rPr>
        <w:t xml:space="preserve"> (4.1%), </w:t>
      </w:r>
      <w:r w:rsidRPr="00A15574">
        <w:rPr>
          <w:rFonts w:ascii="Times New Roman" w:hAnsi="Times New Roman" w:cs="Times New Roman"/>
          <w:i/>
          <w:color w:val="000000" w:themeColor="text1"/>
          <w:sz w:val="24"/>
        </w:rPr>
        <w:t xml:space="preserve">milk animals </w:t>
      </w:r>
      <w:r w:rsidRPr="00A15574">
        <w:rPr>
          <w:rFonts w:ascii="Times New Roman" w:hAnsi="Times New Roman" w:cs="Times New Roman"/>
          <w:color w:val="000000" w:themeColor="text1"/>
          <w:sz w:val="24"/>
        </w:rPr>
        <w:t xml:space="preserve">(5.4%), and </w:t>
      </w:r>
      <w:r w:rsidRPr="00A15574">
        <w:rPr>
          <w:rFonts w:ascii="Times New Roman" w:hAnsi="Times New Roman" w:cs="Times New Roman"/>
          <w:i/>
          <w:color w:val="000000" w:themeColor="text1"/>
          <w:sz w:val="24"/>
        </w:rPr>
        <w:t>repair/service equipment</w:t>
      </w:r>
      <w:r w:rsidRPr="00A15574">
        <w:rPr>
          <w:rFonts w:ascii="Times New Roman" w:hAnsi="Times New Roman" w:cs="Times New Roman"/>
          <w:color w:val="000000" w:themeColor="text1"/>
          <w:sz w:val="24"/>
        </w:rPr>
        <w:t xml:space="preserve"> (7.8%), which suggests that workers who spend relatively greater amounts of time in these activities may experience a greater risk of shoulder outcomes.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While some prospective studies have reported associations between non-neutral trunk work postures (e.g., &gt;45° or 60° of trunk flexion) and low back symptoms </w:t>
      </w:r>
      <w:r w:rsidRPr="00A15574">
        <w:rPr>
          <w:rFonts w:ascii="Times New Roman" w:hAnsi="Times New Roman" w:cs="Times New Roman"/>
          <w:noProof/>
          <w:color w:val="000000" w:themeColor="text1"/>
          <w:sz w:val="24"/>
        </w:rPr>
        <w:t>(Hoogendoorn et al. 2000; Jansen et al. 2004; Van Nieuwenhuyse et al. 2006; Coenen et al. 2013)</w:t>
      </w:r>
      <w:r w:rsidRPr="00A15574">
        <w:rPr>
          <w:rFonts w:ascii="Times New Roman" w:hAnsi="Times New Roman" w:cs="Times New Roman"/>
          <w:color w:val="000000" w:themeColor="text1"/>
          <w:sz w:val="24"/>
        </w:rPr>
        <w:t xml:space="preserve"> others have not </w:t>
      </w:r>
      <w:r w:rsidRPr="00A15574">
        <w:rPr>
          <w:rFonts w:ascii="Times New Roman" w:hAnsi="Times New Roman" w:cs="Times New Roman"/>
          <w:noProof/>
          <w:color w:val="000000" w:themeColor="text1"/>
          <w:sz w:val="24"/>
        </w:rPr>
        <w:t>(Lagersted-Olsen et al. 2016)</w:t>
      </w:r>
      <w:r w:rsidRPr="00A15574">
        <w:rPr>
          <w:rFonts w:ascii="Times New Roman" w:hAnsi="Times New Roman" w:cs="Times New Roman"/>
          <w:color w:val="000000" w:themeColor="text1"/>
          <w:sz w:val="24"/>
        </w:rPr>
        <w:t xml:space="preserve">, and several reviews on the topic offer conflicting evidence </w:t>
      </w:r>
      <w:r w:rsidRPr="00A15574">
        <w:rPr>
          <w:rFonts w:ascii="Times New Roman" w:hAnsi="Times New Roman" w:cs="Times New Roman"/>
          <w:noProof/>
          <w:color w:val="000000" w:themeColor="text1"/>
          <w:sz w:val="24"/>
        </w:rPr>
        <w:t>(Bakker et al. 2009; da Costa and Vieira 2010; Roffey et al. 2010; Wai et al. 2010; Griffith et al. 2012; Khan et al. 2019a)</w:t>
      </w:r>
      <w:r w:rsidRPr="00A15574">
        <w:rPr>
          <w:rFonts w:ascii="Times New Roman" w:hAnsi="Times New Roman" w:cs="Times New Roman"/>
          <w:color w:val="000000" w:themeColor="text1"/>
          <w:sz w:val="24"/>
        </w:rPr>
        <w:t xml:space="preserve">. Instead, dynamic and/or cumulative aspects of low back biomechanical </w:t>
      </w:r>
      <w:r w:rsidRPr="00A15574">
        <w:rPr>
          <w:rFonts w:ascii="Times New Roman" w:hAnsi="Times New Roman" w:cs="Times New Roman"/>
          <w:color w:val="000000" w:themeColor="text1"/>
          <w:sz w:val="24"/>
        </w:rPr>
        <w:lastRenderedPageBreak/>
        <w:t xml:space="preserve">loading have been reported as potentially more important factors to consider when identifying workers at risk of developing adverse low back health outcomes </w:t>
      </w:r>
      <w:r w:rsidRPr="00A15574">
        <w:rPr>
          <w:rFonts w:ascii="Times New Roman" w:hAnsi="Times New Roman" w:cs="Times New Roman"/>
          <w:noProof/>
          <w:color w:val="000000" w:themeColor="text1"/>
          <w:sz w:val="24"/>
        </w:rPr>
        <w:t>(Fathallah et al. 1998; Davis and Marras 2000; Marras et al. 2010; Coenen et al. 2013)</w:t>
      </w:r>
      <w:r w:rsidRPr="00A15574">
        <w:rPr>
          <w:rFonts w:ascii="Times New Roman" w:hAnsi="Times New Roman" w:cs="Times New Roman"/>
          <w:color w:val="000000" w:themeColor="text1"/>
          <w:sz w:val="24"/>
        </w:rPr>
        <w:t xml:space="preserve">, in part because compressive and shear forces increase as a result of increases in movement velocity </w:t>
      </w:r>
      <w:r w:rsidRPr="00A15574">
        <w:rPr>
          <w:rFonts w:ascii="Times New Roman" w:hAnsi="Times New Roman" w:cs="Times New Roman"/>
          <w:noProof/>
          <w:color w:val="000000" w:themeColor="text1"/>
          <w:sz w:val="24"/>
        </w:rPr>
        <w:t>(Marras and Granata 1997)</w:t>
      </w:r>
      <w:r w:rsidRPr="00A15574">
        <w:rPr>
          <w:rFonts w:ascii="Times New Roman" w:hAnsi="Times New Roman" w:cs="Times New Roman"/>
          <w:color w:val="000000" w:themeColor="text1"/>
          <w:sz w:val="24"/>
        </w:rPr>
        <w:t xml:space="preserve">. Results of the current study suggest that </w:t>
      </w:r>
      <w:r w:rsidRPr="00A15574">
        <w:rPr>
          <w:rFonts w:ascii="Times New Roman" w:hAnsi="Times New Roman" w:cs="Times New Roman"/>
          <w:i/>
          <w:color w:val="000000" w:themeColor="text1"/>
          <w:sz w:val="24"/>
        </w:rPr>
        <w:t xml:space="preserve">manual material handling </w:t>
      </w:r>
      <w:r w:rsidRPr="00A15574">
        <w:rPr>
          <w:rFonts w:ascii="Times New Roman" w:hAnsi="Times New Roman" w:cs="Times New Roman"/>
          <w:color w:val="000000" w:themeColor="text1"/>
          <w:sz w:val="24"/>
        </w:rPr>
        <w:t xml:space="preserve">activities may place farmers at increased risk of low back outcomes relative to some other work activities as a function of increased trunk flexion and lateral bending speeds. This is further supported by elevated EMG levels for </w:t>
      </w:r>
      <w:r w:rsidRPr="00A15574">
        <w:rPr>
          <w:rFonts w:ascii="Times New Roman" w:hAnsi="Times New Roman" w:cs="Times New Roman"/>
          <w:i/>
          <w:color w:val="000000" w:themeColor="text1"/>
          <w:sz w:val="24"/>
        </w:rPr>
        <w:t xml:space="preserve">manual material handling </w:t>
      </w:r>
      <w:r w:rsidRPr="00A15574">
        <w:rPr>
          <w:rFonts w:ascii="Times New Roman" w:hAnsi="Times New Roman" w:cs="Times New Roman"/>
          <w:color w:val="000000" w:themeColor="text1"/>
          <w:sz w:val="24"/>
        </w:rPr>
        <w:t>activities (the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left erector </w:t>
      </w:r>
      <w:proofErr w:type="spellStart"/>
      <w:r w:rsidRPr="00A15574">
        <w:rPr>
          <w:rFonts w:ascii="Times New Roman" w:hAnsi="Times New Roman" w:cs="Times New Roman"/>
          <w:color w:val="000000" w:themeColor="text1"/>
          <w:sz w:val="24"/>
        </w:rPr>
        <w:t>spinae</w:t>
      </w:r>
      <w:proofErr w:type="spellEnd"/>
      <w:r w:rsidRPr="00A15574">
        <w:rPr>
          <w:rFonts w:ascii="Times New Roman" w:hAnsi="Times New Roman" w:cs="Times New Roman"/>
          <w:color w:val="000000" w:themeColor="text1"/>
          <w:sz w:val="24"/>
        </w:rPr>
        <w:t xml:space="preserve"> as well as the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90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 right erector </w:t>
      </w:r>
      <w:proofErr w:type="spellStart"/>
      <w:r w:rsidRPr="00A15574">
        <w:rPr>
          <w:rFonts w:ascii="Times New Roman" w:hAnsi="Times New Roman" w:cs="Times New Roman"/>
          <w:color w:val="000000" w:themeColor="text1"/>
          <w:sz w:val="24"/>
        </w:rPr>
        <w:t>spinae</w:t>
      </w:r>
      <w:proofErr w:type="spellEnd"/>
      <w:r w:rsidRPr="00A15574">
        <w:rPr>
          <w:rFonts w:ascii="Times New Roman" w:hAnsi="Times New Roman" w:cs="Times New Roman"/>
          <w:color w:val="000000" w:themeColor="text1"/>
          <w:sz w:val="24"/>
        </w:rPr>
        <w:t xml:space="preserve">). However, the use of submaximal isometric reference exertions (i.e., RVE) for the purpose of EMG normalization limits the extent to which the observed EMG levels relate to capacity, and thus to risk. We considered but ultimately elected to forego maximum voluntary contractions (i.e., MVC) primarily to minimize the possibility of injury during normalization procedures </w:t>
      </w:r>
      <w:r w:rsidRPr="00A15574">
        <w:rPr>
          <w:rFonts w:ascii="Times New Roman" w:hAnsi="Times New Roman" w:cs="Times New Roman"/>
          <w:noProof/>
          <w:color w:val="000000" w:themeColor="text1"/>
          <w:sz w:val="24"/>
        </w:rPr>
        <w:t>(Nieminen et al. 1993; Attebrant et al. 1995; Bao et al. 1995; Mathiassen et al. 1995)</w:t>
      </w:r>
      <w:r w:rsidRPr="00A15574">
        <w:rPr>
          <w:rFonts w:ascii="Times New Roman" w:hAnsi="Times New Roman" w:cs="Times New Roman"/>
          <w:color w:val="000000" w:themeColor="text1"/>
          <w:sz w:val="24"/>
        </w:rPr>
        <w:t xml:space="preserve">, which was desirable given participants’ mean age of nearly 58 years.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Consistent with </w:t>
      </w:r>
      <w:r w:rsidRPr="00A15574">
        <w:rPr>
          <w:rFonts w:ascii="Times New Roman" w:hAnsi="Times New Roman" w:cs="Times New Roman"/>
          <w:noProof/>
          <w:color w:val="000000" w:themeColor="text1"/>
          <w:sz w:val="24"/>
        </w:rPr>
        <w:t>Khan et al. (2019b)</w:t>
      </w:r>
      <w:r w:rsidRPr="00A15574">
        <w:rPr>
          <w:rFonts w:ascii="Times New Roman" w:hAnsi="Times New Roman" w:cs="Times New Roman"/>
          <w:color w:val="000000" w:themeColor="text1"/>
          <w:sz w:val="24"/>
        </w:rPr>
        <w:t xml:space="preserve"> our results suggest that biomechanical demands are lower during tasks involving the operation of agricultural machinery (e.g., </w:t>
      </w:r>
      <w:r w:rsidRPr="00A15574">
        <w:rPr>
          <w:rFonts w:ascii="Times New Roman" w:hAnsi="Times New Roman" w:cs="Times New Roman"/>
          <w:i/>
          <w:color w:val="000000" w:themeColor="text1"/>
          <w:sz w:val="24"/>
        </w:rPr>
        <w:t xml:space="preserve">field work with a self-powered machine </w:t>
      </w:r>
      <w:r w:rsidRPr="00A15574">
        <w:rPr>
          <w:rFonts w:ascii="Times New Roman" w:hAnsi="Times New Roman" w:cs="Times New Roman"/>
          <w:color w:val="000000" w:themeColor="text1"/>
          <w:sz w:val="24"/>
        </w:rPr>
        <w:t xml:space="preserve">and </w:t>
      </w:r>
      <w:r w:rsidRPr="00A15574">
        <w:rPr>
          <w:rFonts w:ascii="Times New Roman" w:hAnsi="Times New Roman" w:cs="Times New Roman"/>
          <w:i/>
          <w:color w:val="000000" w:themeColor="text1"/>
          <w:sz w:val="24"/>
        </w:rPr>
        <w:t>powered material handling</w:t>
      </w:r>
      <w:r w:rsidRPr="00A15574">
        <w:rPr>
          <w:rFonts w:ascii="Times New Roman" w:hAnsi="Times New Roman" w:cs="Times New Roman"/>
          <w:color w:val="000000" w:themeColor="text1"/>
          <w:sz w:val="24"/>
        </w:rPr>
        <w:t>) in comparison to primarily manual tasks. However, the current analyses did not consider the potential risks for musculoskeletal outcomes associated with whole-body vibration. Interestingly, the median 10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and 50</w:t>
      </w:r>
      <w:r w:rsidRPr="00A15574">
        <w:rPr>
          <w:rFonts w:ascii="Times New Roman" w:hAnsi="Times New Roman" w:cs="Times New Roman"/>
          <w:color w:val="000000" w:themeColor="text1"/>
          <w:sz w:val="24"/>
          <w:vertAlign w:val="superscript"/>
        </w:rPr>
        <w:t>th</w:t>
      </w:r>
      <w:r w:rsidRPr="00A15574">
        <w:rPr>
          <w:rFonts w:ascii="Times New Roman" w:hAnsi="Times New Roman" w:cs="Times New Roman"/>
          <w:color w:val="000000" w:themeColor="text1"/>
          <w:sz w:val="24"/>
        </w:rPr>
        <w:t xml:space="preserve"> percentiles of trunk flexion/extension angles were greatest during activities with frequent machine use, which is a direct consequence of the seated postures adopted during machine operation </w:t>
      </w:r>
      <w:r w:rsidRPr="00A15574">
        <w:rPr>
          <w:rFonts w:ascii="Times New Roman" w:hAnsi="Times New Roman" w:cs="Times New Roman"/>
          <w:noProof/>
          <w:color w:val="000000" w:themeColor="text1"/>
          <w:sz w:val="24"/>
        </w:rPr>
        <w:t>(Eger et al. 2008; Raffler et al. 2010; Amari et al. 2015; Fethke et al. 2018)</w:t>
      </w:r>
      <w:r w:rsidRPr="00A15574">
        <w:rPr>
          <w:rFonts w:ascii="Times New Roman" w:hAnsi="Times New Roman" w:cs="Times New Roman"/>
          <w:color w:val="000000" w:themeColor="text1"/>
          <w:sz w:val="24"/>
        </w:rPr>
        <w:t xml:space="preserve">. The role of trunk posture relative to </w:t>
      </w:r>
      <w:r w:rsidRPr="00A15574">
        <w:rPr>
          <w:rFonts w:ascii="Times New Roman" w:hAnsi="Times New Roman" w:cs="Times New Roman"/>
          <w:color w:val="000000" w:themeColor="text1"/>
          <w:sz w:val="24"/>
        </w:rPr>
        <w:lastRenderedPageBreak/>
        <w:t xml:space="preserve">low back outcomes in the context of concurrent exposure to whole-body vibration has been examined for decades, and the ISO issued a technical report to provide guidance for measuring and reporting of trunk postures among seated machine operators </w:t>
      </w:r>
      <w:r w:rsidRPr="00A15574">
        <w:rPr>
          <w:rFonts w:ascii="Times New Roman" w:hAnsi="Times New Roman" w:cs="Times New Roman"/>
          <w:noProof/>
          <w:color w:val="000000" w:themeColor="text1"/>
          <w:sz w:val="24"/>
        </w:rPr>
        <w:t>(ISO 2012)</w:t>
      </w:r>
      <w:r w:rsidRPr="00A15574">
        <w:rPr>
          <w:rFonts w:ascii="Times New Roman" w:hAnsi="Times New Roman" w:cs="Times New Roman"/>
          <w:color w:val="000000" w:themeColor="text1"/>
          <w:sz w:val="24"/>
        </w:rPr>
        <w:t xml:space="preserve">. Although the current study was designed and initiated prior to release of the ISO technical report, we do report trunk flexion/extension as the angle of the IMU located on the sternum relative to the angle of IMU located on the low back. This approach differs from many recent field-based studies using accelerometers or IMUs located on the trunk and reporting trunk flexion/extension angles relative to gravity </w:t>
      </w:r>
      <w:r w:rsidRPr="00A15574">
        <w:rPr>
          <w:rFonts w:ascii="Times New Roman" w:hAnsi="Times New Roman" w:cs="Times New Roman"/>
          <w:noProof/>
          <w:color w:val="000000" w:themeColor="text1"/>
          <w:sz w:val="24"/>
        </w:rPr>
        <w:t>(Fethke et al. 2011; Afshari et al. 2014; Lagersted-Olsen et al. 2016; Schall Jr et al. 2016a; Wahlström et al. 2016; Villumsen et al. 2017; Khan et al. 2019b)</w:t>
      </w:r>
      <w:r w:rsidRPr="00A15574">
        <w:rPr>
          <w:rFonts w:ascii="Times New Roman" w:hAnsi="Times New Roman" w:cs="Times New Roman"/>
          <w:color w:val="000000" w:themeColor="text1"/>
          <w:sz w:val="24"/>
        </w:rPr>
        <w:t xml:space="preserve">. However, the angle of the trunk relative to gravity does not fully capture the kinematics of seated postures, in which the pelvis tilts rearward and the lumbar curvature is flattened, particularly in situations involving forward leaning and/or the absence of a backrest with lumbar support. </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The dataset generated during the current study includes quantitative information about biomechanical factors among a relatively large sample of farmers performing a wide variety of activities. However, this strength also presents some important challenges in terms of interpreting the results. During the course of data collection, we observed substantial variation in the tools, equipment, and work practices among participants when performing activities classified identically. This between-worker variation is reflected in the observed variability of the summary metrics and, in turn, limited the power to detect statistical differences between the agricultural activities. Statistical power was also limited in that not every participant was measured on every agricultural activity, partly because not every activity applied to every farm operation. Therefore, we could not apply within-worker analytic procedures (i.e., repeated measures) that maximize statistical power. In addition, we were not able to ascertain the relative </w:t>
      </w:r>
      <w:r w:rsidRPr="00A15574">
        <w:rPr>
          <w:rFonts w:ascii="Times New Roman" w:hAnsi="Times New Roman" w:cs="Times New Roman"/>
          <w:color w:val="000000" w:themeColor="text1"/>
          <w:sz w:val="24"/>
        </w:rPr>
        <w:lastRenderedPageBreak/>
        <w:t xml:space="preserve">contributions of between-worker, between-days-within-worker, or within-worker sources of variability to the observed exposure variance, which is useful when designing interventions and/or exposure assessment strategies for epidemiological studies. Furthermore, the current analyses did not consider certain aspects of biomechanical loading that may increase the risk of musculoskeletal health outcomes, such as joint angular acceleration </w:t>
      </w:r>
      <w:r w:rsidRPr="00A15574">
        <w:rPr>
          <w:rFonts w:ascii="Times New Roman" w:hAnsi="Times New Roman" w:cs="Times New Roman"/>
          <w:noProof/>
          <w:color w:val="000000" w:themeColor="text1"/>
          <w:sz w:val="24"/>
        </w:rPr>
        <w:t>(Marras and Schoenmarklin 1993)</w:t>
      </w:r>
      <w:r w:rsidRPr="00A15574">
        <w:rPr>
          <w:rFonts w:ascii="Times New Roman" w:hAnsi="Times New Roman" w:cs="Times New Roman"/>
          <w:color w:val="000000" w:themeColor="text1"/>
          <w:sz w:val="24"/>
        </w:rPr>
        <w:t xml:space="preserve">, periods of muscle rest </w:t>
      </w:r>
      <w:r w:rsidRPr="00A15574">
        <w:rPr>
          <w:rFonts w:ascii="Times New Roman" w:hAnsi="Times New Roman" w:cs="Times New Roman"/>
          <w:noProof/>
          <w:color w:val="000000" w:themeColor="text1"/>
          <w:sz w:val="24"/>
        </w:rPr>
        <w:t>(Veiersted et al. 1990)</w:t>
      </w:r>
      <w:r w:rsidRPr="00A15574">
        <w:rPr>
          <w:rFonts w:ascii="Times New Roman" w:hAnsi="Times New Roman" w:cs="Times New Roman"/>
          <w:color w:val="000000" w:themeColor="text1"/>
          <w:sz w:val="24"/>
        </w:rPr>
        <w:t xml:space="preserve">, or an explicit interaction between posture/movement and muscle activation (e.g., movement speeds above the proposed thresholds concurrent with high muscle activity levels). Finally, the study sample was relatively homogeneous, which may limit the generalizability of the observed results to the broader agricultural workforce. However, demographic characteristics of producers in the nine study states are similar to those of the study sample (e.g., average age ~57 years and &gt;99% Caucasian), with the exception of gender (about 65% male) </w:t>
      </w:r>
      <w:r w:rsidRPr="00A15574">
        <w:rPr>
          <w:rFonts w:ascii="Times New Roman" w:hAnsi="Times New Roman" w:cs="Times New Roman"/>
          <w:noProof/>
          <w:color w:val="000000" w:themeColor="text1"/>
          <w:sz w:val="24"/>
        </w:rPr>
        <w:t>(United States Department of Agriculture 2019)</w:t>
      </w:r>
      <w:r w:rsidRPr="00A15574">
        <w:rPr>
          <w:rFonts w:ascii="Times New Roman" w:hAnsi="Times New Roman" w:cs="Times New Roman"/>
          <w:color w:val="000000" w:themeColor="text1"/>
          <w:sz w:val="24"/>
        </w:rPr>
        <w:t>.</w:t>
      </w:r>
    </w:p>
    <w:p w:rsidR="005542FB" w:rsidRPr="00A15574" w:rsidRDefault="005542FB" w:rsidP="0051031A">
      <w:pPr>
        <w:spacing w:after="0" w:line="480" w:lineRule="auto"/>
        <w:rPr>
          <w:rFonts w:ascii="Times New Roman" w:hAnsi="Times New Roman" w:cs="Times New Roman"/>
          <w:b/>
          <w:caps/>
          <w:color w:val="000000" w:themeColor="text1"/>
          <w:sz w:val="32"/>
        </w:rPr>
      </w:pPr>
      <w:r w:rsidRPr="00A15574">
        <w:rPr>
          <w:rFonts w:ascii="Times New Roman" w:hAnsi="Times New Roman" w:cs="Times New Roman"/>
          <w:b/>
          <w:caps/>
          <w:color w:val="000000" w:themeColor="text1"/>
          <w:sz w:val="32"/>
        </w:rPr>
        <w:t>Conclusions</w:t>
      </w:r>
    </w:p>
    <w:p w:rsidR="005542FB" w:rsidRPr="00A15574" w:rsidRDefault="005542FB" w:rsidP="0051031A">
      <w:pPr>
        <w:spacing w:after="0" w:line="480" w:lineRule="auto"/>
        <w:ind w:firstLine="720"/>
        <w:rPr>
          <w:rFonts w:ascii="Times New Roman" w:hAnsi="Times New Roman" w:cs="Times New Roman"/>
          <w:color w:val="000000" w:themeColor="text1"/>
          <w:sz w:val="24"/>
        </w:rPr>
      </w:pPr>
      <w:r w:rsidRPr="00A15574">
        <w:rPr>
          <w:rFonts w:ascii="Times New Roman" w:hAnsi="Times New Roman" w:cs="Times New Roman"/>
          <w:color w:val="000000" w:themeColor="text1"/>
          <w:sz w:val="24"/>
        </w:rPr>
        <w:t xml:space="preserve">Our findings indicated that more than half of the agricultural activities observed in this study exceeded recently proposed exposure thresholds for wrist movement speed, suggesting potentially excessive risk for distal upper extremity musculoskeletal outcomes among farmers. Upper arm movement speeds measured in this study did not meet the recently proposed upper arm velocity exposure threshold criterion, although several non-mechanized activities may increase the risk of shoulder-related musculoskeletal outcomes. In addition, </w:t>
      </w:r>
      <w:r w:rsidRPr="00A15574">
        <w:rPr>
          <w:rFonts w:ascii="Times New Roman" w:hAnsi="Times New Roman" w:cs="Times New Roman"/>
          <w:i/>
          <w:color w:val="000000" w:themeColor="text1"/>
          <w:sz w:val="24"/>
        </w:rPr>
        <w:t>field work</w:t>
      </w:r>
      <w:r w:rsidRPr="00A15574">
        <w:rPr>
          <w:rFonts w:ascii="Times New Roman" w:hAnsi="Times New Roman" w:cs="Times New Roman"/>
          <w:color w:val="000000" w:themeColor="text1"/>
          <w:sz w:val="24"/>
        </w:rPr>
        <w:t xml:space="preserve"> </w:t>
      </w:r>
      <w:r w:rsidRPr="00A15574">
        <w:rPr>
          <w:rFonts w:ascii="Times New Roman" w:hAnsi="Times New Roman" w:cs="Times New Roman"/>
          <w:i/>
          <w:color w:val="000000" w:themeColor="text1"/>
          <w:sz w:val="24"/>
        </w:rPr>
        <w:t xml:space="preserve">with a self-powered machine </w:t>
      </w:r>
      <w:r w:rsidRPr="00A15574">
        <w:rPr>
          <w:rFonts w:ascii="Times New Roman" w:hAnsi="Times New Roman" w:cs="Times New Roman"/>
          <w:color w:val="000000" w:themeColor="text1"/>
          <w:sz w:val="24"/>
        </w:rPr>
        <w:t xml:space="preserve">generally required lower muscular loads and lower peak kinematic loading in comparison to most other activities, indicating a potential advantage of mechanization but at a cost of greater static kinematic characteristics and, implicitly, increased exposure to whole-body vibration. Overall, the substantial variability in biomechanical loading between and within </w:t>
      </w:r>
      <w:r w:rsidRPr="00A15574">
        <w:rPr>
          <w:rFonts w:ascii="Times New Roman" w:hAnsi="Times New Roman" w:cs="Times New Roman"/>
          <w:color w:val="000000" w:themeColor="text1"/>
          <w:sz w:val="24"/>
        </w:rPr>
        <w:lastRenderedPageBreak/>
        <w:t>agricultural activities indicates a need for sampling strategies designed to more fully capture the temporal patterns of farm work.</w:t>
      </w:r>
    </w:p>
    <w:p w:rsidR="005542FB" w:rsidRPr="00A15574" w:rsidRDefault="005542FB" w:rsidP="0051031A">
      <w:pPr>
        <w:spacing w:after="0" w:line="480" w:lineRule="auto"/>
        <w:rPr>
          <w:rFonts w:ascii="Times New Roman" w:hAnsi="Times New Roman" w:cs="Times New Roman"/>
          <w:b/>
          <w:caps/>
          <w:color w:val="000000" w:themeColor="text1"/>
          <w:sz w:val="32"/>
        </w:rPr>
      </w:pPr>
      <w:r w:rsidRPr="00A15574">
        <w:rPr>
          <w:rFonts w:ascii="Times New Roman" w:hAnsi="Times New Roman" w:cs="Times New Roman"/>
          <w:b/>
          <w:caps/>
          <w:color w:val="000000" w:themeColor="text1"/>
          <w:sz w:val="32"/>
        </w:rPr>
        <w:t>Acknowledgements</w:t>
      </w:r>
    </w:p>
    <w:p w:rsidR="005542FB" w:rsidRPr="00A15574" w:rsidRDefault="005542FB" w:rsidP="0051031A">
      <w:pPr>
        <w:spacing w:line="480" w:lineRule="auto"/>
        <w:ind w:firstLine="720"/>
        <w:rPr>
          <w:rFonts w:ascii="Times New Roman" w:hAnsi="Times New Roman" w:cs="Times New Roman"/>
          <w:b/>
          <w:color w:val="000000" w:themeColor="text1"/>
          <w:sz w:val="24"/>
          <w:szCs w:val="24"/>
        </w:rPr>
      </w:pPr>
      <w:r w:rsidRPr="00A15574">
        <w:rPr>
          <w:rFonts w:ascii="Times New Roman" w:hAnsi="Times New Roman" w:cs="Times New Roman"/>
          <w:color w:val="000000" w:themeColor="text1"/>
          <w:sz w:val="24"/>
          <w:szCs w:val="24"/>
        </w:rPr>
        <w:t xml:space="preserve">This study was supported by US Centers for Disease Control and Prevention (CDC) / National Institute for Occupational Safety and Health (NIOSH) through a cooperative agreement with the Great Plains Center for Agricultural Health (CDC/NIOSH grant no: U54OH007548). The Heartland Center for Occupational Health and Safety (CDC/NIOSH grant no: T42OH008491) and the Deep South Center for Occupational Health and Safety (CDC/NIOSH grant no: T42OH008436) provided additional support. We greatly appreciate the participants’ willingness to engage in this research project. We also wish to acknowledge the following research staff and students for their contributions to the data collection effort: Bryan </w:t>
      </w:r>
      <w:proofErr w:type="spellStart"/>
      <w:r w:rsidRPr="00A15574">
        <w:rPr>
          <w:rFonts w:ascii="Times New Roman" w:hAnsi="Times New Roman" w:cs="Times New Roman"/>
          <w:color w:val="000000" w:themeColor="text1"/>
          <w:sz w:val="24"/>
          <w:szCs w:val="24"/>
        </w:rPr>
        <w:t>McGivern</w:t>
      </w:r>
      <w:proofErr w:type="spellEnd"/>
      <w:r w:rsidRPr="00A15574">
        <w:rPr>
          <w:rFonts w:ascii="Times New Roman" w:hAnsi="Times New Roman" w:cs="Times New Roman"/>
          <w:color w:val="000000" w:themeColor="text1"/>
          <w:sz w:val="24"/>
          <w:szCs w:val="24"/>
        </w:rPr>
        <w:t xml:space="preserve">, Katie Hofer, Joseph </w:t>
      </w:r>
      <w:proofErr w:type="spellStart"/>
      <w:r w:rsidRPr="00A15574">
        <w:rPr>
          <w:rFonts w:ascii="Times New Roman" w:hAnsi="Times New Roman" w:cs="Times New Roman"/>
          <w:color w:val="000000" w:themeColor="text1"/>
          <w:sz w:val="24"/>
          <w:szCs w:val="24"/>
        </w:rPr>
        <w:t>Watabe</w:t>
      </w:r>
      <w:proofErr w:type="spellEnd"/>
      <w:r w:rsidRPr="00A15574">
        <w:rPr>
          <w:rFonts w:ascii="Times New Roman" w:hAnsi="Times New Roman" w:cs="Times New Roman"/>
          <w:color w:val="000000" w:themeColor="text1"/>
          <w:sz w:val="24"/>
          <w:szCs w:val="24"/>
        </w:rPr>
        <w:t>, Maya Ramaswamy, and Mahmoud Metwali.</w:t>
      </w:r>
      <w:r w:rsidRPr="00A15574">
        <w:rPr>
          <w:rFonts w:ascii="Times New Roman" w:hAnsi="Times New Roman" w:cs="Times New Roman"/>
          <w:b/>
          <w:color w:val="000000" w:themeColor="text1"/>
          <w:sz w:val="24"/>
          <w:szCs w:val="24"/>
        </w:rPr>
        <w:br w:type="page"/>
      </w:r>
    </w:p>
    <w:p w:rsidR="005542FB" w:rsidRPr="00A15574" w:rsidRDefault="005542FB" w:rsidP="002F4FDD">
      <w:pPr>
        <w:spacing w:after="0" w:line="480" w:lineRule="auto"/>
        <w:rPr>
          <w:rFonts w:ascii="Times New Roman" w:hAnsi="Times New Roman" w:cs="Times New Roman"/>
          <w:b/>
          <w:color w:val="000000" w:themeColor="text1"/>
          <w:sz w:val="32"/>
          <w:szCs w:val="32"/>
        </w:rPr>
      </w:pPr>
      <w:r w:rsidRPr="00A15574">
        <w:rPr>
          <w:rFonts w:ascii="Times New Roman" w:hAnsi="Times New Roman" w:cs="Times New Roman"/>
          <w:b/>
          <w:color w:val="000000" w:themeColor="text1"/>
          <w:sz w:val="32"/>
          <w:szCs w:val="32"/>
        </w:rPr>
        <w:lastRenderedPageBreak/>
        <w:t>REFERENCES</w:t>
      </w:r>
    </w:p>
    <w:p w:rsidR="005542FB" w:rsidRPr="00A15574" w:rsidRDefault="005542FB" w:rsidP="008F58A0">
      <w:pPr>
        <w:pStyle w:val="EndNoteBibliography"/>
        <w:spacing w:after="0"/>
        <w:ind w:left="720" w:hanging="720"/>
        <w:rPr>
          <w:color w:val="000000" w:themeColor="text1"/>
        </w:rPr>
      </w:pPr>
      <w:r w:rsidRPr="00A15574">
        <w:rPr>
          <w:color w:val="000000" w:themeColor="text1"/>
        </w:rPr>
        <w:t>Afshari D, Motamedzade M, Salehi R, Soltanian AR. 2014. Continuous assessment of back and upper arm postures by long-term inclinometry in carpet weavers. Appl. Ergon. 45(2, Part B):278-284. doi:10.1016/j.apergo.2013.04.015.</w:t>
      </w:r>
    </w:p>
    <w:p w:rsidR="005542FB" w:rsidRPr="00A15574" w:rsidRDefault="005542FB" w:rsidP="008F58A0">
      <w:pPr>
        <w:pStyle w:val="EndNoteBibliography"/>
        <w:spacing w:after="0"/>
        <w:ind w:left="720" w:hanging="720"/>
        <w:rPr>
          <w:color w:val="000000" w:themeColor="text1"/>
        </w:rPr>
      </w:pPr>
      <w:r w:rsidRPr="00A15574">
        <w:rPr>
          <w:color w:val="000000" w:themeColor="text1"/>
        </w:rPr>
        <w:t>Amari M, Caruel E, Donati P. 2015. Inter-individual postural variability in seated drivers exposed to whole-body vibration. Ergonomics. 58(7):1162-1174. doi:10.1080/00140139.2014.968633.</w:t>
      </w:r>
    </w:p>
    <w:p w:rsidR="005542FB" w:rsidRPr="00A15574" w:rsidRDefault="005542FB" w:rsidP="008F58A0">
      <w:pPr>
        <w:pStyle w:val="EndNoteBibliography"/>
        <w:spacing w:after="0"/>
        <w:ind w:left="720" w:hanging="720"/>
        <w:rPr>
          <w:color w:val="000000" w:themeColor="text1"/>
        </w:rPr>
      </w:pPr>
      <w:r w:rsidRPr="00A15574">
        <w:rPr>
          <w:color w:val="000000" w:themeColor="text1"/>
        </w:rPr>
        <w:t>Anton D, Gerr F, Meyers A, Cook TM, Rosecrance JC, Reynolds J. 2007. Effect of aviation snip design and task height on upper extremity muscular activity and wrist posture. J. Occup. Environ. Hyg. 4(2):99. doi:10.1080/15459620601117087.</w:t>
      </w:r>
    </w:p>
    <w:p w:rsidR="005542FB" w:rsidRPr="00A15574" w:rsidRDefault="005542FB" w:rsidP="008F58A0">
      <w:pPr>
        <w:pStyle w:val="EndNoteBibliography"/>
        <w:spacing w:after="0"/>
        <w:ind w:left="720" w:hanging="720"/>
        <w:rPr>
          <w:color w:val="000000" w:themeColor="text1"/>
        </w:rPr>
      </w:pPr>
      <w:r w:rsidRPr="00A15574">
        <w:rPr>
          <w:color w:val="000000" w:themeColor="text1"/>
        </w:rPr>
        <w:t>Attebrant M, Mathiassen SE, Winkel J. 1995. Normalizing upper trapezius emg amplitude: Comparison of ramp and constant force procedures. J. Electromyogr. Kinesiol. 5(4):245. doi:10.1016/1050-6411(95)00005-4.</w:t>
      </w:r>
    </w:p>
    <w:p w:rsidR="005542FB" w:rsidRPr="00A15574" w:rsidRDefault="005542FB" w:rsidP="008F58A0">
      <w:pPr>
        <w:pStyle w:val="EndNoteBibliography"/>
        <w:spacing w:after="0"/>
        <w:ind w:left="720" w:hanging="720"/>
        <w:rPr>
          <w:color w:val="000000" w:themeColor="text1"/>
        </w:rPr>
      </w:pPr>
      <w:r w:rsidRPr="00A15574">
        <w:rPr>
          <w:color w:val="000000" w:themeColor="text1"/>
        </w:rPr>
        <w:t>Bakker EW, Verhagen AP, van Trijffel E, Lucas C, Koes BW. 2009. Spinal mechanical load as a risk factor for low back pain: A systematic review of prospective cohort studies. Spine. 34(8):E281-E293. doi:10.1097/BRS.0b013e318195b257.</w:t>
      </w:r>
    </w:p>
    <w:p w:rsidR="005542FB" w:rsidRPr="00A15574" w:rsidRDefault="005542FB" w:rsidP="008F58A0">
      <w:pPr>
        <w:pStyle w:val="EndNoteBibliography"/>
        <w:spacing w:after="0"/>
        <w:ind w:left="720" w:hanging="720"/>
        <w:rPr>
          <w:color w:val="000000" w:themeColor="text1"/>
        </w:rPr>
      </w:pPr>
      <w:r w:rsidRPr="00A15574">
        <w:rPr>
          <w:color w:val="000000" w:themeColor="text1"/>
        </w:rPr>
        <w:t>Balaguier R, Madeleine P, Rose-Dulcina K, Vuillerme N. 2017. Trunk kinematics and low back pain during pruning among vineyard workers—a field study at the chateau larose-trintaudon. PloS One. 12(4):e0175126. doi:10.1371/journal.pone.0175126.</w:t>
      </w:r>
    </w:p>
    <w:p w:rsidR="005542FB" w:rsidRPr="00A15574" w:rsidRDefault="005542FB" w:rsidP="008F58A0">
      <w:pPr>
        <w:pStyle w:val="EndNoteBibliography"/>
        <w:spacing w:after="0"/>
        <w:ind w:left="720" w:hanging="720"/>
        <w:rPr>
          <w:color w:val="000000" w:themeColor="text1"/>
        </w:rPr>
      </w:pPr>
      <w:r w:rsidRPr="00A15574">
        <w:rPr>
          <w:color w:val="000000" w:themeColor="text1"/>
        </w:rPr>
        <w:t>Balogh I, Arvidsson I, Björk J, Hansson G-Å, Ohlsson K, Skerfving S, Nordander C. 2019. Work-related neck and upper limb disorders–quantitative exposure–response relationships adjusted for personal characteristics and psychosocial conditions. BMC Musculoskelet. Disord. 20(1):139. doi:10.1186/s12891-019-2491-6.</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Bao S, Mathiassen SE, Winkel J. 1995. Normalizing upper trapezius emg amplitude: Comparison of different procedures. J. Electromyogr. Kinesiol. 5(4):251. doi:10.1016/1050-6411(95)00011-9.</w:t>
      </w:r>
    </w:p>
    <w:p w:rsidR="005542FB" w:rsidRPr="00A15574" w:rsidRDefault="005542FB" w:rsidP="008F58A0">
      <w:pPr>
        <w:pStyle w:val="EndNoteBibliography"/>
        <w:spacing w:after="0"/>
        <w:ind w:left="720" w:hanging="720"/>
        <w:rPr>
          <w:color w:val="000000" w:themeColor="text1"/>
        </w:rPr>
      </w:pPr>
      <w:r w:rsidRPr="00A15574">
        <w:rPr>
          <w:color w:val="000000" w:themeColor="text1"/>
        </w:rPr>
        <w:t>Chen H, Schall Jr. MC, Fethke N. 2018. Accuracy of angular displacements and velocities from inertial-based inclinometers. Appl. Ergon. 67:151-161. doi:10.1016/j.apergo.2017.09.007.</w:t>
      </w:r>
    </w:p>
    <w:p w:rsidR="005542FB" w:rsidRPr="00A15574" w:rsidRDefault="005542FB" w:rsidP="008F58A0">
      <w:pPr>
        <w:pStyle w:val="EndNoteBibliography"/>
        <w:spacing w:after="0"/>
        <w:ind w:left="720" w:hanging="720"/>
        <w:rPr>
          <w:color w:val="000000" w:themeColor="text1"/>
        </w:rPr>
      </w:pPr>
      <w:r w:rsidRPr="00A15574">
        <w:rPr>
          <w:color w:val="000000" w:themeColor="text1"/>
        </w:rPr>
        <w:t>Coenen P, Kingma I, Boot CRL, Twisk JWR, Bongers PM, van Dieën JH. 2013. Cumulative low back load at work as a risk factor of low back pain: A prospective cohort study. J. Occup. Rehabil. 23(1):11-18. doi:10.1007/s10926-012-9375-z.</w:t>
      </w:r>
    </w:p>
    <w:p w:rsidR="005542FB" w:rsidRPr="00A15574" w:rsidRDefault="005542FB" w:rsidP="008F58A0">
      <w:pPr>
        <w:pStyle w:val="EndNoteBibliography"/>
        <w:spacing w:after="0"/>
        <w:ind w:left="720" w:hanging="720"/>
        <w:rPr>
          <w:color w:val="000000" w:themeColor="text1"/>
        </w:rPr>
      </w:pPr>
      <w:r w:rsidRPr="00A15574">
        <w:rPr>
          <w:color w:val="000000" w:themeColor="text1"/>
        </w:rPr>
        <w:t>Critchlow DE, Fligner MA. 1991. On distribution-free multiple comparisons in the one-way analysis of variance. Comm. Stat. 20(1):127-139. doi:10.1080/03610929108830487.</w:t>
      </w:r>
    </w:p>
    <w:p w:rsidR="005542FB" w:rsidRPr="00A15574" w:rsidRDefault="005542FB" w:rsidP="008F58A0">
      <w:pPr>
        <w:pStyle w:val="EndNoteBibliography"/>
        <w:spacing w:after="0"/>
        <w:ind w:left="720" w:hanging="720"/>
        <w:rPr>
          <w:color w:val="000000" w:themeColor="text1"/>
        </w:rPr>
      </w:pPr>
      <w:r w:rsidRPr="00A15574">
        <w:rPr>
          <w:color w:val="000000" w:themeColor="text1"/>
        </w:rPr>
        <w:t>da Costa BR, Vieira ER. 2010. Risk factors for work-related musculoskeletal disorders: A systematic review of recent longitudinal studies. Am. J. Ind. Med. 53(3):285. doi:10.1002/ajim.20750.</w:t>
      </w:r>
    </w:p>
    <w:p w:rsidR="005542FB" w:rsidRPr="00A15574" w:rsidRDefault="005542FB" w:rsidP="008F58A0">
      <w:pPr>
        <w:pStyle w:val="EndNoteBibliography"/>
        <w:spacing w:after="0"/>
        <w:ind w:left="720" w:hanging="720"/>
        <w:rPr>
          <w:color w:val="000000" w:themeColor="text1"/>
        </w:rPr>
      </w:pPr>
      <w:r w:rsidRPr="00A15574">
        <w:rPr>
          <w:color w:val="000000" w:themeColor="text1"/>
        </w:rPr>
        <w:t>Davis KG, Kotowski SE. 2007. Understanding the ergonomic risk for musculoskeletal disorders in the united states agricultural sector. Am. J. Ind. Med. 50(7):501. doi:10.1002/ajim.20479.</w:t>
      </w:r>
    </w:p>
    <w:p w:rsidR="005542FB" w:rsidRPr="00A15574" w:rsidRDefault="005542FB" w:rsidP="008F58A0">
      <w:pPr>
        <w:pStyle w:val="EndNoteBibliography"/>
        <w:spacing w:after="0"/>
        <w:ind w:left="720" w:hanging="720"/>
        <w:rPr>
          <w:color w:val="000000" w:themeColor="text1"/>
        </w:rPr>
      </w:pPr>
      <w:r w:rsidRPr="00A15574">
        <w:rPr>
          <w:color w:val="000000" w:themeColor="text1"/>
        </w:rPr>
        <w:t>Davis KG, Marras WS. 2000. The effects of motion on trunk biomechanics. Clin. Biomech. 15(10):703-717. doi:10.1016/S0268-0033(00)00035-8.</w:t>
      </w:r>
    </w:p>
    <w:p w:rsidR="005542FB" w:rsidRPr="00A15574" w:rsidRDefault="005542FB" w:rsidP="008F58A0">
      <w:pPr>
        <w:pStyle w:val="EndNoteBibliography"/>
        <w:spacing w:after="0"/>
        <w:ind w:left="720" w:hanging="720"/>
        <w:rPr>
          <w:color w:val="000000" w:themeColor="text1"/>
        </w:rPr>
      </w:pPr>
      <w:r w:rsidRPr="00A15574">
        <w:rPr>
          <w:color w:val="000000" w:themeColor="text1"/>
        </w:rPr>
        <w:t>Douphrate DI, Fethke NB, Nonnenmann MW, Rodriguez A, Hagevoort GR, Gimeno Ruiz de Porras D. 2016a. Effect of a novel teat preparation system on upper extremity muscle activity among us large-herd dairy parlor workers. Int. J. Ind. Ergonom. 56:161-169. doi:10.1016/j.ergon.2016.10.003.</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Douphrate DI, Fethke NB, Nonnenmann MW, Rodriguez A, Hagevoort RG, Gimeno Ruiz de Porras D. 2017. Full-shift and task-specific upper extremity muscle activity among us large-herd dairy parlour workers. Ergonomics. 60(8):1042-1054. doi:10.1080/00140139.2016.1262464.</w:t>
      </w:r>
    </w:p>
    <w:p w:rsidR="005542FB" w:rsidRPr="00A15574" w:rsidRDefault="005542FB" w:rsidP="008F58A0">
      <w:pPr>
        <w:pStyle w:val="EndNoteBibliography"/>
        <w:spacing w:after="0"/>
        <w:ind w:left="720" w:hanging="720"/>
        <w:rPr>
          <w:color w:val="000000" w:themeColor="text1"/>
        </w:rPr>
      </w:pPr>
      <w:r w:rsidRPr="00A15574">
        <w:rPr>
          <w:color w:val="000000" w:themeColor="text1"/>
        </w:rPr>
        <w:t>Douphrate DI, Fethke NB, Nonnenmann MW, Rosecrance JC, Reynolds SJ. 2012. Full shift arm inclinometry among dairy parlor workers: A feasibility study in a challenging work environment. Appl. Ergon. 43(3):604-613. doi:10.1016/j.apergo.2011.09.007.</w:t>
      </w:r>
    </w:p>
    <w:p w:rsidR="005542FB" w:rsidRPr="00A15574" w:rsidRDefault="005542FB" w:rsidP="008F58A0">
      <w:pPr>
        <w:pStyle w:val="EndNoteBibliography"/>
        <w:spacing w:after="0"/>
        <w:ind w:left="720" w:hanging="720"/>
        <w:rPr>
          <w:color w:val="000000" w:themeColor="text1"/>
        </w:rPr>
      </w:pPr>
      <w:r w:rsidRPr="00A15574">
        <w:rPr>
          <w:color w:val="000000" w:themeColor="text1"/>
        </w:rPr>
        <w:t>Douphrate DI, Nonnenmann MW, Hagevoort R, Gimeno Ruiz de Porras D. 2016b. Work-related musculoskeletal symptoms and job factors among large-herd dairy milkers. J. Agromed. 21(3):224-233. doi:10.1080/1059924X.2016.1179612.</w:t>
      </w:r>
    </w:p>
    <w:p w:rsidR="005542FB" w:rsidRPr="00A15574" w:rsidRDefault="005542FB" w:rsidP="008F58A0">
      <w:pPr>
        <w:pStyle w:val="EndNoteBibliography"/>
        <w:spacing w:after="0"/>
        <w:ind w:left="720" w:hanging="720"/>
        <w:rPr>
          <w:color w:val="000000" w:themeColor="text1"/>
        </w:rPr>
      </w:pPr>
      <w:r w:rsidRPr="00A15574">
        <w:rPr>
          <w:color w:val="000000" w:themeColor="text1"/>
        </w:rPr>
        <w:t>Earle-Richardson G, Jenkins PL, Strogatz D, Bell EM, Freivalds A, Sorensen JA, May JJ. 2008. Electromyographic assessment of apple bucket intervention designed to reduce back strain. Ergonomics. 51(6):902-919. doi:10.1080/00140130801939790.</w:t>
      </w:r>
    </w:p>
    <w:p w:rsidR="005542FB" w:rsidRPr="00A15574" w:rsidRDefault="005542FB" w:rsidP="008F58A0">
      <w:pPr>
        <w:pStyle w:val="EndNoteBibliography"/>
        <w:spacing w:after="0"/>
        <w:ind w:left="720" w:hanging="720"/>
        <w:rPr>
          <w:color w:val="000000" w:themeColor="text1"/>
        </w:rPr>
      </w:pPr>
      <w:r w:rsidRPr="00A15574">
        <w:rPr>
          <w:color w:val="000000" w:themeColor="text1"/>
        </w:rPr>
        <w:t>Eger T, Stevenson J, Callaghan J, Grenier S. 2008. Predictions of health risks associated with the operation of load-haul-dump mining vehicles: Part 2—evaluation of operator driving postures and associated postural loading. Int. J. Ind. Ergonom. 38(9-10):801-815. doi:10.1016/j.ergon.2007.09.003.</w:t>
      </w:r>
    </w:p>
    <w:p w:rsidR="005542FB" w:rsidRPr="00A15574" w:rsidRDefault="005542FB" w:rsidP="008F58A0">
      <w:pPr>
        <w:pStyle w:val="EndNoteBibliography"/>
        <w:spacing w:after="0"/>
        <w:ind w:left="720" w:hanging="720"/>
        <w:rPr>
          <w:color w:val="000000" w:themeColor="text1"/>
        </w:rPr>
      </w:pPr>
      <w:r w:rsidRPr="00A15574">
        <w:rPr>
          <w:color w:val="000000" w:themeColor="text1"/>
        </w:rPr>
        <w:t>Fathallah FA, Marras WS, Parnianpour M. 1998. The role of complex, simultaneous trunk motions in the risk of occupation-related low back disorders. Spine. 23(9):1035-1042. doi:10.1097/00007632-199805010-00014.</w:t>
      </w:r>
    </w:p>
    <w:p w:rsidR="005542FB" w:rsidRPr="00A15574" w:rsidRDefault="005542FB" w:rsidP="008F58A0">
      <w:pPr>
        <w:pStyle w:val="EndNoteBibliography"/>
        <w:spacing w:after="0"/>
        <w:ind w:left="720" w:hanging="720"/>
        <w:rPr>
          <w:color w:val="000000" w:themeColor="text1"/>
        </w:rPr>
      </w:pPr>
      <w:r w:rsidRPr="00A15574">
        <w:rPr>
          <w:color w:val="000000" w:themeColor="text1"/>
        </w:rPr>
        <w:t>Fethke NB, Gant LC, Gerr F. 2011. Comparison of biomechanical loading during use of conventional stud welding equipment and an alternate system. Appl. Ergon. 42(5):725. doi:10.1016/j.apergo.2010.11.007.</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Fethke NB, Gerr F, Anton D, Cavanaugh JE, Quickel MT. 2012. Variability in muscle activity and wrist motion measurements among workers performing non-cyclic work. J. Occup. Environ. Hyg. 9(1):25. doi:10.1080/15459624.2012.634361.</w:t>
      </w:r>
    </w:p>
    <w:p w:rsidR="005542FB" w:rsidRPr="00A15574" w:rsidRDefault="005542FB" w:rsidP="008F58A0">
      <w:pPr>
        <w:pStyle w:val="EndNoteBibliography"/>
        <w:spacing w:after="0"/>
        <w:ind w:left="720" w:hanging="720"/>
        <w:rPr>
          <w:color w:val="000000" w:themeColor="text1"/>
        </w:rPr>
      </w:pPr>
      <w:r w:rsidRPr="00A15574">
        <w:rPr>
          <w:color w:val="000000" w:themeColor="text1"/>
        </w:rPr>
        <w:t>Fethke NB, Merlino LA, Gerr F, Schall MC, Jr., Branch CA. 2015a. Musculoskeletal pain among midwest farmers and associations with agricultural activities. Am. J. Ind. Med. 58(3):319-330. doi:10.1002/ajim.22398.</w:t>
      </w:r>
    </w:p>
    <w:p w:rsidR="005542FB" w:rsidRPr="00A15574" w:rsidRDefault="005542FB" w:rsidP="008F58A0">
      <w:pPr>
        <w:pStyle w:val="EndNoteBibliography"/>
        <w:spacing w:after="0"/>
        <w:ind w:left="720" w:hanging="720"/>
        <w:rPr>
          <w:color w:val="000000" w:themeColor="text1"/>
        </w:rPr>
      </w:pPr>
      <w:r w:rsidRPr="00A15574">
        <w:rPr>
          <w:color w:val="000000" w:themeColor="text1"/>
        </w:rPr>
        <w:t>Fethke NB, Peters TM, Leonard S, Metwali M, Mudunkotuwa IA. 2016. Reduction of biomechanical and welding fume exposures in stud welding. Ann. Occup. Hyg. 60(3):387-401. doi:10.1093/annhyg/mev080.</w:t>
      </w:r>
    </w:p>
    <w:p w:rsidR="005542FB" w:rsidRPr="00A15574" w:rsidRDefault="005542FB" w:rsidP="008F58A0">
      <w:pPr>
        <w:pStyle w:val="EndNoteBibliography"/>
        <w:spacing w:after="0"/>
        <w:ind w:left="720" w:hanging="720"/>
        <w:rPr>
          <w:color w:val="000000" w:themeColor="text1"/>
        </w:rPr>
      </w:pPr>
      <w:r w:rsidRPr="00A15574">
        <w:rPr>
          <w:color w:val="000000" w:themeColor="text1"/>
        </w:rPr>
        <w:t>Fethke NB, Schall Jr. MC, Determan EM, Kitzmann AS. 2015b. Neck and shoulder muscle activity among ophthalmologists during routine clinical examinations. Int. J. Ind. Ergonom. 49:53-59. doi:10.1016/j.ergon.2015.06.001.</w:t>
      </w:r>
    </w:p>
    <w:p w:rsidR="005542FB" w:rsidRPr="00A15574" w:rsidRDefault="005542FB" w:rsidP="008F58A0">
      <w:pPr>
        <w:pStyle w:val="EndNoteBibliography"/>
        <w:spacing w:after="0"/>
        <w:ind w:left="720" w:hanging="720"/>
        <w:rPr>
          <w:color w:val="000000" w:themeColor="text1"/>
        </w:rPr>
      </w:pPr>
      <w:r w:rsidRPr="00A15574">
        <w:rPr>
          <w:color w:val="000000" w:themeColor="text1"/>
        </w:rPr>
        <w:t>Fethke NB, Schall MC, Merlino LA, Chen H, Branch CA, Ramaswamy M. 2018. Whole-body vibration and trunk posture during operation of agricultural machinery. Ann. Work Expo. Health. 62(9):1123-1133. doi:10.1093/annweh/wxy076.</w:t>
      </w:r>
    </w:p>
    <w:p w:rsidR="005542FB" w:rsidRPr="00A15574" w:rsidRDefault="005542FB" w:rsidP="008F58A0">
      <w:pPr>
        <w:pStyle w:val="EndNoteBibliography"/>
        <w:spacing w:after="0"/>
        <w:ind w:left="720" w:hanging="720"/>
        <w:rPr>
          <w:color w:val="000000" w:themeColor="text1"/>
        </w:rPr>
      </w:pPr>
      <w:r w:rsidRPr="00A15574">
        <w:rPr>
          <w:color w:val="000000" w:themeColor="text1"/>
        </w:rPr>
        <w:t>Gerr F, Fethke NB, Merlino L, Anton D, Rosecrance J, Jones MP, Marcus M, Meyers AR. 2014. A prospective study of musculoskeletal outcomes among manufacturing workers: I. Effects of physical risk factors. Hum. Factors. 56(1):112-130. doi:10.1177/0018720813491114.</w:t>
      </w:r>
    </w:p>
    <w:p w:rsidR="005542FB" w:rsidRPr="00A15574" w:rsidRDefault="005542FB" w:rsidP="008F58A0">
      <w:pPr>
        <w:pStyle w:val="EndNoteBibliography"/>
        <w:spacing w:after="0"/>
        <w:ind w:left="720" w:hanging="720"/>
        <w:rPr>
          <w:color w:val="000000" w:themeColor="text1"/>
        </w:rPr>
      </w:pPr>
      <w:r w:rsidRPr="00A15574">
        <w:rPr>
          <w:color w:val="000000" w:themeColor="text1"/>
        </w:rPr>
        <w:t>Granzow RF, Schall MC, Smidt MF, Chen H, Fethke NB, Huangfu R. 2018. Characterizing exposure to physical risk factors among reforestation hand planters in the southeastern united states. Appl. Ergon. 66(Supplement C):1-8. doi:10.1016/j.apergo.2017.07.013.</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Griffith LE, Shannon HS, Wells RP, Walter SD, Cole DC, Côté P, Frank J, Hogg-Johnson S, Langlois LE. 2012. Individual participant data meta-analysis of mechanical workplace risk factors and low back pain. Am. J. Public Health. 102(2):309-318. doi:10.2105/AJPH.2011.300343.</w:t>
      </w:r>
    </w:p>
    <w:p w:rsidR="005542FB" w:rsidRPr="00A15574" w:rsidRDefault="005542FB" w:rsidP="008F58A0">
      <w:pPr>
        <w:pStyle w:val="EndNoteBibliography"/>
        <w:spacing w:after="0"/>
        <w:ind w:left="720" w:hanging="720"/>
        <w:rPr>
          <w:color w:val="000000" w:themeColor="text1"/>
        </w:rPr>
      </w:pPr>
      <w:r w:rsidRPr="00A15574">
        <w:rPr>
          <w:color w:val="000000" w:themeColor="text1"/>
        </w:rPr>
        <w:t>Heilskov-Hansen T, Mikkelsen S, Svendsen SW, Thygesen LC, Hansson G-Å, Thomsen JF. 2016. Exposure–response relationships between movements and postures of the wrist and carpal tunnel syndrome among male and female house painters: A retrospective cohort study. Occup. Environ. Med. 73(6):401-408. doi:10.1136/oemed-2015-103298.</w:t>
      </w:r>
    </w:p>
    <w:p w:rsidR="005542FB" w:rsidRPr="00A15574" w:rsidRDefault="005542FB" w:rsidP="008F58A0">
      <w:pPr>
        <w:pStyle w:val="EndNoteBibliography"/>
        <w:spacing w:after="0"/>
        <w:ind w:left="720" w:hanging="720"/>
        <w:rPr>
          <w:color w:val="000000" w:themeColor="text1"/>
        </w:rPr>
      </w:pPr>
      <w:r w:rsidRPr="00A15574">
        <w:rPr>
          <w:color w:val="000000" w:themeColor="text1"/>
        </w:rPr>
        <w:t>Holmberg S, Stiernström E-L, Thelin A, Svärdsudd K. 2002. Musculoskeletal symptoms among farmers and non-farmers: A population-based study. Int. J. Occup. Environ. Health. 8(4):339-345. doi:10.1179/oeh.2002.8.4.339.</w:t>
      </w:r>
    </w:p>
    <w:p w:rsidR="005542FB" w:rsidRPr="00A15574" w:rsidRDefault="005542FB" w:rsidP="008F58A0">
      <w:pPr>
        <w:pStyle w:val="EndNoteBibliography"/>
        <w:spacing w:after="0"/>
        <w:ind w:left="720" w:hanging="720"/>
        <w:rPr>
          <w:color w:val="000000" w:themeColor="text1"/>
        </w:rPr>
      </w:pPr>
      <w:r w:rsidRPr="00A15574">
        <w:rPr>
          <w:color w:val="000000" w:themeColor="text1"/>
        </w:rPr>
        <w:t>Hoogendoorn WE, Bongers PM, de Vet HC, Douwes M, Koes BW, Miedema MC, Ariens GA, Bouter LM. 2000. Flexion and rotation of the trunk and lifting at work are risk factors for low back pain: Results of a prospective cohort study. Spine. 25(23):3087. doi:10.1097/00007632-200012010-00018.</w:t>
      </w:r>
    </w:p>
    <w:p w:rsidR="005542FB" w:rsidRPr="00A15574" w:rsidRDefault="005542FB" w:rsidP="008F58A0">
      <w:pPr>
        <w:pStyle w:val="EndNoteBibliography"/>
        <w:spacing w:after="0"/>
        <w:ind w:left="720" w:hanging="720"/>
        <w:rPr>
          <w:color w:val="000000" w:themeColor="text1"/>
        </w:rPr>
      </w:pPr>
      <w:r w:rsidRPr="00A15574">
        <w:rPr>
          <w:color w:val="000000" w:themeColor="text1"/>
        </w:rPr>
        <w:t>Hudson D, Copeland J, Hepburn C, Doan J. 2014. Stooped postures are modified by pretask walking in a simulated weed-pulling task. J. Agromed. 19(1):27-34. doi:10.1080/1059924X.2013.865572.</w:t>
      </w:r>
    </w:p>
    <w:p w:rsidR="005542FB" w:rsidRPr="00A15574" w:rsidRDefault="005542FB" w:rsidP="008F58A0">
      <w:pPr>
        <w:pStyle w:val="EndNoteBibliography"/>
        <w:spacing w:after="0"/>
        <w:ind w:left="720" w:hanging="720"/>
        <w:rPr>
          <w:color w:val="000000" w:themeColor="text1"/>
        </w:rPr>
      </w:pPr>
      <w:r w:rsidRPr="00A15574">
        <w:rPr>
          <w:color w:val="000000" w:themeColor="text1"/>
        </w:rPr>
        <w:t>ISO. 2012. Iso/tr 10687:2010 - mechanical vibration: Description and determination of seated postures with reference to whole-body vibration. Geneva, Switzerland: International Organization for Standardization, Technical Committee 108 (Mechanical vibration, shock and conditiion monitoring), Subcommittee 4 (Human exposure to mechanical vibration).</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Jansen JP, Morgenstern H, Burdorf A. 2004. Dose-response relations between occupational exposures to physical and psychosocial factors and the risk of low back pain. Occup. Environ. Med. 61(12):972. doi:10.1136/oem.2003.012245.</w:t>
      </w:r>
    </w:p>
    <w:p w:rsidR="005542FB" w:rsidRPr="00A15574" w:rsidRDefault="005542FB" w:rsidP="008F58A0">
      <w:pPr>
        <w:pStyle w:val="EndNoteBibliography"/>
        <w:spacing w:after="0"/>
        <w:ind w:left="720" w:hanging="720"/>
        <w:rPr>
          <w:color w:val="000000" w:themeColor="text1"/>
        </w:rPr>
      </w:pPr>
      <w:r w:rsidRPr="00A15574">
        <w:rPr>
          <w:color w:val="000000" w:themeColor="text1"/>
        </w:rPr>
        <w:t>Jonsson B. 1988. The static load component in muscle work. Eur. J. Appl. Physiol. Occup. Physiol. 57(3):305. doi:10.1007/bf00635988.</w:t>
      </w:r>
    </w:p>
    <w:p w:rsidR="005542FB" w:rsidRPr="00A15574" w:rsidRDefault="005542FB" w:rsidP="008F58A0">
      <w:pPr>
        <w:pStyle w:val="EndNoteBibliography"/>
        <w:spacing w:after="0"/>
        <w:ind w:left="720" w:hanging="720"/>
        <w:rPr>
          <w:color w:val="000000" w:themeColor="text1"/>
        </w:rPr>
      </w:pPr>
      <w:r w:rsidRPr="00A15574">
        <w:rPr>
          <w:color w:val="000000" w:themeColor="text1"/>
        </w:rPr>
        <w:t>Kato AE, Fathallah FA, Miles JA, Meyers JM, Faucett J, Janowitz I, Garcia EG. 2006. Ergonomic evaluation of winegrape trellis systems pruning operation. J. Agric. Saf. Health. 12(1):17. doi:10.13031/2013.20199.</w:t>
      </w:r>
    </w:p>
    <w:p w:rsidR="005542FB" w:rsidRPr="00A15574" w:rsidRDefault="005542FB" w:rsidP="008F58A0">
      <w:pPr>
        <w:pStyle w:val="EndNoteBibliography"/>
        <w:spacing w:after="0"/>
        <w:ind w:left="720" w:hanging="720"/>
        <w:rPr>
          <w:color w:val="000000" w:themeColor="text1"/>
        </w:rPr>
      </w:pPr>
      <w:r w:rsidRPr="00A15574">
        <w:rPr>
          <w:color w:val="000000" w:themeColor="text1"/>
        </w:rPr>
        <w:t>Khan MI, Bath B, Boden C, Adebayo O, Trask C. 2019a. The association between awkward working posture and low back disorders in farmers: A systematic review. J. Agromed. 24(1):74-89. doi:10.1080/1059924X.2018.1538918.</w:t>
      </w:r>
    </w:p>
    <w:p w:rsidR="005542FB" w:rsidRPr="00A15574" w:rsidRDefault="005542FB" w:rsidP="008F58A0">
      <w:pPr>
        <w:pStyle w:val="EndNoteBibliography"/>
        <w:spacing w:after="0"/>
        <w:ind w:left="720" w:hanging="720"/>
        <w:rPr>
          <w:color w:val="000000" w:themeColor="text1"/>
        </w:rPr>
      </w:pPr>
      <w:r w:rsidRPr="00A15574">
        <w:rPr>
          <w:color w:val="000000" w:themeColor="text1"/>
        </w:rPr>
        <w:t>Khan MI, Bath B, Kociolek A, Zeng X, Koehncke N, Trask C. 2019b. Trunk posture exposure patterns among prairie ranch and grain farmers. J. Agromed.:1-11. doi:10.1080/1059924X.2019.1659200.</w:t>
      </w:r>
    </w:p>
    <w:p w:rsidR="005542FB" w:rsidRPr="00A15574" w:rsidRDefault="005542FB" w:rsidP="008F58A0">
      <w:pPr>
        <w:pStyle w:val="EndNoteBibliography"/>
        <w:spacing w:after="0"/>
        <w:ind w:left="720" w:hanging="720"/>
        <w:rPr>
          <w:color w:val="000000" w:themeColor="text1"/>
        </w:rPr>
      </w:pPr>
      <w:r w:rsidRPr="00A15574">
        <w:rPr>
          <w:color w:val="000000" w:themeColor="text1"/>
        </w:rPr>
        <w:t>Lagersted-Olsen J, Thomsen BL, Holtermann A, Søgaard K, Jørgensen MB. 2016. Does objectively measured daily duration of forward bending predict development and aggravation of low-back pain? A prospective study. Scand. J. Work Environ. Health.528-537. doi:10.5271/sjweh.3591.</w:t>
      </w:r>
    </w:p>
    <w:p w:rsidR="005542FB" w:rsidRPr="00A15574" w:rsidRDefault="005542FB" w:rsidP="008F58A0">
      <w:pPr>
        <w:pStyle w:val="EndNoteBibliography"/>
        <w:spacing w:after="0"/>
        <w:ind w:left="720" w:hanging="720"/>
        <w:rPr>
          <w:color w:val="000000" w:themeColor="text1"/>
        </w:rPr>
      </w:pPr>
      <w:r w:rsidRPr="00A15574">
        <w:rPr>
          <w:color w:val="000000" w:themeColor="text1"/>
        </w:rPr>
        <w:t>Lee S-J, Tak S, Alterman T, Calvert GM. 2014. Prevalence of musculoskeletal symptoms among agricultural workers in the united states: An analysis of the national health interview survey, 2004–2008. J. Agromed. 19(3):268-280. doi:10.1080/1059924X.2014.916642.</w:t>
      </w:r>
    </w:p>
    <w:p w:rsidR="005542FB" w:rsidRPr="00A15574" w:rsidRDefault="005542FB" w:rsidP="008F58A0">
      <w:pPr>
        <w:pStyle w:val="EndNoteBibliography"/>
        <w:spacing w:after="0"/>
        <w:ind w:left="720" w:hanging="720"/>
        <w:rPr>
          <w:color w:val="000000" w:themeColor="text1"/>
        </w:rPr>
      </w:pPr>
      <w:r w:rsidRPr="00A15574">
        <w:rPr>
          <w:color w:val="000000" w:themeColor="text1"/>
        </w:rPr>
        <w:t>Leigh JP, Sheetz RM. 1989. Prevalence of back pain among fulltime united states workers. Br. J. Ind. Med. 46(9):651-657. doi:10.1136/oem.46.9.651.</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Lund CB, Mikkelsen S, Thygesen LC, Hansson G-Å, Thomsen JF. 2019. Movements of the wrist and the risk of carpal tunnel syndrome: A nationwide cohort study using objective exposure measurements. Occup. Environ. Med.:oemed-2018-105619. doi:10.1136/oemed-2018-105619.</w:t>
      </w:r>
    </w:p>
    <w:p w:rsidR="005542FB" w:rsidRPr="00A15574" w:rsidRDefault="005542FB" w:rsidP="008F58A0">
      <w:pPr>
        <w:pStyle w:val="EndNoteBibliography"/>
        <w:spacing w:after="0"/>
        <w:ind w:left="720" w:hanging="720"/>
        <w:rPr>
          <w:color w:val="000000" w:themeColor="text1"/>
        </w:rPr>
      </w:pPr>
      <w:r w:rsidRPr="00A15574">
        <w:rPr>
          <w:color w:val="000000" w:themeColor="text1"/>
        </w:rPr>
        <w:t>Marras WS, Granata KP. 1997. Spine loading during trunk lateral bending motions. J. Biomech. 30(7):697-703. doi:10.1016/S0021-9290(97)00010-9.</w:t>
      </w:r>
    </w:p>
    <w:p w:rsidR="005542FB" w:rsidRPr="00A15574" w:rsidRDefault="005542FB" w:rsidP="008F58A0">
      <w:pPr>
        <w:pStyle w:val="EndNoteBibliography"/>
        <w:spacing w:after="0"/>
        <w:ind w:left="720" w:hanging="720"/>
        <w:rPr>
          <w:color w:val="000000" w:themeColor="text1"/>
        </w:rPr>
      </w:pPr>
      <w:r w:rsidRPr="00A15574">
        <w:rPr>
          <w:color w:val="000000" w:themeColor="text1"/>
        </w:rPr>
        <w:t>Marras WS, Lavender SA, Ferguson SA, Splittstoesser RE, Yang G. 2010. Quantitative dynamic measures of physical exposure predict low back functional impairment. Spine. 35(8):914-923. doi:10.1097/BRS.0b013e3181ce1201.</w:t>
      </w:r>
    </w:p>
    <w:p w:rsidR="005542FB" w:rsidRPr="00A15574" w:rsidRDefault="005542FB" w:rsidP="008F58A0">
      <w:pPr>
        <w:pStyle w:val="EndNoteBibliography"/>
        <w:spacing w:after="0"/>
        <w:ind w:left="720" w:hanging="720"/>
        <w:rPr>
          <w:color w:val="000000" w:themeColor="text1"/>
        </w:rPr>
      </w:pPr>
      <w:r w:rsidRPr="00A15574">
        <w:rPr>
          <w:color w:val="000000" w:themeColor="text1"/>
        </w:rPr>
        <w:t>Marras WS, Schoenmarklin RW. 1993. Wrist motions in industry. Ergonomics. 36(4):341-351. doi:10.1080/00140139308967891.</w:t>
      </w:r>
    </w:p>
    <w:p w:rsidR="005542FB" w:rsidRPr="00A15574" w:rsidRDefault="005542FB" w:rsidP="008F58A0">
      <w:pPr>
        <w:pStyle w:val="EndNoteBibliography"/>
        <w:spacing w:after="0"/>
        <w:ind w:left="720" w:hanging="720"/>
        <w:rPr>
          <w:color w:val="000000" w:themeColor="text1"/>
        </w:rPr>
      </w:pPr>
      <w:r w:rsidRPr="00A15574">
        <w:rPr>
          <w:color w:val="000000" w:themeColor="text1"/>
        </w:rPr>
        <w:t>Mathiassen SE, Winkel J, Hagg GM. 1995. Normalization of surface emg amplitude from the upper trapezius muscle in ergonomic studies - a review. J. Electromyogr. Kinesiol. 5:197-226. doi:10.1016/1050-6411(94)00014-X.</w:t>
      </w:r>
    </w:p>
    <w:p w:rsidR="005542FB" w:rsidRPr="00A15574" w:rsidRDefault="005542FB" w:rsidP="008F58A0">
      <w:pPr>
        <w:pStyle w:val="EndNoteBibliography"/>
        <w:spacing w:after="0"/>
        <w:ind w:left="720" w:hanging="720"/>
        <w:rPr>
          <w:color w:val="000000" w:themeColor="text1"/>
        </w:rPr>
      </w:pPr>
      <w:r w:rsidRPr="00A15574">
        <w:rPr>
          <w:color w:val="000000" w:themeColor="text1"/>
        </w:rPr>
        <w:t>Meyer RH, Radwin RG. 2007. Comparison of stoop versus prone postures for a simulated agricultural harvesting task. Appl. Ergon. 38(5):549-555. doi:10.1016/j.apergo.2006.08.005.</w:t>
      </w:r>
    </w:p>
    <w:p w:rsidR="005542FB" w:rsidRPr="00A15574" w:rsidRDefault="005542FB" w:rsidP="008F58A0">
      <w:pPr>
        <w:pStyle w:val="EndNoteBibliography"/>
        <w:spacing w:after="0"/>
        <w:ind w:left="720" w:hanging="720"/>
        <w:rPr>
          <w:color w:val="000000" w:themeColor="text1"/>
        </w:rPr>
      </w:pPr>
      <w:r w:rsidRPr="00A15574">
        <w:rPr>
          <w:color w:val="000000" w:themeColor="text1"/>
        </w:rPr>
        <w:t>Mixco A, Masci F, Brents CA, Rosecrance J. 2016. Upper limb muscle activity among workers in large-herd industrialized dairy operations. Front. Public Health. 4:134. doi:10.3389/fpubh.2016.00134.</w:t>
      </w:r>
    </w:p>
    <w:p w:rsidR="005542FB" w:rsidRPr="00A15574" w:rsidRDefault="005542FB" w:rsidP="008F58A0">
      <w:pPr>
        <w:pStyle w:val="EndNoteBibliography"/>
        <w:spacing w:after="0"/>
        <w:ind w:left="720" w:hanging="720"/>
        <w:rPr>
          <w:color w:val="000000" w:themeColor="text1"/>
        </w:rPr>
      </w:pPr>
      <w:r w:rsidRPr="00A15574">
        <w:rPr>
          <w:color w:val="000000" w:themeColor="text1"/>
        </w:rPr>
        <w:t>Morse TF, Warren N, Dillon C, Diva U. 2007. A population based survey of ergonomic risk factors in connecticut: Distribution by industry, occupation, and demographics. Conn. Med. 71(5):261-268.</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Nieminen H, Takala EP, Viikari-Juntura E. 1993. Normalization of electromyogram in the neck-shoulder region. Eur. J. Appl. Physiol. Occup. Physiol. 67(3):199. doi:10.1007/bf00864215.</w:t>
      </w:r>
    </w:p>
    <w:p w:rsidR="005542FB" w:rsidRPr="00A15574" w:rsidRDefault="005542FB" w:rsidP="008F58A0">
      <w:pPr>
        <w:pStyle w:val="EndNoteBibliography"/>
        <w:spacing w:after="0"/>
        <w:ind w:left="720" w:hanging="720"/>
        <w:rPr>
          <w:color w:val="000000" w:themeColor="text1"/>
        </w:rPr>
      </w:pPr>
      <w:r w:rsidRPr="00A15574">
        <w:rPr>
          <w:color w:val="000000" w:themeColor="text1"/>
        </w:rPr>
        <w:t xml:space="preserve">NIOSH. 2008. National occupational research agenda for agriculture, forestry, and fishing. [accessed 2019 May 7, 2019]. </w:t>
      </w:r>
      <w:r w:rsidRPr="005542FB">
        <w:rPr>
          <w:color w:val="000000" w:themeColor="text1"/>
        </w:rPr>
        <w:t>https://web.archive.org/web/20170613150236/https://www.cdc.gov/niosh/nora/comment/agendas/AgForFish/pdfs/AgForFishDec2008.pdf</w:t>
      </w:r>
      <w:r w:rsidRPr="00A15574">
        <w:rPr>
          <w:color w:val="000000" w:themeColor="text1"/>
        </w:rPr>
        <w:t>.</w:t>
      </w:r>
    </w:p>
    <w:p w:rsidR="005542FB" w:rsidRPr="00A15574" w:rsidRDefault="005542FB" w:rsidP="008F58A0">
      <w:pPr>
        <w:pStyle w:val="EndNoteBibliography"/>
        <w:spacing w:after="0"/>
        <w:ind w:left="720" w:hanging="720"/>
        <w:rPr>
          <w:color w:val="000000" w:themeColor="text1"/>
        </w:rPr>
      </w:pPr>
      <w:r w:rsidRPr="00A15574">
        <w:rPr>
          <w:color w:val="000000" w:themeColor="text1"/>
        </w:rPr>
        <w:t>Nonnenmann MW, Anton DC, Gerr F, Yack HJ. 2010. Dairy farm worker exposure to awkward knee posture during milking and feeding tasks. J. Occup. Environ. Hyg. 7(8):483-489. doi:10.1080/15459624.2010.487036.</w:t>
      </w:r>
    </w:p>
    <w:p w:rsidR="005542FB" w:rsidRPr="00A15574" w:rsidRDefault="005542FB" w:rsidP="008F58A0">
      <w:pPr>
        <w:pStyle w:val="EndNoteBibliography"/>
        <w:spacing w:after="0"/>
        <w:ind w:left="720" w:hanging="720"/>
        <w:rPr>
          <w:color w:val="000000" w:themeColor="text1"/>
        </w:rPr>
      </w:pPr>
      <w:r w:rsidRPr="00A15574">
        <w:rPr>
          <w:color w:val="000000" w:themeColor="text1"/>
        </w:rPr>
        <w:t>Nordander C, Hansson G-Å, Ohlsson K, Arvidsson I, Balogh I, Strömberg U, Rittner R, Skerfving S. 2016. Exposure–response relationships for work-related neck and shoulder musculoskeletal disorders–analyses of pooled uniform data sets. Appl. Ergon. 55:70-84. doi:10.1016/j.apergo.2016.01.010.</w:t>
      </w:r>
    </w:p>
    <w:p w:rsidR="005542FB" w:rsidRPr="00A15574" w:rsidRDefault="005542FB" w:rsidP="008F58A0">
      <w:pPr>
        <w:pStyle w:val="EndNoteBibliography"/>
        <w:spacing w:after="0"/>
        <w:ind w:left="720" w:hanging="720"/>
        <w:rPr>
          <w:color w:val="000000" w:themeColor="text1"/>
        </w:rPr>
      </w:pPr>
      <w:r w:rsidRPr="00A15574">
        <w:rPr>
          <w:color w:val="000000" w:themeColor="text1"/>
        </w:rPr>
        <w:t>Nordander C, Ohlsson K, Åkesson I, Arvidsson I, Balogh I, Hansson G-Å, Strömberg U, Rittner R, Skerfving S. 2013. Exposure–response relationships in work-related musculoskeletal disorders in elbows and hands–a synthesis of group-level data on exposure and response obtained using uniform methods of data collection. Appl. Ergon. 44(2):241-253. doi:10.1016/j.apergo.2012.07.009.</w:t>
      </w:r>
    </w:p>
    <w:p w:rsidR="005542FB" w:rsidRPr="00A15574" w:rsidRDefault="005542FB" w:rsidP="008F58A0">
      <w:pPr>
        <w:pStyle w:val="EndNoteBibliography"/>
        <w:spacing w:after="0"/>
        <w:ind w:left="720" w:hanging="720"/>
        <w:rPr>
          <w:color w:val="000000" w:themeColor="text1"/>
        </w:rPr>
      </w:pPr>
      <w:r w:rsidRPr="00A15574">
        <w:rPr>
          <w:color w:val="000000" w:themeColor="text1"/>
        </w:rPr>
        <w:t>Osborne A, Blake C, Fullen BM, Meredith D, Phelan J, McNamara J, Cunningham C. 2012a. Prevalence of musculoskeletal disorders among farmers: A systematic review. Am. J. Ind. Med. 55(2):143-158. doi:10.1002/ajim.21033.</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Osborne A, Blake C, Fullen BM, Meredith D, Phelan J, McNamara J, Cunningham C. 2012b. Risk factors for musculoskeletal disorders among farm owners and farm workers: A systematic review. Am. J. Ind. Med. 55(4):376-389. doi:10.1002/ajim.22001.</w:t>
      </w:r>
    </w:p>
    <w:p w:rsidR="005542FB" w:rsidRPr="00A15574" w:rsidRDefault="005542FB" w:rsidP="008F58A0">
      <w:pPr>
        <w:pStyle w:val="EndNoteBibliography"/>
        <w:spacing w:after="0"/>
        <w:ind w:left="720" w:hanging="720"/>
        <w:rPr>
          <w:color w:val="000000" w:themeColor="text1"/>
        </w:rPr>
      </w:pPr>
      <w:r w:rsidRPr="00A15574">
        <w:rPr>
          <w:color w:val="000000" w:themeColor="text1"/>
        </w:rPr>
        <w:t>Pinzke S, Stål M, Hansson G-Å. 2001. Physical workload on upper extremities in various operations during machine milking. Ann. Agric. Environ. Med. 8(1):63-70.</w:t>
      </w:r>
    </w:p>
    <w:p w:rsidR="005542FB" w:rsidRPr="00A15574" w:rsidRDefault="005542FB" w:rsidP="008F58A0">
      <w:pPr>
        <w:pStyle w:val="EndNoteBibliography"/>
        <w:spacing w:after="0"/>
        <w:ind w:left="720" w:hanging="720"/>
        <w:rPr>
          <w:color w:val="000000" w:themeColor="text1"/>
        </w:rPr>
      </w:pPr>
      <w:r w:rsidRPr="00A15574">
        <w:rPr>
          <w:color w:val="000000" w:themeColor="text1"/>
        </w:rPr>
        <w:t>Raffler N, Hermanns I, Sayn D, Goeres B, Ellegast R, Rissler J. 2010. Assessing combined exposures of whole-body vibration and awkward posture―further results from application of a simultaneous field measurement methodology. Ind. Health. 48(5):638-644. doi:10.2486/indhealth.mswbvi-27.</w:t>
      </w:r>
    </w:p>
    <w:p w:rsidR="005542FB" w:rsidRPr="00A15574" w:rsidRDefault="005542FB" w:rsidP="008F58A0">
      <w:pPr>
        <w:pStyle w:val="EndNoteBibliography"/>
        <w:spacing w:after="0"/>
        <w:ind w:left="720" w:hanging="720"/>
        <w:rPr>
          <w:color w:val="000000" w:themeColor="text1"/>
        </w:rPr>
      </w:pPr>
      <w:r w:rsidRPr="00A15574">
        <w:rPr>
          <w:color w:val="000000" w:themeColor="text1"/>
        </w:rPr>
        <w:t>Roffey DM, Wai EK, Bishop P, Kwon BK, Dagenais S. 2010. Causal assessment of awkward occupational postures and low back pain: Results of a systematic review. Spine J. 10(1):89-99. doi:10.1016/j.spinee.2009.09.003.</w:t>
      </w:r>
    </w:p>
    <w:p w:rsidR="005542FB" w:rsidRPr="00A15574" w:rsidRDefault="005542FB" w:rsidP="008F58A0">
      <w:pPr>
        <w:pStyle w:val="EndNoteBibliography"/>
        <w:spacing w:after="0"/>
        <w:ind w:left="720" w:hanging="720"/>
        <w:rPr>
          <w:color w:val="000000" w:themeColor="text1"/>
        </w:rPr>
      </w:pPr>
      <w:r w:rsidRPr="00A15574">
        <w:rPr>
          <w:color w:val="000000" w:themeColor="text1"/>
        </w:rPr>
        <w:t>Roquelaure Y, Dano C, Dusolier G, Fanello S, Penneau-Fontbonne D. 2002. Biomechanical strains on the hand-wrist system during grapevine pruning. Int. Arch. Occup. Environ. Health. 75(8):591-595. doi:10.1007/s00420-002-0366-9.</w:t>
      </w:r>
    </w:p>
    <w:p w:rsidR="005542FB" w:rsidRPr="00A15574" w:rsidRDefault="005542FB" w:rsidP="008F58A0">
      <w:pPr>
        <w:pStyle w:val="EndNoteBibliography"/>
        <w:spacing w:after="0"/>
        <w:ind w:left="720" w:hanging="720"/>
        <w:rPr>
          <w:color w:val="000000" w:themeColor="text1"/>
        </w:rPr>
      </w:pPr>
      <w:r w:rsidRPr="00A15574">
        <w:rPr>
          <w:color w:val="000000" w:themeColor="text1"/>
        </w:rPr>
        <w:t>Schall Jr MC, Fethke NB, Chen H. 2016a. Working postures and physical activity among registered nurses. Appl. Ergon. 54:243-250. doi:10.1016/j.apergo.2016.01.008.</w:t>
      </w:r>
    </w:p>
    <w:p w:rsidR="005542FB" w:rsidRPr="00A15574" w:rsidRDefault="005542FB" w:rsidP="008F58A0">
      <w:pPr>
        <w:pStyle w:val="EndNoteBibliography"/>
        <w:spacing w:after="0"/>
        <w:ind w:left="720" w:hanging="720"/>
        <w:rPr>
          <w:color w:val="000000" w:themeColor="text1"/>
        </w:rPr>
      </w:pPr>
      <w:r w:rsidRPr="00A15574">
        <w:rPr>
          <w:color w:val="000000" w:themeColor="text1"/>
        </w:rPr>
        <w:t>Schall Jr MC, Fethke NB, Chen H, Oyama S, Douphrate DI. 2016b. Accuracy and repeatability of an inertial measurement unit system for field-based occupational studies. Ergonomics. 59(4):591-602. doi:10.1080/00140139.2015.1079335.</w:t>
      </w:r>
    </w:p>
    <w:p w:rsidR="005542FB" w:rsidRPr="00A15574" w:rsidRDefault="005542FB" w:rsidP="008F58A0">
      <w:pPr>
        <w:pStyle w:val="EndNoteBibliography"/>
        <w:spacing w:after="0"/>
        <w:ind w:left="720" w:hanging="720"/>
        <w:rPr>
          <w:color w:val="000000" w:themeColor="text1"/>
        </w:rPr>
      </w:pPr>
      <w:r w:rsidRPr="00A15574">
        <w:rPr>
          <w:color w:val="000000" w:themeColor="text1"/>
        </w:rPr>
        <w:t>Schall Jr. MC, Fethke NB, Chen H, Gerr F. 2015. A comparison of instrumentation methods to estimate thoracolumbar motion in field-based occupational studies. Appl. Ergon. 48:224–231. doi:10.1016/j.apergo.2014.12.005.</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Solomonow M, Baratta RV, Banks A, Freudenberger C, Zhou BH. 2003. Flexion-relaxation response to static lumbar flexion in males and females. Clin. Biomech. 18(4):273. doi:10.1016/s0268-0033(03)00024-x.</w:t>
      </w:r>
    </w:p>
    <w:p w:rsidR="005542FB" w:rsidRPr="00A15574" w:rsidRDefault="005542FB" w:rsidP="008F58A0">
      <w:pPr>
        <w:pStyle w:val="EndNoteBibliography"/>
        <w:spacing w:after="0"/>
        <w:ind w:left="720" w:hanging="720"/>
        <w:rPr>
          <w:color w:val="000000" w:themeColor="text1"/>
        </w:rPr>
      </w:pPr>
      <w:r w:rsidRPr="00A15574">
        <w:rPr>
          <w:color w:val="000000" w:themeColor="text1"/>
        </w:rPr>
        <w:t>Stål M, Hansson G-Å, Moritz U. 1999. Wrist positions and movements as possible risk factors during machine milking. Appl. Ergon. 30(6):527-533. doi:10.1016/s0003-6870(99)00015-0.</w:t>
      </w:r>
    </w:p>
    <w:p w:rsidR="005542FB" w:rsidRPr="00A15574" w:rsidRDefault="005542FB" w:rsidP="008F58A0">
      <w:pPr>
        <w:pStyle w:val="EndNoteBibliography"/>
        <w:spacing w:after="0"/>
        <w:ind w:left="720" w:hanging="720"/>
        <w:rPr>
          <w:color w:val="000000" w:themeColor="text1"/>
        </w:rPr>
      </w:pPr>
      <w:r w:rsidRPr="00A15574">
        <w:rPr>
          <w:color w:val="000000" w:themeColor="text1"/>
        </w:rPr>
        <w:t>Stål M, Hansson G-Å, Moritz U. 2000. Upper extremity muscular load during machine milking. Int. J. Ind. Ergonom. 26(1):9-17. doi:10.1016/S0169-8141(99)00059-1.</w:t>
      </w:r>
    </w:p>
    <w:p w:rsidR="005542FB" w:rsidRPr="00A15574" w:rsidRDefault="005542FB" w:rsidP="008F58A0">
      <w:pPr>
        <w:pStyle w:val="EndNoteBibliography"/>
        <w:spacing w:after="0"/>
        <w:ind w:left="720" w:hanging="720"/>
        <w:rPr>
          <w:color w:val="000000" w:themeColor="text1"/>
        </w:rPr>
      </w:pPr>
      <w:r w:rsidRPr="00A15574">
        <w:rPr>
          <w:color w:val="000000" w:themeColor="text1"/>
        </w:rPr>
        <w:t>Svendsen SW, Bonde JP, Mathiassen SE, Stengaard-Pedersen K, Frich LH. 2004. Work related shoulder disorders: Quantitative exposure-response relations with reference to arm posture. Occup. Environ. Med. 61(10):844. doi:10.1136/oem.2003.010637.</w:t>
      </w:r>
    </w:p>
    <w:p w:rsidR="005542FB" w:rsidRPr="00A15574" w:rsidRDefault="005542FB" w:rsidP="008F58A0">
      <w:pPr>
        <w:pStyle w:val="EndNoteBibliography"/>
        <w:spacing w:after="0"/>
        <w:ind w:left="720" w:hanging="720"/>
        <w:rPr>
          <w:color w:val="000000" w:themeColor="text1"/>
        </w:rPr>
      </w:pPr>
      <w:r w:rsidRPr="00A15574">
        <w:rPr>
          <w:color w:val="000000" w:themeColor="text1"/>
        </w:rPr>
        <w:t>Thamsuwan O, Galvin K, Tchong-French M, Kim JH, Johnson PW. 2019. A feasibility study comparing objective and subjective field-based physical exposure measurements during apple harvesting with ladders and mobile platforms. J. Agromed. 24(3):268-278. doi:10.1080/1059924X.2019.1593273.</w:t>
      </w:r>
    </w:p>
    <w:p w:rsidR="005542FB" w:rsidRPr="00A15574" w:rsidRDefault="005542FB" w:rsidP="008F58A0">
      <w:pPr>
        <w:pStyle w:val="EndNoteBibliography"/>
        <w:spacing w:after="0"/>
        <w:ind w:left="720" w:hanging="720"/>
        <w:rPr>
          <w:color w:val="000000" w:themeColor="text1"/>
        </w:rPr>
      </w:pPr>
      <w:r w:rsidRPr="00A15574">
        <w:rPr>
          <w:color w:val="000000" w:themeColor="text1"/>
        </w:rPr>
        <w:t>Thorn S, Søgaard K, Kallenberg LA, Sandsjö L, Sjøgaard G, Hermens HJ, Kadefors R, Forsman M. 2007. Trapezius muscle rest time during standardised computer work--a comparison of female computer users with and without self-reported neck/shoulder complaints. J. Electromyogr. Kinesiol. 17(4):420-427. doi:10.1016/j.jelekin.2006.04.010.</w:t>
      </w:r>
    </w:p>
    <w:p w:rsidR="005542FB" w:rsidRPr="00A15574" w:rsidRDefault="005542FB" w:rsidP="008F58A0">
      <w:pPr>
        <w:pStyle w:val="EndNoteBibliography"/>
        <w:spacing w:after="0"/>
        <w:ind w:left="720" w:hanging="720"/>
        <w:rPr>
          <w:color w:val="000000" w:themeColor="text1"/>
        </w:rPr>
      </w:pPr>
      <w:r w:rsidRPr="00A15574">
        <w:rPr>
          <w:color w:val="000000" w:themeColor="text1"/>
        </w:rPr>
        <w:t>Ulrey BL, Fathallah FA. 2012. Evaluation of a personal device in reducing the risk of low back disorders during stooped work. Work. 41(Supplement 1):2381-2383. doi:10.3233/WOR-2012-0469-2381.</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United States Department of Agriculture. 2019. 2017 Census of Agriculture. Washington, DC: National Agriculture Statistics Service.</w:t>
      </w:r>
    </w:p>
    <w:p w:rsidR="005542FB" w:rsidRPr="00A15574" w:rsidRDefault="005542FB" w:rsidP="008F58A0">
      <w:pPr>
        <w:pStyle w:val="EndNoteBibliography"/>
        <w:spacing w:after="0"/>
        <w:ind w:left="720" w:hanging="720"/>
        <w:rPr>
          <w:color w:val="000000" w:themeColor="text1"/>
        </w:rPr>
      </w:pPr>
      <w:r w:rsidRPr="00A15574">
        <w:rPr>
          <w:color w:val="000000" w:themeColor="text1"/>
        </w:rPr>
        <w:t>van der Molen HF, Foresti C, Daams JG, Frings-Dresen MH, Kuijer PPF. 2017. Work-related risk factors for specific shoulder disorders: A systematic review and meta-analysis. Occup. Environ. Med. 74(10):745-755. doi:10.1136/oemed-2017-104339.</w:t>
      </w:r>
    </w:p>
    <w:p w:rsidR="005542FB" w:rsidRPr="00A15574" w:rsidRDefault="005542FB" w:rsidP="008F58A0">
      <w:pPr>
        <w:pStyle w:val="EndNoteBibliography"/>
        <w:spacing w:after="0"/>
        <w:ind w:left="720" w:hanging="720"/>
        <w:rPr>
          <w:color w:val="000000" w:themeColor="text1"/>
        </w:rPr>
      </w:pPr>
      <w:r w:rsidRPr="00A15574">
        <w:rPr>
          <w:color w:val="000000" w:themeColor="text1"/>
        </w:rPr>
        <w:t>Van Nieuwenhuyse A, Somville PR, Crombez G, Burdorf A, Verbeke G, Johannik K, Van den Bergh O, Masschelein R, Mairiaux P, Moens GF et al. 2006. The role of physical workload and pain related fear in the development of low back pain in young workers: Evidence from the belcoback study; results after one year of follow up. Occup. Environ. Med. 63(1):45. doi:10.1136/oem.2004.015693.</w:t>
      </w:r>
    </w:p>
    <w:p w:rsidR="005542FB" w:rsidRPr="00A15574" w:rsidRDefault="005542FB" w:rsidP="008F58A0">
      <w:pPr>
        <w:pStyle w:val="EndNoteBibliography"/>
        <w:spacing w:after="0"/>
        <w:ind w:left="720" w:hanging="720"/>
        <w:rPr>
          <w:color w:val="000000" w:themeColor="text1"/>
        </w:rPr>
      </w:pPr>
      <w:r w:rsidRPr="00A15574">
        <w:rPr>
          <w:color w:val="000000" w:themeColor="text1"/>
        </w:rPr>
        <w:t>van Rijn RM, Huisstede BM, Koes BW, Burdorf A. 2010. Associations between work-related factors and specific disorders of the shoulder—a systematic review of the literature. Scand. J. Work Environ. Health.189-201. doi:10.5271/sjweh.2895.</w:t>
      </w:r>
    </w:p>
    <w:p w:rsidR="005542FB" w:rsidRPr="00A15574" w:rsidRDefault="005542FB" w:rsidP="008F58A0">
      <w:pPr>
        <w:pStyle w:val="EndNoteBibliography"/>
        <w:spacing w:after="0"/>
        <w:ind w:left="720" w:hanging="720"/>
        <w:rPr>
          <w:color w:val="000000" w:themeColor="text1"/>
        </w:rPr>
      </w:pPr>
      <w:r w:rsidRPr="00A15574">
        <w:rPr>
          <w:color w:val="000000" w:themeColor="text1"/>
        </w:rPr>
        <w:t>Veiersted KB, Westgaard RH, Andersen P. 1990. Pattern of muscle activity during stereotyped work and its relation to muscle pain. Int. Arch. Occup. Environ. Health. 62(1):31. doi:10.1007/BF00397846.</w:t>
      </w:r>
    </w:p>
    <w:p w:rsidR="005542FB" w:rsidRPr="00A15574" w:rsidRDefault="005542FB" w:rsidP="008F58A0">
      <w:pPr>
        <w:pStyle w:val="EndNoteBibliography"/>
        <w:spacing w:after="0"/>
        <w:ind w:left="720" w:hanging="720"/>
        <w:rPr>
          <w:color w:val="000000" w:themeColor="text1"/>
        </w:rPr>
      </w:pPr>
      <w:r w:rsidRPr="00A15574">
        <w:rPr>
          <w:color w:val="000000" w:themeColor="text1"/>
        </w:rPr>
        <w:t>Villumsen M, Madeleine P, Jørgensen MB, Holtermann A, Samani A. 2017. The variability of the trunk forward bending in standing activities during work vs. Leisure time. Appl. Ergon. 58:273-280. doi:10.1016/j.apergo.2016.06.017.</w:t>
      </w:r>
    </w:p>
    <w:p w:rsidR="005542FB" w:rsidRPr="00A15574" w:rsidRDefault="005542FB" w:rsidP="008F58A0">
      <w:pPr>
        <w:pStyle w:val="EndNoteBibliography"/>
        <w:spacing w:after="0"/>
        <w:ind w:left="720" w:hanging="720"/>
        <w:rPr>
          <w:color w:val="000000" w:themeColor="text1"/>
        </w:rPr>
      </w:pPr>
      <w:r w:rsidRPr="00A15574">
        <w:rPr>
          <w:color w:val="000000" w:themeColor="text1"/>
        </w:rPr>
        <w:t>Wahlström J, Bergsten E, Trask C, Mathiassen SE, Jackson J, Forsman M. 2016. Full-shift trunk and upper arm postures and movements among aircraft baggage handlers. Ann. Occup. Hyg. 60(8):977-990. doi:10.1093/annhyg/mew043.</w:t>
      </w:r>
    </w:p>
    <w:p w:rsidR="005542FB" w:rsidRPr="00A15574" w:rsidRDefault="005542FB" w:rsidP="008F58A0">
      <w:pPr>
        <w:pStyle w:val="EndNoteBibliography"/>
        <w:spacing w:after="0"/>
        <w:ind w:left="720" w:hanging="720"/>
        <w:rPr>
          <w:color w:val="000000" w:themeColor="text1"/>
        </w:rPr>
      </w:pPr>
      <w:r w:rsidRPr="00A15574">
        <w:rPr>
          <w:color w:val="000000" w:themeColor="text1"/>
        </w:rPr>
        <w:lastRenderedPageBreak/>
        <w:t>Wai EK, Roffey DM, Bishop P, Kwon BK, Dagenais S. 2010. Causal assessment of occupational bending or twisting and low back pain: Results of a systematic review. Spine J. 10(1):76-88. doi:10.1016/j.spinee.2009.06.005.</w:t>
      </w:r>
    </w:p>
    <w:p w:rsidR="005542FB" w:rsidRPr="00A15574" w:rsidRDefault="005542FB" w:rsidP="008F58A0">
      <w:pPr>
        <w:pStyle w:val="EndNoteBibliography"/>
        <w:ind w:left="720" w:hanging="720"/>
        <w:rPr>
          <w:color w:val="000000" w:themeColor="text1"/>
        </w:rPr>
      </w:pPr>
      <w:r w:rsidRPr="00A15574">
        <w:rPr>
          <w:color w:val="000000" w:themeColor="text1"/>
        </w:rPr>
        <w:t>Walker‐Bone K, Palmer K. 2002. Musculoskeletal disorders in farmers and farm workers. Occup. Med. 52(8):441-450. doi:10.1093/occmed/52.8.441.</w:t>
      </w:r>
    </w:p>
    <w:p w:rsidR="005542FB" w:rsidRPr="00A15574" w:rsidRDefault="005542FB">
      <w:pPr>
        <w:rPr>
          <w:rFonts w:ascii="Times New Roman" w:hAnsi="Times New Roman" w:cs="Times New Roman"/>
          <w:b/>
          <w:color w:val="000000" w:themeColor="text1"/>
          <w:sz w:val="24"/>
          <w:szCs w:val="24"/>
        </w:rPr>
      </w:pPr>
    </w:p>
    <w:p w:rsidR="005542FB" w:rsidRPr="00A15574" w:rsidRDefault="005542FB">
      <w:pPr>
        <w:rPr>
          <w:rFonts w:ascii="Times New Roman" w:hAnsi="Times New Roman" w:cs="Times New Roman"/>
          <w:b/>
          <w:color w:val="000000" w:themeColor="text1"/>
          <w:sz w:val="24"/>
          <w:szCs w:val="24"/>
        </w:rPr>
      </w:pPr>
      <w:r w:rsidRPr="00A15574">
        <w:rPr>
          <w:rFonts w:ascii="Times New Roman" w:hAnsi="Times New Roman" w:cs="Times New Roman"/>
          <w:b/>
          <w:color w:val="000000" w:themeColor="text1"/>
          <w:sz w:val="24"/>
          <w:szCs w:val="24"/>
        </w:rPr>
        <w:br w:type="page"/>
      </w:r>
    </w:p>
    <w:p w:rsidR="005542FB" w:rsidRPr="00A15574" w:rsidRDefault="005542FB" w:rsidP="00D20816">
      <w:pPr>
        <w:rPr>
          <w:color w:val="000000" w:themeColor="text1"/>
        </w:rPr>
      </w:pPr>
      <w:r w:rsidRPr="00A15574">
        <w:rPr>
          <w:noProof/>
          <w:color w:val="000000" w:themeColor="text1"/>
        </w:rPr>
        <w:lastRenderedPageBreak/>
        <w:drawing>
          <wp:inline distT="0" distB="0" distL="0" distR="0" wp14:anchorId="0CC068FA" wp14:editId="4C87EDBA">
            <wp:extent cx="5455920" cy="50048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_EMG.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5920" cy="5004816"/>
                    </a:xfrm>
                    <a:prstGeom prst="rect">
                      <a:avLst/>
                    </a:prstGeom>
                  </pic:spPr>
                </pic:pic>
              </a:graphicData>
            </a:graphic>
          </wp:inline>
        </w:drawing>
      </w:r>
    </w:p>
    <w:p w:rsidR="005542FB" w:rsidRPr="00A15574" w:rsidRDefault="005542FB" w:rsidP="00D20816">
      <w:pPr>
        <w:ind w:right="2160"/>
        <w:rPr>
          <w:rFonts w:ascii="Times New Roman" w:hAnsi="Times New Roman" w:cs="Times New Roman"/>
          <w:color w:val="000000" w:themeColor="text1"/>
        </w:rPr>
      </w:pPr>
      <w:r w:rsidRPr="00A15574">
        <w:rPr>
          <w:rFonts w:ascii="Times New Roman" w:hAnsi="Times New Roman" w:cs="Times New Roman"/>
          <w:b/>
          <w:color w:val="000000" w:themeColor="text1"/>
        </w:rPr>
        <w:t>Figure 1:</w:t>
      </w:r>
      <w:r w:rsidRPr="00A15574">
        <w:rPr>
          <w:rFonts w:ascii="Times New Roman" w:hAnsi="Times New Roman" w:cs="Times New Roman"/>
          <w:color w:val="000000" w:themeColor="text1"/>
        </w:rPr>
        <w:t xml:space="preserve"> Group median normalized muscle activity level percentiles (10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10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 50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 50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 90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 90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w:t>
      </w:r>
    </w:p>
    <w:p w:rsidR="005542FB" w:rsidRPr="00A15574" w:rsidRDefault="005542FB" w:rsidP="00D20816">
      <w:pPr>
        <w:rPr>
          <w:color w:val="000000" w:themeColor="text1"/>
        </w:rPr>
      </w:pPr>
      <w:r w:rsidRPr="00A15574">
        <w:rPr>
          <w:color w:val="000000" w:themeColor="text1"/>
        </w:rPr>
        <w:br w:type="page"/>
      </w:r>
    </w:p>
    <w:p w:rsidR="005542FB" w:rsidRPr="00A15574" w:rsidRDefault="005542FB" w:rsidP="00D20816">
      <w:pPr>
        <w:rPr>
          <w:color w:val="000000" w:themeColor="text1"/>
        </w:rPr>
      </w:pPr>
      <w:r w:rsidRPr="00A15574">
        <w:rPr>
          <w:noProof/>
          <w:color w:val="000000" w:themeColor="text1"/>
        </w:rPr>
        <w:lastRenderedPageBreak/>
        <w:drawing>
          <wp:inline distT="0" distB="0" distL="0" distR="0" wp14:anchorId="15B7C72C" wp14:editId="4660AB37">
            <wp:extent cx="4251960" cy="4294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_Angles.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1960" cy="4294632"/>
                    </a:xfrm>
                    <a:prstGeom prst="rect">
                      <a:avLst/>
                    </a:prstGeom>
                  </pic:spPr>
                </pic:pic>
              </a:graphicData>
            </a:graphic>
          </wp:inline>
        </w:drawing>
      </w:r>
    </w:p>
    <w:p w:rsidR="005542FB" w:rsidRPr="00A15574" w:rsidRDefault="005542FB" w:rsidP="00D20816">
      <w:pPr>
        <w:ind w:right="3150"/>
        <w:rPr>
          <w:rFonts w:ascii="Times New Roman" w:hAnsi="Times New Roman" w:cs="Times New Roman"/>
          <w:b/>
          <w:color w:val="000000" w:themeColor="text1"/>
        </w:rPr>
      </w:pPr>
      <w:r w:rsidRPr="00A15574">
        <w:rPr>
          <w:rFonts w:ascii="Times New Roman" w:hAnsi="Times New Roman" w:cs="Times New Roman"/>
          <w:b/>
          <w:color w:val="000000" w:themeColor="text1"/>
        </w:rPr>
        <w:t xml:space="preserve">Figure 2: </w:t>
      </w:r>
      <w:r w:rsidRPr="00A15574">
        <w:rPr>
          <w:rFonts w:ascii="Times New Roman" w:hAnsi="Times New Roman" w:cs="Times New Roman"/>
          <w:color w:val="000000" w:themeColor="text1"/>
        </w:rPr>
        <w:t>Group median trunk and upper arm posture percentiles (10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10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 50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 50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 90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 90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w:t>
      </w:r>
    </w:p>
    <w:p w:rsidR="005542FB" w:rsidRPr="00A15574" w:rsidRDefault="005542FB" w:rsidP="00D20816">
      <w:pPr>
        <w:rPr>
          <w:color w:val="000000" w:themeColor="text1"/>
        </w:rPr>
      </w:pPr>
      <w:r w:rsidRPr="00A15574">
        <w:rPr>
          <w:color w:val="000000" w:themeColor="text1"/>
        </w:rPr>
        <w:br w:type="page"/>
      </w:r>
    </w:p>
    <w:p w:rsidR="005542FB" w:rsidRPr="00A15574" w:rsidRDefault="005542FB" w:rsidP="00D20816">
      <w:pPr>
        <w:rPr>
          <w:color w:val="000000" w:themeColor="text1"/>
        </w:rPr>
      </w:pPr>
      <w:r w:rsidRPr="00A15574">
        <w:rPr>
          <w:noProof/>
          <w:color w:val="000000" w:themeColor="text1"/>
        </w:rPr>
        <w:lastRenderedPageBreak/>
        <w:drawing>
          <wp:inline distT="0" distB="0" distL="0" distR="0" wp14:anchorId="05953AB8" wp14:editId="48FA613C">
            <wp:extent cx="5455920" cy="45171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_Speed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55920" cy="4517136"/>
                    </a:xfrm>
                    <a:prstGeom prst="rect">
                      <a:avLst/>
                    </a:prstGeom>
                  </pic:spPr>
                </pic:pic>
              </a:graphicData>
            </a:graphic>
          </wp:inline>
        </w:drawing>
      </w:r>
    </w:p>
    <w:p w:rsidR="005542FB" w:rsidRPr="00A15574" w:rsidRDefault="005542FB" w:rsidP="00D20816">
      <w:pPr>
        <w:ind w:right="1710"/>
        <w:rPr>
          <w:rFonts w:ascii="Times New Roman" w:hAnsi="Times New Roman" w:cs="Times New Roman"/>
          <w:color w:val="000000" w:themeColor="text1"/>
        </w:rPr>
      </w:pPr>
      <w:r w:rsidRPr="00A15574">
        <w:rPr>
          <w:rFonts w:ascii="Times New Roman" w:hAnsi="Times New Roman" w:cs="Times New Roman"/>
          <w:b/>
          <w:color w:val="000000" w:themeColor="text1"/>
        </w:rPr>
        <w:t>Figure 3:</w:t>
      </w:r>
      <w:r w:rsidRPr="00A15574">
        <w:rPr>
          <w:rFonts w:ascii="Times New Roman" w:hAnsi="Times New Roman" w:cs="Times New Roman"/>
          <w:color w:val="000000" w:themeColor="text1"/>
        </w:rPr>
        <w:t xml:space="preserve"> Group median movement speed percentiles (10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10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 50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 50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 90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 90</w:t>
      </w:r>
      <w:r w:rsidRPr="00A15574">
        <w:rPr>
          <w:rFonts w:ascii="Times New Roman" w:hAnsi="Times New Roman" w:cs="Times New Roman"/>
          <w:color w:val="000000" w:themeColor="text1"/>
          <w:vertAlign w:val="superscript"/>
        </w:rPr>
        <w:t>th</w:t>
      </w:r>
      <w:r w:rsidRPr="00A15574">
        <w:rPr>
          <w:rFonts w:ascii="Times New Roman" w:hAnsi="Times New Roman" w:cs="Times New Roman"/>
          <w:color w:val="000000" w:themeColor="text1"/>
        </w:rPr>
        <w:t xml:space="preserve"> percentile).</w:t>
      </w:r>
    </w:p>
    <w:p w:rsidR="005542FB" w:rsidRPr="00A15574" w:rsidRDefault="005542FB" w:rsidP="00D20816">
      <w:pPr>
        <w:rPr>
          <w:rFonts w:ascii="Times New Roman" w:hAnsi="Times New Roman" w:cs="Times New Roman"/>
          <w:b/>
          <w:color w:val="000000" w:themeColor="text1"/>
        </w:rPr>
      </w:pPr>
      <w:r w:rsidRPr="00A15574">
        <w:rPr>
          <w:color w:val="000000" w:themeColor="text1"/>
        </w:rPr>
        <w:br w:type="page"/>
      </w:r>
    </w:p>
    <w:p w:rsidR="005542FB" w:rsidRPr="00A15574" w:rsidRDefault="005542FB" w:rsidP="00703286">
      <w:pPr>
        <w:spacing w:after="0"/>
        <w:rPr>
          <w:rFonts w:ascii="Times New Roman" w:hAnsi="Times New Roman" w:cs="Times New Roman"/>
          <w:color w:val="000000" w:themeColor="text1"/>
        </w:rPr>
      </w:pPr>
      <w:r w:rsidRPr="00A15574">
        <w:rPr>
          <w:rFonts w:ascii="Times New Roman" w:hAnsi="Times New Roman" w:cs="Times New Roman"/>
          <w:b/>
          <w:color w:val="000000" w:themeColor="text1"/>
        </w:rPr>
        <w:lastRenderedPageBreak/>
        <w:t xml:space="preserve">Table 1: </w:t>
      </w:r>
      <w:r w:rsidRPr="00A15574">
        <w:rPr>
          <w:rFonts w:ascii="Times New Roman" w:hAnsi="Times New Roman" w:cs="Times New Roman"/>
          <w:color w:val="000000" w:themeColor="text1"/>
        </w:rPr>
        <w:t>Classification of common agricultural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485"/>
      </w:tblGrid>
      <w:tr w:rsidR="005542FB" w:rsidRPr="00A15574" w:rsidTr="00703286">
        <w:tc>
          <w:tcPr>
            <w:tcW w:w="3865" w:type="dxa"/>
            <w:tcBorders>
              <w:top w:val="single" w:sz="4" w:space="0" w:color="auto"/>
              <w:bottom w:val="single" w:sz="4" w:space="0" w:color="auto"/>
            </w:tcBorders>
          </w:tcPr>
          <w:p w:rsidR="005542FB" w:rsidRPr="00A15574" w:rsidRDefault="005542FB" w:rsidP="00703286">
            <w:pPr>
              <w:rPr>
                <w:rFonts w:ascii="Times New Roman" w:hAnsi="Times New Roman" w:cs="Times New Roman"/>
                <w:b/>
                <w:color w:val="000000" w:themeColor="text1"/>
                <w:sz w:val="20"/>
              </w:rPr>
            </w:pPr>
            <w:r w:rsidRPr="00A15574">
              <w:rPr>
                <w:rFonts w:ascii="Times New Roman" w:hAnsi="Times New Roman" w:cs="Times New Roman"/>
                <w:b/>
                <w:color w:val="000000" w:themeColor="text1"/>
                <w:sz w:val="20"/>
              </w:rPr>
              <w:t>Activity Classification</w:t>
            </w:r>
          </w:p>
        </w:tc>
        <w:tc>
          <w:tcPr>
            <w:tcW w:w="5485" w:type="dxa"/>
            <w:tcBorders>
              <w:top w:val="single" w:sz="4" w:space="0" w:color="auto"/>
              <w:bottom w:val="single" w:sz="4" w:space="0" w:color="auto"/>
            </w:tcBorders>
          </w:tcPr>
          <w:p w:rsidR="005542FB" w:rsidRPr="00A15574" w:rsidRDefault="005542FB" w:rsidP="00703286">
            <w:pPr>
              <w:rPr>
                <w:rFonts w:ascii="Times New Roman" w:hAnsi="Times New Roman" w:cs="Times New Roman"/>
                <w:b/>
                <w:color w:val="000000" w:themeColor="text1"/>
                <w:sz w:val="20"/>
              </w:rPr>
            </w:pPr>
            <w:r w:rsidRPr="00A15574">
              <w:rPr>
                <w:rFonts w:ascii="Times New Roman" w:hAnsi="Times New Roman" w:cs="Times New Roman"/>
                <w:b/>
                <w:color w:val="000000" w:themeColor="text1"/>
                <w:sz w:val="20"/>
              </w:rPr>
              <w:t>Example from on-farm data collection</w:t>
            </w:r>
          </w:p>
        </w:tc>
      </w:tr>
      <w:tr w:rsidR="005542FB" w:rsidRPr="00A15574" w:rsidTr="00703286">
        <w:tc>
          <w:tcPr>
            <w:tcW w:w="3865" w:type="dxa"/>
            <w:tcBorders>
              <w:top w:val="single" w:sz="4" w:space="0" w:color="auto"/>
            </w:tcBorders>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Field work with a self-powered machine</w:t>
            </w:r>
          </w:p>
        </w:tc>
        <w:tc>
          <w:tcPr>
            <w:tcW w:w="5485" w:type="dxa"/>
            <w:tcBorders>
              <w:top w:val="single" w:sz="4" w:space="0" w:color="auto"/>
            </w:tcBorders>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Using a combine to harvest grain</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Repair/service equipment</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Servicing hydraulic system of a tractor in a machine shed</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Repair/service buildings or structures</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Repairing a fence using manual tools</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Handle/store harvested crops</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Using an auger to transfer grain from a storage bin to a truck</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Manual material handling</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Lifting bags of fertilizer from a pallet to a storage rack</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Powered material handling</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Using an end-loader to transfer feed into a mixer</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Feed animals</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 xml:space="preserve">Dispersing feed to chickens by hand from a bucket </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Move/load/sort animals</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Moving (herding) hogs from barn to pasture</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Treat/tag animals</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Applying salve to treat wounds on cows</w:t>
            </w:r>
          </w:p>
        </w:tc>
      </w:tr>
      <w:tr w:rsidR="005542FB" w:rsidRPr="00A15574" w:rsidTr="00703286">
        <w:tc>
          <w:tcPr>
            <w:tcW w:w="386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Milk animals</w:t>
            </w:r>
          </w:p>
        </w:tc>
        <w:tc>
          <w:tcPr>
            <w:tcW w:w="5485" w:type="dxa"/>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Manually prepping cows for milking and attaching milking units</w:t>
            </w:r>
          </w:p>
        </w:tc>
      </w:tr>
      <w:tr w:rsidR="005542FB" w:rsidRPr="00A15574" w:rsidTr="00703286">
        <w:tc>
          <w:tcPr>
            <w:tcW w:w="3865" w:type="dxa"/>
            <w:tcBorders>
              <w:bottom w:val="single" w:sz="4" w:space="0" w:color="auto"/>
            </w:tcBorders>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Paperwork/office</w:t>
            </w:r>
          </w:p>
        </w:tc>
        <w:tc>
          <w:tcPr>
            <w:tcW w:w="5485" w:type="dxa"/>
            <w:tcBorders>
              <w:bottom w:val="single" w:sz="4" w:space="0" w:color="auto"/>
            </w:tcBorders>
          </w:tcPr>
          <w:p w:rsidR="005542FB" w:rsidRPr="00A15574" w:rsidRDefault="005542FB" w:rsidP="00703286">
            <w:pPr>
              <w:rPr>
                <w:rFonts w:ascii="Times New Roman" w:hAnsi="Times New Roman" w:cs="Times New Roman"/>
                <w:color w:val="000000" w:themeColor="text1"/>
                <w:sz w:val="20"/>
              </w:rPr>
            </w:pPr>
            <w:r w:rsidRPr="00A15574">
              <w:rPr>
                <w:rFonts w:ascii="Times New Roman" w:hAnsi="Times New Roman" w:cs="Times New Roman"/>
                <w:color w:val="000000" w:themeColor="text1"/>
                <w:sz w:val="20"/>
              </w:rPr>
              <w:t>Downloading data to computer and examining</w:t>
            </w:r>
          </w:p>
        </w:tc>
      </w:tr>
    </w:tbl>
    <w:p w:rsidR="005542FB" w:rsidRPr="00A15574" w:rsidRDefault="005542FB" w:rsidP="00703286">
      <w:pPr>
        <w:rPr>
          <w:color w:val="000000" w:themeColor="text1"/>
        </w:rPr>
      </w:pPr>
    </w:p>
    <w:p w:rsidR="005542FB" w:rsidRPr="00A15574" w:rsidRDefault="005542FB" w:rsidP="00703286">
      <w:pPr>
        <w:rPr>
          <w:color w:val="000000" w:themeColor="text1"/>
        </w:rPr>
      </w:pPr>
      <w:r w:rsidRPr="00A15574">
        <w:rPr>
          <w:color w:val="000000" w:themeColor="text1"/>
        </w:rPr>
        <w:br w:type="page"/>
      </w:r>
    </w:p>
    <w:p w:rsidR="005542FB" w:rsidRPr="00A15574" w:rsidRDefault="005542FB" w:rsidP="00703286">
      <w:pPr>
        <w:spacing w:after="0"/>
        <w:rPr>
          <w:rFonts w:ascii="Times New Roman" w:hAnsi="Times New Roman" w:cs="Times New Roman"/>
          <w:color w:val="000000" w:themeColor="text1"/>
        </w:rPr>
      </w:pPr>
      <w:r w:rsidRPr="00A15574">
        <w:rPr>
          <w:rFonts w:ascii="Times New Roman" w:hAnsi="Times New Roman" w:cs="Times New Roman"/>
          <w:b/>
          <w:color w:val="000000" w:themeColor="text1"/>
        </w:rPr>
        <w:lastRenderedPageBreak/>
        <w:t xml:space="preserve">Table 2: </w:t>
      </w:r>
      <w:r w:rsidRPr="00A15574">
        <w:rPr>
          <w:rFonts w:ascii="Times New Roman" w:hAnsi="Times New Roman" w:cs="Times New Roman"/>
          <w:color w:val="000000" w:themeColor="text1"/>
        </w:rPr>
        <w:t>Posture and movement profiles extracted from recorded inertial measurement unit data.</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250"/>
        <w:gridCol w:w="1800"/>
        <w:gridCol w:w="3060"/>
      </w:tblGrid>
      <w:tr w:rsidR="005542FB" w:rsidRPr="00A15574" w:rsidTr="00703286">
        <w:tc>
          <w:tcPr>
            <w:tcW w:w="2070" w:type="dxa"/>
            <w:tcBorders>
              <w:top w:val="single" w:sz="4" w:space="0" w:color="auto"/>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Body segment</w:t>
            </w:r>
          </w:p>
        </w:tc>
        <w:tc>
          <w:tcPr>
            <w:tcW w:w="2250" w:type="dxa"/>
            <w:tcBorders>
              <w:top w:val="single" w:sz="4" w:space="0" w:color="auto"/>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Motion</w:t>
            </w:r>
          </w:p>
        </w:tc>
        <w:tc>
          <w:tcPr>
            <w:tcW w:w="1800" w:type="dxa"/>
            <w:tcBorders>
              <w:top w:val="single" w:sz="4" w:space="0" w:color="auto"/>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Sensors Involved</w:t>
            </w:r>
          </w:p>
        </w:tc>
        <w:tc>
          <w:tcPr>
            <w:tcW w:w="3060" w:type="dxa"/>
            <w:tcBorders>
              <w:top w:val="single" w:sz="4" w:space="0" w:color="auto"/>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Resulting Profiles for Analysis</w:t>
            </w:r>
          </w:p>
        </w:tc>
      </w:tr>
      <w:tr w:rsidR="005542FB" w:rsidRPr="00A15574" w:rsidTr="00703286">
        <w:tc>
          <w:tcPr>
            <w:tcW w:w="2070" w:type="dxa"/>
            <w:tcBorders>
              <w:top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Trunk</w:t>
            </w:r>
          </w:p>
        </w:tc>
        <w:tc>
          <w:tcPr>
            <w:tcW w:w="2250" w:type="dxa"/>
            <w:tcBorders>
              <w:top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 xml:space="preserve">Flexion/extension </w:t>
            </w:r>
            <w:r w:rsidRPr="00A15574">
              <w:rPr>
                <w:rFonts w:ascii="Times New Roman" w:hAnsi="Times New Roman" w:cs="Times New Roman"/>
                <w:color w:val="000000" w:themeColor="text1"/>
                <w:sz w:val="20"/>
                <w:szCs w:val="20"/>
                <w:vertAlign w:val="superscript"/>
              </w:rPr>
              <w:t>A</w:t>
            </w:r>
          </w:p>
        </w:tc>
        <w:tc>
          <w:tcPr>
            <w:tcW w:w="1800" w:type="dxa"/>
            <w:tcBorders>
              <w:top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Sternum, L3</w:t>
            </w:r>
          </w:p>
        </w:tc>
        <w:tc>
          <w:tcPr>
            <w:tcW w:w="3060" w:type="dxa"/>
            <w:tcBorders>
              <w:top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vertAlign w:val="superscript"/>
              </w:rPr>
            </w:pPr>
            <w:r w:rsidRPr="00A15574">
              <w:rPr>
                <w:rFonts w:ascii="Times New Roman" w:hAnsi="Times New Roman" w:cs="Times New Roman"/>
                <w:color w:val="000000" w:themeColor="text1"/>
                <w:sz w:val="20"/>
                <w:szCs w:val="20"/>
              </w:rPr>
              <w:t xml:space="preserve">Posture and movement speed </w:t>
            </w:r>
            <w:r w:rsidRPr="00A15574">
              <w:rPr>
                <w:rFonts w:ascii="Times New Roman" w:hAnsi="Times New Roman" w:cs="Times New Roman"/>
                <w:color w:val="000000" w:themeColor="text1"/>
                <w:sz w:val="20"/>
                <w:szCs w:val="20"/>
                <w:vertAlign w:val="superscript"/>
              </w:rPr>
              <w:t>C</w:t>
            </w:r>
          </w:p>
        </w:tc>
      </w:tr>
      <w:tr w:rsidR="005542FB" w:rsidRPr="00A15574" w:rsidTr="00703286">
        <w:tc>
          <w:tcPr>
            <w:tcW w:w="207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Trunk</w:t>
            </w:r>
          </w:p>
        </w:tc>
        <w:tc>
          <w:tcPr>
            <w:tcW w:w="225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 xml:space="preserve">Lateral bending </w:t>
            </w:r>
            <w:r w:rsidRPr="00A15574">
              <w:rPr>
                <w:rFonts w:ascii="Times New Roman" w:hAnsi="Times New Roman" w:cs="Times New Roman"/>
                <w:color w:val="000000" w:themeColor="text1"/>
                <w:sz w:val="20"/>
                <w:szCs w:val="20"/>
                <w:vertAlign w:val="superscript"/>
              </w:rPr>
              <w:t>B</w:t>
            </w:r>
          </w:p>
        </w:tc>
        <w:tc>
          <w:tcPr>
            <w:tcW w:w="180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Sternum, L3</w:t>
            </w:r>
          </w:p>
        </w:tc>
        <w:tc>
          <w:tcPr>
            <w:tcW w:w="306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Posture and movement speed</w:t>
            </w:r>
          </w:p>
        </w:tc>
      </w:tr>
      <w:tr w:rsidR="005542FB" w:rsidRPr="00A15574" w:rsidTr="00703286">
        <w:tc>
          <w:tcPr>
            <w:tcW w:w="2070" w:type="dxa"/>
          </w:tcPr>
          <w:p w:rsidR="005542FB" w:rsidRPr="00A15574" w:rsidRDefault="005542FB" w:rsidP="00703286">
            <w:pPr>
              <w:jc w:val="center"/>
              <w:rPr>
                <w:rFonts w:ascii="Times New Roman" w:hAnsi="Times New Roman" w:cs="Times New Roman"/>
                <w:color w:val="000000" w:themeColor="text1"/>
                <w:sz w:val="20"/>
                <w:szCs w:val="20"/>
                <w:vertAlign w:val="superscript"/>
              </w:rPr>
            </w:pPr>
            <w:r w:rsidRPr="00A15574">
              <w:rPr>
                <w:rFonts w:ascii="Times New Roman" w:hAnsi="Times New Roman" w:cs="Times New Roman"/>
                <w:color w:val="000000" w:themeColor="text1"/>
                <w:sz w:val="20"/>
                <w:szCs w:val="20"/>
              </w:rPr>
              <w:t>Dominant Upper Arm</w:t>
            </w:r>
          </w:p>
        </w:tc>
        <w:tc>
          <w:tcPr>
            <w:tcW w:w="225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Elevation</w:t>
            </w:r>
          </w:p>
        </w:tc>
        <w:tc>
          <w:tcPr>
            <w:tcW w:w="180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Upper arm</w:t>
            </w:r>
          </w:p>
        </w:tc>
        <w:tc>
          <w:tcPr>
            <w:tcW w:w="306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Posture and movement speed</w:t>
            </w:r>
          </w:p>
        </w:tc>
      </w:tr>
      <w:tr w:rsidR="005542FB" w:rsidRPr="00A15574" w:rsidTr="00703286">
        <w:tc>
          <w:tcPr>
            <w:tcW w:w="207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Dominant Wrist</w:t>
            </w:r>
          </w:p>
        </w:tc>
        <w:tc>
          <w:tcPr>
            <w:tcW w:w="225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Flexion/extension</w:t>
            </w:r>
          </w:p>
        </w:tc>
        <w:tc>
          <w:tcPr>
            <w:tcW w:w="180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Hand, forearm</w:t>
            </w:r>
          </w:p>
        </w:tc>
        <w:tc>
          <w:tcPr>
            <w:tcW w:w="3060" w:type="dxa"/>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Movement speed only</w:t>
            </w:r>
          </w:p>
        </w:tc>
      </w:tr>
      <w:tr w:rsidR="005542FB" w:rsidRPr="00A15574" w:rsidTr="00703286">
        <w:tc>
          <w:tcPr>
            <w:tcW w:w="2070" w:type="dxa"/>
            <w:tcBorders>
              <w:bottom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Dominant Wrist</w:t>
            </w:r>
          </w:p>
        </w:tc>
        <w:tc>
          <w:tcPr>
            <w:tcW w:w="2250" w:type="dxa"/>
            <w:tcBorders>
              <w:bottom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Radial/ulnar deviation</w:t>
            </w:r>
          </w:p>
        </w:tc>
        <w:tc>
          <w:tcPr>
            <w:tcW w:w="1800" w:type="dxa"/>
            <w:tcBorders>
              <w:bottom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Hand, forearm</w:t>
            </w:r>
          </w:p>
        </w:tc>
        <w:tc>
          <w:tcPr>
            <w:tcW w:w="3060" w:type="dxa"/>
            <w:tcBorders>
              <w:bottom w:val="single" w:sz="4" w:space="0" w:color="auto"/>
            </w:tcBorders>
          </w:tcPr>
          <w:p w:rsidR="005542FB" w:rsidRPr="00A15574" w:rsidRDefault="005542FB" w:rsidP="00703286">
            <w:pPr>
              <w:jc w:val="cente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Movement speed only</w:t>
            </w:r>
          </w:p>
        </w:tc>
      </w:tr>
    </w:tbl>
    <w:p w:rsidR="005542FB" w:rsidRPr="00A15574" w:rsidRDefault="005542FB" w:rsidP="00703286">
      <w:pPr>
        <w:spacing w:after="0"/>
        <w:rPr>
          <w:rFonts w:ascii="Times New Roman" w:hAnsi="Times New Roman" w:cs="Times New Roman"/>
          <w:color w:val="000000" w:themeColor="text1"/>
          <w:sz w:val="18"/>
        </w:rPr>
      </w:pPr>
      <w:r w:rsidRPr="00A15574">
        <w:rPr>
          <w:rFonts w:ascii="Times New Roman" w:hAnsi="Times New Roman" w:cs="Times New Roman"/>
          <w:color w:val="000000" w:themeColor="text1"/>
          <w:sz w:val="18"/>
          <w:vertAlign w:val="superscript"/>
        </w:rPr>
        <w:t>A</w:t>
      </w:r>
      <w:r w:rsidRPr="00A15574">
        <w:rPr>
          <w:rFonts w:ascii="Times New Roman" w:hAnsi="Times New Roman" w:cs="Times New Roman"/>
          <w:color w:val="000000" w:themeColor="text1"/>
          <w:sz w:val="18"/>
        </w:rPr>
        <w:t xml:space="preserve"> Negative values denote extension; positive values denote flexion.</w:t>
      </w:r>
    </w:p>
    <w:p w:rsidR="005542FB" w:rsidRPr="00A15574" w:rsidRDefault="005542FB" w:rsidP="00703286">
      <w:pPr>
        <w:spacing w:after="0"/>
        <w:rPr>
          <w:rFonts w:ascii="Times New Roman" w:hAnsi="Times New Roman" w:cs="Times New Roman"/>
          <w:color w:val="000000" w:themeColor="text1"/>
          <w:sz w:val="18"/>
        </w:rPr>
      </w:pPr>
      <w:r w:rsidRPr="00A15574">
        <w:rPr>
          <w:rFonts w:ascii="Times New Roman" w:hAnsi="Times New Roman" w:cs="Times New Roman"/>
          <w:color w:val="000000" w:themeColor="text1"/>
          <w:sz w:val="18"/>
          <w:vertAlign w:val="superscript"/>
        </w:rPr>
        <w:t>B</w:t>
      </w:r>
      <w:r w:rsidRPr="00A15574">
        <w:rPr>
          <w:rFonts w:ascii="Times New Roman" w:hAnsi="Times New Roman" w:cs="Times New Roman"/>
          <w:color w:val="000000" w:themeColor="text1"/>
          <w:sz w:val="18"/>
        </w:rPr>
        <w:t xml:space="preserve"> Negative values lateral bending to the left; positive values denote lateral bending to the right.</w:t>
      </w:r>
    </w:p>
    <w:p w:rsidR="005542FB" w:rsidRPr="00A15574" w:rsidRDefault="005542FB" w:rsidP="00703286">
      <w:pPr>
        <w:rPr>
          <w:rFonts w:ascii="Times New Roman" w:hAnsi="Times New Roman" w:cs="Times New Roman"/>
          <w:color w:val="000000" w:themeColor="text1"/>
          <w:sz w:val="18"/>
        </w:rPr>
      </w:pPr>
      <w:r w:rsidRPr="00A15574">
        <w:rPr>
          <w:rFonts w:ascii="Times New Roman" w:hAnsi="Times New Roman" w:cs="Times New Roman"/>
          <w:color w:val="000000" w:themeColor="text1"/>
          <w:sz w:val="18"/>
          <w:vertAlign w:val="superscript"/>
        </w:rPr>
        <w:t>C</w:t>
      </w:r>
      <w:r w:rsidRPr="00A15574">
        <w:rPr>
          <w:rFonts w:ascii="Times New Roman" w:hAnsi="Times New Roman" w:cs="Times New Roman"/>
          <w:color w:val="000000" w:themeColor="text1"/>
          <w:sz w:val="18"/>
        </w:rPr>
        <w:t xml:space="preserve"> Movement speed reported as non-directional absolute value of velocity.</w:t>
      </w:r>
    </w:p>
    <w:p w:rsidR="005542FB" w:rsidRPr="00A15574" w:rsidRDefault="005542FB" w:rsidP="00703286">
      <w:pPr>
        <w:rPr>
          <w:rFonts w:ascii="Times New Roman" w:hAnsi="Times New Roman" w:cs="Times New Roman"/>
          <w:color w:val="000000" w:themeColor="text1"/>
          <w:sz w:val="18"/>
        </w:rPr>
      </w:pPr>
      <w:r w:rsidRPr="00A15574">
        <w:rPr>
          <w:rFonts w:ascii="Times New Roman" w:hAnsi="Times New Roman" w:cs="Times New Roman"/>
          <w:color w:val="000000" w:themeColor="text1"/>
          <w:sz w:val="18"/>
        </w:rPr>
        <w:br w:type="page"/>
      </w:r>
    </w:p>
    <w:p w:rsidR="005542FB" w:rsidRPr="00A15574" w:rsidRDefault="005542FB" w:rsidP="00703286">
      <w:pPr>
        <w:spacing w:after="0"/>
        <w:rPr>
          <w:rFonts w:ascii="Times New Roman" w:hAnsi="Times New Roman" w:cs="Times New Roman"/>
          <w:color w:val="000000" w:themeColor="text1"/>
        </w:rPr>
      </w:pPr>
      <w:r w:rsidRPr="00A15574">
        <w:rPr>
          <w:rFonts w:ascii="Times New Roman" w:hAnsi="Times New Roman" w:cs="Times New Roman"/>
          <w:b/>
          <w:color w:val="000000" w:themeColor="text1"/>
        </w:rPr>
        <w:lastRenderedPageBreak/>
        <w:t>Table 3:</w:t>
      </w:r>
      <w:r w:rsidRPr="00A15574">
        <w:rPr>
          <w:rFonts w:ascii="Times New Roman" w:hAnsi="Times New Roman" w:cs="Times New Roman"/>
          <w:color w:val="000000" w:themeColor="text1"/>
        </w:rPr>
        <w:t xml:space="preserve"> Number and duration of on-farm exposure measures, by agricultural activity and farm type (a/b/c, where a = # of trunk and dominant upper arm posture and movement speed measures, b = # of muscle activity measures, and c = # involving machinery </w:t>
      </w:r>
      <w:proofErr w:type="spellStart"/>
      <w:r w:rsidRPr="00A15574">
        <w:rPr>
          <w:rFonts w:ascii="Times New Roman" w:hAnsi="Times New Roman" w:cs="Times New Roman"/>
          <w:color w:val="000000" w:themeColor="text1"/>
        </w:rPr>
        <w:t>operation</w:t>
      </w:r>
      <w:r w:rsidRPr="00A15574">
        <w:rPr>
          <w:rFonts w:ascii="Times New Roman" w:hAnsi="Times New Roman" w:cs="Times New Roman"/>
          <w:color w:val="000000" w:themeColor="text1"/>
          <w:vertAlign w:val="superscript"/>
        </w:rPr>
        <w:t>A</w:t>
      </w:r>
      <w:proofErr w:type="spellEnd"/>
      <w:r w:rsidRPr="00A15574">
        <w:rPr>
          <w:rFonts w:ascii="Times New Roman" w:hAnsi="Times New Roman" w:cs="Times New Roman"/>
          <w:color w:val="000000" w:themeColor="text1"/>
        </w:rPr>
        <w:t>).</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710"/>
        <w:gridCol w:w="990"/>
        <w:gridCol w:w="810"/>
        <w:gridCol w:w="738"/>
        <w:gridCol w:w="774"/>
        <w:gridCol w:w="918"/>
        <w:gridCol w:w="810"/>
        <w:gridCol w:w="990"/>
        <w:gridCol w:w="1260"/>
      </w:tblGrid>
      <w:tr w:rsidR="005542FB" w:rsidRPr="00A15574" w:rsidTr="00703286">
        <w:tc>
          <w:tcPr>
            <w:tcW w:w="2700" w:type="dxa"/>
            <w:gridSpan w:val="2"/>
            <w:tcBorders>
              <w:top w:val="single" w:sz="4" w:space="0" w:color="auto"/>
              <w:left w:val="nil"/>
              <w:bottom w:val="nil"/>
              <w:right w:val="nil"/>
            </w:tcBorders>
            <w:hideMark/>
          </w:tcPr>
          <w:p w:rsidR="005542FB" w:rsidRPr="00A15574" w:rsidRDefault="005542FB" w:rsidP="00703286">
            <w:pPr>
              <w:jc w:val="right"/>
              <w:rPr>
                <w:rFonts w:ascii="Times New Roman" w:hAnsi="Times New Roman" w:cs="Times New Roman"/>
                <w:i/>
                <w:color w:val="000000" w:themeColor="text1"/>
                <w:sz w:val="16"/>
                <w:szCs w:val="16"/>
              </w:rPr>
            </w:pPr>
          </w:p>
        </w:tc>
        <w:tc>
          <w:tcPr>
            <w:tcW w:w="4050" w:type="dxa"/>
            <w:gridSpan w:val="5"/>
            <w:tcBorders>
              <w:top w:val="single" w:sz="4" w:space="0" w:color="auto"/>
              <w:left w:val="nil"/>
              <w:bottom w:val="nil"/>
              <w:right w:val="single" w:sz="4" w:space="0" w:color="auto"/>
            </w:tcBorders>
          </w:tcPr>
          <w:p w:rsidR="005542FB" w:rsidRPr="00A15574" w:rsidRDefault="005542FB" w:rsidP="00703286">
            <w:pPr>
              <w:jc w:val="center"/>
              <w:rPr>
                <w:rFonts w:ascii="Times New Roman" w:hAnsi="Times New Roman" w:cs="Times New Roman"/>
                <w:b/>
                <w:color w:val="000000" w:themeColor="text1"/>
                <w:sz w:val="16"/>
                <w:szCs w:val="16"/>
              </w:rPr>
            </w:pPr>
            <w:r w:rsidRPr="00A15574">
              <w:rPr>
                <w:rFonts w:ascii="Times New Roman" w:hAnsi="Times New Roman" w:cs="Times New Roman"/>
                <w:b/>
                <w:color w:val="000000" w:themeColor="text1"/>
                <w:sz w:val="16"/>
                <w:szCs w:val="16"/>
              </w:rPr>
              <w:t>Farm Type</w:t>
            </w:r>
          </w:p>
        </w:tc>
        <w:tc>
          <w:tcPr>
            <w:tcW w:w="990" w:type="dxa"/>
            <w:tcBorders>
              <w:top w:val="single" w:sz="4" w:space="0" w:color="auto"/>
              <w:left w:val="single" w:sz="4" w:space="0" w:color="auto"/>
              <w:bottom w:val="nil"/>
              <w:right w:val="nil"/>
            </w:tcBorders>
          </w:tcPr>
          <w:p w:rsidR="005542FB" w:rsidRPr="00A15574" w:rsidRDefault="005542FB" w:rsidP="00703286">
            <w:pPr>
              <w:jc w:val="center"/>
              <w:rPr>
                <w:rFonts w:ascii="Times New Roman" w:hAnsi="Times New Roman" w:cs="Times New Roman"/>
                <w:color w:val="000000" w:themeColor="text1"/>
                <w:sz w:val="16"/>
                <w:szCs w:val="16"/>
              </w:rPr>
            </w:pPr>
          </w:p>
        </w:tc>
        <w:tc>
          <w:tcPr>
            <w:tcW w:w="1260" w:type="dxa"/>
            <w:tcBorders>
              <w:top w:val="single" w:sz="4" w:space="0" w:color="auto"/>
              <w:left w:val="single" w:sz="4" w:space="0" w:color="auto"/>
              <w:bottom w:val="nil"/>
              <w:right w:val="nil"/>
            </w:tcBorders>
          </w:tcPr>
          <w:p w:rsidR="005542FB" w:rsidRPr="00A15574" w:rsidRDefault="005542FB" w:rsidP="00703286">
            <w:pPr>
              <w:jc w:val="center"/>
              <w:rPr>
                <w:rFonts w:ascii="Times New Roman" w:hAnsi="Times New Roman" w:cs="Times New Roman"/>
                <w:color w:val="000000" w:themeColor="text1"/>
                <w:sz w:val="16"/>
                <w:szCs w:val="16"/>
              </w:rPr>
            </w:pPr>
          </w:p>
        </w:tc>
      </w:tr>
      <w:tr w:rsidR="005542FB" w:rsidRPr="00A15574" w:rsidTr="00703286">
        <w:tc>
          <w:tcPr>
            <w:tcW w:w="1710" w:type="dxa"/>
            <w:tcBorders>
              <w:top w:val="nil"/>
              <w:left w:val="nil"/>
              <w:bottom w:val="single" w:sz="4" w:space="0" w:color="auto"/>
              <w:right w:val="nil"/>
            </w:tcBorders>
            <w:hideMark/>
          </w:tcPr>
          <w:p w:rsidR="005542FB" w:rsidRPr="00A15574" w:rsidRDefault="005542FB" w:rsidP="00703286">
            <w:pPr>
              <w:spacing w:after="60"/>
              <w:rPr>
                <w:rFonts w:ascii="Times New Roman" w:hAnsi="Times New Roman" w:cs="Times New Roman"/>
                <w:b/>
                <w:color w:val="000000" w:themeColor="text1"/>
                <w:sz w:val="16"/>
                <w:szCs w:val="16"/>
              </w:rPr>
            </w:pPr>
            <w:r w:rsidRPr="00A15574">
              <w:rPr>
                <w:rFonts w:ascii="Times New Roman" w:hAnsi="Times New Roman" w:cs="Times New Roman"/>
                <w:b/>
                <w:color w:val="000000" w:themeColor="text1"/>
                <w:sz w:val="16"/>
                <w:szCs w:val="16"/>
              </w:rPr>
              <w:t>Agricultural Activity</w:t>
            </w:r>
          </w:p>
        </w:tc>
        <w:tc>
          <w:tcPr>
            <w:tcW w:w="990" w:type="dxa"/>
            <w:tcBorders>
              <w:top w:val="nil"/>
              <w:left w:val="nil"/>
              <w:bottom w:val="single" w:sz="4" w:space="0" w:color="auto"/>
              <w:right w:val="nil"/>
            </w:tcBorders>
          </w:tcPr>
          <w:p w:rsidR="005542FB" w:rsidRPr="00A15574" w:rsidRDefault="005542FB" w:rsidP="00703286">
            <w:pPr>
              <w:spacing w:after="60"/>
              <w:jc w:val="right"/>
              <w:rPr>
                <w:rFonts w:ascii="Times New Roman" w:hAnsi="Times New Roman" w:cs="Times New Roman"/>
                <w:i/>
                <w:color w:val="000000" w:themeColor="text1"/>
                <w:sz w:val="16"/>
                <w:szCs w:val="16"/>
              </w:rPr>
            </w:pPr>
          </w:p>
        </w:tc>
        <w:tc>
          <w:tcPr>
            <w:tcW w:w="810" w:type="dxa"/>
            <w:tcBorders>
              <w:top w:val="nil"/>
              <w:left w:val="nil"/>
              <w:bottom w:val="single" w:sz="4" w:space="0" w:color="auto"/>
              <w:right w:val="nil"/>
            </w:tcBorders>
          </w:tcPr>
          <w:p w:rsidR="005542FB" w:rsidRPr="00A15574" w:rsidRDefault="005542FB" w:rsidP="00703286">
            <w:pPr>
              <w:spacing w:after="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Grain only</w:t>
            </w:r>
          </w:p>
        </w:tc>
        <w:tc>
          <w:tcPr>
            <w:tcW w:w="738" w:type="dxa"/>
            <w:tcBorders>
              <w:top w:val="nil"/>
              <w:left w:val="nil"/>
              <w:bottom w:val="single" w:sz="4" w:space="0" w:color="auto"/>
              <w:right w:val="nil"/>
            </w:tcBorders>
          </w:tcPr>
          <w:p w:rsidR="005542FB" w:rsidRPr="00A15574" w:rsidRDefault="005542FB" w:rsidP="00703286">
            <w:pPr>
              <w:spacing w:after="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Beef only</w:t>
            </w:r>
          </w:p>
        </w:tc>
        <w:tc>
          <w:tcPr>
            <w:tcW w:w="774" w:type="dxa"/>
            <w:tcBorders>
              <w:top w:val="nil"/>
              <w:left w:val="nil"/>
              <w:bottom w:val="single" w:sz="4" w:space="0" w:color="auto"/>
              <w:right w:val="nil"/>
            </w:tcBorders>
          </w:tcPr>
          <w:p w:rsidR="005542FB" w:rsidRPr="00A15574" w:rsidRDefault="005542FB" w:rsidP="00703286">
            <w:pPr>
              <w:spacing w:after="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Specialty</w:t>
            </w:r>
          </w:p>
        </w:tc>
        <w:tc>
          <w:tcPr>
            <w:tcW w:w="918" w:type="dxa"/>
            <w:tcBorders>
              <w:top w:val="nil"/>
              <w:left w:val="nil"/>
              <w:bottom w:val="single" w:sz="4" w:space="0" w:color="auto"/>
              <w:right w:val="nil"/>
            </w:tcBorders>
          </w:tcPr>
          <w:p w:rsidR="005542FB" w:rsidRPr="00A15574" w:rsidRDefault="005542FB" w:rsidP="00703286">
            <w:pPr>
              <w:spacing w:after="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2 comm.</w:t>
            </w:r>
          </w:p>
        </w:tc>
        <w:tc>
          <w:tcPr>
            <w:tcW w:w="810" w:type="dxa"/>
            <w:tcBorders>
              <w:top w:val="nil"/>
              <w:left w:val="nil"/>
              <w:bottom w:val="single" w:sz="4" w:space="0" w:color="auto"/>
              <w:right w:val="single" w:sz="4" w:space="0" w:color="auto"/>
            </w:tcBorders>
          </w:tcPr>
          <w:p w:rsidR="005542FB" w:rsidRPr="00A15574" w:rsidRDefault="005542FB" w:rsidP="00703286">
            <w:pPr>
              <w:spacing w:after="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≥3 comm.</w:t>
            </w:r>
          </w:p>
        </w:tc>
        <w:tc>
          <w:tcPr>
            <w:tcW w:w="990" w:type="dxa"/>
            <w:tcBorders>
              <w:top w:val="nil"/>
              <w:left w:val="single" w:sz="4" w:space="0" w:color="auto"/>
              <w:bottom w:val="single" w:sz="4" w:space="0" w:color="auto"/>
              <w:right w:val="nil"/>
            </w:tcBorders>
            <w:hideMark/>
          </w:tcPr>
          <w:p w:rsidR="005542FB" w:rsidRPr="00A15574" w:rsidRDefault="005542FB" w:rsidP="00703286">
            <w:pPr>
              <w:spacing w:after="60"/>
              <w:jc w:val="center"/>
              <w:rPr>
                <w:rFonts w:ascii="Times New Roman" w:hAnsi="Times New Roman" w:cs="Times New Roman"/>
                <w:i/>
                <w:color w:val="000000" w:themeColor="text1"/>
                <w:sz w:val="16"/>
                <w:szCs w:val="16"/>
                <w:vertAlign w:val="superscript"/>
              </w:rPr>
            </w:pPr>
            <w:r w:rsidRPr="00A15574">
              <w:rPr>
                <w:rFonts w:ascii="Times New Roman" w:hAnsi="Times New Roman" w:cs="Times New Roman"/>
                <w:i/>
                <w:color w:val="000000" w:themeColor="text1"/>
                <w:sz w:val="16"/>
                <w:szCs w:val="16"/>
              </w:rPr>
              <w:t>Totals</w:t>
            </w:r>
          </w:p>
        </w:tc>
        <w:tc>
          <w:tcPr>
            <w:tcW w:w="1260" w:type="dxa"/>
            <w:tcBorders>
              <w:top w:val="nil"/>
              <w:left w:val="single" w:sz="4" w:space="0" w:color="auto"/>
              <w:bottom w:val="single" w:sz="4" w:space="0" w:color="auto"/>
              <w:right w:val="nil"/>
            </w:tcBorders>
          </w:tcPr>
          <w:p w:rsidR="005542FB" w:rsidRPr="00A15574" w:rsidRDefault="005542FB" w:rsidP="00703286">
            <w:pPr>
              <w:spacing w:after="60"/>
              <w:rPr>
                <w:rFonts w:ascii="Times New Roman" w:hAnsi="Times New Roman" w:cs="Times New Roman"/>
                <w:i/>
                <w:color w:val="000000" w:themeColor="text1"/>
                <w:sz w:val="16"/>
                <w:szCs w:val="16"/>
                <w:vertAlign w:val="superscript"/>
              </w:rPr>
            </w:pPr>
            <w:r w:rsidRPr="00A15574">
              <w:rPr>
                <w:rFonts w:ascii="Times New Roman" w:hAnsi="Times New Roman" w:cs="Times New Roman"/>
                <w:i/>
                <w:color w:val="000000" w:themeColor="text1"/>
                <w:sz w:val="16"/>
                <w:szCs w:val="16"/>
              </w:rPr>
              <w:t xml:space="preserve">Duration (min) </w:t>
            </w:r>
            <w:r w:rsidRPr="00A15574">
              <w:rPr>
                <w:rFonts w:ascii="Times New Roman" w:hAnsi="Times New Roman" w:cs="Times New Roman"/>
                <w:i/>
                <w:color w:val="000000" w:themeColor="text1"/>
                <w:sz w:val="16"/>
                <w:szCs w:val="16"/>
                <w:vertAlign w:val="superscript"/>
              </w:rPr>
              <w:t>B</w:t>
            </w:r>
          </w:p>
        </w:tc>
      </w:tr>
      <w:tr w:rsidR="005542FB" w:rsidRPr="00A15574" w:rsidTr="00703286">
        <w:tc>
          <w:tcPr>
            <w:tcW w:w="2700" w:type="dxa"/>
            <w:gridSpan w:val="2"/>
            <w:tcBorders>
              <w:top w:val="single" w:sz="4" w:space="0" w:color="auto"/>
              <w:left w:val="nil"/>
              <w:bottom w:val="nil"/>
              <w:right w:val="nil"/>
            </w:tcBorders>
            <w:hideMark/>
          </w:tcPr>
          <w:p w:rsidR="005542FB" w:rsidRPr="00A15574" w:rsidRDefault="005542FB" w:rsidP="00703286">
            <w:pPr>
              <w:spacing w:before="60"/>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 xml:space="preserve">Field work with a self-powered machine </w:t>
            </w:r>
          </w:p>
        </w:tc>
        <w:tc>
          <w:tcPr>
            <w:tcW w:w="810" w:type="dxa"/>
            <w:tcBorders>
              <w:top w:val="single" w:sz="4" w:space="0" w:color="auto"/>
              <w:left w:val="nil"/>
            </w:tcBorders>
          </w:tcPr>
          <w:p w:rsidR="005542FB" w:rsidRPr="00A15574" w:rsidRDefault="005542FB" w:rsidP="00703286">
            <w:pPr>
              <w:spacing w:before="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15/13/15</w:t>
            </w:r>
          </w:p>
        </w:tc>
        <w:tc>
          <w:tcPr>
            <w:tcW w:w="738" w:type="dxa"/>
            <w:tcBorders>
              <w:top w:val="single" w:sz="4" w:space="0" w:color="auto"/>
            </w:tcBorders>
          </w:tcPr>
          <w:p w:rsidR="005542FB" w:rsidRPr="00A15574" w:rsidRDefault="005542FB" w:rsidP="00703286">
            <w:pPr>
              <w:spacing w:before="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Borders>
              <w:top w:val="single" w:sz="4" w:space="0" w:color="auto"/>
            </w:tcBorders>
          </w:tcPr>
          <w:p w:rsidR="005542FB" w:rsidRPr="00A15574" w:rsidRDefault="005542FB" w:rsidP="00703286">
            <w:pPr>
              <w:spacing w:before="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1/1/1</w:t>
            </w:r>
          </w:p>
        </w:tc>
        <w:tc>
          <w:tcPr>
            <w:tcW w:w="918" w:type="dxa"/>
            <w:tcBorders>
              <w:top w:val="single" w:sz="4" w:space="0" w:color="auto"/>
            </w:tcBorders>
          </w:tcPr>
          <w:p w:rsidR="005542FB" w:rsidRPr="00A15574" w:rsidRDefault="005542FB" w:rsidP="00703286">
            <w:pPr>
              <w:spacing w:before="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16/14/20</w:t>
            </w:r>
          </w:p>
        </w:tc>
        <w:tc>
          <w:tcPr>
            <w:tcW w:w="810" w:type="dxa"/>
            <w:tcBorders>
              <w:top w:val="single" w:sz="4" w:space="0" w:color="auto"/>
              <w:left w:val="nil"/>
              <w:right w:val="single" w:sz="4" w:space="0" w:color="auto"/>
            </w:tcBorders>
          </w:tcPr>
          <w:p w:rsidR="005542FB" w:rsidRPr="00A15574" w:rsidRDefault="005542FB" w:rsidP="00703286">
            <w:pPr>
              <w:spacing w:before="60"/>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10/9/8</w:t>
            </w:r>
          </w:p>
        </w:tc>
        <w:tc>
          <w:tcPr>
            <w:tcW w:w="990" w:type="dxa"/>
            <w:tcBorders>
              <w:top w:val="single" w:sz="4" w:space="0" w:color="auto"/>
              <w:left w:val="single" w:sz="4" w:space="0" w:color="auto"/>
              <w:bottom w:val="nil"/>
              <w:right w:val="nil"/>
            </w:tcBorders>
          </w:tcPr>
          <w:p w:rsidR="005542FB" w:rsidRPr="00A15574" w:rsidRDefault="005542FB" w:rsidP="00703286">
            <w:pPr>
              <w:spacing w:before="60"/>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42/37/44</w:t>
            </w:r>
          </w:p>
        </w:tc>
        <w:tc>
          <w:tcPr>
            <w:tcW w:w="1260" w:type="dxa"/>
            <w:tcBorders>
              <w:top w:val="single" w:sz="4" w:space="0" w:color="auto"/>
              <w:left w:val="single" w:sz="4" w:space="0" w:color="auto"/>
              <w:bottom w:val="nil"/>
              <w:right w:val="nil"/>
            </w:tcBorders>
          </w:tcPr>
          <w:p w:rsidR="005542FB" w:rsidRPr="00A15574" w:rsidRDefault="005542FB" w:rsidP="00703286">
            <w:pPr>
              <w:spacing w:before="60"/>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76.2 [47.2, 98.6]</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Repair/service equipment</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9/10/1</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2/1/-</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16/17/4</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8/8/-</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35/36/5</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44.6 [24.5, 82.0]</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Repair/service buildings/structures</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5/5/2</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1/1/-</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2/2/-</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8/10/2</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5/4/-</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21/22/4</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54.9 [37.7, 79.2]</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Handle/store harvested crops</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4/3/3</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2/2/1</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11/10/11</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8/7/5</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25/22/20</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57.0 [34.9, 92.2]</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Manual material handling</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3/3/-</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3/3/-</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9/9/-</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7/6/-</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22/21/-</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16.4 [6.0, 37.0]</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Powered material handling</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4/4/4</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2/2/2</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13/14/14</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5/5/4</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24/25/24</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30.2 [12.9, 51.1]</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Feed animals</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1/1/-</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15/17/12</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7/7/1</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23/25/13</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29.3 [19.4, 46.6]</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Move/load/sort animals</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1/1/-</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7/7/1</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6/6/-</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14/14/1</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17.4 [10.8, 30.5]</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Treat/tag animals</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7/8/1</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7/6/-</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14/14/1</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24.0 [11.3, 61.2]</w:t>
            </w:r>
          </w:p>
        </w:tc>
      </w:tr>
      <w:tr w:rsidR="005542FB" w:rsidRPr="00A15574" w:rsidTr="00703286">
        <w:tc>
          <w:tcPr>
            <w:tcW w:w="2700" w:type="dxa"/>
            <w:gridSpan w:val="2"/>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Milk animals</w:t>
            </w:r>
          </w:p>
        </w:tc>
        <w:tc>
          <w:tcPr>
            <w:tcW w:w="810"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3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918" w:type="dxa"/>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4/3/-</w:t>
            </w:r>
          </w:p>
        </w:tc>
        <w:tc>
          <w:tcPr>
            <w:tcW w:w="810" w:type="dxa"/>
            <w:tcBorders>
              <w:left w:val="nil"/>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4/3/-</w:t>
            </w:r>
          </w:p>
        </w:tc>
        <w:tc>
          <w:tcPr>
            <w:tcW w:w="990" w:type="dxa"/>
            <w:tcBorders>
              <w:top w:val="nil"/>
              <w:left w:val="single" w:sz="4" w:space="0" w:color="auto"/>
              <w:bottom w:val="nil"/>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8/6/-</w:t>
            </w:r>
          </w:p>
        </w:tc>
        <w:tc>
          <w:tcPr>
            <w:tcW w:w="1260" w:type="dxa"/>
            <w:tcBorders>
              <w:top w:val="nil"/>
              <w:left w:val="single" w:sz="4" w:space="0" w:color="auto"/>
              <w:bottom w:val="nil"/>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44.6 [24.5, 82.0]</w:t>
            </w:r>
          </w:p>
        </w:tc>
      </w:tr>
      <w:tr w:rsidR="005542FB" w:rsidRPr="00A15574" w:rsidTr="00703286">
        <w:trPr>
          <w:trHeight w:val="243"/>
        </w:trPr>
        <w:tc>
          <w:tcPr>
            <w:tcW w:w="2700" w:type="dxa"/>
            <w:gridSpan w:val="2"/>
            <w:tcBorders>
              <w:top w:val="nil"/>
              <w:left w:val="nil"/>
              <w:bottom w:val="single" w:sz="4" w:space="0" w:color="auto"/>
              <w:right w:val="nil"/>
            </w:tcBorders>
            <w:hideMark/>
          </w:tcPr>
          <w:p w:rsidR="005542FB" w:rsidRPr="00A15574" w:rsidRDefault="005542FB" w:rsidP="00703286">
            <w:pP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Paperwork/office</w:t>
            </w:r>
          </w:p>
        </w:tc>
        <w:tc>
          <w:tcPr>
            <w:tcW w:w="810" w:type="dxa"/>
            <w:tcBorders>
              <w:left w:val="nil"/>
              <w:bottom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1/1/-</w:t>
            </w:r>
          </w:p>
        </w:tc>
        <w:tc>
          <w:tcPr>
            <w:tcW w:w="738" w:type="dxa"/>
            <w:tcBorders>
              <w:bottom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774" w:type="dxa"/>
            <w:tcBorders>
              <w:bottom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918" w:type="dxa"/>
            <w:tcBorders>
              <w:bottom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3/1/-</w:t>
            </w:r>
          </w:p>
        </w:tc>
        <w:tc>
          <w:tcPr>
            <w:tcW w:w="810" w:type="dxa"/>
            <w:tcBorders>
              <w:left w:val="nil"/>
              <w:bottom w:val="single" w:sz="4" w:space="0" w:color="auto"/>
              <w:right w:val="single" w:sz="4" w:space="0" w:color="auto"/>
            </w:tcBorders>
          </w:tcPr>
          <w:p w:rsidR="005542FB" w:rsidRPr="00A15574" w:rsidRDefault="005542FB" w:rsidP="00703286">
            <w:pPr>
              <w:jc w:val="center"/>
              <w:rPr>
                <w:rFonts w:ascii="Times New Roman" w:hAnsi="Times New Roman" w:cs="Times New Roman"/>
                <w:color w:val="000000" w:themeColor="text1"/>
                <w:sz w:val="16"/>
                <w:szCs w:val="16"/>
              </w:rPr>
            </w:pPr>
            <w:r w:rsidRPr="00A15574">
              <w:rPr>
                <w:rFonts w:ascii="Times New Roman" w:hAnsi="Times New Roman" w:cs="Times New Roman"/>
                <w:color w:val="000000" w:themeColor="text1"/>
                <w:sz w:val="16"/>
                <w:szCs w:val="16"/>
              </w:rPr>
              <w:t>-/-/-</w:t>
            </w:r>
          </w:p>
        </w:tc>
        <w:tc>
          <w:tcPr>
            <w:tcW w:w="990" w:type="dxa"/>
            <w:tcBorders>
              <w:top w:val="nil"/>
              <w:left w:val="single" w:sz="4" w:space="0" w:color="auto"/>
              <w:bottom w:val="single" w:sz="4" w:space="0" w:color="auto"/>
              <w:right w:val="nil"/>
            </w:tcBorders>
          </w:tcPr>
          <w:p w:rsidR="005542FB" w:rsidRPr="00A15574" w:rsidRDefault="005542FB" w:rsidP="00703286">
            <w:pPr>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4/2/-</w:t>
            </w:r>
          </w:p>
        </w:tc>
        <w:tc>
          <w:tcPr>
            <w:tcW w:w="1260" w:type="dxa"/>
            <w:tcBorders>
              <w:top w:val="nil"/>
              <w:left w:val="single" w:sz="4" w:space="0" w:color="auto"/>
              <w:bottom w:val="single" w:sz="4" w:space="0" w:color="auto"/>
              <w:right w:val="nil"/>
            </w:tcBorders>
          </w:tcPr>
          <w:p w:rsidR="005542FB" w:rsidRPr="00A15574" w:rsidRDefault="005542FB" w:rsidP="00703286">
            <w:pP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33.9 [21.0, 46.8]</w:t>
            </w:r>
          </w:p>
        </w:tc>
      </w:tr>
      <w:tr w:rsidR="005542FB" w:rsidRPr="00A15574" w:rsidTr="00703286">
        <w:tc>
          <w:tcPr>
            <w:tcW w:w="2700" w:type="dxa"/>
            <w:gridSpan w:val="2"/>
            <w:tcBorders>
              <w:top w:val="single" w:sz="4" w:space="0" w:color="auto"/>
              <w:left w:val="nil"/>
              <w:bottom w:val="single" w:sz="4" w:space="0" w:color="auto"/>
              <w:right w:val="nil"/>
            </w:tcBorders>
            <w:hideMark/>
          </w:tcPr>
          <w:p w:rsidR="005542FB" w:rsidRPr="00A15574" w:rsidRDefault="005542FB" w:rsidP="00703286">
            <w:pPr>
              <w:spacing w:before="60" w:after="60"/>
              <w:jc w:val="right"/>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Totals</w:t>
            </w:r>
          </w:p>
        </w:tc>
        <w:tc>
          <w:tcPr>
            <w:tcW w:w="810" w:type="dxa"/>
            <w:tcBorders>
              <w:top w:val="single" w:sz="4" w:space="0" w:color="auto"/>
              <w:left w:val="nil"/>
              <w:bottom w:val="single" w:sz="4" w:space="0" w:color="auto"/>
            </w:tcBorders>
          </w:tcPr>
          <w:p w:rsidR="005542FB" w:rsidRPr="00A15574" w:rsidRDefault="005542FB" w:rsidP="00703286">
            <w:pPr>
              <w:spacing w:before="60" w:after="60"/>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41/39/25</w:t>
            </w:r>
          </w:p>
        </w:tc>
        <w:tc>
          <w:tcPr>
            <w:tcW w:w="738" w:type="dxa"/>
            <w:tcBorders>
              <w:top w:val="single" w:sz="4" w:space="0" w:color="auto"/>
              <w:bottom w:val="single" w:sz="4" w:space="0" w:color="auto"/>
            </w:tcBorders>
          </w:tcPr>
          <w:p w:rsidR="005542FB" w:rsidRPr="00A15574" w:rsidRDefault="005542FB" w:rsidP="00703286">
            <w:pPr>
              <w:spacing w:before="60" w:after="60"/>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3/3/-</w:t>
            </w:r>
          </w:p>
        </w:tc>
        <w:tc>
          <w:tcPr>
            <w:tcW w:w="774" w:type="dxa"/>
            <w:tcBorders>
              <w:top w:val="single" w:sz="4" w:space="0" w:color="auto"/>
              <w:bottom w:val="single" w:sz="4" w:space="0" w:color="auto"/>
            </w:tcBorders>
          </w:tcPr>
          <w:p w:rsidR="005542FB" w:rsidRPr="00A15574" w:rsidRDefault="005542FB" w:rsidP="00703286">
            <w:pPr>
              <w:spacing w:before="60" w:after="60"/>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12/11/4</w:t>
            </w:r>
          </w:p>
        </w:tc>
        <w:tc>
          <w:tcPr>
            <w:tcW w:w="918" w:type="dxa"/>
            <w:tcBorders>
              <w:top w:val="single" w:sz="4" w:space="0" w:color="auto"/>
              <w:bottom w:val="single" w:sz="4" w:space="0" w:color="auto"/>
            </w:tcBorders>
          </w:tcPr>
          <w:p w:rsidR="005542FB" w:rsidRPr="00A15574" w:rsidRDefault="005542FB" w:rsidP="00703286">
            <w:pPr>
              <w:spacing w:before="60" w:after="60"/>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109/110/65</w:t>
            </w:r>
          </w:p>
        </w:tc>
        <w:tc>
          <w:tcPr>
            <w:tcW w:w="810" w:type="dxa"/>
            <w:tcBorders>
              <w:top w:val="single" w:sz="4" w:space="0" w:color="auto"/>
              <w:left w:val="nil"/>
              <w:bottom w:val="single" w:sz="4" w:space="0" w:color="auto"/>
              <w:right w:val="single" w:sz="4" w:space="0" w:color="auto"/>
            </w:tcBorders>
          </w:tcPr>
          <w:p w:rsidR="005542FB" w:rsidRPr="00A15574" w:rsidRDefault="005542FB" w:rsidP="00703286">
            <w:pPr>
              <w:spacing w:before="60" w:after="60"/>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67/61/18</w:t>
            </w:r>
          </w:p>
        </w:tc>
        <w:tc>
          <w:tcPr>
            <w:tcW w:w="990" w:type="dxa"/>
            <w:tcBorders>
              <w:top w:val="single" w:sz="4" w:space="0" w:color="auto"/>
              <w:left w:val="single" w:sz="4" w:space="0" w:color="auto"/>
              <w:bottom w:val="single" w:sz="4" w:space="0" w:color="auto"/>
              <w:right w:val="nil"/>
            </w:tcBorders>
          </w:tcPr>
          <w:p w:rsidR="005542FB" w:rsidRPr="00A15574" w:rsidRDefault="005542FB" w:rsidP="00703286">
            <w:pPr>
              <w:spacing w:before="60" w:after="60"/>
              <w:jc w:val="center"/>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232/224/112</w:t>
            </w:r>
          </w:p>
        </w:tc>
        <w:tc>
          <w:tcPr>
            <w:tcW w:w="1260" w:type="dxa"/>
            <w:tcBorders>
              <w:top w:val="single" w:sz="4" w:space="0" w:color="auto"/>
              <w:left w:val="single" w:sz="4" w:space="0" w:color="auto"/>
              <w:bottom w:val="single" w:sz="4" w:space="0" w:color="auto"/>
              <w:right w:val="nil"/>
            </w:tcBorders>
          </w:tcPr>
          <w:p w:rsidR="005542FB" w:rsidRPr="00A15574" w:rsidRDefault="005542FB" w:rsidP="00703286">
            <w:pPr>
              <w:spacing w:before="60" w:after="60"/>
              <w:rPr>
                <w:rFonts w:ascii="Times New Roman" w:hAnsi="Times New Roman" w:cs="Times New Roman"/>
                <w:i/>
                <w:color w:val="000000" w:themeColor="text1"/>
                <w:sz w:val="16"/>
                <w:szCs w:val="16"/>
              </w:rPr>
            </w:pPr>
            <w:r w:rsidRPr="00A15574">
              <w:rPr>
                <w:rFonts w:ascii="Times New Roman" w:hAnsi="Times New Roman" w:cs="Times New Roman"/>
                <w:i/>
                <w:color w:val="000000" w:themeColor="text1"/>
                <w:sz w:val="16"/>
                <w:szCs w:val="16"/>
              </w:rPr>
              <w:t>40.7 [17.0-75.1]</w:t>
            </w:r>
          </w:p>
        </w:tc>
      </w:tr>
    </w:tbl>
    <w:p w:rsidR="005542FB" w:rsidRPr="00A15574" w:rsidRDefault="005542FB" w:rsidP="00703286">
      <w:pPr>
        <w:spacing w:after="0"/>
        <w:rPr>
          <w:rFonts w:ascii="Times New Roman" w:hAnsi="Times New Roman" w:cs="Times New Roman"/>
          <w:color w:val="000000" w:themeColor="text1"/>
          <w:sz w:val="16"/>
        </w:rPr>
      </w:pPr>
      <w:r w:rsidRPr="00A15574">
        <w:rPr>
          <w:rFonts w:ascii="Times New Roman" w:hAnsi="Times New Roman" w:cs="Times New Roman"/>
          <w:color w:val="000000" w:themeColor="text1"/>
          <w:sz w:val="16"/>
          <w:vertAlign w:val="superscript"/>
        </w:rPr>
        <w:t>A</w:t>
      </w:r>
      <w:r w:rsidRPr="00A15574">
        <w:rPr>
          <w:rFonts w:ascii="Times New Roman" w:hAnsi="Times New Roman" w:cs="Times New Roman"/>
          <w:color w:val="000000" w:themeColor="text1"/>
          <w:sz w:val="16"/>
        </w:rPr>
        <w:t xml:space="preserve"> Tasks involving machinery operation also included measurement of whole-body vibration; results are reported in Fethke et al. (2018)</w:t>
      </w:r>
    </w:p>
    <w:p w:rsidR="005542FB" w:rsidRPr="00A15574" w:rsidRDefault="005542FB" w:rsidP="007A75E7">
      <w:pPr>
        <w:rPr>
          <w:rFonts w:ascii="Times New Roman" w:hAnsi="Times New Roman" w:cs="Times New Roman"/>
          <w:color w:val="000000" w:themeColor="text1"/>
          <w:sz w:val="16"/>
        </w:rPr>
      </w:pPr>
      <w:r w:rsidRPr="00A15574">
        <w:rPr>
          <w:rFonts w:ascii="Times New Roman" w:hAnsi="Times New Roman" w:cs="Times New Roman"/>
          <w:color w:val="000000" w:themeColor="text1"/>
          <w:sz w:val="16"/>
          <w:vertAlign w:val="superscript"/>
        </w:rPr>
        <w:t>B</w:t>
      </w:r>
      <w:r w:rsidRPr="00A15574">
        <w:rPr>
          <w:rFonts w:ascii="Times New Roman" w:hAnsi="Times New Roman" w:cs="Times New Roman"/>
          <w:color w:val="000000" w:themeColor="text1"/>
          <w:sz w:val="16"/>
        </w:rPr>
        <w:t xml:space="preserve"> Sampling duration reported for muscle activity measures as median [interquartile range], in minutes.</w:t>
      </w:r>
    </w:p>
    <w:p w:rsidR="005542FB" w:rsidRPr="00A15574" w:rsidRDefault="005542FB" w:rsidP="007A75E7">
      <w:pPr>
        <w:rPr>
          <w:rFonts w:ascii="Times New Roman" w:hAnsi="Times New Roman" w:cs="Times New Roman"/>
          <w:color w:val="000000" w:themeColor="text1"/>
          <w:sz w:val="16"/>
        </w:rPr>
        <w:sectPr w:rsidR="005542FB" w:rsidRPr="00A15574" w:rsidSect="007A75E7">
          <w:pgSz w:w="12240" w:h="15840"/>
          <w:pgMar w:top="1440" w:right="1440" w:bottom="1440" w:left="1440" w:header="720" w:footer="720" w:gutter="0"/>
          <w:cols w:space="720"/>
          <w:docGrid w:linePitch="360"/>
        </w:sectPr>
      </w:pPr>
    </w:p>
    <w:p w:rsidR="005542FB" w:rsidRPr="00A15574" w:rsidRDefault="005542FB" w:rsidP="00D20816">
      <w:pPr>
        <w:spacing w:after="0"/>
        <w:ind w:right="1530"/>
        <w:rPr>
          <w:rFonts w:ascii="Times New Roman" w:hAnsi="Times New Roman" w:cs="Times New Roman"/>
          <w:color w:val="000000" w:themeColor="text1"/>
        </w:rPr>
      </w:pPr>
      <w:r w:rsidRPr="00A15574">
        <w:rPr>
          <w:rFonts w:ascii="Times New Roman" w:hAnsi="Times New Roman" w:cs="Times New Roman"/>
          <w:b/>
          <w:color w:val="000000" w:themeColor="text1"/>
        </w:rPr>
        <w:lastRenderedPageBreak/>
        <w:t>Table 4:</w:t>
      </w:r>
      <w:r w:rsidRPr="00A15574">
        <w:rPr>
          <w:rFonts w:ascii="Times New Roman" w:hAnsi="Times New Roman" w:cs="Times New Roman"/>
          <w:color w:val="000000" w:themeColor="text1"/>
        </w:rPr>
        <w:t xml:space="preserve"> Median [interquartile range] muscle activity levels (part a) and posture and movement speed levels (part b) across all participants, farm types, and agricultural activities.</w:t>
      </w:r>
    </w:p>
    <w:tbl>
      <w:tblPr>
        <w:tblStyle w:val="TableGrid"/>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691"/>
        <w:gridCol w:w="549"/>
        <w:gridCol w:w="1170"/>
        <w:gridCol w:w="540"/>
        <w:gridCol w:w="1350"/>
        <w:gridCol w:w="540"/>
        <w:gridCol w:w="1170"/>
        <w:gridCol w:w="540"/>
        <w:gridCol w:w="1170"/>
        <w:gridCol w:w="540"/>
        <w:gridCol w:w="1170"/>
      </w:tblGrid>
      <w:tr w:rsidR="005542FB" w:rsidRPr="00A15574" w:rsidTr="00703286">
        <w:tc>
          <w:tcPr>
            <w:tcW w:w="2691" w:type="dxa"/>
            <w:tcBorders>
              <w:top w:val="single" w:sz="4" w:space="0" w:color="auto"/>
              <w:bottom w:val="single" w:sz="4" w:space="0" w:color="auto"/>
            </w:tcBorders>
          </w:tcPr>
          <w:p w:rsidR="005542FB" w:rsidRPr="00A15574" w:rsidRDefault="005542FB" w:rsidP="00703286">
            <w:pPr>
              <w:spacing w:before="120"/>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a) Muscle activity</w:t>
            </w:r>
          </w:p>
        </w:tc>
        <w:tc>
          <w:tcPr>
            <w:tcW w:w="1719" w:type="dxa"/>
            <w:gridSpan w:val="2"/>
            <w:tcBorders>
              <w:top w:val="single" w:sz="4" w:space="0" w:color="auto"/>
              <w:bottom w:val="single" w:sz="4" w:space="0" w:color="auto"/>
            </w:tcBorders>
          </w:tcPr>
          <w:p w:rsidR="005542FB" w:rsidRPr="00A15574" w:rsidRDefault="005542FB" w:rsidP="00703286">
            <w:pPr>
              <w:spacing w:before="120"/>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 xml:space="preserve">Erector </w:t>
            </w:r>
            <w:proofErr w:type="spellStart"/>
            <w:r w:rsidRPr="00A15574">
              <w:rPr>
                <w:rFonts w:ascii="Times New Roman" w:hAnsi="Times New Roman" w:cs="Times New Roman"/>
                <w:b/>
                <w:color w:val="000000" w:themeColor="text1"/>
                <w:sz w:val="20"/>
                <w:szCs w:val="20"/>
              </w:rPr>
              <w:t>Spinae</w:t>
            </w:r>
            <w:proofErr w:type="spellEnd"/>
            <w:r w:rsidRPr="00A15574">
              <w:rPr>
                <w:rFonts w:ascii="Times New Roman" w:hAnsi="Times New Roman" w:cs="Times New Roman"/>
                <w:b/>
                <w:color w:val="000000" w:themeColor="text1"/>
                <w:sz w:val="20"/>
                <w:szCs w:val="20"/>
              </w:rPr>
              <w:t>, L</w:t>
            </w:r>
          </w:p>
        </w:tc>
        <w:tc>
          <w:tcPr>
            <w:tcW w:w="1890" w:type="dxa"/>
            <w:gridSpan w:val="2"/>
            <w:tcBorders>
              <w:top w:val="single" w:sz="4" w:space="0" w:color="auto"/>
              <w:bottom w:val="single" w:sz="4" w:space="0" w:color="auto"/>
            </w:tcBorders>
          </w:tcPr>
          <w:p w:rsidR="005542FB" w:rsidRPr="00A15574" w:rsidRDefault="005542FB" w:rsidP="00703286">
            <w:pPr>
              <w:spacing w:before="120"/>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 xml:space="preserve">Erector </w:t>
            </w:r>
            <w:proofErr w:type="spellStart"/>
            <w:r w:rsidRPr="00A15574">
              <w:rPr>
                <w:rFonts w:ascii="Times New Roman" w:hAnsi="Times New Roman" w:cs="Times New Roman"/>
                <w:b/>
                <w:color w:val="000000" w:themeColor="text1"/>
                <w:sz w:val="20"/>
                <w:szCs w:val="20"/>
              </w:rPr>
              <w:t>Spinae</w:t>
            </w:r>
            <w:proofErr w:type="spellEnd"/>
            <w:r w:rsidRPr="00A15574">
              <w:rPr>
                <w:rFonts w:ascii="Times New Roman" w:hAnsi="Times New Roman" w:cs="Times New Roman"/>
                <w:b/>
                <w:color w:val="000000" w:themeColor="text1"/>
                <w:sz w:val="20"/>
                <w:szCs w:val="20"/>
              </w:rPr>
              <w:t>, R</w:t>
            </w:r>
          </w:p>
        </w:tc>
        <w:tc>
          <w:tcPr>
            <w:tcW w:w="1710" w:type="dxa"/>
            <w:gridSpan w:val="2"/>
            <w:tcBorders>
              <w:top w:val="single" w:sz="4" w:space="0" w:color="auto"/>
              <w:bottom w:val="single" w:sz="4" w:space="0" w:color="auto"/>
            </w:tcBorders>
          </w:tcPr>
          <w:p w:rsidR="005542FB" w:rsidRPr="00A15574" w:rsidRDefault="005542FB" w:rsidP="00703286">
            <w:pPr>
              <w:spacing w:before="120"/>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Upper Trapezius</w:t>
            </w:r>
          </w:p>
        </w:tc>
        <w:tc>
          <w:tcPr>
            <w:tcW w:w="1710" w:type="dxa"/>
            <w:gridSpan w:val="2"/>
            <w:tcBorders>
              <w:top w:val="single" w:sz="4" w:space="0" w:color="auto"/>
              <w:bottom w:val="single" w:sz="4" w:space="0" w:color="auto"/>
            </w:tcBorders>
          </w:tcPr>
          <w:p w:rsidR="005542FB" w:rsidRPr="00A15574" w:rsidRDefault="005542FB" w:rsidP="00703286">
            <w:pPr>
              <w:spacing w:before="120"/>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Flexors</w:t>
            </w:r>
          </w:p>
        </w:tc>
        <w:tc>
          <w:tcPr>
            <w:tcW w:w="1710" w:type="dxa"/>
            <w:gridSpan w:val="2"/>
            <w:tcBorders>
              <w:top w:val="single" w:sz="4" w:space="0" w:color="auto"/>
              <w:bottom w:val="single" w:sz="4" w:space="0" w:color="auto"/>
            </w:tcBorders>
          </w:tcPr>
          <w:p w:rsidR="005542FB" w:rsidRPr="00A15574" w:rsidRDefault="005542FB" w:rsidP="00703286">
            <w:pPr>
              <w:spacing w:before="120"/>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Extensors</w:t>
            </w:r>
          </w:p>
        </w:tc>
      </w:tr>
      <w:tr w:rsidR="005542FB" w:rsidRPr="00A15574" w:rsidTr="00703286">
        <w:tc>
          <w:tcPr>
            <w:tcW w:w="2691" w:type="dxa"/>
            <w:tcBorders>
              <w:top w:val="single" w:sz="4" w:space="0" w:color="auto"/>
            </w:tcBorders>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%RVE</w:t>
            </w:r>
          </w:p>
        </w:tc>
        <w:tc>
          <w:tcPr>
            <w:tcW w:w="549" w:type="dxa"/>
            <w:tcBorders>
              <w:top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16.5</w:t>
            </w:r>
          </w:p>
        </w:tc>
        <w:tc>
          <w:tcPr>
            <w:tcW w:w="1170" w:type="dxa"/>
            <w:tcBorders>
              <w:top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[11.4, 25.6]</w:t>
            </w:r>
          </w:p>
        </w:tc>
        <w:tc>
          <w:tcPr>
            <w:tcW w:w="540" w:type="dxa"/>
            <w:tcBorders>
              <w:top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19.0</w:t>
            </w:r>
          </w:p>
        </w:tc>
        <w:tc>
          <w:tcPr>
            <w:tcW w:w="1350" w:type="dxa"/>
            <w:tcBorders>
              <w:top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[12.4, 28.5]</w:t>
            </w:r>
          </w:p>
        </w:tc>
        <w:tc>
          <w:tcPr>
            <w:tcW w:w="540" w:type="dxa"/>
            <w:tcBorders>
              <w:top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5.5</w:t>
            </w:r>
          </w:p>
        </w:tc>
        <w:tc>
          <w:tcPr>
            <w:tcW w:w="1170" w:type="dxa"/>
            <w:tcBorders>
              <w:top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[2.8, 9.2]</w:t>
            </w:r>
          </w:p>
        </w:tc>
        <w:tc>
          <w:tcPr>
            <w:tcW w:w="540" w:type="dxa"/>
            <w:tcBorders>
              <w:top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5.7</w:t>
            </w:r>
          </w:p>
        </w:tc>
        <w:tc>
          <w:tcPr>
            <w:tcW w:w="1170" w:type="dxa"/>
            <w:tcBorders>
              <w:top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[2.7, 10.8]</w:t>
            </w:r>
          </w:p>
        </w:tc>
        <w:tc>
          <w:tcPr>
            <w:tcW w:w="540" w:type="dxa"/>
            <w:tcBorders>
              <w:top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3.4</w:t>
            </w:r>
          </w:p>
        </w:tc>
        <w:tc>
          <w:tcPr>
            <w:tcW w:w="1170" w:type="dxa"/>
            <w:tcBorders>
              <w:top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[1.9, 6.1]</w:t>
            </w: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%RVE</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46.0</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[32.9, 58.7]</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48.8</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[35.3, 61.6]</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26.4</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[17.7, 40.1]</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30.4</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[15.7, 52.5]</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19.4</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[11.2, 34.3]</w:t>
            </w: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90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%RVE</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109.8</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[79.4, 141.6]</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112.0</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[85.7, 136.8]</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80.0</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[59.3, 107.3]</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163.0</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[90.5, 302.0]</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91.1</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[61.9, 149.0]</w:t>
            </w: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35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r>
      <w:tr w:rsidR="005542FB" w:rsidRPr="00A15574" w:rsidTr="00703286">
        <w:tc>
          <w:tcPr>
            <w:tcW w:w="2691" w:type="dxa"/>
            <w:tcBorders>
              <w:bottom w:val="single" w:sz="4" w:space="0" w:color="auto"/>
            </w:tcBorders>
          </w:tcPr>
          <w:p w:rsidR="005542FB" w:rsidRPr="00A15574" w:rsidRDefault="005542FB" w:rsidP="00703286">
            <w:pP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b) Posture and movement</w:t>
            </w:r>
          </w:p>
        </w:tc>
        <w:tc>
          <w:tcPr>
            <w:tcW w:w="1719" w:type="dxa"/>
            <w:gridSpan w:val="2"/>
            <w:tcBorders>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Trunk Flex/Ext</w:t>
            </w:r>
          </w:p>
        </w:tc>
        <w:tc>
          <w:tcPr>
            <w:tcW w:w="1890" w:type="dxa"/>
            <w:gridSpan w:val="2"/>
            <w:tcBorders>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Trunk Lateral Bend</w:t>
            </w:r>
          </w:p>
        </w:tc>
        <w:tc>
          <w:tcPr>
            <w:tcW w:w="1710" w:type="dxa"/>
            <w:gridSpan w:val="2"/>
            <w:tcBorders>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Upper Arm</w:t>
            </w:r>
          </w:p>
        </w:tc>
        <w:tc>
          <w:tcPr>
            <w:tcW w:w="1710" w:type="dxa"/>
            <w:gridSpan w:val="2"/>
            <w:tcBorders>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Wrist Flex/Ext</w:t>
            </w:r>
          </w:p>
        </w:tc>
        <w:tc>
          <w:tcPr>
            <w:tcW w:w="1710" w:type="dxa"/>
            <w:gridSpan w:val="2"/>
            <w:tcBorders>
              <w:bottom w:val="single" w:sz="4" w:space="0" w:color="auto"/>
            </w:tcBorders>
          </w:tcPr>
          <w:p w:rsidR="005542FB" w:rsidRPr="00A15574" w:rsidRDefault="005542FB" w:rsidP="00703286">
            <w:pPr>
              <w:jc w:val="center"/>
              <w:rPr>
                <w:rFonts w:ascii="Times New Roman" w:hAnsi="Times New Roman" w:cs="Times New Roman"/>
                <w:b/>
                <w:color w:val="000000" w:themeColor="text1"/>
                <w:sz w:val="20"/>
                <w:szCs w:val="20"/>
              </w:rPr>
            </w:pPr>
            <w:r w:rsidRPr="00A15574">
              <w:rPr>
                <w:rFonts w:ascii="Times New Roman" w:hAnsi="Times New Roman" w:cs="Times New Roman"/>
                <w:b/>
                <w:color w:val="000000" w:themeColor="text1"/>
                <w:sz w:val="20"/>
                <w:szCs w:val="20"/>
              </w:rPr>
              <w:t>Wrist Rad/</w:t>
            </w:r>
            <w:proofErr w:type="spellStart"/>
            <w:r w:rsidRPr="00A15574">
              <w:rPr>
                <w:rFonts w:ascii="Times New Roman" w:hAnsi="Times New Roman" w:cs="Times New Roman"/>
                <w:b/>
                <w:color w:val="000000" w:themeColor="text1"/>
                <w:sz w:val="20"/>
                <w:szCs w:val="20"/>
              </w:rPr>
              <w:t>Uln</w:t>
            </w:r>
            <w:proofErr w:type="spellEnd"/>
          </w:p>
        </w:tc>
      </w:tr>
      <w:tr w:rsidR="005542FB" w:rsidRPr="00A15574" w:rsidTr="00703286">
        <w:tc>
          <w:tcPr>
            <w:tcW w:w="2691"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Postures</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35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9.0</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[1.6, 20.0]</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-11.1</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[-16.2, -6.6]</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15.3</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[7.9, 24.3]</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22.0</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[12.9, 34.4]</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0.0</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[-4.4, 4.0]</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35.6</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[26.1, 46.2]</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90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39.3</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[28.5, 52.5]</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10.5</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[6.1, 16.1]</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67.9</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[53.7, 83.2]</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Range (90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-10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percentiles), °</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29.6</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[18.8, 39.3]</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21.1</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[17.5, 26.7]</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53.6</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[40.5, 64.5]</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r>
      <w:tr w:rsidR="005542FB" w:rsidRPr="00A15574" w:rsidTr="00703286">
        <w:tc>
          <w:tcPr>
            <w:tcW w:w="2691"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Movement speeds</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350" w:type="dxa"/>
          </w:tcPr>
          <w:p w:rsidR="005542FB" w:rsidRPr="00A15574" w:rsidRDefault="005542FB" w:rsidP="00703286">
            <w:pPr>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jc w:val="right"/>
              <w:rPr>
                <w:rFonts w:ascii="Times New Roman" w:hAnsi="Times New Roman" w:cs="Times New Roman"/>
                <w:color w:val="000000" w:themeColor="text1"/>
                <w:sz w:val="20"/>
                <w:szCs w:val="20"/>
              </w:rPr>
            </w:pP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p>
        </w:tc>
        <w:tc>
          <w:tcPr>
            <w:tcW w:w="1170" w:type="dxa"/>
          </w:tcPr>
          <w:p w:rsidR="005542FB" w:rsidRPr="00A15574" w:rsidRDefault="005542FB" w:rsidP="00703286">
            <w:pPr>
              <w:rPr>
                <w:rFonts w:ascii="Times New Roman" w:hAnsi="Times New Roman" w:cs="Times New Roman"/>
                <w:color w:val="000000" w:themeColor="text1"/>
                <w:sz w:val="20"/>
                <w:szCs w:val="20"/>
              </w:rPr>
            </w:pP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vertAlign w:val="superscript"/>
              </w:rPr>
            </w:pPr>
            <w:r w:rsidRPr="00A15574">
              <w:rPr>
                <w:rFonts w:ascii="Times New Roman" w:hAnsi="Times New Roman" w:cs="Times New Roman"/>
                <w:color w:val="000000" w:themeColor="text1"/>
                <w:sz w:val="20"/>
                <w:szCs w:val="20"/>
              </w:rPr>
              <w:t>10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°·s</w:t>
            </w:r>
            <w:r w:rsidRPr="00A15574">
              <w:rPr>
                <w:rFonts w:ascii="Times New Roman" w:hAnsi="Times New Roman" w:cs="Times New Roman"/>
                <w:color w:val="000000" w:themeColor="text1"/>
                <w:sz w:val="20"/>
                <w:szCs w:val="20"/>
                <w:vertAlign w:val="superscript"/>
              </w:rPr>
              <w:t>-1</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1.1</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[0.8, 1.6]</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1.2</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[0.8, 1.8]</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1.7</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[1.2, 2.4]</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1.7</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[1.2, 2.5]</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1.1</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[0.7, 1.7]</w:t>
            </w:r>
          </w:p>
        </w:tc>
      </w:tr>
      <w:tr w:rsidR="005542FB" w:rsidRPr="00A15574" w:rsidTr="00703286">
        <w:tc>
          <w:tcPr>
            <w:tcW w:w="2691" w:type="dxa"/>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°·s</w:t>
            </w:r>
            <w:r w:rsidRPr="00A15574">
              <w:rPr>
                <w:rFonts w:ascii="Times New Roman" w:hAnsi="Times New Roman" w:cs="Times New Roman"/>
                <w:color w:val="000000" w:themeColor="text1"/>
                <w:sz w:val="20"/>
                <w:szCs w:val="20"/>
                <w:vertAlign w:val="superscript"/>
              </w:rPr>
              <w:t>-1</w:t>
            </w:r>
          </w:p>
        </w:tc>
        <w:tc>
          <w:tcPr>
            <w:tcW w:w="549"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8.8</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[6.7, 11.8]</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10.3</w:t>
            </w:r>
          </w:p>
        </w:tc>
        <w:tc>
          <w:tcPr>
            <w:tcW w:w="135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[7.5, 14.2]</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14.3</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[10.4, 19.8]</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13.5</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[8.9, 19.1]</w:t>
            </w:r>
          </w:p>
        </w:tc>
        <w:tc>
          <w:tcPr>
            <w:tcW w:w="540" w:type="dxa"/>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10.2</w:t>
            </w:r>
          </w:p>
        </w:tc>
        <w:tc>
          <w:tcPr>
            <w:tcW w:w="1170" w:type="dxa"/>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[6.9, 14.2]</w:t>
            </w:r>
          </w:p>
        </w:tc>
      </w:tr>
      <w:tr w:rsidR="005542FB" w:rsidRPr="00A15574" w:rsidTr="00703286">
        <w:tc>
          <w:tcPr>
            <w:tcW w:w="2691" w:type="dxa"/>
            <w:tcBorders>
              <w:bottom w:val="single" w:sz="4" w:space="0" w:color="auto"/>
            </w:tcBorders>
          </w:tcPr>
          <w:p w:rsidR="005542FB" w:rsidRPr="00A15574" w:rsidRDefault="005542FB" w:rsidP="00703286">
            <w:pPr>
              <w:ind w:firstLine="155"/>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90</w:t>
            </w:r>
            <w:r w:rsidRPr="00A15574">
              <w:rPr>
                <w:rFonts w:ascii="Times New Roman" w:hAnsi="Times New Roman" w:cs="Times New Roman"/>
                <w:color w:val="000000" w:themeColor="text1"/>
                <w:sz w:val="20"/>
                <w:szCs w:val="20"/>
                <w:vertAlign w:val="superscript"/>
              </w:rPr>
              <w:t>th</w:t>
            </w:r>
            <w:r w:rsidRPr="00A15574">
              <w:rPr>
                <w:rFonts w:ascii="Times New Roman" w:hAnsi="Times New Roman" w:cs="Times New Roman"/>
                <w:color w:val="000000" w:themeColor="text1"/>
                <w:sz w:val="20"/>
                <w:szCs w:val="20"/>
              </w:rPr>
              <w:t xml:space="preserve"> percentile, °·s</w:t>
            </w:r>
            <w:r w:rsidRPr="00A15574">
              <w:rPr>
                <w:rFonts w:ascii="Times New Roman" w:hAnsi="Times New Roman" w:cs="Times New Roman"/>
                <w:color w:val="000000" w:themeColor="text1"/>
                <w:sz w:val="20"/>
                <w:szCs w:val="20"/>
                <w:vertAlign w:val="superscript"/>
              </w:rPr>
              <w:t>-1</w:t>
            </w:r>
          </w:p>
        </w:tc>
        <w:tc>
          <w:tcPr>
            <w:tcW w:w="549" w:type="dxa"/>
            <w:tcBorders>
              <w:bottom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35.7</w:t>
            </w:r>
          </w:p>
        </w:tc>
        <w:tc>
          <w:tcPr>
            <w:tcW w:w="1170" w:type="dxa"/>
            <w:tcBorders>
              <w:bottom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[27.7, 44.3]</w:t>
            </w:r>
          </w:p>
        </w:tc>
        <w:tc>
          <w:tcPr>
            <w:tcW w:w="540" w:type="dxa"/>
            <w:tcBorders>
              <w:bottom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42.4</w:t>
            </w:r>
          </w:p>
        </w:tc>
        <w:tc>
          <w:tcPr>
            <w:tcW w:w="1350" w:type="dxa"/>
            <w:tcBorders>
              <w:bottom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[33.0, 55.6]</w:t>
            </w:r>
          </w:p>
        </w:tc>
        <w:tc>
          <w:tcPr>
            <w:tcW w:w="540" w:type="dxa"/>
            <w:tcBorders>
              <w:bottom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61.6</w:t>
            </w:r>
          </w:p>
        </w:tc>
        <w:tc>
          <w:tcPr>
            <w:tcW w:w="1170" w:type="dxa"/>
            <w:tcBorders>
              <w:bottom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[46.0, 74.0]</w:t>
            </w:r>
          </w:p>
        </w:tc>
        <w:tc>
          <w:tcPr>
            <w:tcW w:w="540" w:type="dxa"/>
            <w:tcBorders>
              <w:bottom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74.7</w:t>
            </w:r>
          </w:p>
        </w:tc>
        <w:tc>
          <w:tcPr>
            <w:tcW w:w="1170" w:type="dxa"/>
            <w:tcBorders>
              <w:bottom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[52.5, 94.9]</w:t>
            </w:r>
          </w:p>
        </w:tc>
        <w:tc>
          <w:tcPr>
            <w:tcW w:w="540" w:type="dxa"/>
            <w:tcBorders>
              <w:bottom w:val="single" w:sz="4" w:space="0" w:color="auto"/>
            </w:tcBorders>
          </w:tcPr>
          <w:p w:rsidR="005542FB" w:rsidRPr="00A15574" w:rsidRDefault="005542FB" w:rsidP="00703286">
            <w:pPr>
              <w:jc w:val="right"/>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52.8</w:t>
            </w:r>
          </w:p>
        </w:tc>
        <w:tc>
          <w:tcPr>
            <w:tcW w:w="1170" w:type="dxa"/>
            <w:tcBorders>
              <w:bottom w:val="single" w:sz="4" w:space="0" w:color="auto"/>
            </w:tcBorders>
          </w:tcPr>
          <w:p w:rsidR="005542FB" w:rsidRPr="00A15574" w:rsidRDefault="005542FB" w:rsidP="00703286">
            <w:pPr>
              <w:rPr>
                <w:rFonts w:ascii="Times New Roman" w:hAnsi="Times New Roman" w:cs="Times New Roman"/>
                <w:color w:val="000000" w:themeColor="text1"/>
                <w:sz w:val="20"/>
                <w:szCs w:val="20"/>
              </w:rPr>
            </w:pPr>
            <w:r w:rsidRPr="00A15574">
              <w:rPr>
                <w:rFonts w:ascii="Times New Roman" w:hAnsi="Times New Roman" w:cs="Times New Roman"/>
                <w:color w:val="000000" w:themeColor="text1"/>
                <w:sz w:val="20"/>
                <w:szCs w:val="20"/>
              </w:rPr>
              <w:t>[37.8, 68.2]</w:t>
            </w:r>
          </w:p>
        </w:tc>
      </w:tr>
    </w:tbl>
    <w:p w:rsidR="005542FB" w:rsidRPr="00A15574" w:rsidRDefault="005542FB">
      <w:pPr>
        <w:rPr>
          <w:rFonts w:ascii="Times New Roman" w:hAnsi="Times New Roman" w:cs="Times New Roman"/>
          <w:b/>
          <w:color w:val="000000" w:themeColor="text1"/>
        </w:rPr>
      </w:pPr>
    </w:p>
    <w:p w:rsidR="00D955EA" w:rsidRDefault="00D045F1"/>
    <w:sectPr w:rsidR="00D955EA" w:rsidSect="007A75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01303"/>
    <w:multiLevelType w:val="hybridMultilevel"/>
    <w:tmpl w:val="501E1764"/>
    <w:lvl w:ilvl="0" w:tplc="E3A007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542FB"/>
    <w:rsid w:val="005542FB"/>
    <w:rsid w:val="00704369"/>
    <w:rsid w:val="00A429A2"/>
    <w:rsid w:val="00D0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1A28"/>
  <w15:chartTrackingRefBased/>
  <w15:docId w15:val="{60DA7089-C368-4A60-8544-A8ABF231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542F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5542FB"/>
    <w:rPr>
      <w:rFonts w:ascii="Times New Roman" w:hAnsi="Times New Roman" w:cs="Times New Roman"/>
      <w:noProof/>
      <w:sz w:val="24"/>
    </w:rPr>
  </w:style>
  <w:style w:type="paragraph" w:customStyle="1" w:styleId="EndNoteBibliography">
    <w:name w:val="EndNote Bibliography"/>
    <w:basedOn w:val="Normal"/>
    <w:link w:val="EndNoteBibliographyChar"/>
    <w:rsid w:val="005542FB"/>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5542FB"/>
    <w:rPr>
      <w:rFonts w:ascii="Times New Roman" w:hAnsi="Times New Roman" w:cs="Times New Roman"/>
      <w:noProof/>
      <w:sz w:val="24"/>
    </w:rPr>
  </w:style>
  <w:style w:type="paragraph" w:styleId="CommentText">
    <w:name w:val="annotation text"/>
    <w:basedOn w:val="Normal"/>
    <w:link w:val="CommentTextChar"/>
    <w:uiPriority w:val="99"/>
    <w:semiHidden/>
    <w:unhideWhenUsed/>
    <w:rsid w:val="005542FB"/>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542FB"/>
    <w:rPr>
      <w:sz w:val="20"/>
      <w:szCs w:val="20"/>
    </w:rPr>
  </w:style>
  <w:style w:type="character" w:styleId="CommentReference">
    <w:name w:val="annotation reference"/>
    <w:basedOn w:val="DefaultParagraphFont"/>
    <w:uiPriority w:val="99"/>
    <w:semiHidden/>
    <w:unhideWhenUsed/>
    <w:rsid w:val="005542FB"/>
    <w:rPr>
      <w:sz w:val="16"/>
      <w:szCs w:val="16"/>
    </w:rPr>
  </w:style>
  <w:style w:type="paragraph" w:styleId="BalloonText">
    <w:name w:val="Balloon Text"/>
    <w:basedOn w:val="Normal"/>
    <w:link w:val="BalloonTextChar"/>
    <w:uiPriority w:val="99"/>
    <w:semiHidden/>
    <w:unhideWhenUsed/>
    <w:rsid w:val="00554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2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42FB"/>
    <w:pPr>
      <w:spacing w:after="160"/>
    </w:pPr>
    <w:rPr>
      <w:b/>
      <w:bCs/>
    </w:rPr>
  </w:style>
  <w:style w:type="character" w:customStyle="1" w:styleId="CommentSubjectChar">
    <w:name w:val="Comment Subject Char"/>
    <w:basedOn w:val="CommentTextChar"/>
    <w:link w:val="CommentSubject"/>
    <w:uiPriority w:val="99"/>
    <w:semiHidden/>
    <w:rsid w:val="005542FB"/>
    <w:rPr>
      <w:b/>
      <w:bCs/>
      <w:sz w:val="20"/>
      <w:szCs w:val="20"/>
    </w:rPr>
  </w:style>
  <w:style w:type="table" w:styleId="TableGrid">
    <w:name w:val="Table Grid"/>
    <w:basedOn w:val="TableNormal"/>
    <w:uiPriority w:val="59"/>
    <w:rsid w:val="0055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2FB"/>
    <w:rPr>
      <w:color w:val="0563C1" w:themeColor="hyperlink"/>
      <w:u w:val="single"/>
    </w:rPr>
  </w:style>
  <w:style w:type="paragraph" w:styleId="ListParagraph">
    <w:name w:val="List Paragraph"/>
    <w:basedOn w:val="Normal"/>
    <w:uiPriority w:val="34"/>
    <w:qFormat/>
    <w:rsid w:val="005542FB"/>
    <w:pPr>
      <w:ind w:left="720"/>
      <w:contextualSpacing/>
    </w:pPr>
  </w:style>
  <w:style w:type="character" w:styleId="FollowedHyperlink">
    <w:name w:val="FollowedHyperlink"/>
    <w:basedOn w:val="DefaultParagraphFont"/>
    <w:uiPriority w:val="99"/>
    <w:semiHidden/>
    <w:unhideWhenUsed/>
    <w:rsid w:val="00554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8393</Words>
  <Characters>47844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Fethke, Nathan B</dc:creator>
  <cp:keywords/>
  <dc:description/>
  <cp:lastModifiedBy>Fethke, Nathan B</cp:lastModifiedBy>
  <cp:revision>2</cp:revision>
  <dcterms:created xsi:type="dcterms:W3CDTF">2019-12-16T23:52:00Z</dcterms:created>
  <dcterms:modified xsi:type="dcterms:W3CDTF">2019-12-17T15:25:00Z</dcterms:modified>
</cp:coreProperties>
</file>